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6E2922" w14:textId="77777777" w:rsidR="006716F8" w:rsidRDefault="001C011D" w:rsidP="001C011D">
      <w:pPr>
        <w:pStyle w:val="PublicationTitle"/>
        <w:tabs>
          <w:tab w:val="right" w:pos="9072"/>
        </w:tabs>
        <w:ind w:right="-45"/>
        <w:jc w:val="both"/>
        <w:rPr>
          <w:szCs w:val="44"/>
        </w:rPr>
      </w:pPr>
      <w:r>
        <w:rPr>
          <w:szCs w:val="44"/>
        </w:rPr>
        <w:tab/>
      </w:r>
    </w:p>
    <w:p w14:paraId="45541AFA" w14:textId="77777777" w:rsidR="006716F8" w:rsidRDefault="006716F8" w:rsidP="001C011D">
      <w:pPr>
        <w:pStyle w:val="PublicationTitle"/>
        <w:tabs>
          <w:tab w:val="right" w:pos="9072"/>
        </w:tabs>
        <w:ind w:right="-45"/>
        <w:jc w:val="both"/>
        <w:rPr>
          <w:szCs w:val="44"/>
        </w:rPr>
      </w:pPr>
    </w:p>
    <w:p w14:paraId="5EB03446" w14:textId="77777777" w:rsidR="006716F8" w:rsidRDefault="006716F8" w:rsidP="001C011D">
      <w:pPr>
        <w:pStyle w:val="PublicationTitle"/>
        <w:tabs>
          <w:tab w:val="right" w:pos="9072"/>
        </w:tabs>
        <w:ind w:right="-45"/>
        <w:jc w:val="both"/>
        <w:rPr>
          <w:szCs w:val="44"/>
        </w:rPr>
      </w:pPr>
    </w:p>
    <w:p w14:paraId="27B3AFA6" w14:textId="77777777" w:rsidR="006716F8" w:rsidRDefault="006716F8" w:rsidP="001C011D">
      <w:pPr>
        <w:pStyle w:val="PublicationTitle"/>
        <w:tabs>
          <w:tab w:val="right" w:pos="9072"/>
        </w:tabs>
        <w:ind w:right="-45"/>
        <w:jc w:val="both"/>
        <w:rPr>
          <w:szCs w:val="44"/>
        </w:rPr>
      </w:pPr>
    </w:p>
    <w:p w14:paraId="74DE6ACD" w14:textId="77777777" w:rsidR="006716F8" w:rsidRDefault="006716F8" w:rsidP="001C011D">
      <w:pPr>
        <w:pStyle w:val="PublicationTitle"/>
        <w:tabs>
          <w:tab w:val="right" w:pos="9072"/>
        </w:tabs>
        <w:ind w:right="-45"/>
        <w:jc w:val="both"/>
        <w:rPr>
          <w:szCs w:val="44"/>
        </w:rPr>
      </w:pPr>
    </w:p>
    <w:p w14:paraId="0F5B2DFC" w14:textId="33664128" w:rsidR="00640EBD" w:rsidRPr="00183E4D" w:rsidRDefault="00C90479" w:rsidP="001C011D">
      <w:pPr>
        <w:pStyle w:val="PublicationTitle"/>
        <w:tabs>
          <w:tab w:val="right" w:pos="9072"/>
        </w:tabs>
        <w:ind w:right="-45"/>
        <w:jc w:val="both"/>
        <w:rPr>
          <w:szCs w:val="44"/>
        </w:rPr>
      </w:pPr>
      <w:r>
        <w:rPr>
          <w:szCs w:val="44"/>
        </w:rPr>
        <w:t>Magnetic Resonance Imag</w:t>
      </w:r>
      <w:r w:rsidR="006A2A9E">
        <w:rPr>
          <w:szCs w:val="44"/>
        </w:rPr>
        <w:t>e Guided</w:t>
      </w:r>
      <w:r>
        <w:rPr>
          <w:szCs w:val="44"/>
        </w:rPr>
        <w:t xml:space="preserve"> Radiation Therapy</w:t>
      </w:r>
    </w:p>
    <w:p w14:paraId="37FFD0C6" w14:textId="77777777" w:rsidR="00640EBD" w:rsidRPr="00640EBD" w:rsidRDefault="00640EBD" w:rsidP="00DF343F">
      <w:pPr>
        <w:jc w:val="both"/>
        <w:rPr>
          <w:sz w:val="144"/>
          <w:szCs w:val="144"/>
        </w:rPr>
      </w:pPr>
    </w:p>
    <w:p w14:paraId="4B7D727E" w14:textId="6C89FBFB" w:rsidR="00640EBD" w:rsidRPr="00183E4D" w:rsidRDefault="001C011D" w:rsidP="001C011D">
      <w:pPr>
        <w:pStyle w:val="Date"/>
        <w:tabs>
          <w:tab w:val="right" w:pos="9027"/>
        </w:tabs>
        <w:ind w:right="-45"/>
        <w:jc w:val="both"/>
      </w:pPr>
      <w:r>
        <w:tab/>
      </w:r>
      <w:r w:rsidR="00C90479">
        <w:t>December</w:t>
      </w:r>
      <w:r w:rsidR="00640EBD" w:rsidRPr="00183E4D">
        <w:t xml:space="preserve"> </w:t>
      </w:r>
      <w:r w:rsidR="00C90479">
        <w:t>2020</w:t>
      </w:r>
      <w:r w:rsidR="00640EBD" w:rsidRPr="00183E4D">
        <w:t xml:space="preserve"> </w:t>
      </w:r>
    </w:p>
    <w:p w14:paraId="269E1DD2" w14:textId="77777777" w:rsidR="00640EBD" w:rsidRPr="001C011D" w:rsidRDefault="00640EBD" w:rsidP="00DF343F">
      <w:pPr>
        <w:pStyle w:val="Sub-title"/>
        <w:jc w:val="both"/>
        <w:rPr>
          <w:rFonts w:asciiTheme="minorHAnsi" w:hAnsiTheme="minorHAnsi"/>
          <w:sz w:val="144"/>
          <w:szCs w:val="144"/>
        </w:rPr>
      </w:pPr>
    </w:p>
    <w:p w14:paraId="1AEAD729" w14:textId="7CB0FC09" w:rsidR="00640EBD" w:rsidRPr="00183E4D" w:rsidRDefault="001C011D" w:rsidP="001C011D">
      <w:pPr>
        <w:pStyle w:val="Sub-title"/>
        <w:tabs>
          <w:tab w:val="right" w:pos="9027"/>
        </w:tabs>
        <w:ind w:right="-45"/>
        <w:jc w:val="both"/>
      </w:pPr>
      <w:r>
        <w:tab/>
      </w:r>
      <w:r w:rsidR="00640EBD" w:rsidRPr="00183E4D">
        <w:t xml:space="preserve">MSAC application no. </w:t>
      </w:r>
      <w:r w:rsidR="00C90479">
        <w:t>1620</w:t>
      </w:r>
    </w:p>
    <w:p w14:paraId="3E4CF984" w14:textId="77777777" w:rsidR="00640EBD" w:rsidRDefault="00640EBD" w:rsidP="00DF343F">
      <w:pPr>
        <w:pStyle w:val="Sub-title"/>
        <w:jc w:val="both"/>
      </w:pPr>
    </w:p>
    <w:p w14:paraId="2A0D0A95" w14:textId="77777777" w:rsidR="00640EBD" w:rsidRPr="001C011D" w:rsidRDefault="001C011D" w:rsidP="001C011D">
      <w:pPr>
        <w:pStyle w:val="Sub-title"/>
        <w:tabs>
          <w:tab w:val="right" w:pos="9027"/>
        </w:tabs>
        <w:ind w:right="-45"/>
        <w:jc w:val="both"/>
        <w:rPr>
          <w:szCs w:val="32"/>
        </w:rPr>
      </w:pPr>
      <w:r>
        <w:tab/>
      </w:r>
      <w:r w:rsidR="00640EBD" w:rsidRPr="00183E4D">
        <w:t>Assessment report</w:t>
      </w:r>
    </w:p>
    <w:p w14:paraId="515BB07F" w14:textId="77777777" w:rsidR="003A7C8F" w:rsidRPr="00183E4D" w:rsidRDefault="003A7C8F" w:rsidP="00DF343F">
      <w:pPr>
        <w:spacing w:after="0"/>
        <w:jc w:val="both"/>
      </w:pPr>
      <w:r w:rsidRPr="00183E4D">
        <w:br w:type="page"/>
      </w:r>
    </w:p>
    <w:p w14:paraId="022AAE04" w14:textId="6DBC7A45" w:rsidR="00EB4DCD" w:rsidRPr="00FC79BA" w:rsidRDefault="00EB4DCD" w:rsidP="00EB4DCD">
      <w:pPr>
        <w:autoSpaceDE w:val="0"/>
        <w:autoSpaceDN w:val="0"/>
        <w:adjustRightInd w:val="0"/>
        <w:spacing w:after="0"/>
        <w:rPr>
          <w:b/>
          <w:bCs/>
          <w:color w:val="000000"/>
          <w:sz w:val="20"/>
          <w:szCs w:val="20"/>
          <w:lang w:eastAsia="zh-TW"/>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81796424"/>
      <w:r w:rsidRPr="00FC79BA">
        <w:rPr>
          <w:b/>
          <w:bCs/>
          <w:color w:val="000000"/>
          <w:sz w:val="20"/>
          <w:szCs w:val="20"/>
          <w:lang w:eastAsia="zh-TW"/>
        </w:rPr>
        <w:lastRenderedPageBreak/>
        <w:t>© Commonwealth of Australia 20</w:t>
      </w:r>
      <w:r w:rsidR="006A2A9E">
        <w:rPr>
          <w:b/>
          <w:bCs/>
          <w:color w:val="000000"/>
          <w:sz w:val="20"/>
          <w:szCs w:val="20"/>
          <w:lang w:eastAsia="zh-TW"/>
        </w:rPr>
        <w:t>20</w:t>
      </w:r>
    </w:p>
    <w:p w14:paraId="720B18AA" w14:textId="77777777" w:rsidR="00EB4DCD" w:rsidRPr="00FC79BA" w:rsidRDefault="00EB4DCD" w:rsidP="00EB4DCD">
      <w:pPr>
        <w:autoSpaceDE w:val="0"/>
        <w:autoSpaceDN w:val="0"/>
        <w:adjustRightInd w:val="0"/>
        <w:spacing w:after="0"/>
        <w:rPr>
          <w:b/>
          <w:bCs/>
          <w:color w:val="000000"/>
          <w:sz w:val="20"/>
          <w:szCs w:val="20"/>
          <w:lang w:eastAsia="zh-TW"/>
        </w:rPr>
      </w:pPr>
      <w:r w:rsidRPr="00FC79BA">
        <w:rPr>
          <w:b/>
          <w:bCs/>
          <w:color w:val="000000"/>
          <w:sz w:val="20"/>
          <w:szCs w:val="20"/>
          <w:lang w:eastAsia="zh-TW"/>
        </w:rPr>
        <w:t>ISSN (Online) 1443-7139</w:t>
      </w:r>
    </w:p>
    <w:p w14:paraId="4E174426" w14:textId="670BFACE" w:rsidR="00EB4DCD" w:rsidRPr="00FC79BA" w:rsidRDefault="00EB4DCD" w:rsidP="00EB4DCD">
      <w:pPr>
        <w:autoSpaceDE w:val="0"/>
        <w:autoSpaceDN w:val="0"/>
        <w:adjustRightInd w:val="0"/>
        <w:spacing w:after="0"/>
        <w:rPr>
          <w:b/>
          <w:bCs/>
          <w:color w:val="000000"/>
          <w:sz w:val="20"/>
          <w:szCs w:val="20"/>
          <w:lang w:eastAsia="zh-TW"/>
        </w:rPr>
      </w:pPr>
      <w:r w:rsidRPr="00FC79BA">
        <w:rPr>
          <w:b/>
          <w:bCs/>
          <w:color w:val="000000"/>
          <w:sz w:val="20"/>
          <w:szCs w:val="20"/>
          <w:lang w:eastAsia="zh-TW"/>
        </w:rPr>
        <w:t xml:space="preserve">Internet site </w:t>
      </w:r>
      <w:hyperlink r:id="rId8" w:tooltip="Link to the Medical Services Advisory Committee website." w:history="1">
        <w:r w:rsidRPr="00FC79BA">
          <w:rPr>
            <w:color w:val="0000FF"/>
            <w:sz w:val="20"/>
            <w:szCs w:val="20"/>
            <w:u w:val="single"/>
            <w:lang w:eastAsia="zh-TW"/>
          </w:rPr>
          <w:t>http://www.msac.gov.au/</w:t>
        </w:r>
      </w:hyperlink>
    </w:p>
    <w:p w14:paraId="6E1E6A87" w14:textId="51A19E75" w:rsidR="00EB4DCD" w:rsidRPr="00FC79BA" w:rsidRDefault="00EB4DCD" w:rsidP="00EB4DCD">
      <w:pPr>
        <w:autoSpaceDE w:val="0"/>
        <w:autoSpaceDN w:val="0"/>
        <w:adjustRightInd w:val="0"/>
        <w:spacing w:after="0"/>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9" w:tooltip="Link to the Australian Government's Attorney General's website." w:history="1">
        <w:r w:rsidRPr="00FC79BA">
          <w:rPr>
            <w:color w:val="0000FF"/>
            <w:sz w:val="20"/>
            <w:szCs w:val="20"/>
            <w:u w:val="single"/>
            <w:lang w:eastAsia="zh-TW"/>
          </w:rPr>
          <w:t>http://www.ag.gov.au/</w:t>
        </w:r>
      </w:hyperlink>
      <w:r w:rsidRPr="00FC79BA">
        <w:rPr>
          <w:color w:val="0000FF"/>
          <w:sz w:val="20"/>
          <w:szCs w:val="20"/>
          <w:lang w:eastAsia="zh-TW"/>
        </w:rPr>
        <w:t>.</w:t>
      </w:r>
    </w:p>
    <w:p w14:paraId="1FE9BDFF" w14:textId="77777777" w:rsidR="00EB4DCD" w:rsidRPr="00FC79BA" w:rsidRDefault="00EB4DCD" w:rsidP="00EB4DCD">
      <w:pPr>
        <w:autoSpaceDE w:val="0"/>
        <w:autoSpaceDN w:val="0"/>
        <w:adjustRightInd w:val="0"/>
        <w:spacing w:after="0"/>
        <w:rPr>
          <w:color w:val="000000"/>
          <w:sz w:val="20"/>
          <w:szCs w:val="20"/>
        </w:rPr>
      </w:pPr>
    </w:p>
    <w:p w14:paraId="30D5A91E" w14:textId="4048BE61" w:rsidR="00EB4DCD" w:rsidRPr="00FC79BA" w:rsidRDefault="00EB4DCD" w:rsidP="00EB4DCD">
      <w:pPr>
        <w:autoSpaceDE w:val="0"/>
        <w:autoSpaceDN w:val="0"/>
        <w:adjustRightInd w:val="0"/>
        <w:spacing w:after="0"/>
        <w:rPr>
          <w:color w:val="1B1B1B"/>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0" w:tooltip="Link to the Medical Services Advisory Committee website." w:history="1">
        <w:r w:rsidRPr="00FC79BA">
          <w:rPr>
            <w:color w:val="0000FF"/>
            <w:sz w:val="20"/>
            <w:szCs w:val="20"/>
            <w:u w:val="single"/>
            <w:lang w:eastAsia="zh-TW"/>
          </w:rPr>
          <w:t>http://www.msac.gov.au/</w:t>
        </w:r>
      </w:hyperlink>
    </w:p>
    <w:p w14:paraId="2E40E207" w14:textId="41BC5AD7" w:rsidR="00EB4DCD" w:rsidRPr="00FC79BA" w:rsidRDefault="00EB4DCD" w:rsidP="00EB4DCD">
      <w:pPr>
        <w:autoSpaceDE w:val="0"/>
        <w:autoSpaceDN w:val="0"/>
        <w:adjustRightInd w:val="0"/>
        <w:spacing w:after="0"/>
        <w:rPr>
          <w:color w:val="000000"/>
          <w:sz w:val="20"/>
          <w:szCs w:val="20"/>
        </w:rPr>
      </w:pPr>
      <w:r w:rsidRPr="00FC79BA">
        <w:rPr>
          <w:color w:val="000000"/>
          <w:sz w:val="20"/>
          <w:szCs w:val="20"/>
        </w:rPr>
        <w:t xml:space="preserve">Enquiries about the content of the report should be emailed to </w:t>
      </w:r>
      <w:hyperlink r:id="rId11" w:history="1">
        <w:r w:rsidRPr="00FC79BA">
          <w:rPr>
            <w:color w:val="0000FF"/>
            <w:sz w:val="20"/>
            <w:szCs w:val="20"/>
            <w:u w:val="single"/>
          </w:rPr>
          <w:t>hta@health.gov.au</w:t>
        </w:r>
      </w:hyperlink>
      <w:r w:rsidRPr="00FC79BA">
        <w:rPr>
          <w:color w:val="000000"/>
          <w:sz w:val="20"/>
          <w:szCs w:val="20"/>
        </w:rPr>
        <w:t>.</w:t>
      </w:r>
    </w:p>
    <w:p w14:paraId="505A77D9" w14:textId="77777777" w:rsidR="00EB4DCD" w:rsidRPr="00FC79BA" w:rsidRDefault="00EB4DCD" w:rsidP="00EB4DCD">
      <w:pPr>
        <w:autoSpaceDE w:val="0"/>
        <w:autoSpaceDN w:val="0"/>
        <w:adjustRightInd w:val="0"/>
        <w:spacing w:after="0"/>
        <w:rPr>
          <w:color w:val="1B1B1B"/>
          <w:sz w:val="20"/>
          <w:szCs w:val="20"/>
          <w:lang w:eastAsia="zh-TW"/>
        </w:rPr>
      </w:pPr>
    </w:p>
    <w:p w14:paraId="39B4A5F6" w14:textId="77777777" w:rsidR="00EB4DCD" w:rsidRPr="00FC79BA" w:rsidRDefault="00EB4DCD" w:rsidP="00EB4DCD">
      <w:pPr>
        <w:autoSpaceDE w:val="0"/>
        <w:autoSpaceDN w:val="0"/>
        <w:adjustRightInd w:val="0"/>
        <w:spacing w:after="0"/>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624F97F2" w14:textId="77777777" w:rsidR="00EB4DCD" w:rsidRPr="00FC79BA" w:rsidRDefault="00EB4DCD" w:rsidP="00EB4DCD">
      <w:pPr>
        <w:autoSpaceDE w:val="0"/>
        <w:autoSpaceDN w:val="0"/>
        <w:adjustRightInd w:val="0"/>
        <w:spacing w:after="0"/>
        <w:rPr>
          <w:color w:val="000000"/>
          <w:sz w:val="20"/>
          <w:szCs w:val="20"/>
          <w:lang w:eastAsia="zh-TW"/>
        </w:rPr>
      </w:pPr>
    </w:p>
    <w:p w14:paraId="6469FD36" w14:textId="77777777" w:rsidR="00EB4DCD" w:rsidRPr="00FC79BA" w:rsidRDefault="00EB4DCD" w:rsidP="00EB4DCD">
      <w:pPr>
        <w:autoSpaceDE w:val="0"/>
        <w:autoSpaceDN w:val="0"/>
        <w:adjustRightInd w:val="0"/>
        <w:spacing w:after="0"/>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14:paraId="6AD365E5" w14:textId="77777777" w:rsidR="00EB4DCD" w:rsidRPr="00FC79BA" w:rsidRDefault="00EB4DCD" w:rsidP="00EB4DCD">
      <w:pPr>
        <w:autoSpaceDE w:val="0"/>
        <w:autoSpaceDN w:val="0"/>
        <w:adjustRightInd w:val="0"/>
        <w:spacing w:after="0"/>
        <w:rPr>
          <w:color w:val="000000"/>
          <w:sz w:val="20"/>
          <w:szCs w:val="20"/>
          <w:lang w:eastAsia="zh-TW"/>
        </w:rPr>
      </w:pPr>
    </w:p>
    <w:p w14:paraId="4AF8E360" w14:textId="518C2CE1" w:rsidR="00EB4DCD" w:rsidRPr="00FC79BA" w:rsidRDefault="00EB4DCD" w:rsidP="00EB4DCD">
      <w:pPr>
        <w:autoSpaceDE w:val="0"/>
        <w:autoSpaceDN w:val="0"/>
        <w:adjustRightInd w:val="0"/>
        <w:spacing w:after="0"/>
        <w:rPr>
          <w:sz w:val="20"/>
          <w:szCs w:val="20"/>
        </w:rPr>
      </w:pPr>
      <w:r w:rsidRPr="00FC79BA">
        <w:rPr>
          <w:sz w:val="20"/>
          <w:szCs w:val="20"/>
        </w:rPr>
        <w:t xml:space="preserve">This report was prepared by </w:t>
      </w:r>
      <w:r w:rsidR="00A67D85">
        <w:rPr>
          <w:sz w:val="20"/>
          <w:szCs w:val="20"/>
        </w:rPr>
        <w:t xml:space="preserve">the </w:t>
      </w:r>
      <w:r w:rsidR="006A2A9E">
        <w:rPr>
          <w:sz w:val="20"/>
          <w:szCs w:val="20"/>
        </w:rPr>
        <w:t xml:space="preserve">NHMRC </w:t>
      </w:r>
      <w:r w:rsidRPr="00FC79BA">
        <w:rPr>
          <w:sz w:val="20"/>
          <w:szCs w:val="20"/>
        </w:rPr>
        <w:t xml:space="preserve">Clinical </w:t>
      </w:r>
      <w:r w:rsidR="00A67D85">
        <w:rPr>
          <w:sz w:val="20"/>
          <w:szCs w:val="20"/>
        </w:rPr>
        <w:t>Trials Centre, the University</w:t>
      </w:r>
      <w:r w:rsidRPr="00FC79BA">
        <w:rPr>
          <w:sz w:val="20"/>
          <w:szCs w:val="20"/>
        </w:rPr>
        <w:t xml:space="preserve"> of </w:t>
      </w:r>
      <w:r w:rsidR="00A67D85">
        <w:rPr>
          <w:sz w:val="20"/>
          <w:szCs w:val="20"/>
        </w:rPr>
        <w:t>Sydney.</w:t>
      </w:r>
      <w:r w:rsidRPr="00FC79BA">
        <w:rPr>
          <w:sz w:val="20"/>
          <w:szCs w:val="20"/>
        </w:rPr>
        <w:t xml:space="preserve"> The report was commissioned by the Australian Government Department of Health.</w:t>
      </w:r>
    </w:p>
    <w:p w14:paraId="769AA04F" w14:textId="77777777" w:rsidR="00EB4DCD" w:rsidRPr="00FC79BA" w:rsidRDefault="00EB4DCD" w:rsidP="00EB4DCD">
      <w:pPr>
        <w:autoSpaceDE w:val="0"/>
        <w:autoSpaceDN w:val="0"/>
        <w:adjustRightInd w:val="0"/>
        <w:spacing w:after="0"/>
        <w:rPr>
          <w:rFonts w:cs="Humanist521BT-Roman"/>
          <w:color w:val="231F20"/>
          <w:sz w:val="20"/>
          <w:szCs w:val="20"/>
        </w:rPr>
      </w:pPr>
      <w:r w:rsidRPr="00FC79BA">
        <w:rPr>
          <w:rFonts w:cs="Humanist521BT-Roman"/>
          <w:color w:val="231F20"/>
          <w:sz w:val="20"/>
          <w:szCs w:val="20"/>
        </w:rPr>
        <w:t>The suggested citation for this document is:</w:t>
      </w:r>
    </w:p>
    <w:p w14:paraId="47E5EBAB" w14:textId="356E7499" w:rsidR="00EB4DCD" w:rsidRPr="00FC79BA" w:rsidRDefault="002953B7" w:rsidP="00EB4DCD">
      <w:pPr>
        <w:autoSpaceDE w:val="0"/>
        <w:autoSpaceDN w:val="0"/>
        <w:adjustRightInd w:val="0"/>
        <w:spacing w:after="0"/>
        <w:rPr>
          <w:sz w:val="20"/>
          <w:szCs w:val="20"/>
        </w:rPr>
      </w:pPr>
      <w:r>
        <w:rPr>
          <w:rFonts w:cs="Humanist521BT-Roman"/>
          <w:color w:val="231F20"/>
          <w:sz w:val="20"/>
          <w:szCs w:val="20"/>
        </w:rPr>
        <w:t xml:space="preserve">Berber S, Blaya Novakova V, Agresta B, </w:t>
      </w:r>
      <w:r w:rsidR="00345CD4">
        <w:rPr>
          <w:rFonts w:cs="Humanist521BT-Roman"/>
          <w:color w:val="231F20"/>
          <w:sz w:val="20"/>
          <w:szCs w:val="20"/>
        </w:rPr>
        <w:t>Shah, K, Fox, N, Raichand, S</w:t>
      </w:r>
      <w:r w:rsidRPr="00FC79BA">
        <w:rPr>
          <w:sz w:val="20"/>
          <w:szCs w:val="20"/>
        </w:rPr>
        <w:t xml:space="preserve"> </w:t>
      </w:r>
      <w:r w:rsidR="00EB4DCD" w:rsidRPr="00FC79BA">
        <w:rPr>
          <w:sz w:val="20"/>
          <w:szCs w:val="20"/>
        </w:rPr>
        <w:t>(20</w:t>
      </w:r>
      <w:r w:rsidR="00A47BC0">
        <w:rPr>
          <w:sz w:val="20"/>
          <w:szCs w:val="20"/>
        </w:rPr>
        <w:t>20</w:t>
      </w:r>
      <w:r w:rsidR="00EB4DCD" w:rsidRPr="00FC79BA">
        <w:rPr>
          <w:sz w:val="20"/>
          <w:szCs w:val="20"/>
        </w:rPr>
        <w:t xml:space="preserve">). </w:t>
      </w:r>
      <w:r w:rsidR="00A47BC0" w:rsidRPr="00A47BC0">
        <w:rPr>
          <w:i/>
          <w:sz w:val="20"/>
          <w:szCs w:val="20"/>
        </w:rPr>
        <w:t>Magnetic Resonance Image Guided Radiation Therapy</w:t>
      </w:r>
      <w:r w:rsidR="00EB4DCD" w:rsidRPr="00A47BC0">
        <w:rPr>
          <w:sz w:val="20"/>
          <w:szCs w:val="20"/>
        </w:rPr>
        <w:t xml:space="preserve">. MSAC Application </w:t>
      </w:r>
      <w:r w:rsidR="00A47BC0">
        <w:rPr>
          <w:sz w:val="20"/>
          <w:szCs w:val="20"/>
        </w:rPr>
        <w:t>1620</w:t>
      </w:r>
      <w:r w:rsidR="00EB4DCD" w:rsidRPr="00FC79BA">
        <w:rPr>
          <w:sz w:val="20"/>
          <w:szCs w:val="20"/>
        </w:rPr>
        <w:t>, Assessment Report. Commonwealth of Australia, Canberra, ACT.</w:t>
      </w:r>
    </w:p>
    <w:p w14:paraId="5A8EDC7B" w14:textId="77777777" w:rsidR="00EB4DCD" w:rsidRPr="00FC79BA" w:rsidRDefault="00EB4DCD" w:rsidP="00EB4DCD">
      <w:pPr>
        <w:autoSpaceDE w:val="0"/>
        <w:autoSpaceDN w:val="0"/>
        <w:adjustRightInd w:val="0"/>
        <w:spacing w:after="0"/>
        <w:rPr>
          <w:rFonts w:cs="Humanist521BT-Roman"/>
          <w:color w:val="231F20"/>
          <w:sz w:val="20"/>
          <w:szCs w:val="20"/>
        </w:rPr>
      </w:pPr>
    </w:p>
    <w:p w14:paraId="2A3C61F0" w14:textId="0D20BB58" w:rsidR="004C6CA6" w:rsidRPr="00183E4D" w:rsidRDefault="004C6CA6" w:rsidP="00DF343F">
      <w:pPr>
        <w:jc w:val="both"/>
        <w:sectPr w:rsidR="004C6CA6" w:rsidRPr="00183E4D" w:rsidSect="0080059D">
          <w:headerReference w:type="default" r:id="rId12"/>
          <w:headerReference w:type="first" r:id="rId13"/>
          <w:type w:val="oddPage"/>
          <w:pgSz w:w="11907" w:h="16840" w:code="9"/>
          <w:pgMar w:top="1440" w:right="1440" w:bottom="1440" w:left="1440" w:header="578" w:footer="578" w:gutter="0"/>
          <w:pgNumType w:fmt="lowerRoman" w:start="1"/>
          <w:cols w:space="720"/>
          <w:noEndnote/>
          <w:titlePg/>
        </w:sectPr>
      </w:pPr>
    </w:p>
    <w:p w14:paraId="6985F3E0" w14:textId="47FAB6FA" w:rsidR="008F59A8" w:rsidRPr="00183E4D" w:rsidRDefault="008F59A8" w:rsidP="00DF343F">
      <w:pPr>
        <w:pStyle w:val="Heading1"/>
        <w:jc w:val="both"/>
      </w:pPr>
      <w:bookmarkStart w:id="13" w:name="_Toc395200735"/>
      <w:bookmarkStart w:id="14" w:name="_Toc399247190"/>
      <w:bookmarkStart w:id="15" w:name="_Toc402884709"/>
      <w:bookmarkStart w:id="16" w:name="_Ref421189612"/>
      <w:bookmarkStart w:id="17" w:name="_Toc59018733"/>
      <w:bookmarkStart w:id="18" w:name="_Toc59020277"/>
      <w:bookmarkStart w:id="19" w:name="_Toc59439499"/>
      <w:bookmarkStart w:id="20" w:name="_Toc89857771"/>
      <w:r w:rsidRPr="00183E4D">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EE7B01">
        <w:tab/>
      </w:r>
      <w:r w:rsidR="00C71381" w:rsidRPr="00183E4D">
        <w:tab/>
      </w:r>
    </w:p>
    <w:sdt>
      <w:sdtPr>
        <w:rPr>
          <w:noProof w:val="0"/>
        </w:rPr>
        <w:id w:val="-1664701443"/>
        <w:docPartObj>
          <w:docPartGallery w:val="Table of Contents"/>
          <w:docPartUnique/>
        </w:docPartObj>
      </w:sdtPr>
      <w:sdtEndPr>
        <w:rPr>
          <w:noProof/>
        </w:rPr>
      </w:sdtEndPr>
      <w:sdtContent>
        <w:p w14:paraId="749ACED0" w14:textId="39B02D68" w:rsidR="00451350" w:rsidRDefault="00715761">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89857771" w:history="1">
            <w:r w:rsidR="00451350" w:rsidRPr="003912B6">
              <w:rPr>
                <w:rStyle w:val="Hyperlink"/>
              </w:rPr>
              <w:t>Contents</w:t>
            </w:r>
            <w:r w:rsidR="00451350">
              <w:rPr>
                <w:webHidden/>
              </w:rPr>
              <w:tab/>
            </w:r>
            <w:r w:rsidR="00451350">
              <w:rPr>
                <w:webHidden/>
              </w:rPr>
              <w:fldChar w:fldCharType="begin"/>
            </w:r>
            <w:r w:rsidR="00451350">
              <w:rPr>
                <w:webHidden/>
              </w:rPr>
              <w:instrText xml:space="preserve"> PAGEREF _Toc89857771 \h </w:instrText>
            </w:r>
            <w:r w:rsidR="00451350">
              <w:rPr>
                <w:webHidden/>
              </w:rPr>
            </w:r>
            <w:r w:rsidR="00451350">
              <w:rPr>
                <w:webHidden/>
              </w:rPr>
              <w:fldChar w:fldCharType="separate"/>
            </w:r>
            <w:r w:rsidR="00451350">
              <w:rPr>
                <w:webHidden/>
              </w:rPr>
              <w:t>iii</w:t>
            </w:r>
            <w:r w:rsidR="00451350">
              <w:rPr>
                <w:webHidden/>
              </w:rPr>
              <w:fldChar w:fldCharType="end"/>
            </w:r>
          </w:hyperlink>
        </w:p>
        <w:p w14:paraId="71FD031C" w14:textId="587D6EFB" w:rsidR="00451350" w:rsidRDefault="00451350">
          <w:pPr>
            <w:pStyle w:val="TOC2"/>
            <w:rPr>
              <w:rFonts w:asciiTheme="minorHAnsi" w:eastAsiaTheme="minorEastAsia" w:hAnsiTheme="minorHAnsi" w:cstheme="minorBidi"/>
            </w:rPr>
          </w:pPr>
          <w:hyperlink w:anchor="_Toc89857772" w:history="1">
            <w:r w:rsidRPr="003912B6">
              <w:rPr>
                <w:rStyle w:val="Hyperlink"/>
              </w:rPr>
              <w:t>Tables</w:t>
            </w:r>
            <w:r>
              <w:rPr>
                <w:webHidden/>
              </w:rPr>
              <w:tab/>
            </w:r>
            <w:r>
              <w:rPr>
                <w:webHidden/>
              </w:rPr>
              <w:fldChar w:fldCharType="begin"/>
            </w:r>
            <w:r>
              <w:rPr>
                <w:webHidden/>
              </w:rPr>
              <w:instrText xml:space="preserve"> PAGEREF _Toc89857772 \h </w:instrText>
            </w:r>
            <w:r>
              <w:rPr>
                <w:webHidden/>
              </w:rPr>
            </w:r>
            <w:r>
              <w:rPr>
                <w:webHidden/>
              </w:rPr>
              <w:fldChar w:fldCharType="separate"/>
            </w:r>
            <w:r>
              <w:rPr>
                <w:webHidden/>
              </w:rPr>
              <w:t>vi</w:t>
            </w:r>
            <w:r>
              <w:rPr>
                <w:webHidden/>
              </w:rPr>
              <w:fldChar w:fldCharType="end"/>
            </w:r>
          </w:hyperlink>
        </w:p>
        <w:p w14:paraId="126D4BA0" w14:textId="62C4E436" w:rsidR="00451350" w:rsidRDefault="00451350">
          <w:pPr>
            <w:pStyle w:val="TOC2"/>
            <w:rPr>
              <w:rFonts w:asciiTheme="minorHAnsi" w:eastAsiaTheme="minorEastAsia" w:hAnsiTheme="minorHAnsi" w:cstheme="minorBidi"/>
            </w:rPr>
          </w:pPr>
          <w:hyperlink w:anchor="_Toc89857773" w:history="1">
            <w:r w:rsidRPr="003912B6">
              <w:rPr>
                <w:rStyle w:val="Hyperlink"/>
              </w:rPr>
              <w:t>Boxes</w:t>
            </w:r>
            <w:r>
              <w:rPr>
                <w:webHidden/>
              </w:rPr>
              <w:tab/>
            </w:r>
            <w:r>
              <w:rPr>
                <w:webHidden/>
              </w:rPr>
              <w:fldChar w:fldCharType="begin"/>
            </w:r>
            <w:r>
              <w:rPr>
                <w:webHidden/>
              </w:rPr>
              <w:instrText xml:space="preserve"> PAGEREF _Toc89857773 \h </w:instrText>
            </w:r>
            <w:r>
              <w:rPr>
                <w:webHidden/>
              </w:rPr>
            </w:r>
            <w:r>
              <w:rPr>
                <w:webHidden/>
              </w:rPr>
              <w:fldChar w:fldCharType="separate"/>
            </w:r>
            <w:r>
              <w:rPr>
                <w:webHidden/>
              </w:rPr>
              <w:t>x</w:t>
            </w:r>
            <w:r>
              <w:rPr>
                <w:webHidden/>
              </w:rPr>
              <w:fldChar w:fldCharType="end"/>
            </w:r>
          </w:hyperlink>
        </w:p>
        <w:p w14:paraId="05FAF5BF" w14:textId="778D9C15" w:rsidR="00451350" w:rsidRDefault="00451350">
          <w:pPr>
            <w:pStyle w:val="TOC2"/>
            <w:rPr>
              <w:rFonts w:asciiTheme="minorHAnsi" w:eastAsiaTheme="minorEastAsia" w:hAnsiTheme="minorHAnsi" w:cstheme="minorBidi"/>
            </w:rPr>
          </w:pPr>
          <w:hyperlink w:anchor="_Toc89857774" w:history="1">
            <w:r w:rsidRPr="003912B6">
              <w:rPr>
                <w:rStyle w:val="Hyperlink"/>
              </w:rPr>
              <w:t>Figures</w:t>
            </w:r>
            <w:r>
              <w:rPr>
                <w:webHidden/>
              </w:rPr>
              <w:tab/>
            </w:r>
            <w:r>
              <w:rPr>
                <w:webHidden/>
              </w:rPr>
              <w:fldChar w:fldCharType="begin"/>
            </w:r>
            <w:r>
              <w:rPr>
                <w:webHidden/>
              </w:rPr>
              <w:instrText xml:space="preserve"> PAGEREF _Toc89857774 \h </w:instrText>
            </w:r>
            <w:r>
              <w:rPr>
                <w:webHidden/>
              </w:rPr>
            </w:r>
            <w:r>
              <w:rPr>
                <w:webHidden/>
              </w:rPr>
              <w:fldChar w:fldCharType="separate"/>
            </w:r>
            <w:r>
              <w:rPr>
                <w:webHidden/>
              </w:rPr>
              <w:t>x</w:t>
            </w:r>
            <w:r>
              <w:rPr>
                <w:webHidden/>
              </w:rPr>
              <w:fldChar w:fldCharType="end"/>
            </w:r>
          </w:hyperlink>
        </w:p>
        <w:p w14:paraId="07B251D8" w14:textId="56626DA5" w:rsidR="00451350" w:rsidRDefault="00451350">
          <w:pPr>
            <w:pStyle w:val="TOC1"/>
            <w:rPr>
              <w:rFonts w:asciiTheme="minorHAnsi" w:eastAsiaTheme="minorEastAsia" w:hAnsiTheme="minorHAnsi" w:cstheme="minorBidi"/>
              <w:b w:val="0"/>
            </w:rPr>
          </w:pPr>
          <w:hyperlink w:anchor="_Toc89857775" w:history="1">
            <w:r w:rsidRPr="003912B6">
              <w:rPr>
                <w:rStyle w:val="Hyperlink"/>
              </w:rPr>
              <w:t>Executive Summary</w:t>
            </w:r>
            <w:r>
              <w:rPr>
                <w:webHidden/>
              </w:rPr>
              <w:tab/>
            </w:r>
            <w:r>
              <w:rPr>
                <w:webHidden/>
              </w:rPr>
              <w:fldChar w:fldCharType="begin"/>
            </w:r>
            <w:r>
              <w:rPr>
                <w:webHidden/>
              </w:rPr>
              <w:instrText xml:space="preserve"> PAGEREF _Toc89857775 \h </w:instrText>
            </w:r>
            <w:r>
              <w:rPr>
                <w:webHidden/>
              </w:rPr>
            </w:r>
            <w:r>
              <w:rPr>
                <w:webHidden/>
              </w:rPr>
              <w:fldChar w:fldCharType="separate"/>
            </w:r>
            <w:r>
              <w:rPr>
                <w:webHidden/>
              </w:rPr>
              <w:t>xi</w:t>
            </w:r>
            <w:r>
              <w:rPr>
                <w:webHidden/>
              </w:rPr>
              <w:fldChar w:fldCharType="end"/>
            </w:r>
          </w:hyperlink>
        </w:p>
        <w:p w14:paraId="5EFA7A72" w14:textId="78E8E10F" w:rsidR="00451350" w:rsidRDefault="00451350">
          <w:pPr>
            <w:pStyle w:val="TOC2"/>
            <w:rPr>
              <w:rFonts w:asciiTheme="minorHAnsi" w:eastAsiaTheme="minorEastAsia" w:hAnsiTheme="minorHAnsi" w:cstheme="minorBidi"/>
            </w:rPr>
          </w:pPr>
          <w:hyperlink w:anchor="_Toc89857776" w:history="1">
            <w:r w:rsidRPr="003912B6">
              <w:rPr>
                <w:rStyle w:val="Hyperlink"/>
              </w:rPr>
              <w:t>Magnetic Resonance Image Guided Radiation Therapy</w:t>
            </w:r>
            <w:r>
              <w:rPr>
                <w:webHidden/>
              </w:rPr>
              <w:tab/>
            </w:r>
            <w:r>
              <w:rPr>
                <w:webHidden/>
              </w:rPr>
              <w:fldChar w:fldCharType="begin"/>
            </w:r>
            <w:r>
              <w:rPr>
                <w:webHidden/>
              </w:rPr>
              <w:instrText xml:space="preserve"> PAGEREF _Toc89857776 \h </w:instrText>
            </w:r>
            <w:r>
              <w:rPr>
                <w:webHidden/>
              </w:rPr>
            </w:r>
            <w:r>
              <w:rPr>
                <w:webHidden/>
              </w:rPr>
              <w:fldChar w:fldCharType="separate"/>
            </w:r>
            <w:r>
              <w:rPr>
                <w:webHidden/>
              </w:rPr>
              <w:t>xii</w:t>
            </w:r>
            <w:r>
              <w:rPr>
                <w:webHidden/>
              </w:rPr>
              <w:fldChar w:fldCharType="end"/>
            </w:r>
          </w:hyperlink>
        </w:p>
        <w:p w14:paraId="4A386358" w14:textId="1FE2D2AE" w:rsidR="00451350" w:rsidRDefault="00451350">
          <w:pPr>
            <w:pStyle w:val="TOC3"/>
            <w:rPr>
              <w:rFonts w:asciiTheme="minorHAnsi" w:eastAsiaTheme="minorEastAsia" w:hAnsiTheme="minorHAnsi" w:cstheme="minorBidi"/>
            </w:rPr>
          </w:pPr>
          <w:hyperlink w:anchor="_Toc89857777" w:history="1">
            <w:r w:rsidRPr="003912B6">
              <w:rPr>
                <w:rStyle w:val="Hyperlink"/>
              </w:rPr>
              <w:t>Alignment with agreed PICO Confirmation</w:t>
            </w:r>
            <w:r>
              <w:rPr>
                <w:webHidden/>
              </w:rPr>
              <w:tab/>
            </w:r>
            <w:r>
              <w:rPr>
                <w:webHidden/>
              </w:rPr>
              <w:fldChar w:fldCharType="begin"/>
            </w:r>
            <w:r>
              <w:rPr>
                <w:webHidden/>
              </w:rPr>
              <w:instrText xml:space="preserve"> PAGEREF _Toc89857777 \h </w:instrText>
            </w:r>
            <w:r>
              <w:rPr>
                <w:webHidden/>
              </w:rPr>
            </w:r>
            <w:r>
              <w:rPr>
                <w:webHidden/>
              </w:rPr>
              <w:fldChar w:fldCharType="separate"/>
            </w:r>
            <w:r>
              <w:rPr>
                <w:webHidden/>
              </w:rPr>
              <w:t>xii</w:t>
            </w:r>
            <w:r>
              <w:rPr>
                <w:webHidden/>
              </w:rPr>
              <w:fldChar w:fldCharType="end"/>
            </w:r>
          </w:hyperlink>
        </w:p>
        <w:p w14:paraId="70481170" w14:textId="73636D1F" w:rsidR="00451350" w:rsidRDefault="00451350">
          <w:pPr>
            <w:pStyle w:val="TOC3"/>
            <w:rPr>
              <w:rFonts w:asciiTheme="minorHAnsi" w:eastAsiaTheme="minorEastAsia" w:hAnsiTheme="minorHAnsi" w:cstheme="minorBidi"/>
            </w:rPr>
          </w:pPr>
          <w:hyperlink w:anchor="_Toc89857778" w:history="1">
            <w:r w:rsidRPr="003912B6">
              <w:rPr>
                <w:rStyle w:val="Hyperlink"/>
              </w:rPr>
              <w:t>Proposed Medical Service</w:t>
            </w:r>
            <w:r>
              <w:rPr>
                <w:webHidden/>
              </w:rPr>
              <w:tab/>
            </w:r>
            <w:r>
              <w:rPr>
                <w:webHidden/>
              </w:rPr>
              <w:fldChar w:fldCharType="begin"/>
            </w:r>
            <w:r>
              <w:rPr>
                <w:webHidden/>
              </w:rPr>
              <w:instrText xml:space="preserve"> PAGEREF _Toc89857778 \h </w:instrText>
            </w:r>
            <w:r>
              <w:rPr>
                <w:webHidden/>
              </w:rPr>
            </w:r>
            <w:r>
              <w:rPr>
                <w:webHidden/>
              </w:rPr>
              <w:fldChar w:fldCharType="separate"/>
            </w:r>
            <w:r>
              <w:rPr>
                <w:webHidden/>
              </w:rPr>
              <w:t>xii</w:t>
            </w:r>
            <w:r>
              <w:rPr>
                <w:webHidden/>
              </w:rPr>
              <w:fldChar w:fldCharType="end"/>
            </w:r>
          </w:hyperlink>
        </w:p>
        <w:p w14:paraId="17D1FA2A" w14:textId="0CAB9391" w:rsidR="00451350" w:rsidRDefault="00451350">
          <w:pPr>
            <w:pStyle w:val="TOC3"/>
            <w:rPr>
              <w:rFonts w:asciiTheme="minorHAnsi" w:eastAsiaTheme="minorEastAsia" w:hAnsiTheme="minorHAnsi" w:cstheme="minorBidi"/>
            </w:rPr>
          </w:pPr>
          <w:hyperlink w:anchor="_Toc89857779" w:history="1">
            <w:r w:rsidRPr="003912B6">
              <w:rPr>
                <w:rStyle w:val="Hyperlink"/>
              </w:rPr>
              <w:t>Proposal for Public Funding</w:t>
            </w:r>
            <w:r>
              <w:rPr>
                <w:webHidden/>
              </w:rPr>
              <w:tab/>
            </w:r>
            <w:r>
              <w:rPr>
                <w:webHidden/>
              </w:rPr>
              <w:fldChar w:fldCharType="begin"/>
            </w:r>
            <w:r>
              <w:rPr>
                <w:webHidden/>
              </w:rPr>
              <w:instrText xml:space="preserve"> PAGEREF _Toc89857779 \h </w:instrText>
            </w:r>
            <w:r>
              <w:rPr>
                <w:webHidden/>
              </w:rPr>
            </w:r>
            <w:r>
              <w:rPr>
                <w:webHidden/>
              </w:rPr>
              <w:fldChar w:fldCharType="separate"/>
            </w:r>
            <w:r>
              <w:rPr>
                <w:webHidden/>
              </w:rPr>
              <w:t>xiii</w:t>
            </w:r>
            <w:r>
              <w:rPr>
                <w:webHidden/>
              </w:rPr>
              <w:fldChar w:fldCharType="end"/>
            </w:r>
          </w:hyperlink>
        </w:p>
        <w:p w14:paraId="6D76D620" w14:textId="441F5EC4" w:rsidR="00451350" w:rsidRDefault="00451350">
          <w:pPr>
            <w:pStyle w:val="TOC3"/>
            <w:rPr>
              <w:rFonts w:asciiTheme="minorHAnsi" w:eastAsiaTheme="minorEastAsia" w:hAnsiTheme="minorHAnsi" w:cstheme="minorBidi"/>
            </w:rPr>
          </w:pPr>
          <w:hyperlink w:anchor="_Toc89857780" w:history="1">
            <w:r w:rsidRPr="003912B6">
              <w:rPr>
                <w:rStyle w:val="Hyperlink"/>
              </w:rPr>
              <w:t>Population</w:t>
            </w:r>
            <w:r>
              <w:rPr>
                <w:webHidden/>
              </w:rPr>
              <w:tab/>
            </w:r>
            <w:r>
              <w:rPr>
                <w:webHidden/>
              </w:rPr>
              <w:fldChar w:fldCharType="begin"/>
            </w:r>
            <w:r>
              <w:rPr>
                <w:webHidden/>
              </w:rPr>
              <w:instrText xml:space="preserve"> PAGEREF _Toc89857780 \h </w:instrText>
            </w:r>
            <w:r>
              <w:rPr>
                <w:webHidden/>
              </w:rPr>
            </w:r>
            <w:r>
              <w:rPr>
                <w:webHidden/>
              </w:rPr>
              <w:fldChar w:fldCharType="separate"/>
            </w:r>
            <w:r>
              <w:rPr>
                <w:webHidden/>
              </w:rPr>
              <w:t>xiii</w:t>
            </w:r>
            <w:r>
              <w:rPr>
                <w:webHidden/>
              </w:rPr>
              <w:fldChar w:fldCharType="end"/>
            </w:r>
          </w:hyperlink>
        </w:p>
        <w:p w14:paraId="030184A9" w14:textId="73A201D1" w:rsidR="00451350" w:rsidRDefault="00451350">
          <w:pPr>
            <w:pStyle w:val="TOC3"/>
            <w:rPr>
              <w:rFonts w:asciiTheme="minorHAnsi" w:eastAsiaTheme="minorEastAsia" w:hAnsiTheme="minorHAnsi" w:cstheme="minorBidi"/>
            </w:rPr>
          </w:pPr>
          <w:hyperlink w:anchor="_Toc89857781" w:history="1">
            <w:r w:rsidRPr="003912B6">
              <w:rPr>
                <w:rStyle w:val="Hyperlink"/>
              </w:rPr>
              <w:t>Comparator Details</w:t>
            </w:r>
            <w:r>
              <w:rPr>
                <w:webHidden/>
              </w:rPr>
              <w:tab/>
            </w:r>
            <w:r>
              <w:rPr>
                <w:webHidden/>
              </w:rPr>
              <w:fldChar w:fldCharType="begin"/>
            </w:r>
            <w:r>
              <w:rPr>
                <w:webHidden/>
              </w:rPr>
              <w:instrText xml:space="preserve"> PAGEREF _Toc89857781 \h </w:instrText>
            </w:r>
            <w:r>
              <w:rPr>
                <w:webHidden/>
              </w:rPr>
            </w:r>
            <w:r>
              <w:rPr>
                <w:webHidden/>
              </w:rPr>
              <w:fldChar w:fldCharType="separate"/>
            </w:r>
            <w:r>
              <w:rPr>
                <w:webHidden/>
              </w:rPr>
              <w:t>xiii</w:t>
            </w:r>
            <w:r>
              <w:rPr>
                <w:webHidden/>
              </w:rPr>
              <w:fldChar w:fldCharType="end"/>
            </w:r>
          </w:hyperlink>
        </w:p>
        <w:p w14:paraId="6C4B04C2" w14:textId="049713F3" w:rsidR="00451350" w:rsidRDefault="00451350">
          <w:pPr>
            <w:pStyle w:val="TOC3"/>
            <w:rPr>
              <w:rFonts w:asciiTheme="minorHAnsi" w:eastAsiaTheme="minorEastAsia" w:hAnsiTheme="minorHAnsi" w:cstheme="minorBidi"/>
            </w:rPr>
          </w:pPr>
          <w:hyperlink w:anchor="_Toc89857782" w:history="1">
            <w:r w:rsidRPr="003912B6">
              <w:rPr>
                <w:rStyle w:val="Hyperlink"/>
              </w:rPr>
              <w:t>Clinical management algorithm(s)</w:t>
            </w:r>
            <w:r>
              <w:rPr>
                <w:webHidden/>
              </w:rPr>
              <w:tab/>
            </w:r>
            <w:r>
              <w:rPr>
                <w:webHidden/>
              </w:rPr>
              <w:fldChar w:fldCharType="begin"/>
            </w:r>
            <w:r>
              <w:rPr>
                <w:webHidden/>
              </w:rPr>
              <w:instrText xml:space="preserve"> PAGEREF _Toc89857782 \h </w:instrText>
            </w:r>
            <w:r>
              <w:rPr>
                <w:webHidden/>
              </w:rPr>
            </w:r>
            <w:r>
              <w:rPr>
                <w:webHidden/>
              </w:rPr>
              <w:fldChar w:fldCharType="separate"/>
            </w:r>
            <w:r>
              <w:rPr>
                <w:webHidden/>
              </w:rPr>
              <w:t>xiii</w:t>
            </w:r>
            <w:r>
              <w:rPr>
                <w:webHidden/>
              </w:rPr>
              <w:fldChar w:fldCharType="end"/>
            </w:r>
          </w:hyperlink>
        </w:p>
        <w:p w14:paraId="15027D9E" w14:textId="18D87C56" w:rsidR="00451350" w:rsidRDefault="00451350">
          <w:pPr>
            <w:pStyle w:val="TOC3"/>
            <w:rPr>
              <w:rFonts w:asciiTheme="minorHAnsi" w:eastAsiaTheme="minorEastAsia" w:hAnsiTheme="minorHAnsi" w:cstheme="minorBidi"/>
            </w:rPr>
          </w:pPr>
          <w:hyperlink w:anchor="_Toc89857783" w:history="1">
            <w:r w:rsidRPr="003912B6">
              <w:rPr>
                <w:rStyle w:val="Hyperlink"/>
              </w:rPr>
              <w:t>Key Differences in the Delivery of the Proposed Medical Service and the Main Comparator</w:t>
            </w:r>
            <w:r>
              <w:rPr>
                <w:webHidden/>
              </w:rPr>
              <w:tab/>
            </w:r>
            <w:r>
              <w:rPr>
                <w:webHidden/>
              </w:rPr>
              <w:fldChar w:fldCharType="begin"/>
            </w:r>
            <w:r>
              <w:rPr>
                <w:webHidden/>
              </w:rPr>
              <w:instrText xml:space="preserve"> PAGEREF _Toc89857783 \h </w:instrText>
            </w:r>
            <w:r>
              <w:rPr>
                <w:webHidden/>
              </w:rPr>
            </w:r>
            <w:r>
              <w:rPr>
                <w:webHidden/>
              </w:rPr>
              <w:fldChar w:fldCharType="separate"/>
            </w:r>
            <w:r>
              <w:rPr>
                <w:webHidden/>
              </w:rPr>
              <w:t>xiv</w:t>
            </w:r>
            <w:r>
              <w:rPr>
                <w:webHidden/>
              </w:rPr>
              <w:fldChar w:fldCharType="end"/>
            </w:r>
          </w:hyperlink>
        </w:p>
        <w:p w14:paraId="1B99D99D" w14:textId="159083ED" w:rsidR="00451350" w:rsidRDefault="00451350">
          <w:pPr>
            <w:pStyle w:val="TOC3"/>
            <w:rPr>
              <w:rFonts w:asciiTheme="minorHAnsi" w:eastAsiaTheme="minorEastAsia" w:hAnsiTheme="minorHAnsi" w:cstheme="minorBidi"/>
            </w:rPr>
          </w:pPr>
          <w:hyperlink w:anchor="_Toc89857784" w:history="1">
            <w:r w:rsidRPr="003912B6">
              <w:rPr>
                <w:rStyle w:val="Hyperlink"/>
              </w:rPr>
              <w:t>Clinical Claim</w:t>
            </w:r>
            <w:r>
              <w:rPr>
                <w:webHidden/>
              </w:rPr>
              <w:tab/>
            </w:r>
            <w:r>
              <w:rPr>
                <w:webHidden/>
              </w:rPr>
              <w:fldChar w:fldCharType="begin"/>
            </w:r>
            <w:r>
              <w:rPr>
                <w:webHidden/>
              </w:rPr>
              <w:instrText xml:space="preserve"> PAGEREF _Toc89857784 \h </w:instrText>
            </w:r>
            <w:r>
              <w:rPr>
                <w:webHidden/>
              </w:rPr>
            </w:r>
            <w:r>
              <w:rPr>
                <w:webHidden/>
              </w:rPr>
              <w:fldChar w:fldCharType="separate"/>
            </w:r>
            <w:r>
              <w:rPr>
                <w:webHidden/>
              </w:rPr>
              <w:t>xiv</w:t>
            </w:r>
            <w:r>
              <w:rPr>
                <w:webHidden/>
              </w:rPr>
              <w:fldChar w:fldCharType="end"/>
            </w:r>
          </w:hyperlink>
        </w:p>
        <w:p w14:paraId="783E0CE3" w14:textId="15E8FEB5" w:rsidR="00451350" w:rsidRDefault="00451350">
          <w:pPr>
            <w:pStyle w:val="TOC3"/>
            <w:rPr>
              <w:rFonts w:asciiTheme="minorHAnsi" w:eastAsiaTheme="minorEastAsia" w:hAnsiTheme="minorHAnsi" w:cstheme="minorBidi"/>
            </w:rPr>
          </w:pPr>
          <w:hyperlink w:anchor="_Toc89857785" w:history="1">
            <w:r w:rsidRPr="003912B6">
              <w:rPr>
                <w:rStyle w:val="Hyperlink"/>
              </w:rPr>
              <w:t>Approach Taken to the Evidence Assessment</w:t>
            </w:r>
            <w:r>
              <w:rPr>
                <w:webHidden/>
              </w:rPr>
              <w:tab/>
            </w:r>
            <w:r>
              <w:rPr>
                <w:webHidden/>
              </w:rPr>
              <w:fldChar w:fldCharType="begin"/>
            </w:r>
            <w:r>
              <w:rPr>
                <w:webHidden/>
              </w:rPr>
              <w:instrText xml:space="preserve"> PAGEREF _Toc89857785 \h </w:instrText>
            </w:r>
            <w:r>
              <w:rPr>
                <w:webHidden/>
              </w:rPr>
            </w:r>
            <w:r>
              <w:rPr>
                <w:webHidden/>
              </w:rPr>
              <w:fldChar w:fldCharType="separate"/>
            </w:r>
            <w:r>
              <w:rPr>
                <w:webHidden/>
              </w:rPr>
              <w:t>xiv</w:t>
            </w:r>
            <w:r>
              <w:rPr>
                <w:webHidden/>
              </w:rPr>
              <w:fldChar w:fldCharType="end"/>
            </w:r>
          </w:hyperlink>
        </w:p>
        <w:p w14:paraId="7F814AC9" w14:textId="6C43A5DA" w:rsidR="00451350" w:rsidRDefault="00451350">
          <w:pPr>
            <w:pStyle w:val="TOC3"/>
            <w:rPr>
              <w:rFonts w:asciiTheme="minorHAnsi" w:eastAsiaTheme="minorEastAsia" w:hAnsiTheme="minorHAnsi" w:cstheme="minorBidi"/>
            </w:rPr>
          </w:pPr>
          <w:hyperlink w:anchor="_Toc89857786" w:history="1">
            <w:r w:rsidRPr="003912B6">
              <w:rPr>
                <w:rStyle w:val="Hyperlink"/>
              </w:rPr>
              <w:t>Characteristics of the Evidence Base</w:t>
            </w:r>
            <w:r>
              <w:rPr>
                <w:webHidden/>
              </w:rPr>
              <w:tab/>
            </w:r>
            <w:r>
              <w:rPr>
                <w:webHidden/>
              </w:rPr>
              <w:fldChar w:fldCharType="begin"/>
            </w:r>
            <w:r>
              <w:rPr>
                <w:webHidden/>
              </w:rPr>
              <w:instrText xml:space="preserve"> PAGEREF _Toc89857786 \h </w:instrText>
            </w:r>
            <w:r>
              <w:rPr>
                <w:webHidden/>
              </w:rPr>
            </w:r>
            <w:r>
              <w:rPr>
                <w:webHidden/>
              </w:rPr>
              <w:fldChar w:fldCharType="separate"/>
            </w:r>
            <w:r>
              <w:rPr>
                <w:webHidden/>
              </w:rPr>
              <w:t>xiv</w:t>
            </w:r>
            <w:r>
              <w:rPr>
                <w:webHidden/>
              </w:rPr>
              <w:fldChar w:fldCharType="end"/>
            </w:r>
          </w:hyperlink>
        </w:p>
        <w:p w14:paraId="1E1EF7A2" w14:textId="72FF87E6" w:rsidR="00451350" w:rsidRDefault="00451350">
          <w:pPr>
            <w:pStyle w:val="TOC3"/>
            <w:rPr>
              <w:rFonts w:asciiTheme="minorHAnsi" w:eastAsiaTheme="minorEastAsia" w:hAnsiTheme="minorHAnsi" w:cstheme="minorBidi"/>
            </w:rPr>
          </w:pPr>
          <w:hyperlink w:anchor="_Toc89857787" w:history="1">
            <w:r w:rsidRPr="003912B6">
              <w:rPr>
                <w:rStyle w:val="Hyperlink"/>
              </w:rPr>
              <w:t>Results</w:t>
            </w:r>
            <w:r>
              <w:rPr>
                <w:webHidden/>
              </w:rPr>
              <w:tab/>
            </w:r>
            <w:r>
              <w:rPr>
                <w:webHidden/>
              </w:rPr>
              <w:fldChar w:fldCharType="begin"/>
            </w:r>
            <w:r>
              <w:rPr>
                <w:webHidden/>
              </w:rPr>
              <w:instrText xml:space="preserve"> PAGEREF _Toc89857787 \h </w:instrText>
            </w:r>
            <w:r>
              <w:rPr>
                <w:webHidden/>
              </w:rPr>
            </w:r>
            <w:r>
              <w:rPr>
                <w:webHidden/>
              </w:rPr>
              <w:fldChar w:fldCharType="separate"/>
            </w:r>
            <w:r>
              <w:rPr>
                <w:webHidden/>
              </w:rPr>
              <w:t>xv</w:t>
            </w:r>
            <w:r>
              <w:rPr>
                <w:webHidden/>
              </w:rPr>
              <w:fldChar w:fldCharType="end"/>
            </w:r>
          </w:hyperlink>
        </w:p>
        <w:p w14:paraId="250ECA02" w14:textId="44BA3E5F" w:rsidR="00451350" w:rsidRDefault="00451350">
          <w:pPr>
            <w:pStyle w:val="TOC3"/>
            <w:rPr>
              <w:rFonts w:asciiTheme="minorHAnsi" w:eastAsiaTheme="minorEastAsia" w:hAnsiTheme="minorHAnsi" w:cstheme="minorBidi"/>
            </w:rPr>
          </w:pPr>
          <w:hyperlink w:anchor="_Toc89857788" w:history="1">
            <w:r w:rsidRPr="003912B6">
              <w:rPr>
                <w:rStyle w:val="Hyperlink"/>
              </w:rPr>
              <w:t>Translation Issues</w:t>
            </w:r>
            <w:r>
              <w:rPr>
                <w:webHidden/>
              </w:rPr>
              <w:tab/>
            </w:r>
            <w:r>
              <w:rPr>
                <w:webHidden/>
              </w:rPr>
              <w:fldChar w:fldCharType="begin"/>
            </w:r>
            <w:r>
              <w:rPr>
                <w:webHidden/>
              </w:rPr>
              <w:instrText xml:space="preserve"> PAGEREF _Toc89857788 \h </w:instrText>
            </w:r>
            <w:r>
              <w:rPr>
                <w:webHidden/>
              </w:rPr>
            </w:r>
            <w:r>
              <w:rPr>
                <w:webHidden/>
              </w:rPr>
              <w:fldChar w:fldCharType="separate"/>
            </w:r>
            <w:r>
              <w:rPr>
                <w:webHidden/>
              </w:rPr>
              <w:t>xix</w:t>
            </w:r>
            <w:r>
              <w:rPr>
                <w:webHidden/>
              </w:rPr>
              <w:fldChar w:fldCharType="end"/>
            </w:r>
          </w:hyperlink>
        </w:p>
        <w:p w14:paraId="4368857E" w14:textId="525921B4" w:rsidR="00451350" w:rsidRDefault="00451350">
          <w:pPr>
            <w:pStyle w:val="TOC3"/>
            <w:rPr>
              <w:rFonts w:asciiTheme="minorHAnsi" w:eastAsiaTheme="minorEastAsia" w:hAnsiTheme="minorHAnsi" w:cstheme="minorBidi"/>
            </w:rPr>
          </w:pPr>
          <w:hyperlink w:anchor="_Toc89857789" w:history="1">
            <w:r w:rsidRPr="003912B6">
              <w:rPr>
                <w:rStyle w:val="Hyperlink"/>
              </w:rPr>
              <w:t>Economic Evaluation</w:t>
            </w:r>
            <w:r>
              <w:rPr>
                <w:webHidden/>
              </w:rPr>
              <w:tab/>
            </w:r>
            <w:r>
              <w:rPr>
                <w:webHidden/>
              </w:rPr>
              <w:fldChar w:fldCharType="begin"/>
            </w:r>
            <w:r>
              <w:rPr>
                <w:webHidden/>
              </w:rPr>
              <w:instrText xml:space="preserve"> PAGEREF _Toc89857789 \h </w:instrText>
            </w:r>
            <w:r>
              <w:rPr>
                <w:webHidden/>
              </w:rPr>
            </w:r>
            <w:r>
              <w:rPr>
                <w:webHidden/>
              </w:rPr>
              <w:fldChar w:fldCharType="separate"/>
            </w:r>
            <w:r>
              <w:rPr>
                <w:webHidden/>
              </w:rPr>
              <w:t>xx</w:t>
            </w:r>
            <w:r>
              <w:rPr>
                <w:webHidden/>
              </w:rPr>
              <w:fldChar w:fldCharType="end"/>
            </w:r>
          </w:hyperlink>
        </w:p>
        <w:p w14:paraId="1BD619A7" w14:textId="38AAD2C9" w:rsidR="00451350" w:rsidRDefault="00451350">
          <w:pPr>
            <w:pStyle w:val="TOC3"/>
            <w:rPr>
              <w:rFonts w:asciiTheme="minorHAnsi" w:eastAsiaTheme="minorEastAsia" w:hAnsiTheme="minorHAnsi" w:cstheme="minorBidi"/>
            </w:rPr>
          </w:pPr>
          <w:hyperlink w:anchor="_Toc89857790" w:history="1">
            <w:r w:rsidRPr="003912B6">
              <w:rPr>
                <w:rStyle w:val="Hyperlink"/>
              </w:rPr>
              <w:t>Estimated Extent of Use and Financial Implications</w:t>
            </w:r>
            <w:r>
              <w:rPr>
                <w:webHidden/>
              </w:rPr>
              <w:tab/>
            </w:r>
            <w:r>
              <w:rPr>
                <w:webHidden/>
              </w:rPr>
              <w:fldChar w:fldCharType="begin"/>
            </w:r>
            <w:r>
              <w:rPr>
                <w:webHidden/>
              </w:rPr>
              <w:instrText xml:space="preserve"> PAGEREF _Toc89857790 \h </w:instrText>
            </w:r>
            <w:r>
              <w:rPr>
                <w:webHidden/>
              </w:rPr>
            </w:r>
            <w:r>
              <w:rPr>
                <w:webHidden/>
              </w:rPr>
              <w:fldChar w:fldCharType="separate"/>
            </w:r>
            <w:r>
              <w:rPr>
                <w:webHidden/>
              </w:rPr>
              <w:t>xxiii</w:t>
            </w:r>
            <w:r>
              <w:rPr>
                <w:webHidden/>
              </w:rPr>
              <w:fldChar w:fldCharType="end"/>
            </w:r>
          </w:hyperlink>
        </w:p>
        <w:p w14:paraId="7FA2DE33" w14:textId="61D594ED" w:rsidR="00451350" w:rsidRDefault="00451350">
          <w:pPr>
            <w:pStyle w:val="TOC3"/>
            <w:rPr>
              <w:rFonts w:asciiTheme="minorHAnsi" w:eastAsiaTheme="minorEastAsia" w:hAnsiTheme="minorHAnsi" w:cstheme="minorBidi"/>
            </w:rPr>
          </w:pPr>
          <w:hyperlink w:anchor="_Toc89857791" w:history="1">
            <w:r w:rsidRPr="003912B6">
              <w:rPr>
                <w:rStyle w:val="Hyperlink"/>
              </w:rPr>
              <w:t>Consumer impact summary</w:t>
            </w:r>
            <w:r>
              <w:rPr>
                <w:webHidden/>
              </w:rPr>
              <w:tab/>
            </w:r>
            <w:r>
              <w:rPr>
                <w:webHidden/>
              </w:rPr>
              <w:fldChar w:fldCharType="begin"/>
            </w:r>
            <w:r>
              <w:rPr>
                <w:webHidden/>
              </w:rPr>
              <w:instrText xml:space="preserve"> PAGEREF _Toc89857791 \h </w:instrText>
            </w:r>
            <w:r>
              <w:rPr>
                <w:webHidden/>
              </w:rPr>
            </w:r>
            <w:r>
              <w:rPr>
                <w:webHidden/>
              </w:rPr>
              <w:fldChar w:fldCharType="separate"/>
            </w:r>
            <w:r>
              <w:rPr>
                <w:webHidden/>
              </w:rPr>
              <w:t>xxv</w:t>
            </w:r>
            <w:r>
              <w:rPr>
                <w:webHidden/>
              </w:rPr>
              <w:fldChar w:fldCharType="end"/>
            </w:r>
          </w:hyperlink>
        </w:p>
        <w:p w14:paraId="2633561F" w14:textId="0E8AA098" w:rsidR="00451350" w:rsidRDefault="00451350">
          <w:pPr>
            <w:pStyle w:val="TOC1"/>
            <w:rPr>
              <w:rFonts w:asciiTheme="minorHAnsi" w:eastAsiaTheme="minorEastAsia" w:hAnsiTheme="minorHAnsi" w:cstheme="minorBidi"/>
              <w:b w:val="0"/>
            </w:rPr>
          </w:pPr>
          <w:hyperlink w:anchor="_Toc89857792" w:history="1">
            <w:r w:rsidRPr="003912B6">
              <w:rPr>
                <w:rStyle w:val="Hyperlink"/>
              </w:rPr>
              <w:t>Acronyms and Abbreviations</w:t>
            </w:r>
            <w:r>
              <w:rPr>
                <w:webHidden/>
              </w:rPr>
              <w:tab/>
            </w:r>
            <w:r>
              <w:rPr>
                <w:webHidden/>
              </w:rPr>
              <w:fldChar w:fldCharType="begin"/>
            </w:r>
            <w:r>
              <w:rPr>
                <w:webHidden/>
              </w:rPr>
              <w:instrText xml:space="preserve"> PAGEREF _Toc89857792 \h </w:instrText>
            </w:r>
            <w:r>
              <w:rPr>
                <w:webHidden/>
              </w:rPr>
            </w:r>
            <w:r>
              <w:rPr>
                <w:webHidden/>
              </w:rPr>
              <w:fldChar w:fldCharType="separate"/>
            </w:r>
            <w:r>
              <w:rPr>
                <w:webHidden/>
              </w:rPr>
              <w:t>xxvi</w:t>
            </w:r>
            <w:r>
              <w:rPr>
                <w:webHidden/>
              </w:rPr>
              <w:fldChar w:fldCharType="end"/>
            </w:r>
          </w:hyperlink>
        </w:p>
        <w:p w14:paraId="1A7BA607" w14:textId="26552792" w:rsidR="00451350" w:rsidRDefault="00451350">
          <w:pPr>
            <w:pStyle w:val="TOC1"/>
            <w:tabs>
              <w:tab w:val="left" w:pos="1100"/>
            </w:tabs>
            <w:rPr>
              <w:rFonts w:asciiTheme="minorHAnsi" w:eastAsiaTheme="minorEastAsia" w:hAnsiTheme="minorHAnsi" w:cstheme="minorBidi"/>
              <w:b w:val="0"/>
            </w:rPr>
          </w:pPr>
          <w:hyperlink w:anchor="_Toc89857793" w:history="1">
            <w:r w:rsidRPr="003912B6">
              <w:rPr>
                <w:rStyle w:val="Hyperlink"/>
              </w:rPr>
              <w:t>Section A</w:t>
            </w:r>
            <w:r>
              <w:rPr>
                <w:rFonts w:asciiTheme="minorHAnsi" w:eastAsiaTheme="minorEastAsia" w:hAnsiTheme="minorHAnsi" w:cstheme="minorBidi"/>
                <w:b w:val="0"/>
              </w:rPr>
              <w:tab/>
            </w:r>
            <w:r w:rsidRPr="003912B6">
              <w:rPr>
                <w:rStyle w:val="Hyperlink"/>
              </w:rPr>
              <w:t>Context</w:t>
            </w:r>
            <w:r>
              <w:rPr>
                <w:webHidden/>
              </w:rPr>
              <w:tab/>
            </w:r>
            <w:r>
              <w:rPr>
                <w:webHidden/>
              </w:rPr>
              <w:fldChar w:fldCharType="begin"/>
            </w:r>
            <w:r>
              <w:rPr>
                <w:webHidden/>
              </w:rPr>
              <w:instrText xml:space="preserve"> PAGEREF _Toc89857793 \h </w:instrText>
            </w:r>
            <w:r>
              <w:rPr>
                <w:webHidden/>
              </w:rPr>
            </w:r>
            <w:r>
              <w:rPr>
                <w:webHidden/>
              </w:rPr>
              <w:fldChar w:fldCharType="separate"/>
            </w:r>
            <w:r>
              <w:rPr>
                <w:webHidden/>
              </w:rPr>
              <w:t>1</w:t>
            </w:r>
            <w:r>
              <w:rPr>
                <w:webHidden/>
              </w:rPr>
              <w:fldChar w:fldCharType="end"/>
            </w:r>
          </w:hyperlink>
        </w:p>
        <w:p w14:paraId="149D07F4" w14:textId="783E9DE4" w:rsidR="00451350" w:rsidRDefault="00451350">
          <w:pPr>
            <w:pStyle w:val="TOC2"/>
            <w:rPr>
              <w:rFonts w:asciiTheme="minorHAnsi" w:eastAsiaTheme="minorEastAsia" w:hAnsiTheme="minorHAnsi" w:cstheme="minorBidi"/>
            </w:rPr>
          </w:pPr>
          <w:hyperlink w:anchor="_Toc89857794" w:history="1">
            <w:r w:rsidRPr="003912B6">
              <w:rPr>
                <w:rStyle w:val="Hyperlink"/>
              </w:rPr>
              <w:t>A.1.</w:t>
            </w:r>
            <w:r>
              <w:rPr>
                <w:rFonts w:asciiTheme="minorHAnsi" w:eastAsiaTheme="minorEastAsia" w:hAnsiTheme="minorHAnsi" w:cstheme="minorBidi"/>
              </w:rPr>
              <w:tab/>
            </w:r>
            <w:r w:rsidRPr="003912B6">
              <w:rPr>
                <w:rStyle w:val="Hyperlink"/>
              </w:rPr>
              <w:t>Items in the agreed PICO Confirmation</w:t>
            </w:r>
            <w:r>
              <w:rPr>
                <w:webHidden/>
              </w:rPr>
              <w:tab/>
            </w:r>
            <w:r>
              <w:rPr>
                <w:webHidden/>
              </w:rPr>
              <w:fldChar w:fldCharType="begin"/>
            </w:r>
            <w:r>
              <w:rPr>
                <w:webHidden/>
              </w:rPr>
              <w:instrText xml:space="preserve"> PAGEREF _Toc89857794 \h </w:instrText>
            </w:r>
            <w:r>
              <w:rPr>
                <w:webHidden/>
              </w:rPr>
            </w:r>
            <w:r>
              <w:rPr>
                <w:webHidden/>
              </w:rPr>
              <w:fldChar w:fldCharType="separate"/>
            </w:r>
            <w:r>
              <w:rPr>
                <w:webHidden/>
              </w:rPr>
              <w:t>1</w:t>
            </w:r>
            <w:r>
              <w:rPr>
                <w:webHidden/>
              </w:rPr>
              <w:fldChar w:fldCharType="end"/>
            </w:r>
          </w:hyperlink>
        </w:p>
        <w:p w14:paraId="6746D1F6" w14:textId="0C6C8F51" w:rsidR="00451350" w:rsidRDefault="00451350">
          <w:pPr>
            <w:pStyle w:val="TOC2"/>
            <w:rPr>
              <w:rFonts w:asciiTheme="minorHAnsi" w:eastAsiaTheme="minorEastAsia" w:hAnsiTheme="minorHAnsi" w:cstheme="minorBidi"/>
            </w:rPr>
          </w:pPr>
          <w:hyperlink w:anchor="_Toc89857795" w:history="1">
            <w:r w:rsidRPr="003912B6">
              <w:rPr>
                <w:rStyle w:val="Hyperlink"/>
              </w:rPr>
              <w:t>A.2.</w:t>
            </w:r>
            <w:r>
              <w:rPr>
                <w:rFonts w:asciiTheme="minorHAnsi" w:eastAsiaTheme="minorEastAsia" w:hAnsiTheme="minorHAnsi" w:cstheme="minorBidi"/>
              </w:rPr>
              <w:tab/>
            </w:r>
            <w:r w:rsidRPr="003912B6">
              <w:rPr>
                <w:rStyle w:val="Hyperlink"/>
              </w:rPr>
              <w:t>Proposed Medical Service</w:t>
            </w:r>
            <w:r>
              <w:rPr>
                <w:webHidden/>
              </w:rPr>
              <w:tab/>
            </w:r>
            <w:r>
              <w:rPr>
                <w:webHidden/>
              </w:rPr>
              <w:fldChar w:fldCharType="begin"/>
            </w:r>
            <w:r>
              <w:rPr>
                <w:webHidden/>
              </w:rPr>
              <w:instrText xml:space="preserve"> PAGEREF _Toc89857795 \h </w:instrText>
            </w:r>
            <w:r>
              <w:rPr>
                <w:webHidden/>
              </w:rPr>
            </w:r>
            <w:r>
              <w:rPr>
                <w:webHidden/>
              </w:rPr>
              <w:fldChar w:fldCharType="separate"/>
            </w:r>
            <w:r>
              <w:rPr>
                <w:webHidden/>
              </w:rPr>
              <w:t>2</w:t>
            </w:r>
            <w:r>
              <w:rPr>
                <w:webHidden/>
              </w:rPr>
              <w:fldChar w:fldCharType="end"/>
            </w:r>
          </w:hyperlink>
        </w:p>
        <w:p w14:paraId="22F1BEA8" w14:textId="6EB387F1" w:rsidR="00451350" w:rsidRDefault="00451350">
          <w:pPr>
            <w:pStyle w:val="TOC3"/>
            <w:rPr>
              <w:rFonts w:asciiTheme="minorHAnsi" w:eastAsiaTheme="minorEastAsia" w:hAnsiTheme="minorHAnsi" w:cstheme="minorBidi"/>
            </w:rPr>
          </w:pPr>
          <w:hyperlink w:anchor="_Toc89857796" w:history="1">
            <w:r w:rsidRPr="003912B6">
              <w:rPr>
                <w:rStyle w:val="Hyperlink"/>
              </w:rPr>
              <w:t>Marketing status of device / technology</w:t>
            </w:r>
            <w:r>
              <w:rPr>
                <w:webHidden/>
              </w:rPr>
              <w:tab/>
            </w:r>
            <w:r>
              <w:rPr>
                <w:webHidden/>
              </w:rPr>
              <w:fldChar w:fldCharType="begin"/>
            </w:r>
            <w:r>
              <w:rPr>
                <w:webHidden/>
              </w:rPr>
              <w:instrText xml:space="preserve"> PAGEREF _Toc89857796 \h </w:instrText>
            </w:r>
            <w:r>
              <w:rPr>
                <w:webHidden/>
              </w:rPr>
            </w:r>
            <w:r>
              <w:rPr>
                <w:webHidden/>
              </w:rPr>
              <w:fldChar w:fldCharType="separate"/>
            </w:r>
            <w:r>
              <w:rPr>
                <w:webHidden/>
              </w:rPr>
              <w:t>3</w:t>
            </w:r>
            <w:r>
              <w:rPr>
                <w:webHidden/>
              </w:rPr>
              <w:fldChar w:fldCharType="end"/>
            </w:r>
          </w:hyperlink>
        </w:p>
        <w:p w14:paraId="2F2C0946" w14:textId="627DE733" w:rsidR="00451350" w:rsidRDefault="00451350">
          <w:pPr>
            <w:pStyle w:val="TOC3"/>
            <w:rPr>
              <w:rFonts w:asciiTheme="minorHAnsi" w:eastAsiaTheme="minorEastAsia" w:hAnsiTheme="minorHAnsi" w:cstheme="minorBidi"/>
            </w:rPr>
          </w:pPr>
          <w:hyperlink w:anchor="_Toc89857797" w:history="1">
            <w:r w:rsidRPr="003912B6">
              <w:rPr>
                <w:rStyle w:val="Hyperlink"/>
              </w:rPr>
              <w:t>Other Indications</w:t>
            </w:r>
            <w:r>
              <w:rPr>
                <w:webHidden/>
              </w:rPr>
              <w:tab/>
            </w:r>
            <w:r>
              <w:rPr>
                <w:webHidden/>
              </w:rPr>
              <w:fldChar w:fldCharType="begin"/>
            </w:r>
            <w:r>
              <w:rPr>
                <w:webHidden/>
              </w:rPr>
              <w:instrText xml:space="preserve"> PAGEREF _Toc89857797 \h </w:instrText>
            </w:r>
            <w:r>
              <w:rPr>
                <w:webHidden/>
              </w:rPr>
            </w:r>
            <w:r>
              <w:rPr>
                <w:webHidden/>
              </w:rPr>
              <w:fldChar w:fldCharType="separate"/>
            </w:r>
            <w:r>
              <w:rPr>
                <w:webHidden/>
              </w:rPr>
              <w:t>4</w:t>
            </w:r>
            <w:r>
              <w:rPr>
                <w:webHidden/>
              </w:rPr>
              <w:fldChar w:fldCharType="end"/>
            </w:r>
          </w:hyperlink>
        </w:p>
        <w:p w14:paraId="476C9EE4" w14:textId="14A4BE7B" w:rsidR="00451350" w:rsidRDefault="00451350">
          <w:pPr>
            <w:pStyle w:val="TOC3"/>
            <w:rPr>
              <w:rFonts w:asciiTheme="minorHAnsi" w:eastAsiaTheme="minorEastAsia" w:hAnsiTheme="minorHAnsi" w:cstheme="minorBidi"/>
            </w:rPr>
          </w:pPr>
          <w:hyperlink w:anchor="_Toc89857798" w:history="1">
            <w:r w:rsidRPr="003912B6">
              <w:rPr>
                <w:rStyle w:val="Hyperlink"/>
              </w:rPr>
              <w:t>Current funding arrangements</w:t>
            </w:r>
            <w:r>
              <w:rPr>
                <w:webHidden/>
              </w:rPr>
              <w:tab/>
            </w:r>
            <w:r>
              <w:rPr>
                <w:webHidden/>
              </w:rPr>
              <w:fldChar w:fldCharType="begin"/>
            </w:r>
            <w:r>
              <w:rPr>
                <w:webHidden/>
              </w:rPr>
              <w:instrText xml:space="preserve"> PAGEREF _Toc89857798 \h </w:instrText>
            </w:r>
            <w:r>
              <w:rPr>
                <w:webHidden/>
              </w:rPr>
            </w:r>
            <w:r>
              <w:rPr>
                <w:webHidden/>
              </w:rPr>
              <w:fldChar w:fldCharType="separate"/>
            </w:r>
            <w:r>
              <w:rPr>
                <w:webHidden/>
              </w:rPr>
              <w:t>4</w:t>
            </w:r>
            <w:r>
              <w:rPr>
                <w:webHidden/>
              </w:rPr>
              <w:fldChar w:fldCharType="end"/>
            </w:r>
          </w:hyperlink>
        </w:p>
        <w:p w14:paraId="2D187037" w14:textId="30E98737" w:rsidR="00451350" w:rsidRDefault="00451350">
          <w:pPr>
            <w:pStyle w:val="TOC2"/>
            <w:rPr>
              <w:rFonts w:asciiTheme="minorHAnsi" w:eastAsiaTheme="minorEastAsia" w:hAnsiTheme="minorHAnsi" w:cstheme="minorBidi"/>
            </w:rPr>
          </w:pPr>
          <w:hyperlink w:anchor="_Toc89857799" w:history="1">
            <w:r w:rsidRPr="003912B6">
              <w:rPr>
                <w:rStyle w:val="Hyperlink"/>
              </w:rPr>
              <w:t>A.3.</w:t>
            </w:r>
            <w:r>
              <w:rPr>
                <w:rFonts w:asciiTheme="minorHAnsi" w:eastAsiaTheme="minorEastAsia" w:hAnsiTheme="minorHAnsi" w:cstheme="minorBidi"/>
              </w:rPr>
              <w:tab/>
            </w:r>
            <w:r w:rsidRPr="003912B6">
              <w:rPr>
                <w:rStyle w:val="Hyperlink"/>
              </w:rPr>
              <w:t>Proposal for Public Funding</w:t>
            </w:r>
            <w:r>
              <w:rPr>
                <w:webHidden/>
              </w:rPr>
              <w:tab/>
            </w:r>
            <w:r>
              <w:rPr>
                <w:webHidden/>
              </w:rPr>
              <w:fldChar w:fldCharType="begin"/>
            </w:r>
            <w:r>
              <w:rPr>
                <w:webHidden/>
              </w:rPr>
              <w:instrText xml:space="preserve"> PAGEREF _Toc89857799 \h </w:instrText>
            </w:r>
            <w:r>
              <w:rPr>
                <w:webHidden/>
              </w:rPr>
            </w:r>
            <w:r>
              <w:rPr>
                <w:webHidden/>
              </w:rPr>
              <w:fldChar w:fldCharType="separate"/>
            </w:r>
            <w:r>
              <w:rPr>
                <w:webHidden/>
              </w:rPr>
              <w:t>4</w:t>
            </w:r>
            <w:r>
              <w:rPr>
                <w:webHidden/>
              </w:rPr>
              <w:fldChar w:fldCharType="end"/>
            </w:r>
          </w:hyperlink>
        </w:p>
        <w:p w14:paraId="1D95AA3A" w14:textId="6D49FCD3" w:rsidR="00451350" w:rsidRDefault="00451350">
          <w:pPr>
            <w:pStyle w:val="TOC2"/>
            <w:rPr>
              <w:rFonts w:asciiTheme="minorHAnsi" w:eastAsiaTheme="minorEastAsia" w:hAnsiTheme="minorHAnsi" w:cstheme="minorBidi"/>
            </w:rPr>
          </w:pPr>
          <w:hyperlink w:anchor="_Toc89857800" w:history="1">
            <w:r w:rsidRPr="003912B6">
              <w:rPr>
                <w:rStyle w:val="Hyperlink"/>
              </w:rPr>
              <w:t>A.4.</w:t>
            </w:r>
            <w:r>
              <w:rPr>
                <w:rFonts w:asciiTheme="minorHAnsi" w:eastAsiaTheme="minorEastAsia" w:hAnsiTheme="minorHAnsi" w:cstheme="minorBidi"/>
              </w:rPr>
              <w:tab/>
            </w:r>
            <w:r w:rsidRPr="003912B6">
              <w:rPr>
                <w:rStyle w:val="Hyperlink"/>
              </w:rPr>
              <w:t>Proposed population</w:t>
            </w:r>
            <w:r>
              <w:rPr>
                <w:webHidden/>
              </w:rPr>
              <w:tab/>
            </w:r>
            <w:r>
              <w:rPr>
                <w:webHidden/>
              </w:rPr>
              <w:fldChar w:fldCharType="begin"/>
            </w:r>
            <w:r>
              <w:rPr>
                <w:webHidden/>
              </w:rPr>
              <w:instrText xml:space="preserve"> PAGEREF _Toc89857800 \h </w:instrText>
            </w:r>
            <w:r>
              <w:rPr>
                <w:webHidden/>
              </w:rPr>
            </w:r>
            <w:r>
              <w:rPr>
                <w:webHidden/>
              </w:rPr>
              <w:fldChar w:fldCharType="separate"/>
            </w:r>
            <w:r>
              <w:rPr>
                <w:webHidden/>
              </w:rPr>
              <w:t>5</w:t>
            </w:r>
            <w:r>
              <w:rPr>
                <w:webHidden/>
              </w:rPr>
              <w:fldChar w:fldCharType="end"/>
            </w:r>
          </w:hyperlink>
        </w:p>
        <w:p w14:paraId="11B0280C" w14:textId="72760D34" w:rsidR="00451350" w:rsidRDefault="00451350">
          <w:pPr>
            <w:pStyle w:val="TOC2"/>
            <w:rPr>
              <w:rFonts w:asciiTheme="minorHAnsi" w:eastAsiaTheme="minorEastAsia" w:hAnsiTheme="minorHAnsi" w:cstheme="minorBidi"/>
            </w:rPr>
          </w:pPr>
          <w:hyperlink w:anchor="_Toc89857801" w:history="1">
            <w:r w:rsidRPr="003912B6">
              <w:rPr>
                <w:rStyle w:val="Hyperlink"/>
              </w:rPr>
              <w:t>A.5.</w:t>
            </w:r>
            <w:r>
              <w:rPr>
                <w:rFonts w:asciiTheme="minorHAnsi" w:eastAsiaTheme="minorEastAsia" w:hAnsiTheme="minorHAnsi" w:cstheme="minorBidi"/>
              </w:rPr>
              <w:tab/>
            </w:r>
            <w:r w:rsidRPr="003912B6">
              <w:rPr>
                <w:rStyle w:val="Hyperlink"/>
              </w:rPr>
              <w:t>Comparator Details</w:t>
            </w:r>
            <w:r>
              <w:rPr>
                <w:webHidden/>
              </w:rPr>
              <w:tab/>
            </w:r>
            <w:r>
              <w:rPr>
                <w:webHidden/>
              </w:rPr>
              <w:fldChar w:fldCharType="begin"/>
            </w:r>
            <w:r>
              <w:rPr>
                <w:webHidden/>
              </w:rPr>
              <w:instrText xml:space="preserve"> PAGEREF _Toc89857801 \h </w:instrText>
            </w:r>
            <w:r>
              <w:rPr>
                <w:webHidden/>
              </w:rPr>
            </w:r>
            <w:r>
              <w:rPr>
                <w:webHidden/>
              </w:rPr>
              <w:fldChar w:fldCharType="separate"/>
            </w:r>
            <w:r>
              <w:rPr>
                <w:webHidden/>
              </w:rPr>
              <w:t>7</w:t>
            </w:r>
            <w:r>
              <w:rPr>
                <w:webHidden/>
              </w:rPr>
              <w:fldChar w:fldCharType="end"/>
            </w:r>
          </w:hyperlink>
        </w:p>
        <w:p w14:paraId="2DFD17F2" w14:textId="0ACAC3C7" w:rsidR="00451350" w:rsidRDefault="00451350">
          <w:pPr>
            <w:pStyle w:val="TOC2"/>
            <w:rPr>
              <w:rFonts w:asciiTheme="minorHAnsi" w:eastAsiaTheme="minorEastAsia" w:hAnsiTheme="minorHAnsi" w:cstheme="minorBidi"/>
            </w:rPr>
          </w:pPr>
          <w:hyperlink w:anchor="_Toc89857802" w:history="1">
            <w:r w:rsidRPr="003912B6">
              <w:rPr>
                <w:rStyle w:val="Hyperlink"/>
              </w:rPr>
              <w:t>A.6.</w:t>
            </w:r>
            <w:r>
              <w:rPr>
                <w:rFonts w:asciiTheme="minorHAnsi" w:eastAsiaTheme="minorEastAsia" w:hAnsiTheme="minorHAnsi" w:cstheme="minorBidi"/>
              </w:rPr>
              <w:tab/>
            </w:r>
            <w:r w:rsidRPr="003912B6">
              <w:rPr>
                <w:rStyle w:val="Hyperlink"/>
              </w:rPr>
              <w:t>Clinical management Algorithm(s)</w:t>
            </w:r>
            <w:r>
              <w:rPr>
                <w:webHidden/>
              </w:rPr>
              <w:tab/>
            </w:r>
            <w:r>
              <w:rPr>
                <w:webHidden/>
              </w:rPr>
              <w:fldChar w:fldCharType="begin"/>
            </w:r>
            <w:r>
              <w:rPr>
                <w:webHidden/>
              </w:rPr>
              <w:instrText xml:space="preserve"> PAGEREF _Toc89857802 \h </w:instrText>
            </w:r>
            <w:r>
              <w:rPr>
                <w:webHidden/>
              </w:rPr>
            </w:r>
            <w:r>
              <w:rPr>
                <w:webHidden/>
              </w:rPr>
              <w:fldChar w:fldCharType="separate"/>
            </w:r>
            <w:r>
              <w:rPr>
                <w:webHidden/>
              </w:rPr>
              <w:t>7</w:t>
            </w:r>
            <w:r>
              <w:rPr>
                <w:webHidden/>
              </w:rPr>
              <w:fldChar w:fldCharType="end"/>
            </w:r>
          </w:hyperlink>
        </w:p>
        <w:p w14:paraId="618C729B" w14:textId="1CD1E160" w:rsidR="00451350" w:rsidRDefault="00451350">
          <w:pPr>
            <w:pStyle w:val="TOC2"/>
            <w:rPr>
              <w:rFonts w:asciiTheme="minorHAnsi" w:eastAsiaTheme="minorEastAsia" w:hAnsiTheme="minorHAnsi" w:cstheme="minorBidi"/>
            </w:rPr>
          </w:pPr>
          <w:hyperlink w:anchor="_Toc89857803" w:history="1">
            <w:r w:rsidRPr="003912B6">
              <w:rPr>
                <w:rStyle w:val="Hyperlink"/>
              </w:rPr>
              <w:t>A.7.</w:t>
            </w:r>
            <w:r>
              <w:rPr>
                <w:rFonts w:asciiTheme="minorHAnsi" w:eastAsiaTheme="minorEastAsia" w:hAnsiTheme="minorHAnsi" w:cstheme="minorBidi"/>
              </w:rPr>
              <w:tab/>
            </w:r>
            <w:r w:rsidRPr="003912B6">
              <w:rPr>
                <w:rStyle w:val="Hyperlink"/>
              </w:rPr>
              <w:t>Key Differences in the Delivery of the Proposed Medical Service and the Main Comparator</w:t>
            </w:r>
            <w:r>
              <w:rPr>
                <w:webHidden/>
              </w:rPr>
              <w:tab/>
            </w:r>
            <w:r>
              <w:rPr>
                <w:webHidden/>
              </w:rPr>
              <w:fldChar w:fldCharType="begin"/>
            </w:r>
            <w:r>
              <w:rPr>
                <w:webHidden/>
              </w:rPr>
              <w:instrText xml:space="preserve"> PAGEREF _Toc89857803 \h </w:instrText>
            </w:r>
            <w:r>
              <w:rPr>
                <w:webHidden/>
              </w:rPr>
            </w:r>
            <w:r>
              <w:rPr>
                <w:webHidden/>
              </w:rPr>
              <w:fldChar w:fldCharType="separate"/>
            </w:r>
            <w:r>
              <w:rPr>
                <w:webHidden/>
              </w:rPr>
              <w:t>8</w:t>
            </w:r>
            <w:r>
              <w:rPr>
                <w:webHidden/>
              </w:rPr>
              <w:fldChar w:fldCharType="end"/>
            </w:r>
          </w:hyperlink>
        </w:p>
        <w:p w14:paraId="6415A063" w14:textId="47A0A580" w:rsidR="00451350" w:rsidRDefault="00451350">
          <w:pPr>
            <w:pStyle w:val="TOC2"/>
            <w:rPr>
              <w:rFonts w:asciiTheme="minorHAnsi" w:eastAsiaTheme="minorEastAsia" w:hAnsiTheme="minorHAnsi" w:cstheme="minorBidi"/>
            </w:rPr>
          </w:pPr>
          <w:hyperlink w:anchor="_Toc89857804" w:history="1">
            <w:r w:rsidRPr="003912B6">
              <w:rPr>
                <w:rStyle w:val="Hyperlink"/>
              </w:rPr>
              <w:t>A.8.</w:t>
            </w:r>
            <w:r>
              <w:rPr>
                <w:rFonts w:asciiTheme="minorHAnsi" w:eastAsiaTheme="minorEastAsia" w:hAnsiTheme="minorHAnsi" w:cstheme="minorBidi"/>
              </w:rPr>
              <w:tab/>
            </w:r>
            <w:r w:rsidRPr="003912B6">
              <w:rPr>
                <w:rStyle w:val="Hyperlink"/>
              </w:rPr>
              <w:t>Clinical Claim</w:t>
            </w:r>
            <w:r>
              <w:rPr>
                <w:webHidden/>
              </w:rPr>
              <w:tab/>
            </w:r>
            <w:r>
              <w:rPr>
                <w:webHidden/>
              </w:rPr>
              <w:fldChar w:fldCharType="begin"/>
            </w:r>
            <w:r>
              <w:rPr>
                <w:webHidden/>
              </w:rPr>
              <w:instrText xml:space="preserve"> PAGEREF _Toc89857804 \h </w:instrText>
            </w:r>
            <w:r>
              <w:rPr>
                <w:webHidden/>
              </w:rPr>
            </w:r>
            <w:r>
              <w:rPr>
                <w:webHidden/>
              </w:rPr>
              <w:fldChar w:fldCharType="separate"/>
            </w:r>
            <w:r>
              <w:rPr>
                <w:webHidden/>
              </w:rPr>
              <w:t>9</w:t>
            </w:r>
            <w:r>
              <w:rPr>
                <w:webHidden/>
              </w:rPr>
              <w:fldChar w:fldCharType="end"/>
            </w:r>
          </w:hyperlink>
        </w:p>
        <w:p w14:paraId="2CB6EE60" w14:textId="21503522" w:rsidR="00451350" w:rsidRDefault="00451350">
          <w:pPr>
            <w:pStyle w:val="TOC2"/>
            <w:rPr>
              <w:rFonts w:asciiTheme="minorHAnsi" w:eastAsiaTheme="minorEastAsia" w:hAnsiTheme="minorHAnsi" w:cstheme="minorBidi"/>
            </w:rPr>
          </w:pPr>
          <w:hyperlink w:anchor="_Toc89857805" w:history="1">
            <w:r w:rsidRPr="003912B6">
              <w:rPr>
                <w:rStyle w:val="Hyperlink"/>
              </w:rPr>
              <w:t>A.9.</w:t>
            </w:r>
            <w:r>
              <w:rPr>
                <w:rFonts w:asciiTheme="minorHAnsi" w:eastAsiaTheme="minorEastAsia" w:hAnsiTheme="minorHAnsi" w:cstheme="minorBidi"/>
              </w:rPr>
              <w:tab/>
            </w:r>
            <w:r w:rsidRPr="003912B6">
              <w:rPr>
                <w:rStyle w:val="Hyperlink"/>
              </w:rPr>
              <w:t>Summary of the PICO</w:t>
            </w:r>
            <w:r>
              <w:rPr>
                <w:webHidden/>
              </w:rPr>
              <w:tab/>
            </w:r>
            <w:r>
              <w:rPr>
                <w:webHidden/>
              </w:rPr>
              <w:fldChar w:fldCharType="begin"/>
            </w:r>
            <w:r>
              <w:rPr>
                <w:webHidden/>
              </w:rPr>
              <w:instrText xml:space="preserve"> PAGEREF _Toc89857805 \h </w:instrText>
            </w:r>
            <w:r>
              <w:rPr>
                <w:webHidden/>
              </w:rPr>
            </w:r>
            <w:r>
              <w:rPr>
                <w:webHidden/>
              </w:rPr>
              <w:fldChar w:fldCharType="separate"/>
            </w:r>
            <w:r>
              <w:rPr>
                <w:webHidden/>
              </w:rPr>
              <w:t>9</w:t>
            </w:r>
            <w:r>
              <w:rPr>
                <w:webHidden/>
              </w:rPr>
              <w:fldChar w:fldCharType="end"/>
            </w:r>
          </w:hyperlink>
        </w:p>
        <w:p w14:paraId="00E3AEBF" w14:textId="480A1B90" w:rsidR="00451350" w:rsidRDefault="00451350">
          <w:pPr>
            <w:pStyle w:val="TOC2"/>
            <w:rPr>
              <w:rFonts w:asciiTheme="minorHAnsi" w:eastAsiaTheme="minorEastAsia" w:hAnsiTheme="minorHAnsi" w:cstheme="minorBidi"/>
            </w:rPr>
          </w:pPr>
          <w:hyperlink w:anchor="_Toc89857806" w:history="1">
            <w:r w:rsidRPr="003912B6">
              <w:rPr>
                <w:rStyle w:val="Hyperlink"/>
              </w:rPr>
              <w:t>A.10.</w:t>
            </w:r>
            <w:r>
              <w:rPr>
                <w:rFonts w:asciiTheme="minorHAnsi" w:eastAsiaTheme="minorEastAsia" w:hAnsiTheme="minorHAnsi" w:cstheme="minorBidi"/>
              </w:rPr>
              <w:tab/>
            </w:r>
            <w:r w:rsidRPr="003912B6">
              <w:rPr>
                <w:rStyle w:val="Hyperlink"/>
              </w:rPr>
              <w:t>Consumer impact statement</w:t>
            </w:r>
            <w:r>
              <w:rPr>
                <w:webHidden/>
              </w:rPr>
              <w:tab/>
            </w:r>
            <w:r>
              <w:rPr>
                <w:webHidden/>
              </w:rPr>
              <w:fldChar w:fldCharType="begin"/>
            </w:r>
            <w:r>
              <w:rPr>
                <w:webHidden/>
              </w:rPr>
              <w:instrText xml:space="preserve"> PAGEREF _Toc89857806 \h </w:instrText>
            </w:r>
            <w:r>
              <w:rPr>
                <w:webHidden/>
              </w:rPr>
            </w:r>
            <w:r>
              <w:rPr>
                <w:webHidden/>
              </w:rPr>
              <w:fldChar w:fldCharType="separate"/>
            </w:r>
            <w:r>
              <w:rPr>
                <w:webHidden/>
              </w:rPr>
              <w:t>10</w:t>
            </w:r>
            <w:r>
              <w:rPr>
                <w:webHidden/>
              </w:rPr>
              <w:fldChar w:fldCharType="end"/>
            </w:r>
          </w:hyperlink>
        </w:p>
        <w:p w14:paraId="39B38F02" w14:textId="014E5E75" w:rsidR="00451350" w:rsidRDefault="00451350">
          <w:pPr>
            <w:pStyle w:val="TOC1"/>
            <w:tabs>
              <w:tab w:val="left" w:pos="1100"/>
            </w:tabs>
            <w:rPr>
              <w:rFonts w:asciiTheme="minorHAnsi" w:eastAsiaTheme="minorEastAsia" w:hAnsiTheme="minorHAnsi" w:cstheme="minorBidi"/>
              <w:b w:val="0"/>
            </w:rPr>
          </w:pPr>
          <w:hyperlink w:anchor="_Toc89857807" w:history="1">
            <w:r w:rsidRPr="003912B6">
              <w:rPr>
                <w:rStyle w:val="Hyperlink"/>
              </w:rPr>
              <w:t>Section B</w:t>
            </w:r>
            <w:r>
              <w:rPr>
                <w:rFonts w:asciiTheme="minorHAnsi" w:eastAsiaTheme="minorEastAsia" w:hAnsiTheme="minorHAnsi" w:cstheme="minorBidi"/>
                <w:b w:val="0"/>
              </w:rPr>
              <w:tab/>
            </w:r>
            <w:r w:rsidRPr="003912B6">
              <w:rPr>
                <w:rStyle w:val="Hyperlink"/>
              </w:rPr>
              <w:t xml:space="preserve"> Clinical Evaluation</w:t>
            </w:r>
            <w:r>
              <w:rPr>
                <w:webHidden/>
              </w:rPr>
              <w:tab/>
            </w:r>
            <w:r>
              <w:rPr>
                <w:webHidden/>
              </w:rPr>
              <w:fldChar w:fldCharType="begin"/>
            </w:r>
            <w:r>
              <w:rPr>
                <w:webHidden/>
              </w:rPr>
              <w:instrText xml:space="preserve"> PAGEREF _Toc89857807 \h </w:instrText>
            </w:r>
            <w:r>
              <w:rPr>
                <w:webHidden/>
              </w:rPr>
            </w:r>
            <w:r>
              <w:rPr>
                <w:webHidden/>
              </w:rPr>
              <w:fldChar w:fldCharType="separate"/>
            </w:r>
            <w:r>
              <w:rPr>
                <w:webHidden/>
              </w:rPr>
              <w:t>12</w:t>
            </w:r>
            <w:r>
              <w:rPr>
                <w:webHidden/>
              </w:rPr>
              <w:fldChar w:fldCharType="end"/>
            </w:r>
          </w:hyperlink>
        </w:p>
        <w:p w14:paraId="38820D5B" w14:textId="622A96A1" w:rsidR="00451350" w:rsidRDefault="00451350">
          <w:pPr>
            <w:pStyle w:val="TOC2"/>
            <w:rPr>
              <w:rFonts w:asciiTheme="minorHAnsi" w:eastAsiaTheme="minorEastAsia" w:hAnsiTheme="minorHAnsi" w:cstheme="minorBidi"/>
            </w:rPr>
          </w:pPr>
          <w:hyperlink w:anchor="_Toc89857808" w:history="1">
            <w:r w:rsidRPr="003912B6">
              <w:rPr>
                <w:rStyle w:val="Hyperlink"/>
              </w:rPr>
              <w:t>B.1.</w:t>
            </w:r>
            <w:r>
              <w:rPr>
                <w:rFonts w:asciiTheme="minorHAnsi" w:eastAsiaTheme="minorEastAsia" w:hAnsiTheme="minorHAnsi" w:cstheme="minorBidi"/>
              </w:rPr>
              <w:tab/>
            </w:r>
            <w:r w:rsidRPr="003912B6">
              <w:rPr>
                <w:rStyle w:val="Hyperlink"/>
              </w:rPr>
              <w:t>Literature Sources and Search Strategies</w:t>
            </w:r>
            <w:r>
              <w:rPr>
                <w:webHidden/>
              </w:rPr>
              <w:tab/>
            </w:r>
            <w:r>
              <w:rPr>
                <w:webHidden/>
              </w:rPr>
              <w:fldChar w:fldCharType="begin"/>
            </w:r>
            <w:r>
              <w:rPr>
                <w:webHidden/>
              </w:rPr>
              <w:instrText xml:space="preserve"> PAGEREF _Toc89857808 \h </w:instrText>
            </w:r>
            <w:r>
              <w:rPr>
                <w:webHidden/>
              </w:rPr>
            </w:r>
            <w:r>
              <w:rPr>
                <w:webHidden/>
              </w:rPr>
              <w:fldChar w:fldCharType="separate"/>
            </w:r>
            <w:r>
              <w:rPr>
                <w:webHidden/>
              </w:rPr>
              <w:t>12</w:t>
            </w:r>
            <w:r>
              <w:rPr>
                <w:webHidden/>
              </w:rPr>
              <w:fldChar w:fldCharType="end"/>
            </w:r>
          </w:hyperlink>
        </w:p>
        <w:p w14:paraId="704721E4" w14:textId="6B9E9D4F" w:rsidR="00451350" w:rsidRDefault="00451350">
          <w:pPr>
            <w:pStyle w:val="TOC2"/>
            <w:rPr>
              <w:rFonts w:asciiTheme="minorHAnsi" w:eastAsiaTheme="minorEastAsia" w:hAnsiTheme="minorHAnsi" w:cstheme="minorBidi"/>
            </w:rPr>
          </w:pPr>
          <w:hyperlink w:anchor="_Toc89857809" w:history="1">
            <w:r w:rsidRPr="003912B6">
              <w:rPr>
                <w:rStyle w:val="Hyperlink"/>
              </w:rPr>
              <w:t>B.2.</w:t>
            </w:r>
            <w:r>
              <w:rPr>
                <w:rFonts w:asciiTheme="minorHAnsi" w:eastAsiaTheme="minorEastAsia" w:hAnsiTheme="minorHAnsi" w:cstheme="minorBidi"/>
              </w:rPr>
              <w:tab/>
            </w:r>
            <w:r w:rsidRPr="003912B6">
              <w:rPr>
                <w:rStyle w:val="Hyperlink"/>
              </w:rPr>
              <w:t>Results of Literature Search</w:t>
            </w:r>
            <w:r>
              <w:rPr>
                <w:webHidden/>
              </w:rPr>
              <w:tab/>
            </w:r>
            <w:r>
              <w:rPr>
                <w:webHidden/>
              </w:rPr>
              <w:fldChar w:fldCharType="begin"/>
            </w:r>
            <w:r>
              <w:rPr>
                <w:webHidden/>
              </w:rPr>
              <w:instrText xml:space="preserve"> PAGEREF _Toc89857809 \h </w:instrText>
            </w:r>
            <w:r>
              <w:rPr>
                <w:webHidden/>
              </w:rPr>
            </w:r>
            <w:r>
              <w:rPr>
                <w:webHidden/>
              </w:rPr>
              <w:fldChar w:fldCharType="separate"/>
            </w:r>
            <w:r>
              <w:rPr>
                <w:webHidden/>
              </w:rPr>
              <w:t>12</w:t>
            </w:r>
            <w:r>
              <w:rPr>
                <w:webHidden/>
              </w:rPr>
              <w:fldChar w:fldCharType="end"/>
            </w:r>
          </w:hyperlink>
        </w:p>
        <w:p w14:paraId="73EC0CC1" w14:textId="0C5B7A2D" w:rsidR="00451350" w:rsidRDefault="00451350">
          <w:pPr>
            <w:pStyle w:val="TOC3"/>
            <w:rPr>
              <w:rFonts w:asciiTheme="minorHAnsi" w:eastAsiaTheme="minorEastAsia" w:hAnsiTheme="minorHAnsi" w:cstheme="minorBidi"/>
            </w:rPr>
          </w:pPr>
          <w:hyperlink w:anchor="_Toc89857810" w:history="1">
            <w:r w:rsidRPr="003912B6">
              <w:rPr>
                <w:rStyle w:val="Hyperlink"/>
              </w:rPr>
              <w:t>Appraisal of the evidence</w:t>
            </w:r>
            <w:r>
              <w:rPr>
                <w:webHidden/>
              </w:rPr>
              <w:tab/>
            </w:r>
            <w:r>
              <w:rPr>
                <w:webHidden/>
              </w:rPr>
              <w:fldChar w:fldCharType="begin"/>
            </w:r>
            <w:r>
              <w:rPr>
                <w:webHidden/>
              </w:rPr>
              <w:instrText xml:space="preserve"> PAGEREF _Toc89857810 \h </w:instrText>
            </w:r>
            <w:r>
              <w:rPr>
                <w:webHidden/>
              </w:rPr>
            </w:r>
            <w:r>
              <w:rPr>
                <w:webHidden/>
              </w:rPr>
              <w:fldChar w:fldCharType="separate"/>
            </w:r>
            <w:r>
              <w:rPr>
                <w:webHidden/>
              </w:rPr>
              <w:t>15</w:t>
            </w:r>
            <w:r>
              <w:rPr>
                <w:webHidden/>
              </w:rPr>
              <w:fldChar w:fldCharType="end"/>
            </w:r>
          </w:hyperlink>
        </w:p>
        <w:p w14:paraId="41B23BBA" w14:textId="0F59BDB6" w:rsidR="00451350" w:rsidRDefault="00451350">
          <w:pPr>
            <w:pStyle w:val="TOC2"/>
            <w:rPr>
              <w:rFonts w:asciiTheme="minorHAnsi" w:eastAsiaTheme="minorEastAsia" w:hAnsiTheme="minorHAnsi" w:cstheme="minorBidi"/>
            </w:rPr>
          </w:pPr>
          <w:hyperlink w:anchor="_Toc89857811" w:history="1">
            <w:r w:rsidRPr="003912B6">
              <w:rPr>
                <w:rStyle w:val="Hyperlink"/>
              </w:rPr>
              <w:t>B.3.</w:t>
            </w:r>
            <w:r>
              <w:rPr>
                <w:rFonts w:asciiTheme="minorHAnsi" w:eastAsiaTheme="minorEastAsia" w:hAnsiTheme="minorHAnsi" w:cstheme="minorBidi"/>
              </w:rPr>
              <w:tab/>
            </w:r>
            <w:r w:rsidRPr="003912B6">
              <w:rPr>
                <w:rStyle w:val="Hyperlink"/>
              </w:rPr>
              <w:t>Risk of Bias Assessment</w:t>
            </w:r>
            <w:r>
              <w:rPr>
                <w:webHidden/>
              </w:rPr>
              <w:tab/>
            </w:r>
            <w:r>
              <w:rPr>
                <w:webHidden/>
              </w:rPr>
              <w:fldChar w:fldCharType="begin"/>
            </w:r>
            <w:r>
              <w:rPr>
                <w:webHidden/>
              </w:rPr>
              <w:instrText xml:space="preserve"> PAGEREF _Toc89857811 \h </w:instrText>
            </w:r>
            <w:r>
              <w:rPr>
                <w:webHidden/>
              </w:rPr>
            </w:r>
            <w:r>
              <w:rPr>
                <w:webHidden/>
              </w:rPr>
              <w:fldChar w:fldCharType="separate"/>
            </w:r>
            <w:r>
              <w:rPr>
                <w:webHidden/>
              </w:rPr>
              <w:t>15</w:t>
            </w:r>
            <w:r>
              <w:rPr>
                <w:webHidden/>
              </w:rPr>
              <w:fldChar w:fldCharType="end"/>
            </w:r>
          </w:hyperlink>
        </w:p>
        <w:p w14:paraId="6DAA32E6" w14:textId="7895CCE6" w:rsidR="00451350" w:rsidRDefault="00451350">
          <w:pPr>
            <w:pStyle w:val="TOC2"/>
            <w:rPr>
              <w:rFonts w:asciiTheme="minorHAnsi" w:eastAsiaTheme="minorEastAsia" w:hAnsiTheme="minorHAnsi" w:cstheme="minorBidi"/>
            </w:rPr>
          </w:pPr>
          <w:hyperlink w:anchor="_Toc89857812" w:history="1">
            <w:r w:rsidRPr="003912B6">
              <w:rPr>
                <w:rStyle w:val="Hyperlink"/>
              </w:rPr>
              <w:t>B.4.</w:t>
            </w:r>
            <w:r>
              <w:rPr>
                <w:rFonts w:asciiTheme="minorHAnsi" w:eastAsiaTheme="minorEastAsia" w:hAnsiTheme="minorHAnsi" w:cstheme="minorBidi"/>
              </w:rPr>
              <w:tab/>
            </w:r>
            <w:r w:rsidRPr="003912B6">
              <w:rPr>
                <w:rStyle w:val="Hyperlink"/>
              </w:rPr>
              <w:t>Characteristics of the Evidence Base</w:t>
            </w:r>
            <w:r>
              <w:rPr>
                <w:webHidden/>
              </w:rPr>
              <w:tab/>
            </w:r>
            <w:r>
              <w:rPr>
                <w:webHidden/>
              </w:rPr>
              <w:fldChar w:fldCharType="begin"/>
            </w:r>
            <w:r>
              <w:rPr>
                <w:webHidden/>
              </w:rPr>
              <w:instrText xml:space="preserve"> PAGEREF _Toc89857812 \h </w:instrText>
            </w:r>
            <w:r>
              <w:rPr>
                <w:webHidden/>
              </w:rPr>
            </w:r>
            <w:r>
              <w:rPr>
                <w:webHidden/>
              </w:rPr>
              <w:fldChar w:fldCharType="separate"/>
            </w:r>
            <w:r>
              <w:rPr>
                <w:webHidden/>
              </w:rPr>
              <w:t>19</w:t>
            </w:r>
            <w:r>
              <w:rPr>
                <w:webHidden/>
              </w:rPr>
              <w:fldChar w:fldCharType="end"/>
            </w:r>
          </w:hyperlink>
        </w:p>
        <w:p w14:paraId="356F83B6" w14:textId="7B46D7F1" w:rsidR="00451350" w:rsidRDefault="00451350">
          <w:pPr>
            <w:pStyle w:val="TOC2"/>
            <w:rPr>
              <w:rFonts w:asciiTheme="minorHAnsi" w:eastAsiaTheme="minorEastAsia" w:hAnsiTheme="minorHAnsi" w:cstheme="minorBidi"/>
            </w:rPr>
          </w:pPr>
          <w:hyperlink w:anchor="_Toc89857813" w:history="1">
            <w:r w:rsidRPr="003912B6">
              <w:rPr>
                <w:rStyle w:val="Hyperlink"/>
              </w:rPr>
              <w:t>B.5.</w:t>
            </w:r>
            <w:r>
              <w:rPr>
                <w:rFonts w:asciiTheme="minorHAnsi" w:eastAsiaTheme="minorEastAsia" w:hAnsiTheme="minorHAnsi" w:cstheme="minorBidi"/>
              </w:rPr>
              <w:tab/>
            </w:r>
            <w:r w:rsidRPr="003912B6">
              <w:rPr>
                <w:rStyle w:val="Hyperlink"/>
              </w:rPr>
              <w:t>Outcome Measures and Analysis</w:t>
            </w:r>
            <w:r>
              <w:rPr>
                <w:webHidden/>
              </w:rPr>
              <w:tab/>
            </w:r>
            <w:r>
              <w:rPr>
                <w:webHidden/>
              </w:rPr>
              <w:fldChar w:fldCharType="begin"/>
            </w:r>
            <w:r>
              <w:rPr>
                <w:webHidden/>
              </w:rPr>
              <w:instrText xml:space="preserve"> PAGEREF _Toc89857813 \h </w:instrText>
            </w:r>
            <w:r>
              <w:rPr>
                <w:webHidden/>
              </w:rPr>
            </w:r>
            <w:r>
              <w:rPr>
                <w:webHidden/>
              </w:rPr>
              <w:fldChar w:fldCharType="separate"/>
            </w:r>
            <w:r>
              <w:rPr>
                <w:webHidden/>
              </w:rPr>
              <w:t>25</w:t>
            </w:r>
            <w:r>
              <w:rPr>
                <w:webHidden/>
              </w:rPr>
              <w:fldChar w:fldCharType="end"/>
            </w:r>
          </w:hyperlink>
        </w:p>
        <w:p w14:paraId="121CB529" w14:textId="5164C894" w:rsidR="00451350" w:rsidRDefault="00451350">
          <w:pPr>
            <w:pStyle w:val="TOC2"/>
            <w:rPr>
              <w:rFonts w:asciiTheme="minorHAnsi" w:eastAsiaTheme="minorEastAsia" w:hAnsiTheme="minorHAnsi" w:cstheme="minorBidi"/>
            </w:rPr>
          </w:pPr>
          <w:hyperlink w:anchor="_Toc89857814" w:history="1">
            <w:r w:rsidRPr="003912B6">
              <w:rPr>
                <w:rStyle w:val="Hyperlink"/>
              </w:rPr>
              <w:t>B.6.</w:t>
            </w:r>
            <w:r>
              <w:rPr>
                <w:rFonts w:asciiTheme="minorHAnsi" w:eastAsiaTheme="minorEastAsia" w:hAnsiTheme="minorHAnsi" w:cstheme="minorBidi"/>
              </w:rPr>
              <w:tab/>
            </w:r>
            <w:r w:rsidRPr="003912B6">
              <w:rPr>
                <w:rStyle w:val="Hyperlink"/>
              </w:rPr>
              <w:t>Results of the Systematic Literature review</w:t>
            </w:r>
            <w:r>
              <w:rPr>
                <w:webHidden/>
              </w:rPr>
              <w:tab/>
            </w:r>
            <w:r>
              <w:rPr>
                <w:webHidden/>
              </w:rPr>
              <w:fldChar w:fldCharType="begin"/>
            </w:r>
            <w:r>
              <w:rPr>
                <w:webHidden/>
              </w:rPr>
              <w:instrText xml:space="preserve"> PAGEREF _Toc89857814 \h </w:instrText>
            </w:r>
            <w:r>
              <w:rPr>
                <w:webHidden/>
              </w:rPr>
            </w:r>
            <w:r>
              <w:rPr>
                <w:webHidden/>
              </w:rPr>
              <w:fldChar w:fldCharType="separate"/>
            </w:r>
            <w:r>
              <w:rPr>
                <w:webHidden/>
              </w:rPr>
              <w:t>27</w:t>
            </w:r>
            <w:r>
              <w:rPr>
                <w:webHidden/>
              </w:rPr>
              <w:fldChar w:fldCharType="end"/>
            </w:r>
          </w:hyperlink>
        </w:p>
        <w:p w14:paraId="725EA9C7" w14:textId="1752331C" w:rsidR="00451350" w:rsidRDefault="00451350">
          <w:pPr>
            <w:pStyle w:val="TOC2"/>
            <w:rPr>
              <w:rFonts w:asciiTheme="minorHAnsi" w:eastAsiaTheme="minorEastAsia" w:hAnsiTheme="minorHAnsi" w:cstheme="minorBidi"/>
            </w:rPr>
          </w:pPr>
          <w:hyperlink w:anchor="_Toc89857815" w:history="1">
            <w:r w:rsidRPr="003912B6">
              <w:rPr>
                <w:rStyle w:val="Hyperlink"/>
              </w:rPr>
              <w:t>Is it safe?</w:t>
            </w:r>
            <w:r>
              <w:rPr>
                <w:webHidden/>
              </w:rPr>
              <w:tab/>
            </w:r>
            <w:r>
              <w:rPr>
                <w:webHidden/>
              </w:rPr>
              <w:fldChar w:fldCharType="begin"/>
            </w:r>
            <w:r>
              <w:rPr>
                <w:webHidden/>
              </w:rPr>
              <w:instrText xml:space="preserve"> PAGEREF _Toc89857815 \h </w:instrText>
            </w:r>
            <w:r>
              <w:rPr>
                <w:webHidden/>
              </w:rPr>
            </w:r>
            <w:r>
              <w:rPr>
                <w:webHidden/>
              </w:rPr>
              <w:fldChar w:fldCharType="separate"/>
            </w:r>
            <w:r>
              <w:rPr>
                <w:webHidden/>
              </w:rPr>
              <w:t>27</w:t>
            </w:r>
            <w:r>
              <w:rPr>
                <w:webHidden/>
              </w:rPr>
              <w:fldChar w:fldCharType="end"/>
            </w:r>
          </w:hyperlink>
        </w:p>
        <w:p w14:paraId="34A426DD" w14:textId="0D72A862" w:rsidR="00451350" w:rsidRDefault="00451350">
          <w:pPr>
            <w:pStyle w:val="TOC3"/>
            <w:rPr>
              <w:rFonts w:asciiTheme="minorHAnsi" w:eastAsiaTheme="minorEastAsia" w:hAnsiTheme="minorHAnsi" w:cstheme="minorBidi"/>
            </w:rPr>
          </w:pPr>
          <w:hyperlink w:anchor="_Toc89857816" w:history="1">
            <w:r w:rsidRPr="003912B6">
              <w:rPr>
                <w:rStyle w:val="Hyperlink"/>
              </w:rPr>
              <w:t>Toxicity</w:t>
            </w:r>
            <w:r>
              <w:rPr>
                <w:webHidden/>
              </w:rPr>
              <w:tab/>
            </w:r>
            <w:r>
              <w:rPr>
                <w:webHidden/>
              </w:rPr>
              <w:fldChar w:fldCharType="begin"/>
            </w:r>
            <w:r>
              <w:rPr>
                <w:webHidden/>
              </w:rPr>
              <w:instrText xml:space="preserve"> PAGEREF _Toc89857816 \h </w:instrText>
            </w:r>
            <w:r>
              <w:rPr>
                <w:webHidden/>
              </w:rPr>
            </w:r>
            <w:r>
              <w:rPr>
                <w:webHidden/>
              </w:rPr>
              <w:fldChar w:fldCharType="separate"/>
            </w:r>
            <w:r>
              <w:rPr>
                <w:webHidden/>
              </w:rPr>
              <w:t>28</w:t>
            </w:r>
            <w:r>
              <w:rPr>
                <w:webHidden/>
              </w:rPr>
              <w:fldChar w:fldCharType="end"/>
            </w:r>
          </w:hyperlink>
        </w:p>
        <w:p w14:paraId="1873B199" w14:textId="5C145315" w:rsidR="00451350" w:rsidRDefault="00451350">
          <w:pPr>
            <w:pStyle w:val="TOC3"/>
            <w:rPr>
              <w:rFonts w:asciiTheme="minorHAnsi" w:eastAsiaTheme="minorEastAsia" w:hAnsiTheme="minorHAnsi" w:cstheme="minorBidi"/>
            </w:rPr>
          </w:pPr>
          <w:hyperlink w:anchor="_Toc89857817" w:history="1">
            <w:r w:rsidRPr="003912B6">
              <w:rPr>
                <w:rStyle w:val="Hyperlink"/>
              </w:rPr>
              <w:t>Patient tolerance</w:t>
            </w:r>
            <w:r>
              <w:rPr>
                <w:webHidden/>
              </w:rPr>
              <w:tab/>
            </w:r>
            <w:r>
              <w:rPr>
                <w:webHidden/>
              </w:rPr>
              <w:fldChar w:fldCharType="begin"/>
            </w:r>
            <w:r>
              <w:rPr>
                <w:webHidden/>
              </w:rPr>
              <w:instrText xml:space="preserve"> PAGEREF _Toc89857817 \h </w:instrText>
            </w:r>
            <w:r>
              <w:rPr>
                <w:webHidden/>
              </w:rPr>
            </w:r>
            <w:r>
              <w:rPr>
                <w:webHidden/>
              </w:rPr>
              <w:fldChar w:fldCharType="separate"/>
            </w:r>
            <w:r>
              <w:rPr>
                <w:webHidden/>
              </w:rPr>
              <w:t>45</w:t>
            </w:r>
            <w:r>
              <w:rPr>
                <w:webHidden/>
              </w:rPr>
              <w:fldChar w:fldCharType="end"/>
            </w:r>
          </w:hyperlink>
        </w:p>
        <w:p w14:paraId="2970EEBC" w14:textId="58AA4474" w:rsidR="00451350" w:rsidRDefault="00451350">
          <w:pPr>
            <w:pStyle w:val="TOC2"/>
            <w:rPr>
              <w:rFonts w:asciiTheme="minorHAnsi" w:eastAsiaTheme="minorEastAsia" w:hAnsiTheme="minorHAnsi" w:cstheme="minorBidi"/>
            </w:rPr>
          </w:pPr>
          <w:hyperlink w:anchor="_Toc89857818" w:history="1">
            <w:r w:rsidRPr="003912B6">
              <w:rPr>
                <w:rStyle w:val="Hyperlink"/>
              </w:rPr>
              <w:t>Is it effective?</w:t>
            </w:r>
            <w:r>
              <w:rPr>
                <w:webHidden/>
              </w:rPr>
              <w:tab/>
            </w:r>
            <w:r>
              <w:rPr>
                <w:webHidden/>
              </w:rPr>
              <w:fldChar w:fldCharType="begin"/>
            </w:r>
            <w:r>
              <w:rPr>
                <w:webHidden/>
              </w:rPr>
              <w:instrText xml:space="preserve"> PAGEREF _Toc89857818 \h </w:instrText>
            </w:r>
            <w:r>
              <w:rPr>
                <w:webHidden/>
              </w:rPr>
            </w:r>
            <w:r>
              <w:rPr>
                <w:webHidden/>
              </w:rPr>
              <w:fldChar w:fldCharType="separate"/>
            </w:r>
            <w:r>
              <w:rPr>
                <w:webHidden/>
              </w:rPr>
              <w:t>48</w:t>
            </w:r>
            <w:r>
              <w:rPr>
                <w:webHidden/>
              </w:rPr>
              <w:fldChar w:fldCharType="end"/>
            </w:r>
          </w:hyperlink>
        </w:p>
        <w:p w14:paraId="6C8365F4" w14:textId="624C0665" w:rsidR="00451350" w:rsidRDefault="00451350">
          <w:pPr>
            <w:pStyle w:val="TOC3"/>
            <w:rPr>
              <w:rFonts w:asciiTheme="minorHAnsi" w:eastAsiaTheme="minorEastAsia" w:hAnsiTheme="minorHAnsi" w:cstheme="minorBidi"/>
            </w:rPr>
          </w:pPr>
          <w:hyperlink w:anchor="_Toc89857819" w:history="1">
            <w:r w:rsidRPr="003912B6">
              <w:rPr>
                <w:rStyle w:val="Hyperlink"/>
              </w:rPr>
              <w:t>Dosimetric outcomes</w:t>
            </w:r>
            <w:r>
              <w:rPr>
                <w:webHidden/>
              </w:rPr>
              <w:tab/>
            </w:r>
            <w:r>
              <w:rPr>
                <w:webHidden/>
              </w:rPr>
              <w:fldChar w:fldCharType="begin"/>
            </w:r>
            <w:r>
              <w:rPr>
                <w:webHidden/>
              </w:rPr>
              <w:instrText xml:space="preserve"> PAGEREF _Toc89857819 \h </w:instrText>
            </w:r>
            <w:r>
              <w:rPr>
                <w:webHidden/>
              </w:rPr>
            </w:r>
            <w:r>
              <w:rPr>
                <w:webHidden/>
              </w:rPr>
              <w:fldChar w:fldCharType="separate"/>
            </w:r>
            <w:r>
              <w:rPr>
                <w:webHidden/>
              </w:rPr>
              <w:t>50</w:t>
            </w:r>
            <w:r>
              <w:rPr>
                <w:webHidden/>
              </w:rPr>
              <w:fldChar w:fldCharType="end"/>
            </w:r>
          </w:hyperlink>
        </w:p>
        <w:p w14:paraId="07EB42AC" w14:textId="0B66902F" w:rsidR="00451350" w:rsidRDefault="00451350">
          <w:pPr>
            <w:pStyle w:val="TOC3"/>
            <w:rPr>
              <w:rFonts w:asciiTheme="minorHAnsi" w:eastAsiaTheme="minorEastAsia" w:hAnsiTheme="minorHAnsi" w:cstheme="minorBidi"/>
            </w:rPr>
          </w:pPr>
          <w:hyperlink w:anchor="_Toc89857820" w:history="1">
            <w:r w:rsidRPr="003912B6">
              <w:rPr>
                <w:rStyle w:val="Hyperlink"/>
              </w:rPr>
              <w:t>Survival outcomes and tumour control</w:t>
            </w:r>
            <w:r>
              <w:rPr>
                <w:webHidden/>
              </w:rPr>
              <w:tab/>
            </w:r>
            <w:r>
              <w:rPr>
                <w:webHidden/>
              </w:rPr>
              <w:fldChar w:fldCharType="begin"/>
            </w:r>
            <w:r>
              <w:rPr>
                <w:webHidden/>
              </w:rPr>
              <w:instrText xml:space="preserve"> PAGEREF _Toc89857820 \h </w:instrText>
            </w:r>
            <w:r>
              <w:rPr>
                <w:webHidden/>
              </w:rPr>
            </w:r>
            <w:r>
              <w:rPr>
                <w:webHidden/>
              </w:rPr>
              <w:fldChar w:fldCharType="separate"/>
            </w:r>
            <w:r>
              <w:rPr>
                <w:webHidden/>
              </w:rPr>
              <w:t>53</w:t>
            </w:r>
            <w:r>
              <w:rPr>
                <w:webHidden/>
              </w:rPr>
              <w:fldChar w:fldCharType="end"/>
            </w:r>
          </w:hyperlink>
        </w:p>
        <w:p w14:paraId="67696BDE" w14:textId="14FAD419" w:rsidR="00451350" w:rsidRDefault="00451350">
          <w:pPr>
            <w:pStyle w:val="TOC3"/>
            <w:rPr>
              <w:rFonts w:asciiTheme="minorHAnsi" w:eastAsiaTheme="minorEastAsia" w:hAnsiTheme="minorHAnsi" w:cstheme="minorBidi"/>
            </w:rPr>
          </w:pPr>
          <w:hyperlink w:anchor="_Toc89857821" w:history="1">
            <w:r w:rsidRPr="003912B6">
              <w:rPr>
                <w:rStyle w:val="Hyperlink"/>
              </w:rPr>
              <w:t>Quality of life</w:t>
            </w:r>
            <w:r>
              <w:rPr>
                <w:webHidden/>
              </w:rPr>
              <w:tab/>
            </w:r>
            <w:r>
              <w:rPr>
                <w:webHidden/>
              </w:rPr>
              <w:fldChar w:fldCharType="begin"/>
            </w:r>
            <w:r>
              <w:rPr>
                <w:webHidden/>
              </w:rPr>
              <w:instrText xml:space="preserve"> PAGEREF _Toc89857821 \h </w:instrText>
            </w:r>
            <w:r>
              <w:rPr>
                <w:webHidden/>
              </w:rPr>
            </w:r>
            <w:r>
              <w:rPr>
                <w:webHidden/>
              </w:rPr>
              <w:fldChar w:fldCharType="separate"/>
            </w:r>
            <w:r>
              <w:rPr>
                <w:webHidden/>
              </w:rPr>
              <w:t>57</w:t>
            </w:r>
            <w:r>
              <w:rPr>
                <w:webHidden/>
              </w:rPr>
              <w:fldChar w:fldCharType="end"/>
            </w:r>
          </w:hyperlink>
        </w:p>
        <w:p w14:paraId="525C0401" w14:textId="2F65AB51" w:rsidR="00451350" w:rsidRDefault="00451350">
          <w:pPr>
            <w:pStyle w:val="TOC2"/>
            <w:rPr>
              <w:rFonts w:asciiTheme="minorHAnsi" w:eastAsiaTheme="minorEastAsia" w:hAnsiTheme="minorHAnsi" w:cstheme="minorBidi"/>
            </w:rPr>
          </w:pPr>
          <w:hyperlink w:anchor="_Toc89857822" w:history="1">
            <w:r w:rsidRPr="003912B6">
              <w:rPr>
                <w:rStyle w:val="Hyperlink"/>
              </w:rPr>
              <w:t>B.7.</w:t>
            </w:r>
            <w:r>
              <w:rPr>
                <w:rFonts w:asciiTheme="minorHAnsi" w:eastAsiaTheme="minorEastAsia" w:hAnsiTheme="minorHAnsi" w:cstheme="minorBidi"/>
              </w:rPr>
              <w:tab/>
            </w:r>
            <w:r w:rsidRPr="003912B6">
              <w:rPr>
                <w:rStyle w:val="Hyperlink"/>
              </w:rPr>
              <w:t>Extended Assessment of Harms</w:t>
            </w:r>
            <w:r>
              <w:rPr>
                <w:webHidden/>
              </w:rPr>
              <w:tab/>
            </w:r>
            <w:r>
              <w:rPr>
                <w:webHidden/>
              </w:rPr>
              <w:fldChar w:fldCharType="begin"/>
            </w:r>
            <w:r>
              <w:rPr>
                <w:webHidden/>
              </w:rPr>
              <w:instrText xml:space="preserve"> PAGEREF _Toc89857822 \h </w:instrText>
            </w:r>
            <w:r>
              <w:rPr>
                <w:webHidden/>
              </w:rPr>
            </w:r>
            <w:r>
              <w:rPr>
                <w:webHidden/>
              </w:rPr>
              <w:fldChar w:fldCharType="separate"/>
            </w:r>
            <w:r>
              <w:rPr>
                <w:webHidden/>
              </w:rPr>
              <w:t>59</w:t>
            </w:r>
            <w:r>
              <w:rPr>
                <w:webHidden/>
              </w:rPr>
              <w:fldChar w:fldCharType="end"/>
            </w:r>
          </w:hyperlink>
        </w:p>
        <w:p w14:paraId="2F128AD5" w14:textId="062ECAAE" w:rsidR="00451350" w:rsidRDefault="00451350">
          <w:pPr>
            <w:pStyle w:val="TOC2"/>
            <w:rPr>
              <w:rFonts w:asciiTheme="minorHAnsi" w:eastAsiaTheme="minorEastAsia" w:hAnsiTheme="minorHAnsi" w:cstheme="minorBidi"/>
            </w:rPr>
          </w:pPr>
          <w:hyperlink w:anchor="_Toc89857823" w:history="1">
            <w:r w:rsidRPr="003912B6">
              <w:rPr>
                <w:rStyle w:val="Hyperlink"/>
              </w:rPr>
              <w:t>B.8.</w:t>
            </w:r>
            <w:r>
              <w:rPr>
                <w:rFonts w:asciiTheme="minorHAnsi" w:eastAsiaTheme="minorEastAsia" w:hAnsiTheme="minorHAnsi" w:cstheme="minorBidi"/>
              </w:rPr>
              <w:tab/>
            </w:r>
            <w:r w:rsidRPr="003912B6">
              <w:rPr>
                <w:rStyle w:val="Hyperlink"/>
              </w:rPr>
              <w:t>Interpretation of the Clinical Evidence</w:t>
            </w:r>
            <w:r>
              <w:rPr>
                <w:webHidden/>
              </w:rPr>
              <w:tab/>
            </w:r>
            <w:r>
              <w:rPr>
                <w:webHidden/>
              </w:rPr>
              <w:fldChar w:fldCharType="begin"/>
            </w:r>
            <w:r>
              <w:rPr>
                <w:webHidden/>
              </w:rPr>
              <w:instrText xml:space="preserve"> PAGEREF _Toc89857823 \h </w:instrText>
            </w:r>
            <w:r>
              <w:rPr>
                <w:webHidden/>
              </w:rPr>
            </w:r>
            <w:r>
              <w:rPr>
                <w:webHidden/>
              </w:rPr>
              <w:fldChar w:fldCharType="separate"/>
            </w:r>
            <w:r>
              <w:rPr>
                <w:webHidden/>
              </w:rPr>
              <w:t>60</w:t>
            </w:r>
            <w:r>
              <w:rPr>
                <w:webHidden/>
              </w:rPr>
              <w:fldChar w:fldCharType="end"/>
            </w:r>
          </w:hyperlink>
        </w:p>
        <w:p w14:paraId="7564D981" w14:textId="5CE09EAE" w:rsidR="00451350" w:rsidRDefault="00451350">
          <w:pPr>
            <w:pStyle w:val="TOC1"/>
            <w:tabs>
              <w:tab w:val="left" w:pos="1100"/>
            </w:tabs>
            <w:rPr>
              <w:rFonts w:asciiTheme="minorHAnsi" w:eastAsiaTheme="minorEastAsia" w:hAnsiTheme="minorHAnsi" w:cstheme="minorBidi"/>
              <w:b w:val="0"/>
            </w:rPr>
          </w:pPr>
          <w:hyperlink w:anchor="_Toc89857824" w:history="1">
            <w:r w:rsidRPr="003912B6">
              <w:rPr>
                <w:rStyle w:val="Hyperlink"/>
              </w:rPr>
              <w:t>Section C</w:t>
            </w:r>
            <w:r>
              <w:rPr>
                <w:rFonts w:asciiTheme="minorHAnsi" w:eastAsiaTheme="minorEastAsia" w:hAnsiTheme="minorHAnsi" w:cstheme="minorBidi"/>
                <w:b w:val="0"/>
              </w:rPr>
              <w:tab/>
            </w:r>
            <w:r w:rsidRPr="003912B6">
              <w:rPr>
                <w:rStyle w:val="Hyperlink"/>
              </w:rPr>
              <w:t>Translation Issues</w:t>
            </w:r>
            <w:r>
              <w:rPr>
                <w:webHidden/>
              </w:rPr>
              <w:tab/>
            </w:r>
            <w:r>
              <w:rPr>
                <w:webHidden/>
              </w:rPr>
              <w:fldChar w:fldCharType="begin"/>
            </w:r>
            <w:r>
              <w:rPr>
                <w:webHidden/>
              </w:rPr>
              <w:instrText xml:space="preserve"> PAGEREF _Toc89857824 \h </w:instrText>
            </w:r>
            <w:r>
              <w:rPr>
                <w:webHidden/>
              </w:rPr>
            </w:r>
            <w:r>
              <w:rPr>
                <w:webHidden/>
              </w:rPr>
              <w:fldChar w:fldCharType="separate"/>
            </w:r>
            <w:r>
              <w:rPr>
                <w:webHidden/>
              </w:rPr>
              <w:t>62</w:t>
            </w:r>
            <w:r>
              <w:rPr>
                <w:webHidden/>
              </w:rPr>
              <w:fldChar w:fldCharType="end"/>
            </w:r>
          </w:hyperlink>
        </w:p>
        <w:p w14:paraId="38F918AF" w14:textId="49945A2C" w:rsidR="00451350" w:rsidRDefault="00451350">
          <w:pPr>
            <w:pStyle w:val="TOC2"/>
            <w:rPr>
              <w:rFonts w:asciiTheme="minorHAnsi" w:eastAsiaTheme="minorEastAsia" w:hAnsiTheme="minorHAnsi" w:cstheme="minorBidi"/>
            </w:rPr>
          </w:pPr>
          <w:hyperlink w:anchor="_Toc89857825" w:history="1">
            <w:r w:rsidRPr="003912B6">
              <w:rPr>
                <w:rStyle w:val="Hyperlink"/>
              </w:rPr>
              <w:t>C.1.</w:t>
            </w:r>
            <w:r>
              <w:rPr>
                <w:rFonts w:asciiTheme="minorHAnsi" w:eastAsiaTheme="minorEastAsia" w:hAnsiTheme="minorHAnsi" w:cstheme="minorBidi"/>
              </w:rPr>
              <w:tab/>
            </w:r>
            <w:r w:rsidRPr="003912B6">
              <w:rPr>
                <w:rStyle w:val="Hyperlink"/>
              </w:rPr>
              <w:t>Overview</w:t>
            </w:r>
            <w:r>
              <w:rPr>
                <w:webHidden/>
              </w:rPr>
              <w:tab/>
            </w:r>
            <w:r>
              <w:rPr>
                <w:webHidden/>
              </w:rPr>
              <w:fldChar w:fldCharType="begin"/>
            </w:r>
            <w:r>
              <w:rPr>
                <w:webHidden/>
              </w:rPr>
              <w:instrText xml:space="preserve"> PAGEREF _Toc89857825 \h </w:instrText>
            </w:r>
            <w:r>
              <w:rPr>
                <w:webHidden/>
              </w:rPr>
            </w:r>
            <w:r>
              <w:rPr>
                <w:webHidden/>
              </w:rPr>
              <w:fldChar w:fldCharType="separate"/>
            </w:r>
            <w:r>
              <w:rPr>
                <w:webHidden/>
              </w:rPr>
              <w:t>62</w:t>
            </w:r>
            <w:r>
              <w:rPr>
                <w:webHidden/>
              </w:rPr>
              <w:fldChar w:fldCharType="end"/>
            </w:r>
          </w:hyperlink>
        </w:p>
        <w:p w14:paraId="4734BDED" w14:textId="2D51C139" w:rsidR="00451350" w:rsidRDefault="00451350">
          <w:pPr>
            <w:pStyle w:val="TOC2"/>
            <w:rPr>
              <w:rFonts w:asciiTheme="minorHAnsi" w:eastAsiaTheme="minorEastAsia" w:hAnsiTheme="minorHAnsi" w:cstheme="minorBidi"/>
            </w:rPr>
          </w:pPr>
          <w:hyperlink w:anchor="_Toc89857826" w:history="1">
            <w:r w:rsidRPr="003912B6">
              <w:rPr>
                <w:rStyle w:val="Hyperlink"/>
              </w:rPr>
              <w:t>C.2.</w:t>
            </w:r>
            <w:r>
              <w:rPr>
                <w:rFonts w:asciiTheme="minorHAnsi" w:eastAsiaTheme="minorEastAsia" w:hAnsiTheme="minorHAnsi" w:cstheme="minorBidi"/>
              </w:rPr>
              <w:tab/>
            </w:r>
            <w:r w:rsidRPr="003912B6">
              <w:rPr>
                <w:rStyle w:val="Hyperlink"/>
              </w:rPr>
              <w:t>Applicability translation issues</w:t>
            </w:r>
            <w:r>
              <w:rPr>
                <w:webHidden/>
              </w:rPr>
              <w:tab/>
            </w:r>
            <w:r>
              <w:rPr>
                <w:webHidden/>
              </w:rPr>
              <w:fldChar w:fldCharType="begin"/>
            </w:r>
            <w:r>
              <w:rPr>
                <w:webHidden/>
              </w:rPr>
              <w:instrText xml:space="preserve"> PAGEREF _Toc89857826 \h </w:instrText>
            </w:r>
            <w:r>
              <w:rPr>
                <w:webHidden/>
              </w:rPr>
            </w:r>
            <w:r>
              <w:rPr>
                <w:webHidden/>
              </w:rPr>
              <w:fldChar w:fldCharType="separate"/>
            </w:r>
            <w:r>
              <w:rPr>
                <w:webHidden/>
              </w:rPr>
              <w:t>62</w:t>
            </w:r>
            <w:r>
              <w:rPr>
                <w:webHidden/>
              </w:rPr>
              <w:fldChar w:fldCharType="end"/>
            </w:r>
          </w:hyperlink>
        </w:p>
        <w:p w14:paraId="4D670A75" w14:textId="4CBFF697" w:rsidR="00451350" w:rsidRDefault="00451350">
          <w:pPr>
            <w:pStyle w:val="TOC2"/>
            <w:rPr>
              <w:rFonts w:asciiTheme="minorHAnsi" w:eastAsiaTheme="minorEastAsia" w:hAnsiTheme="minorHAnsi" w:cstheme="minorBidi"/>
            </w:rPr>
          </w:pPr>
          <w:hyperlink w:anchor="_Toc89857827" w:history="1">
            <w:r w:rsidRPr="003912B6">
              <w:rPr>
                <w:rStyle w:val="Hyperlink"/>
              </w:rPr>
              <w:t>C.3.</w:t>
            </w:r>
            <w:r>
              <w:rPr>
                <w:rFonts w:asciiTheme="minorHAnsi" w:eastAsiaTheme="minorEastAsia" w:hAnsiTheme="minorHAnsi" w:cstheme="minorBidi"/>
              </w:rPr>
              <w:tab/>
            </w:r>
            <w:r w:rsidRPr="003912B6">
              <w:rPr>
                <w:rStyle w:val="Hyperlink"/>
              </w:rPr>
              <w:t>Extrapolation translation issues</w:t>
            </w:r>
            <w:r>
              <w:rPr>
                <w:webHidden/>
              </w:rPr>
              <w:tab/>
            </w:r>
            <w:r>
              <w:rPr>
                <w:webHidden/>
              </w:rPr>
              <w:fldChar w:fldCharType="begin"/>
            </w:r>
            <w:r>
              <w:rPr>
                <w:webHidden/>
              </w:rPr>
              <w:instrText xml:space="preserve"> PAGEREF _Toc89857827 \h </w:instrText>
            </w:r>
            <w:r>
              <w:rPr>
                <w:webHidden/>
              </w:rPr>
            </w:r>
            <w:r>
              <w:rPr>
                <w:webHidden/>
              </w:rPr>
              <w:fldChar w:fldCharType="separate"/>
            </w:r>
            <w:r>
              <w:rPr>
                <w:webHidden/>
              </w:rPr>
              <w:t>63</w:t>
            </w:r>
            <w:r>
              <w:rPr>
                <w:webHidden/>
              </w:rPr>
              <w:fldChar w:fldCharType="end"/>
            </w:r>
          </w:hyperlink>
        </w:p>
        <w:p w14:paraId="050910C9" w14:textId="2B4753CF" w:rsidR="00451350" w:rsidRDefault="00451350">
          <w:pPr>
            <w:pStyle w:val="TOC2"/>
            <w:rPr>
              <w:rFonts w:asciiTheme="minorHAnsi" w:eastAsiaTheme="minorEastAsia" w:hAnsiTheme="minorHAnsi" w:cstheme="minorBidi"/>
            </w:rPr>
          </w:pPr>
          <w:hyperlink w:anchor="_Toc89857828" w:history="1">
            <w:r w:rsidRPr="003912B6">
              <w:rPr>
                <w:rStyle w:val="Hyperlink"/>
              </w:rPr>
              <w:t>C.4.</w:t>
            </w:r>
            <w:r>
              <w:rPr>
                <w:rFonts w:asciiTheme="minorHAnsi" w:eastAsiaTheme="minorEastAsia" w:hAnsiTheme="minorHAnsi" w:cstheme="minorBidi"/>
              </w:rPr>
              <w:tab/>
            </w:r>
            <w:r w:rsidRPr="003912B6">
              <w:rPr>
                <w:rStyle w:val="Hyperlink"/>
              </w:rPr>
              <w:t>Transformation issues</w:t>
            </w:r>
            <w:r>
              <w:rPr>
                <w:webHidden/>
              </w:rPr>
              <w:tab/>
            </w:r>
            <w:r>
              <w:rPr>
                <w:webHidden/>
              </w:rPr>
              <w:fldChar w:fldCharType="begin"/>
            </w:r>
            <w:r>
              <w:rPr>
                <w:webHidden/>
              </w:rPr>
              <w:instrText xml:space="preserve"> PAGEREF _Toc89857828 \h </w:instrText>
            </w:r>
            <w:r>
              <w:rPr>
                <w:webHidden/>
              </w:rPr>
            </w:r>
            <w:r>
              <w:rPr>
                <w:webHidden/>
              </w:rPr>
              <w:fldChar w:fldCharType="separate"/>
            </w:r>
            <w:r>
              <w:rPr>
                <w:webHidden/>
              </w:rPr>
              <w:t>64</w:t>
            </w:r>
            <w:r>
              <w:rPr>
                <w:webHidden/>
              </w:rPr>
              <w:fldChar w:fldCharType="end"/>
            </w:r>
          </w:hyperlink>
        </w:p>
        <w:p w14:paraId="47D5A02C" w14:textId="3B8FFDA5" w:rsidR="00451350" w:rsidRDefault="00451350">
          <w:pPr>
            <w:pStyle w:val="TOC2"/>
            <w:rPr>
              <w:rFonts w:asciiTheme="minorHAnsi" w:eastAsiaTheme="minorEastAsia" w:hAnsiTheme="minorHAnsi" w:cstheme="minorBidi"/>
            </w:rPr>
          </w:pPr>
          <w:hyperlink w:anchor="_Toc89857829" w:history="1">
            <w:r w:rsidRPr="003912B6">
              <w:rPr>
                <w:rStyle w:val="Hyperlink"/>
              </w:rPr>
              <w:t>C.5.</w:t>
            </w:r>
            <w:r>
              <w:rPr>
                <w:rFonts w:asciiTheme="minorHAnsi" w:eastAsiaTheme="minorEastAsia" w:hAnsiTheme="minorHAnsi" w:cstheme="minorBidi"/>
              </w:rPr>
              <w:tab/>
            </w:r>
            <w:r w:rsidRPr="003912B6">
              <w:rPr>
                <w:rStyle w:val="Hyperlink"/>
              </w:rPr>
              <w:t>Any other translation issues</w:t>
            </w:r>
            <w:r>
              <w:rPr>
                <w:webHidden/>
              </w:rPr>
              <w:tab/>
            </w:r>
            <w:r>
              <w:rPr>
                <w:webHidden/>
              </w:rPr>
              <w:fldChar w:fldCharType="begin"/>
            </w:r>
            <w:r>
              <w:rPr>
                <w:webHidden/>
              </w:rPr>
              <w:instrText xml:space="preserve"> PAGEREF _Toc89857829 \h </w:instrText>
            </w:r>
            <w:r>
              <w:rPr>
                <w:webHidden/>
              </w:rPr>
            </w:r>
            <w:r>
              <w:rPr>
                <w:webHidden/>
              </w:rPr>
              <w:fldChar w:fldCharType="separate"/>
            </w:r>
            <w:r>
              <w:rPr>
                <w:webHidden/>
              </w:rPr>
              <w:t>64</w:t>
            </w:r>
            <w:r>
              <w:rPr>
                <w:webHidden/>
              </w:rPr>
              <w:fldChar w:fldCharType="end"/>
            </w:r>
          </w:hyperlink>
        </w:p>
        <w:p w14:paraId="696E97D1" w14:textId="661D8C51" w:rsidR="00451350" w:rsidRDefault="00451350">
          <w:pPr>
            <w:pStyle w:val="TOC1"/>
            <w:tabs>
              <w:tab w:val="left" w:pos="1100"/>
            </w:tabs>
            <w:rPr>
              <w:rFonts w:asciiTheme="minorHAnsi" w:eastAsiaTheme="minorEastAsia" w:hAnsiTheme="minorHAnsi" w:cstheme="minorBidi"/>
              <w:b w:val="0"/>
            </w:rPr>
          </w:pPr>
          <w:hyperlink w:anchor="_Toc89857830" w:history="1">
            <w:r w:rsidRPr="003912B6">
              <w:rPr>
                <w:rStyle w:val="Hyperlink"/>
              </w:rPr>
              <w:t>Section D</w:t>
            </w:r>
            <w:r>
              <w:rPr>
                <w:rFonts w:asciiTheme="minorHAnsi" w:eastAsiaTheme="minorEastAsia" w:hAnsiTheme="minorHAnsi" w:cstheme="minorBidi"/>
                <w:b w:val="0"/>
              </w:rPr>
              <w:tab/>
            </w:r>
            <w:r w:rsidRPr="003912B6">
              <w:rPr>
                <w:rStyle w:val="Hyperlink"/>
              </w:rPr>
              <w:t>Economic Evaluation</w:t>
            </w:r>
            <w:r>
              <w:rPr>
                <w:webHidden/>
              </w:rPr>
              <w:tab/>
            </w:r>
            <w:r>
              <w:rPr>
                <w:webHidden/>
              </w:rPr>
              <w:fldChar w:fldCharType="begin"/>
            </w:r>
            <w:r>
              <w:rPr>
                <w:webHidden/>
              </w:rPr>
              <w:instrText xml:space="preserve"> PAGEREF _Toc89857830 \h </w:instrText>
            </w:r>
            <w:r>
              <w:rPr>
                <w:webHidden/>
              </w:rPr>
            </w:r>
            <w:r>
              <w:rPr>
                <w:webHidden/>
              </w:rPr>
              <w:fldChar w:fldCharType="separate"/>
            </w:r>
            <w:r>
              <w:rPr>
                <w:webHidden/>
              </w:rPr>
              <w:t>65</w:t>
            </w:r>
            <w:r>
              <w:rPr>
                <w:webHidden/>
              </w:rPr>
              <w:fldChar w:fldCharType="end"/>
            </w:r>
          </w:hyperlink>
        </w:p>
        <w:p w14:paraId="52C312FA" w14:textId="7C41D2DF" w:rsidR="00451350" w:rsidRDefault="00451350">
          <w:pPr>
            <w:pStyle w:val="TOC2"/>
            <w:rPr>
              <w:rFonts w:asciiTheme="minorHAnsi" w:eastAsiaTheme="minorEastAsia" w:hAnsiTheme="minorHAnsi" w:cstheme="minorBidi"/>
            </w:rPr>
          </w:pPr>
          <w:hyperlink w:anchor="_Toc89857831" w:history="1">
            <w:r w:rsidRPr="003912B6">
              <w:rPr>
                <w:rStyle w:val="Hyperlink"/>
              </w:rPr>
              <w:t>D.1.</w:t>
            </w:r>
            <w:r>
              <w:rPr>
                <w:rFonts w:asciiTheme="minorHAnsi" w:eastAsiaTheme="minorEastAsia" w:hAnsiTheme="minorHAnsi" w:cstheme="minorBidi"/>
              </w:rPr>
              <w:tab/>
            </w:r>
            <w:r w:rsidRPr="003912B6">
              <w:rPr>
                <w:rStyle w:val="Hyperlink"/>
              </w:rPr>
              <w:t>Overview</w:t>
            </w:r>
            <w:r>
              <w:rPr>
                <w:webHidden/>
              </w:rPr>
              <w:tab/>
            </w:r>
            <w:r>
              <w:rPr>
                <w:webHidden/>
              </w:rPr>
              <w:fldChar w:fldCharType="begin"/>
            </w:r>
            <w:r>
              <w:rPr>
                <w:webHidden/>
              </w:rPr>
              <w:instrText xml:space="preserve"> PAGEREF _Toc89857831 \h </w:instrText>
            </w:r>
            <w:r>
              <w:rPr>
                <w:webHidden/>
              </w:rPr>
            </w:r>
            <w:r>
              <w:rPr>
                <w:webHidden/>
              </w:rPr>
              <w:fldChar w:fldCharType="separate"/>
            </w:r>
            <w:r>
              <w:rPr>
                <w:webHidden/>
              </w:rPr>
              <w:t>65</w:t>
            </w:r>
            <w:r>
              <w:rPr>
                <w:webHidden/>
              </w:rPr>
              <w:fldChar w:fldCharType="end"/>
            </w:r>
          </w:hyperlink>
        </w:p>
        <w:p w14:paraId="20BBE9CC" w14:textId="696D3DD7" w:rsidR="00451350" w:rsidRDefault="00451350">
          <w:pPr>
            <w:pStyle w:val="TOC2"/>
            <w:rPr>
              <w:rFonts w:asciiTheme="minorHAnsi" w:eastAsiaTheme="minorEastAsia" w:hAnsiTheme="minorHAnsi" w:cstheme="minorBidi"/>
            </w:rPr>
          </w:pPr>
          <w:hyperlink w:anchor="_Toc89857832" w:history="1">
            <w:r w:rsidRPr="003912B6">
              <w:rPr>
                <w:rStyle w:val="Hyperlink"/>
              </w:rPr>
              <w:t>D.2.</w:t>
            </w:r>
            <w:r>
              <w:rPr>
                <w:rFonts w:asciiTheme="minorHAnsi" w:eastAsiaTheme="minorEastAsia" w:hAnsiTheme="minorHAnsi" w:cstheme="minorBidi"/>
              </w:rPr>
              <w:tab/>
            </w:r>
            <w:r w:rsidRPr="003912B6">
              <w:rPr>
                <w:rStyle w:val="Hyperlink"/>
              </w:rPr>
              <w:t>Populations and settings</w:t>
            </w:r>
            <w:r>
              <w:rPr>
                <w:webHidden/>
              </w:rPr>
              <w:tab/>
            </w:r>
            <w:r>
              <w:rPr>
                <w:webHidden/>
              </w:rPr>
              <w:fldChar w:fldCharType="begin"/>
            </w:r>
            <w:r>
              <w:rPr>
                <w:webHidden/>
              </w:rPr>
              <w:instrText xml:space="preserve"> PAGEREF _Toc89857832 \h </w:instrText>
            </w:r>
            <w:r>
              <w:rPr>
                <w:webHidden/>
              </w:rPr>
            </w:r>
            <w:r>
              <w:rPr>
                <w:webHidden/>
              </w:rPr>
              <w:fldChar w:fldCharType="separate"/>
            </w:r>
            <w:r>
              <w:rPr>
                <w:webHidden/>
              </w:rPr>
              <w:t>65</w:t>
            </w:r>
            <w:r>
              <w:rPr>
                <w:webHidden/>
              </w:rPr>
              <w:fldChar w:fldCharType="end"/>
            </w:r>
          </w:hyperlink>
        </w:p>
        <w:p w14:paraId="6404FCF1" w14:textId="2D6AA0A3" w:rsidR="00451350" w:rsidRDefault="00451350">
          <w:pPr>
            <w:pStyle w:val="TOC2"/>
            <w:rPr>
              <w:rFonts w:asciiTheme="minorHAnsi" w:eastAsiaTheme="minorEastAsia" w:hAnsiTheme="minorHAnsi" w:cstheme="minorBidi"/>
            </w:rPr>
          </w:pPr>
          <w:hyperlink w:anchor="_Toc89857833" w:history="1">
            <w:r w:rsidRPr="003912B6">
              <w:rPr>
                <w:rStyle w:val="Hyperlink"/>
              </w:rPr>
              <w:t>D.3.</w:t>
            </w:r>
            <w:r>
              <w:rPr>
                <w:rFonts w:asciiTheme="minorHAnsi" w:eastAsiaTheme="minorEastAsia" w:hAnsiTheme="minorHAnsi" w:cstheme="minorBidi"/>
              </w:rPr>
              <w:tab/>
            </w:r>
            <w:r w:rsidRPr="003912B6">
              <w:rPr>
                <w:rStyle w:val="Hyperlink"/>
              </w:rPr>
              <w:t>Structure and rationale of the economic evaluation</w:t>
            </w:r>
            <w:r>
              <w:rPr>
                <w:webHidden/>
              </w:rPr>
              <w:tab/>
            </w:r>
            <w:r>
              <w:rPr>
                <w:webHidden/>
              </w:rPr>
              <w:fldChar w:fldCharType="begin"/>
            </w:r>
            <w:r>
              <w:rPr>
                <w:webHidden/>
              </w:rPr>
              <w:instrText xml:space="preserve"> PAGEREF _Toc89857833 \h </w:instrText>
            </w:r>
            <w:r>
              <w:rPr>
                <w:webHidden/>
              </w:rPr>
            </w:r>
            <w:r>
              <w:rPr>
                <w:webHidden/>
              </w:rPr>
              <w:fldChar w:fldCharType="separate"/>
            </w:r>
            <w:r>
              <w:rPr>
                <w:webHidden/>
              </w:rPr>
              <w:t>67</w:t>
            </w:r>
            <w:r>
              <w:rPr>
                <w:webHidden/>
              </w:rPr>
              <w:fldChar w:fldCharType="end"/>
            </w:r>
          </w:hyperlink>
        </w:p>
        <w:p w14:paraId="2E688E7B" w14:textId="0132780C" w:rsidR="00451350" w:rsidRDefault="00451350">
          <w:pPr>
            <w:pStyle w:val="TOC3"/>
            <w:rPr>
              <w:rFonts w:asciiTheme="minorHAnsi" w:eastAsiaTheme="minorEastAsia" w:hAnsiTheme="minorHAnsi" w:cstheme="minorBidi"/>
            </w:rPr>
          </w:pPr>
          <w:hyperlink w:anchor="_Toc89857834" w:history="1">
            <w:r w:rsidRPr="003912B6">
              <w:rPr>
                <w:rStyle w:val="Hyperlink"/>
              </w:rPr>
              <w:t>Literature review</w:t>
            </w:r>
            <w:r>
              <w:rPr>
                <w:webHidden/>
              </w:rPr>
              <w:tab/>
            </w:r>
            <w:r>
              <w:rPr>
                <w:webHidden/>
              </w:rPr>
              <w:fldChar w:fldCharType="begin"/>
            </w:r>
            <w:r>
              <w:rPr>
                <w:webHidden/>
              </w:rPr>
              <w:instrText xml:space="preserve"> PAGEREF _Toc89857834 \h </w:instrText>
            </w:r>
            <w:r>
              <w:rPr>
                <w:webHidden/>
              </w:rPr>
            </w:r>
            <w:r>
              <w:rPr>
                <w:webHidden/>
              </w:rPr>
              <w:fldChar w:fldCharType="separate"/>
            </w:r>
            <w:r>
              <w:rPr>
                <w:webHidden/>
              </w:rPr>
              <w:t>67</w:t>
            </w:r>
            <w:r>
              <w:rPr>
                <w:webHidden/>
              </w:rPr>
              <w:fldChar w:fldCharType="end"/>
            </w:r>
          </w:hyperlink>
        </w:p>
        <w:p w14:paraId="7C2ED1DB" w14:textId="25719719" w:rsidR="00451350" w:rsidRDefault="00451350">
          <w:pPr>
            <w:pStyle w:val="TOC3"/>
            <w:rPr>
              <w:rFonts w:asciiTheme="minorHAnsi" w:eastAsiaTheme="minorEastAsia" w:hAnsiTheme="minorHAnsi" w:cstheme="minorBidi"/>
            </w:rPr>
          </w:pPr>
          <w:hyperlink w:anchor="_Toc89857835" w:history="1">
            <w:r w:rsidRPr="003912B6">
              <w:rPr>
                <w:rStyle w:val="Hyperlink"/>
              </w:rPr>
              <w:t>Structure of the economic evaluation</w:t>
            </w:r>
            <w:r>
              <w:rPr>
                <w:webHidden/>
              </w:rPr>
              <w:tab/>
            </w:r>
            <w:r>
              <w:rPr>
                <w:webHidden/>
              </w:rPr>
              <w:fldChar w:fldCharType="begin"/>
            </w:r>
            <w:r>
              <w:rPr>
                <w:webHidden/>
              </w:rPr>
              <w:instrText xml:space="preserve"> PAGEREF _Toc89857835 \h </w:instrText>
            </w:r>
            <w:r>
              <w:rPr>
                <w:webHidden/>
              </w:rPr>
            </w:r>
            <w:r>
              <w:rPr>
                <w:webHidden/>
              </w:rPr>
              <w:fldChar w:fldCharType="separate"/>
            </w:r>
            <w:r>
              <w:rPr>
                <w:webHidden/>
              </w:rPr>
              <w:t>69</w:t>
            </w:r>
            <w:r>
              <w:rPr>
                <w:webHidden/>
              </w:rPr>
              <w:fldChar w:fldCharType="end"/>
            </w:r>
          </w:hyperlink>
        </w:p>
        <w:p w14:paraId="2B35C236" w14:textId="0A687FC3" w:rsidR="00451350" w:rsidRDefault="00451350">
          <w:pPr>
            <w:pStyle w:val="TOC2"/>
            <w:rPr>
              <w:rFonts w:asciiTheme="minorHAnsi" w:eastAsiaTheme="minorEastAsia" w:hAnsiTheme="minorHAnsi" w:cstheme="minorBidi"/>
            </w:rPr>
          </w:pPr>
          <w:hyperlink w:anchor="_Toc89857836" w:history="1">
            <w:r w:rsidRPr="003912B6">
              <w:rPr>
                <w:rStyle w:val="Hyperlink"/>
              </w:rPr>
              <w:t>D.4.</w:t>
            </w:r>
            <w:r>
              <w:rPr>
                <w:rFonts w:asciiTheme="minorHAnsi" w:eastAsiaTheme="minorEastAsia" w:hAnsiTheme="minorHAnsi" w:cstheme="minorBidi"/>
              </w:rPr>
              <w:tab/>
            </w:r>
            <w:r w:rsidRPr="003912B6">
              <w:rPr>
                <w:rStyle w:val="Hyperlink"/>
              </w:rPr>
              <w:t>Inputs to the economic evaluation</w:t>
            </w:r>
            <w:r>
              <w:rPr>
                <w:webHidden/>
              </w:rPr>
              <w:tab/>
            </w:r>
            <w:r>
              <w:rPr>
                <w:webHidden/>
              </w:rPr>
              <w:fldChar w:fldCharType="begin"/>
            </w:r>
            <w:r>
              <w:rPr>
                <w:webHidden/>
              </w:rPr>
              <w:instrText xml:space="preserve"> PAGEREF _Toc89857836 \h </w:instrText>
            </w:r>
            <w:r>
              <w:rPr>
                <w:webHidden/>
              </w:rPr>
            </w:r>
            <w:r>
              <w:rPr>
                <w:webHidden/>
              </w:rPr>
              <w:fldChar w:fldCharType="separate"/>
            </w:r>
            <w:r>
              <w:rPr>
                <w:webHidden/>
              </w:rPr>
              <w:t>72</w:t>
            </w:r>
            <w:r>
              <w:rPr>
                <w:webHidden/>
              </w:rPr>
              <w:fldChar w:fldCharType="end"/>
            </w:r>
          </w:hyperlink>
        </w:p>
        <w:p w14:paraId="48684AA3" w14:textId="57D8B798" w:rsidR="00451350" w:rsidRDefault="00451350">
          <w:pPr>
            <w:pStyle w:val="TOC3"/>
            <w:rPr>
              <w:rFonts w:asciiTheme="minorHAnsi" w:eastAsiaTheme="minorEastAsia" w:hAnsiTheme="minorHAnsi" w:cstheme="minorBidi"/>
            </w:rPr>
          </w:pPr>
          <w:hyperlink w:anchor="_Toc89857837" w:history="1">
            <w:r w:rsidRPr="003912B6">
              <w:rPr>
                <w:rStyle w:val="Hyperlink"/>
              </w:rPr>
              <w:t>Costs</w:t>
            </w:r>
            <w:r>
              <w:rPr>
                <w:webHidden/>
              </w:rPr>
              <w:tab/>
            </w:r>
            <w:r>
              <w:rPr>
                <w:webHidden/>
              </w:rPr>
              <w:fldChar w:fldCharType="begin"/>
            </w:r>
            <w:r>
              <w:rPr>
                <w:webHidden/>
              </w:rPr>
              <w:instrText xml:space="preserve"> PAGEREF _Toc89857837 \h </w:instrText>
            </w:r>
            <w:r>
              <w:rPr>
                <w:webHidden/>
              </w:rPr>
            </w:r>
            <w:r>
              <w:rPr>
                <w:webHidden/>
              </w:rPr>
              <w:fldChar w:fldCharType="separate"/>
            </w:r>
            <w:r>
              <w:rPr>
                <w:webHidden/>
              </w:rPr>
              <w:t>72</w:t>
            </w:r>
            <w:r>
              <w:rPr>
                <w:webHidden/>
              </w:rPr>
              <w:fldChar w:fldCharType="end"/>
            </w:r>
          </w:hyperlink>
        </w:p>
        <w:p w14:paraId="640431D2" w14:textId="394581BE" w:rsidR="00451350" w:rsidRDefault="00451350">
          <w:pPr>
            <w:pStyle w:val="TOC3"/>
            <w:rPr>
              <w:rFonts w:asciiTheme="minorHAnsi" w:eastAsiaTheme="minorEastAsia" w:hAnsiTheme="minorHAnsi" w:cstheme="minorBidi"/>
            </w:rPr>
          </w:pPr>
          <w:hyperlink w:anchor="_Toc89857838" w:history="1">
            <w:r w:rsidRPr="003912B6">
              <w:rPr>
                <w:rStyle w:val="Hyperlink"/>
              </w:rPr>
              <w:t>Clinical inputs</w:t>
            </w:r>
            <w:r>
              <w:rPr>
                <w:webHidden/>
              </w:rPr>
              <w:tab/>
            </w:r>
            <w:r>
              <w:rPr>
                <w:webHidden/>
              </w:rPr>
              <w:fldChar w:fldCharType="begin"/>
            </w:r>
            <w:r>
              <w:rPr>
                <w:webHidden/>
              </w:rPr>
              <w:instrText xml:space="preserve"> PAGEREF _Toc89857838 \h </w:instrText>
            </w:r>
            <w:r>
              <w:rPr>
                <w:webHidden/>
              </w:rPr>
            </w:r>
            <w:r>
              <w:rPr>
                <w:webHidden/>
              </w:rPr>
              <w:fldChar w:fldCharType="separate"/>
            </w:r>
            <w:r>
              <w:rPr>
                <w:webHidden/>
              </w:rPr>
              <w:t>87</w:t>
            </w:r>
            <w:r>
              <w:rPr>
                <w:webHidden/>
              </w:rPr>
              <w:fldChar w:fldCharType="end"/>
            </w:r>
          </w:hyperlink>
        </w:p>
        <w:p w14:paraId="0FF820A1" w14:textId="0D59AF16" w:rsidR="00451350" w:rsidRDefault="00451350">
          <w:pPr>
            <w:pStyle w:val="TOC2"/>
            <w:rPr>
              <w:rFonts w:asciiTheme="minorHAnsi" w:eastAsiaTheme="minorEastAsia" w:hAnsiTheme="minorHAnsi" w:cstheme="minorBidi"/>
            </w:rPr>
          </w:pPr>
          <w:hyperlink w:anchor="_Toc89857839" w:history="1">
            <w:r w:rsidRPr="003912B6">
              <w:rPr>
                <w:rStyle w:val="Hyperlink"/>
              </w:rPr>
              <w:t>D.5.</w:t>
            </w:r>
            <w:r>
              <w:rPr>
                <w:rFonts w:asciiTheme="minorHAnsi" w:eastAsiaTheme="minorEastAsia" w:hAnsiTheme="minorHAnsi" w:cstheme="minorBidi"/>
              </w:rPr>
              <w:tab/>
            </w:r>
            <w:r w:rsidRPr="003912B6">
              <w:rPr>
                <w:rStyle w:val="Hyperlink"/>
              </w:rPr>
              <w:t>Results of the Economic Evaluation</w:t>
            </w:r>
            <w:r>
              <w:rPr>
                <w:webHidden/>
              </w:rPr>
              <w:tab/>
            </w:r>
            <w:r>
              <w:rPr>
                <w:webHidden/>
              </w:rPr>
              <w:fldChar w:fldCharType="begin"/>
            </w:r>
            <w:r>
              <w:rPr>
                <w:webHidden/>
              </w:rPr>
              <w:instrText xml:space="preserve"> PAGEREF _Toc89857839 \h </w:instrText>
            </w:r>
            <w:r>
              <w:rPr>
                <w:webHidden/>
              </w:rPr>
            </w:r>
            <w:r>
              <w:rPr>
                <w:webHidden/>
              </w:rPr>
              <w:fldChar w:fldCharType="separate"/>
            </w:r>
            <w:r>
              <w:rPr>
                <w:webHidden/>
              </w:rPr>
              <w:t>88</w:t>
            </w:r>
            <w:r>
              <w:rPr>
                <w:webHidden/>
              </w:rPr>
              <w:fldChar w:fldCharType="end"/>
            </w:r>
          </w:hyperlink>
        </w:p>
        <w:p w14:paraId="3D088413" w14:textId="0000945C" w:rsidR="00451350" w:rsidRDefault="00451350">
          <w:pPr>
            <w:pStyle w:val="TOC3"/>
            <w:rPr>
              <w:rFonts w:asciiTheme="minorHAnsi" w:eastAsiaTheme="minorEastAsia" w:hAnsiTheme="minorHAnsi" w:cstheme="minorBidi"/>
            </w:rPr>
          </w:pPr>
          <w:hyperlink w:anchor="_Toc89857840" w:history="1">
            <w:r w:rsidRPr="003912B6">
              <w:rPr>
                <w:rStyle w:val="Hyperlink"/>
              </w:rPr>
              <w:t>Disaggregated costs</w:t>
            </w:r>
            <w:r>
              <w:rPr>
                <w:webHidden/>
              </w:rPr>
              <w:tab/>
            </w:r>
            <w:r>
              <w:rPr>
                <w:webHidden/>
              </w:rPr>
              <w:fldChar w:fldCharType="begin"/>
            </w:r>
            <w:r>
              <w:rPr>
                <w:webHidden/>
              </w:rPr>
              <w:instrText xml:space="preserve"> PAGEREF _Toc89857840 \h </w:instrText>
            </w:r>
            <w:r>
              <w:rPr>
                <w:webHidden/>
              </w:rPr>
            </w:r>
            <w:r>
              <w:rPr>
                <w:webHidden/>
              </w:rPr>
              <w:fldChar w:fldCharType="separate"/>
            </w:r>
            <w:r>
              <w:rPr>
                <w:webHidden/>
              </w:rPr>
              <w:t>88</w:t>
            </w:r>
            <w:r>
              <w:rPr>
                <w:webHidden/>
              </w:rPr>
              <w:fldChar w:fldCharType="end"/>
            </w:r>
          </w:hyperlink>
        </w:p>
        <w:p w14:paraId="0ABFA09A" w14:textId="5CDD31E7" w:rsidR="00451350" w:rsidRDefault="00451350">
          <w:pPr>
            <w:pStyle w:val="TOC3"/>
            <w:rPr>
              <w:rFonts w:asciiTheme="minorHAnsi" w:eastAsiaTheme="minorEastAsia" w:hAnsiTheme="minorHAnsi" w:cstheme="minorBidi"/>
            </w:rPr>
          </w:pPr>
          <w:hyperlink w:anchor="_Toc89857841" w:history="1">
            <w:r w:rsidRPr="003912B6">
              <w:rPr>
                <w:rStyle w:val="Hyperlink"/>
              </w:rPr>
              <w:t>Cost minimisation analysis</w:t>
            </w:r>
            <w:r>
              <w:rPr>
                <w:webHidden/>
              </w:rPr>
              <w:tab/>
            </w:r>
            <w:r>
              <w:rPr>
                <w:webHidden/>
              </w:rPr>
              <w:fldChar w:fldCharType="begin"/>
            </w:r>
            <w:r>
              <w:rPr>
                <w:webHidden/>
              </w:rPr>
              <w:instrText xml:space="preserve"> PAGEREF _Toc89857841 \h </w:instrText>
            </w:r>
            <w:r>
              <w:rPr>
                <w:webHidden/>
              </w:rPr>
            </w:r>
            <w:r>
              <w:rPr>
                <w:webHidden/>
              </w:rPr>
              <w:fldChar w:fldCharType="separate"/>
            </w:r>
            <w:r>
              <w:rPr>
                <w:webHidden/>
              </w:rPr>
              <w:t>89</w:t>
            </w:r>
            <w:r>
              <w:rPr>
                <w:webHidden/>
              </w:rPr>
              <w:fldChar w:fldCharType="end"/>
            </w:r>
          </w:hyperlink>
        </w:p>
        <w:p w14:paraId="7480E34C" w14:textId="75354BF6" w:rsidR="00451350" w:rsidRDefault="00451350">
          <w:pPr>
            <w:pStyle w:val="TOC2"/>
            <w:rPr>
              <w:rFonts w:asciiTheme="minorHAnsi" w:eastAsiaTheme="minorEastAsia" w:hAnsiTheme="minorHAnsi" w:cstheme="minorBidi"/>
            </w:rPr>
          </w:pPr>
          <w:hyperlink w:anchor="_Toc89857842" w:history="1">
            <w:r w:rsidRPr="003912B6">
              <w:rPr>
                <w:rStyle w:val="Hyperlink"/>
              </w:rPr>
              <w:t>D.6.</w:t>
            </w:r>
            <w:r>
              <w:rPr>
                <w:rFonts w:asciiTheme="minorHAnsi" w:eastAsiaTheme="minorEastAsia" w:hAnsiTheme="minorHAnsi" w:cstheme="minorBidi"/>
              </w:rPr>
              <w:tab/>
            </w:r>
            <w:r w:rsidRPr="003912B6">
              <w:rPr>
                <w:rStyle w:val="Hyperlink"/>
              </w:rPr>
              <w:t>Sensitivity analyses</w:t>
            </w:r>
            <w:r>
              <w:rPr>
                <w:webHidden/>
              </w:rPr>
              <w:tab/>
            </w:r>
            <w:r>
              <w:rPr>
                <w:webHidden/>
              </w:rPr>
              <w:fldChar w:fldCharType="begin"/>
            </w:r>
            <w:r>
              <w:rPr>
                <w:webHidden/>
              </w:rPr>
              <w:instrText xml:space="preserve"> PAGEREF _Toc89857842 \h </w:instrText>
            </w:r>
            <w:r>
              <w:rPr>
                <w:webHidden/>
              </w:rPr>
            </w:r>
            <w:r>
              <w:rPr>
                <w:webHidden/>
              </w:rPr>
              <w:fldChar w:fldCharType="separate"/>
            </w:r>
            <w:r>
              <w:rPr>
                <w:webHidden/>
              </w:rPr>
              <w:t>89</w:t>
            </w:r>
            <w:r>
              <w:rPr>
                <w:webHidden/>
              </w:rPr>
              <w:fldChar w:fldCharType="end"/>
            </w:r>
          </w:hyperlink>
        </w:p>
        <w:p w14:paraId="0F9CD306" w14:textId="0969F717" w:rsidR="00451350" w:rsidRDefault="00451350">
          <w:pPr>
            <w:pStyle w:val="TOC1"/>
            <w:tabs>
              <w:tab w:val="left" w:pos="1100"/>
            </w:tabs>
            <w:rPr>
              <w:rFonts w:asciiTheme="minorHAnsi" w:eastAsiaTheme="minorEastAsia" w:hAnsiTheme="minorHAnsi" w:cstheme="minorBidi"/>
              <w:b w:val="0"/>
            </w:rPr>
          </w:pPr>
          <w:hyperlink w:anchor="_Toc89857843" w:history="1">
            <w:r w:rsidRPr="003912B6">
              <w:rPr>
                <w:rStyle w:val="Hyperlink"/>
              </w:rPr>
              <w:t>Section E</w:t>
            </w:r>
            <w:r>
              <w:rPr>
                <w:rFonts w:asciiTheme="minorHAnsi" w:eastAsiaTheme="minorEastAsia" w:hAnsiTheme="minorHAnsi" w:cstheme="minorBidi"/>
                <w:b w:val="0"/>
              </w:rPr>
              <w:tab/>
            </w:r>
            <w:r w:rsidRPr="003912B6">
              <w:rPr>
                <w:rStyle w:val="Hyperlink"/>
              </w:rPr>
              <w:t>Financial Implications</w:t>
            </w:r>
            <w:r>
              <w:rPr>
                <w:webHidden/>
              </w:rPr>
              <w:tab/>
            </w:r>
            <w:r>
              <w:rPr>
                <w:webHidden/>
              </w:rPr>
              <w:fldChar w:fldCharType="begin"/>
            </w:r>
            <w:r>
              <w:rPr>
                <w:webHidden/>
              </w:rPr>
              <w:instrText xml:space="preserve"> PAGEREF _Toc89857843 \h </w:instrText>
            </w:r>
            <w:r>
              <w:rPr>
                <w:webHidden/>
              </w:rPr>
            </w:r>
            <w:r>
              <w:rPr>
                <w:webHidden/>
              </w:rPr>
              <w:fldChar w:fldCharType="separate"/>
            </w:r>
            <w:r>
              <w:rPr>
                <w:webHidden/>
              </w:rPr>
              <w:t>93</w:t>
            </w:r>
            <w:r>
              <w:rPr>
                <w:webHidden/>
              </w:rPr>
              <w:fldChar w:fldCharType="end"/>
            </w:r>
          </w:hyperlink>
        </w:p>
        <w:p w14:paraId="0E583CC3" w14:textId="5ABE83DF" w:rsidR="00451350" w:rsidRDefault="00451350">
          <w:pPr>
            <w:pStyle w:val="TOC2"/>
            <w:rPr>
              <w:rFonts w:asciiTheme="minorHAnsi" w:eastAsiaTheme="minorEastAsia" w:hAnsiTheme="minorHAnsi" w:cstheme="minorBidi"/>
            </w:rPr>
          </w:pPr>
          <w:hyperlink w:anchor="_Toc89857844" w:history="1">
            <w:r w:rsidRPr="003912B6">
              <w:rPr>
                <w:rStyle w:val="Hyperlink"/>
              </w:rPr>
              <w:t>E.1.</w:t>
            </w:r>
            <w:r>
              <w:rPr>
                <w:rFonts w:asciiTheme="minorHAnsi" w:eastAsiaTheme="minorEastAsia" w:hAnsiTheme="minorHAnsi" w:cstheme="minorBidi"/>
              </w:rPr>
              <w:tab/>
            </w:r>
            <w:r w:rsidRPr="003912B6">
              <w:rPr>
                <w:rStyle w:val="Hyperlink"/>
              </w:rPr>
              <w:t>Justification of the Selection of Sources of Data</w:t>
            </w:r>
            <w:r>
              <w:rPr>
                <w:webHidden/>
              </w:rPr>
              <w:tab/>
            </w:r>
            <w:r>
              <w:rPr>
                <w:webHidden/>
              </w:rPr>
              <w:fldChar w:fldCharType="begin"/>
            </w:r>
            <w:r>
              <w:rPr>
                <w:webHidden/>
              </w:rPr>
              <w:instrText xml:space="preserve"> PAGEREF _Toc89857844 \h </w:instrText>
            </w:r>
            <w:r>
              <w:rPr>
                <w:webHidden/>
              </w:rPr>
            </w:r>
            <w:r>
              <w:rPr>
                <w:webHidden/>
              </w:rPr>
              <w:fldChar w:fldCharType="separate"/>
            </w:r>
            <w:r>
              <w:rPr>
                <w:webHidden/>
              </w:rPr>
              <w:t>93</w:t>
            </w:r>
            <w:r>
              <w:rPr>
                <w:webHidden/>
              </w:rPr>
              <w:fldChar w:fldCharType="end"/>
            </w:r>
          </w:hyperlink>
        </w:p>
        <w:p w14:paraId="6A1FC56D" w14:textId="51516DCE" w:rsidR="00451350" w:rsidRDefault="00451350">
          <w:pPr>
            <w:pStyle w:val="TOC3"/>
            <w:rPr>
              <w:rFonts w:asciiTheme="minorHAnsi" w:eastAsiaTheme="minorEastAsia" w:hAnsiTheme="minorHAnsi" w:cstheme="minorBidi"/>
            </w:rPr>
          </w:pPr>
          <w:hyperlink w:anchor="_Toc89857845" w:history="1">
            <w:r w:rsidRPr="003912B6">
              <w:rPr>
                <w:rStyle w:val="Hyperlink"/>
              </w:rPr>
              <w:t>Eligible patient population</w:t>
            </w:r>
            <w:r>
              <w:rPr>
                <w:webHidden/>
              </w:rPr>
              <w:tab/>
            </w:r>
            <w:r>
              <w:rPr>
                <w:webHidden/>
              </w:rPr>
              <w:fldChar w:fldCharType="begin"/>
            </w:r>
            <w:r>
              <w:rPr>
                <w:webHidden/>
              </w:rPr>
              <w:instrText xml:space="preserve"> PAGEREF _Toc89857845 \h </w:instrText>
            </w:r>
            <w:r>
              <w:rPr>
                <w:webHidden/>
              </w:rPr>
            </w:r>
            <w:r>
              <w:rPr>
                <w:webHidden/>
              </w:rPr>
              <w:fldChar w:fldCharType="separate"/>
            </w:r>
            <w:r>
              <w:rPr>
                <w:webHidden/>
              </w:rPr>
              <w:t>93</w:t>
            </w:r>
            <w:r>
              <w:rPr>
                <w:webHidden/>
              </w:rPr>
              <w:fldChar w:fldCharType="end"/>
            </w:r>
          </w:hyperlink>
        </w:p>
        <w:p w14:paraId="5FE5D677" w14:textId="7CE94243" w:rsidR="00451350" w:rsidRDefault="00451350">
          <w:pPr>
            <w:pStyle w:val="TOC3"/>
            <w:rPr>
              <w:rFonts w:asciiTheme="minorHAnsi" w:eastAsiaTheme="minorEastAsia" w:hAnsiTheme="minorHAnsi" w:cstheme="minorBidi"/>
            </w:rPr>
          </w:pPr>
          <w:hyperlink w:anchor="_Toc89857846" w:history="1">
            <w:r w:rsidRPr="003912B6">
              <w:rPr>
                <w:rStyle w:val="Hyperlink"/>
              </w:rPr>
              <w:t>Capacity</w:t>
            </w:r>
            <w:r>
              <w:rPr>
                <w:webHidden/>
              </w:rPr>
              <w:tab/>
            </w:r>
            <w:r>
              <w:rPr>
                <w:webHidden/>
              </w:rPr>
              <w:fldChar w:fldCharType="begin"/>
            </w:r>
            <w:r>
              <w:rPr>
                <w:webHidden/>
              </w:rPr>
              <w:instrText xml:space="preserve"> PAGEREF _Toc89857846 \h </w:instrText>
            </w:r>
            <w:r>
              <w:rPr>
                <w:webHidden/>
              </w:rPr>
            </w:r>
            <w:r>
              <w:rPr>
                <w:webHidden/>
              </w:rPr>
              <w:fldChar w:fldCharType="separate"/>
            </w:r>
            <w:r>
              <w:rPr>
                <w:webHidden/>
              </w:rPr>
              <w:t>94</w:t>
            </w:r>
            <w:r>
              <w:rPr>
                <w:webHidden/>
              </w:rPr>
              <w:fldChar w:fldCharType="end"/>
            </w:r>
          </w:hyperlink>
        </w:p>
        <w:p w14:paraId="0F617457" w14:textId="5501F38B" w:rsidR="00451350" w:rsidRDefault="00451350">
          <w:pPr>
            <w:pStyle w:val="TOC3"/>
            <w:rPr>
              <w:rFonts w:asciiTheme="minorHAnsi" w:eastAsiaTheme="minorEastAsia" w:hAnsiTheme="minorHAnsi" w:cstheme="minorBidi"/>
            </w:rPr>
          </w:pPr>
          <w:hyperlink w:anchor="_Toc89857847" w:history="1">
            <w:r w:rsidRPr="003912B6">
              <w:rPr>
                <w:rStyle w:val="Hyperlink"/>
              </w:rPr>
              <w:t>Uptake</w:t>
            </w:r>
            <w:r>
              <w:rPr>
                <w:webHidden/>
              </w:rPr>
              <w:tab/>
            </w:r>
            <w:r>
              <w:rPr>
                <w:webHidden/>
              </w:rPr>
              <w:fldChar w:fldCharType="begin"/>
            </w:r>
            <w:r>
              <w:rPr>
                <w:webHidden/>
              </w:rPr>
              <w:instrText xml:space="preserve"> PAGEREF _Toc89857847 \h </w:instrText>
            </w:r>
            <w:r>
              <w:rPr>
                <w:webHidden/>
              </w:rPr>
            </w:r>
            <w:r>
              <w:rPr>
                <w:webHidden/>
              </w:rPr>
              <w:fldChar w:fldCharType="separate"/>
            </w:r>
            <w:r>
              <w:rPr>
                <w:webHidden/>
              </w:rPr>
              <w:t>94</w:t>
            </w:r>
            <w:r>
              <w:rPr>
                <w:webHidden/>
              </w:rPr>
              <w:fldChar w:fldCharType="end"/>
            </w:r>
          </w:hyperlink>
        </w:p>
        <w:p w14:paraId="28B8F0AB" w14:textId="783668C8" w:rsidR="00451350" w:rsidRDefault="00451350">
          <w:pPr>
            <w:pStyle w:val="TOC3"/>
            <w:rPr>
              <w:rFonts w:asciiTheme="minorHAnsi" w:eastAsiaTheme="minorEastAsia" w:hAnsiTheme="minorHAnsi" w:cstheme="minorBidi"/>
            </w:rPr>
          </w:pPr>
          <w:hyperlink w:anchor="_Toc89857848" w:history="1">
            <w:r w:rsidRPr="003912B6">
              <w:rPr>
                <w:rStyle w:val="Hyperlink"/>
              </w:rPr>
              <w:t>Cost inputs</w:t>
            </w:r>
            <w:r>
              <w:rPr>
                <w:webHidden/>
              </w:rPr>
              <w:tab/>
            </w:r>
            <w:r>
              <w:rPr>
                <w:webHidden/>
              </w:rPr>
              <w:fldChar w:fldCharType="begin"/>
            </w:r>
            <w:r>
              <w:rPr>
                <w:webHidden/>
              </w:rPr>
              <w:instrText xml:space="preserve"> PAGEREF _Toc89857848 \h </w:instrText>
            </w:r>
            <w:r>
              <w:rPr>
                <w:webHidden/>
              </w:rPr>
            </w:r>
            <w:r>
              <w:rPr>
                <w:webHidden/>
              </w:rPr>
              <w:fldChar w:fldCharType="separate"/>
            </w:r>
            <w:r>
              <w:rPr>
                <w:webHidden/>
              </w:rPr>
              <w:t>95</w:t>
            </w:r>
            <w:r>
              <w:rPr>
                <w:webHidden/>
              </w:rPr>
              <w:fldChar w:fldCharType="end"/>
            </w:r>
          </w:hyperlink>
        </w:p>
        <w:p w14:paraId="59F59966" w14:textId="0B02E7D6" w:rsidR="00451350" w:rsidRDefault="00451350">
          <w:pPr>
            <w:pStyle w:val="TOC2"/>
            <w:rPr>
              <w:rFonts w:asciiTheme="minorHAnsi" w:eastAsiaTheme="minorEastAsia" w:hAnsiTheme="minorHAnsi" w:cstheme="minorBidi"/>
            </w:rPr>
          </w:pPr>
          <w:hyperlink w:anchor="_Toc89857849" w:history="1">
            <w:r w:rsidRPr="003912B6">
              <w:rPr>
                <w:rStyle w:val="Hyperlink"/>
              </w:rPr>
              <w:t>E.2.</w:t>
            </w:r>
            <w:r>
              <w:rPr>
                <w:rFonts w:asciiTheme="minorHAnsi" w:eastAsiaTheme="minorEastAsia" w:hAnsiTheme="minorHAnsi" w:cstheme="minorBidi"/>
              </w:rPr>
              <w:tab/>
            </w:r>
            <w:r w:rsidRPr="003912B6">
              <w:rPr>
                <w:rStyle w:val="Hyperlink"/>
              </w:rPr>
              <w:t>Use and Costs of MR-IGRT</w:t>
            </w:r>
            <w:r>
              <w:rPr>
                <w:webHidden/>
              </w:rPr>
              <w:tab/>
            </w:r>
            <w:r>
              <w:rPr>
                <w:webHidden/>
              </w:rPr>
              <w:fldChar w:fldCharType="begin"/>
            </w:r>
            <w:r>
              <w:rPr>
                <w:webHidden/>
              </w:rPr>
              <w:instrText xml:space="preserve"> PAGEREF _Toc89857849 \h </w:instrText>
            </w:r>
            <w:r>
              <w:rPr>
                <w:webHidden/>
              </w:rPr>
            </w:r>
            <w:r>
              <w:rPr>
                <w:webHidden/>
              </w:rPr>
              <w:fldChar w:fldCharType="separate"/>
            </w:r>
            <w:r>
              <w:rPr>
                <w:webHidden/>
              </w:rPr>
              <w:t>95</w:t>
            </w:r>
            <w:r>
              <w:rPr>
                <w:webHidden/>
              </w:rPr>
              <w:fldChar w:fldCharType="end"/>
            </w:r>
          </w:hyperlink>
        </w:p>
        <w:p w14:paraId="3E0AD09F" w14:textId="776EC0D6" w:rsidR="00451350" w:rsidRDefault="00451350">
          <w:pPr>
            <w:pStyle w:val="TOC3"/>
            <w:rPr>
              <w:rFonts w:asciiTheme="minorHAnsi" w:eastAsiaTheme="minorEastAsia" w:hAnsiTheme="minorHAnsi" w:cstheme="minorBidi"/>
            </w:rPr>
          </w:pPr>
          <w:hyperlink w:anchor="_Toc89857850" w:history="1">
            <w:r w:rsidRPr="003912B6">
              <w:rPr>
                <w:rStyle w:val="Hyperlink"/>
              </w:rPr>
              <w:t>Eligible population</w:t>
            </w:r>
            <w:r>
              <w:rPr>
                <w:webHidden/>
              </w:rPr>
              <w:tab/>
            </w:r>
            <w:r>
              <w:rPr>
                <w:webHidden/>
              </w:rPr>
              <w:fldChar w:fldCharType="begin"/>
            </w:r>
            <w:r>
              <w:rPr>
                <w:webHidden/>
              </w:rPr>
              <w:instrText xml:space="preserve"> PAGEREF _Toc89857850 \h </w:instrText>
            </w:r>
            <w:r>
              <w:rPr>
                <w:webHidden/>
              </w:rPr>
            </w:r>
            <w:r>
              <w:rPr>
                <w:webHidden/>
              </w:rPr>
              <w:fldChar w:fldCharType="separate"/>
            </w:r>
            <w:r>
              <w:rPr>
                <w:webHidden/>
              </w:rPr>
              <w:t>95</w:t>
            </w:r>
            <w:r>
              <w:rPr>
                <w:webHidden/>
              </w:rPr>
              <w:fldChar w:fldCharType="end"/>
            </w:r>
          </w:hyperlink>
        </w:p>
        <w:p w14:paraId="3FF23330" w14:textId="00B8E445" w:rsidR="00451350" w:rsidRDefault="00451350">
          <w:pPr>
            <w:pStyle w:val="TOC3"/>
            <w:rPr>
              <w:rFonts w:asciiTheme="minorHAnsi" w:eastAsiaTheme="minorEastAsia" w:hAnsiTheme="minorHAnsi" w:cstheme="minorBidi"/>
            </w:rPr>
          </w:pPr>
          <w:hyperlink w:anchor="_Toc89857851" w:history="1">
            <w:r w:rsidRPr="003912B6">
              <w:rPr>
                <w:rStyle w:val="Hyperlink"/>
              </w:rPr>
              <w:t>Capacity</w:t>
            </w:r>
            <w:r>
              <w:rPr>
                <w:webHidden/>
              </w:rPr>
              <w:tab/>
            </w:r>
            <w:r>
              <w:rPr>
                <w:webHidden/>
              </w:rPr>
              <w:fldChar w:fldCharType="begin"/>
            </w:r>
            <w:r>
              <w:rPr>
                <w:webHidden/>
              </w:rPr>
              <w:instrText xml:space="preserve"> PAGEREF _Toc89857851 \h </w:instrText>
            </w:r>
            <w:r>
              <w:rPr>
                <w:webHidden/>
              </w:rPr>
            </w:r>
            <w:r>
              <w:rPr>
                <w:webHidden/>
              </w:rPr>
              <w:fldChar w:fldCharType="separate"/>
            </w:r>
            <w:r>
              <w:rPr>
                <w:webHidden/>
              </w:rPr>
              <w:t>102</w:t>
            </w:r>
            <w:r>
              <w:rPr>
                <w:webHidden/>
              </w:rPr>
              <w:fldChar w:fldCharType="end"/>
            </w:r>
          </w:hyperlink>
        </w:p>
        <w:p w14:paraId="49A28098" w14:textId="26BA7E3B" w:rsidR="00451350" w:rsidRDefault="00451350">
          <w:pPr>
            <w:pStyle w:val="TOC3"/>
            <w:rPr>
              <w:rFonts w:asciiTheme="minorHAnsi" w:eastAsiaTheme="minorEastAsia" w:hAnsiTheme="minorHAnsi" w:cstheme="minorBidi"/>
            </w:rPr>
          </w:pPr>
          <w:hyperlink w:anchor="_Toc89857852" w:history="1">
            <w:r w:rsidRPr="003912B6">
              <w:rPr>
                <w:rStyle w:val="Hyperlink"/>
              </w:rPr>
              <w:t>Uptake</w:t>
            </w:r>
            <w:r>
              <w:rPr>
                <w:webHidden/>
              </w:rPr>
              <w:tab/>
            </w:r>
            <w:r>
              <w:rPr>
                <w:webHidden/>
              </w:rPr>
              <w:fldChar w:fldCharType="begin"/>
            </w:r>
            <w:r>
              <w:rPr>
                <w:webHidden/>
              </w:rPr>
              <w:instrText xml:space="preserve"> PAGEREF _Toc89857852 \h </w:instrText>
            </w:r>
            <w:r>
              <w:rPr>
                <w:webHidden/>
              </w:rPr>
            </w:r>
            <w:r>
              <w:rPr>
                <w:webHidden/>
              </w:rPr>
              <w:fldChar w:fldCharType="separate"/>
            </w:r>
            <w:r>
              <w:rPr>
                <w:webHidden/>
              </w:rPr>
              <w:t>104</w:t>
            </w:r>
            <w:r>
              <w:rPr>
                <w:webHidden/>
              </w:rPr>
              <w:fldChar w:fldCharType="end"/>
            </w:r>
          </w:hyperlink>
        </w:p>
        <w:p w14:paraId="7A2C1DFC" w14:textId="1F9144CD" w:rsidR="00451350" w:rsidRDefault="00451350">
          <w:pPr>
            <w:pStyle w:val="TOC3"/>
            <w:rPr>
              <w:rFonts w:asciiTheme="minorHAnsi" w:eastAsiaTheme="minorEastAsia" w:hAnsiTheme="minorHAnsi" w:cstheme="minorBidi"/>
            </w:rPr>
          </w:pPr>
          <w:hyperlink w:anchor="_Toc89857853" w:history="1">
            <w:r w:rsidRPr="003912B6">
              <w:rPr>
                <w:rStyle w:val="Hyperlink"/>
              </w:rPr>
              <w:t>Cost inputs</w:t>
            </w:r>
            <w:r>
              <w:rPr>
                <w:webHidden/>
              </w:rPr>
              <w:tab/>
            </w:r>
            <w:r>
              <w:rPr>
                <w:webHidden/>
              </w:rPr>
              <w:fldChar w:fldCharType="begin"/>
            </w:r>
            <w:r>
              <w:rPr>
                <w:webHidden/>
              </w:rPr>
              <w:instrText xml:space="preserve"> PAGEREF _Toc89857853 \h </w:instrText>
            </w:r>
            <w:r>
              <w:rPr>
                <w:webHidden/>
              </w:rPr>
            </w:r>
            <w:r>
              <w:rPr>
                <w:webHidden/>
              </w:rPr>
              <w:fldChar w:fldCharType="separate"/>
            </w:r>
            <w:r>
              <w:rPr>
                <w:webHidden/>
              </w:rPr>
              <w:t>106</w:t>
            </w:r>
            <w:r>
              <w:rPr>
                <w:webHidden/>
              </w:rPr>
              <w:fldChar w:fldCharType="end"/>
            </w:r>
          </w:hyperlink>
        </w:p>
        <w:p w14:paraId="0987336D" w14:textId="2133B3EC" w:rsidR="00451350" w:rsidRDefault="00451350">
          <w:pPr>
            <w:pStyle w:val="TOC3"/>
            <w:rPr>
              <w:rFonts w:asciiTheme="minorHAnsi" w:eastAsiaTheme="minorEastAsia" w:hAnsiTheme="minorHAnsi" w:cstheme="minorBidi"/>
            </w:rPr>
          </w:pPr>
          <w:hyperlink w:anchor="_Toc89857854" w:history="1">
            <w:r w:rsidRPr="003912B6">
              <w:rPr>
                <w:rStyle w:val="Hyperlink"/>
              </w:rPr>
              <w:t>Cost of MR-IGRT</w:t>
            </w:r>
            <w:r>
              <w:rPr>
                <w:webHidden/>
              </w:rPr>
              <w:tab/>
            </w:r>
            <w:r>
              <w:rPr>
                <w:webHidden/>
              </w:rPr>
              <w:fldChar w:fldCharType="begin"/>
            </w:r>
            <w:r>
              <w:rPr>
                <w:webHidden/>
              </w:rPr>
              <w:instrText xml:space="preserve"> PAGEREF _Toc89857854 \h </w:instrText>
            </w:r>
            <w:r>
              <w:rPr>
                <w:webHidden/>
              </w:rPr>
            </w:r>
            <w:r>
              <w:rPr>
                <w:webHidden/>
              </w:rPr>
              <w:fldChar w:fldCharType="separate"/>
            </w:r>
            <w:r>
              <w:rPr>
                <w:webHidden/>
              </w:rPr>
              <w:t>108</w:t>
            </w:r>
            <w:r>
              <w:rPr>
                <w:webHidden/>
              </w:rPr>
              <w:fldChar w:fldCharType="end"/>
            </w:r>
          </w:hyperlink>
        </w:p>
        <w:p w14:paraId="22CC9F36" w14:textId="60C84471" w:rsidR="00451350" w:rsidRDefault="00451350">
          <w:pPr>
            <w:pStyle w:val="TOC2"/>
            <w:rPr>
              <w:rFonts w:asciiTheme="minorHAnsi" w:eastAsiaTheme="minorEastAsia" w:hAnsiTheme="minorHAnsi" w:cstheme="minorBidi"/>
            </w:rPr>
          </w:pPr>
          <w:hyperlink w:anchor="_Toc89857855" w:history="1">
            <w:r w:rsidRPr="003912B6">
              <w:rPr>
                <w:rStyle w:val="Hyperlink"/>
              </w:rPr>
              <w:t>E.3.</w:t>
            </w:r>
            <w:r>
              <w:rPr>
                <w:rFonts w:asciiTheme="minorHAnsi" w:eastAsiaTheme="minorEastAsia" w:hAnsiTheme="minorHAnsi" w:cstheme="minorBidi"/>
              </w:rPr>
              <w:tab/>
            </w:r>
            <w:r w:rsidRPr="003912B6">
              <w:rPr>
                <w:rStyle w:val="Hyperlink"/>
              </w:rPr>
              <w:t>Changes in Use and Cost of Other Medical Services</w:t>
            </w:r>
            <w:r>
              <w:rPr>
                <w:webHidden/>
              </w:rPr>
              <w:tab/>
            </w:r>
            <w:r>
              <w:rPr>
                <w:webHidden/>
              </w:rPr>
              <w:fldChar w:fldCharType="begin"/>
            </w:r>
            <w:r>
              <w:rPr>
                <w:webHidden/>
              </w:rPr>
              <w:instrText xml:space="preserve"> PAGEREF _Toc89857855 \h </w:instrText>
            </w:r>
            <w:r>
              <w:rPr>
                <w:webHidden/>
              </w:rPr>
            </w:r>
            <w:r>
              <w:rPr>
                <w:webHidden/>
              </w:rPr>
              <w:fldChar w:fldCharType="separate"/>
            </w:r>
            <w:r>
              <w:rPr>
                <w:webHidden/>
              </w:rPr>
              <w:t>110</w:t>
            </w:r>
            <w:r>
              <w:rPr>
                <w:webHidden/>
              </w:rPr>
              <w:fldChar w:fldCharType="end"/>
            </w:r>
          </w:hyperlink>
        </w:p>
        <w:p w14:paraId="1F04A074" w14:textId="075899CE" w:rsidR="00451350" w:rsidRDefault="00451350">
          <w:pPr>
            <w:pStyle w:val="TOC2"/>
            <w:rPr>
              <w:rFonts w:asciiTheme="minorHAnsi" w:eastAsiaTheme="minorEastAsia" w:hAnsiTheme="minorHAnsi" w:cstheme="minorBidi"/>
            </w:rPr>
          </w:pPr>
          <w:hyperlink w:anchor="_Toc89857856" w:history="1">
            <w:r w:rsidRPr="003912B6">
              <w:rPr>
                <w:rStyle w:val="Hyperlink"/>
              </w:rPr>
              <w:t>E.4.</w:t>
            </w:r>
            <w:r>
              <w:rPr>
                <w:rFonts w:asciiTheme="minorHAnsi" w:eastAsiaTheme="minorEastAsia" w:hAnsiTheme="minorHAnsi" w:cstheme="minorBidi"/>
              </w:rPr>
              <w:tab/>
            </w:r>
            <w:r w:rsidRPr="003912B6">
              <w:rPr>
                <w:rStyle w:val="Hyperlink"/>
              </w:rPr>
              <w:t>Financial Implications for the MBS</w:t>
            </w:r>
            <w:r>
              <w:rPr>
                <w:webHidden/>
              </w:rPr>
              <w:tab/>
            </w:r>
            <w:r>
              <w:rPr>
                <w:webHidden/>
              </w:rPr>
              <w:fldChar w:fldCharType="begin"/>
            </w:r>
            <w:r>
              <w:rPr>
                <w:webHidden/>
              </w:rPr>
              <w:instrText xml:space="preserve"> PAGEREF _Toc89857856 \h </w:instrText>
            </w:r>
            <w:r>
              <w:rPr>
                <w:webHidden/>
              </w:rPr>
            </w:r>
            <w:r>
              <w:rPr>
                <w:webHidden/>
              </w:rPr>
              <w:fldChar w:fldCharType="separate"/>
            </w:r>
            <w:r>
              <w:rPr>
                <w:webHidden/>
              </w:rPr>
              <w:t>111</w:t>
            </w:r>
            <w:r>
              <w:rPr>
                <w:webHidden/>
              </w:rPr>
              <w:fldChar w:fldCharType="end"/>
            </w:r>
          </w:hyperlink>
        </w:p>
        <w:p w14:paraId="0F8C40B6" w14:textId="28469EFE" w:rsidR="00451350" w:rsidRDefault="00451350">
          <w:pPr>
            <w:pStyle w:val="TOC2"/>
            <w:rPr>
              <w:rFonts w:asciiTheme="minorHAnsi" w:eastAsiaTheme="minorEastAsia" w:hAnsiTheme="minorHAnsi" w:cstheme="minorBidi"/>
            </w:rPr>
          </w:pPr>
          <w:hyperlink w:anchor="_Toc89857857" w:history="1">
            <w:r w:rsidRPr="003912B6">
              <w:rPr>
                <w:rStyle w:val="Hyperlink"/>
              </w:rPr>
              <w:t>E.5.</w:t>
            </w:r>
            <w:r>
              <w:rPr>
                <w:rFonts w:asciiTheme="minorHAnsi" w:eastAsiaTheme="minorEastAsia" w:hAnsiTheme="minorHAnsi" w:cstheme="minorBidi"/>
              </w:rPr>
              <w:tab/>
            </w:r>
            <w:r w:rsidRPr="003912B6">
              <w:rPr>
                <w:rStyle w:val="Hyperlink"/>
              </w:rPr>
              <w:t>Financial Implications for Government Health Budgets</w:t>
            </w:r>
            <w:r>
              <w:rPr>
                <w:webHidden/>
              </w:rPr>
              <w:tab/>
            </w:r>
            <w:r>
              <w:rPr>
                <w:webHidden/>
              </w:rPr>
              <w:fldChar w:fldCharType="begin"/>
            </w:r>
            <w:r>
              <w:rPr>
                <w:webHidden/>
              </w:rPr>
              <w:instrText xml:space="preserve"> PAGEREF _Toc89857857 \h </w:instrText>
            </w:r>
            <w:r>
              <w:rPr>
                <w:webHidden/>
              </w:rPr>
            </w:r>
            <w:r>
              <w:rPr>
                <w:webHidden/>
              </w:rPr>
              <w:fldChar w:fldCharType="separate"/>
            </w:r>
            <w:r>
              <w:rPr>
                <w:webHidden/>
              </w:rPr>
              <w:t>112</w:t>
            </w:r>
            <w:r>
              <w:rPr>
                <w:webHidden/>
              </w:rPr>
              <w:fldChar w:fldCharType="end"/>
            </w:r>
          </w:hyperlink>
        </w:p>
        <w:p w14:paraId="129B2CEF" w14:textId="48A5ACBF" w:rsidR="00451350" w:rsidRDefault="00451350">
          <w:pPr>
            <w:pStyle w:val="TOC3"/>
            <w:rPr>
              <w:rFonts w:asciiTheme="minorHAnsi" w:eastAsiaTheme="minorEastAsia" w:hAnsiTheme="minorHAnsi" w:cstheme="minorBidi"/>
            </w:rPr>
          </w:pPr>
          <w:hyperlink w:anchor="_Toc89857858" w:history="1">
            <w:r w:rsidRPr="003912B6">
              <w:rPr>
                <w:rStyle w:val="Hyperlink"/>
              </w:rPr>
              <w:t>The Broader Impact on the MBS</w:t>
            </w:r>
            <w:r>
              <w:rPr>
                <w:webHidden/>
              </w:rPr>
              <w:tab/>
            </w:r>
            <w:r>
              <w:rPr>
                <w:webHidden/>
              </w:rPr>
              <w:fldChar w:fldCharType="begin"/>
            </w:r>
            <w:r>
              <w:rPr>
                <w:webHidden/>
              </w:rPr>
              <w:instrText xml:space="preserve"> PAGEREF _Toc89857858 \h </w:instrText>
            </w:r>
            <w:r>
              <w:rPr>
                <w:webHidden/>
              </w:rPr>
            </w:r>
            <w:r>
              <w:rPr>
                <w:webHidden/>
              </w:rPr>
              <w:fldChar w:fldCharType="separate"/>
            </w:r>
            <w:r>
              <w:rPr>
                <w:webHidden/>
              </w:rPr>
              <w:t>112</w:t>
            </w:r>
            <w:r>
              <w:rPr>
                <w:webHidden/>
              </w:rPr>
              <w:fldChar w:fldCharType="end"/>
            </w:r>
          </w:hyperlink>
        </w:p>
        <w:p w14:paraId="661783BF" w14:textId="392FF238" w:rsidR="00451350" w:rsidRDefault="00451350">
          <w:pPr>
            <w:pStyle w:val="TOC3"/>
            <w:rPr>
              <w:rFonts w:asciiTheme="minorHAnsi" w:eastAsiaTheme="minorEastAsia" w:hAnsiTheme="minorHAnsi" w:cstheme="minorBidi"/>
            </w:rPr>
          </w:pPr>
          <w:hyperlink w:anchor="_Toc89857859" w:history="1">
            <w:r w:rsidRPr="003912B6">
              <w:rPr>
                <w:rStyle w:val="Hyperlink"/>
              </w:rPr>
              <w:t>Other Government Impacts</w:t>
            </w:r>
            <w:r>
              <w:rPr>
                <w:webHidden/>
              </w:rPr>
              <w:tab/>
            </w:r>
            <w:r>
              <w:rPr>
                <w:webHidden/>
              </w:rPr>
              <w:fldChar w:fldCharType="begin"/>
            </w:r>
            <w:r>
              <w:rPr>
                <w:webHidden/>
              </w:rPr>
              <w:instrText xml:space="preserve"> PAGEREF _Toc89857859 \h </w:instrText>
            </w:r>
            <w:r>
              <w:rPr>
                <w:webHidden/>
              </w:rPr>
            </w:r>
            <w:r>
              <w:rPr>
                <w:webHidden/>
              </w:rPr>
              <w:fldChar w:fldCharType="separate"/>
            </w:r>
            <w:r>
              <w:rPr>
                <w:webHidden/>
              </w:rPr>
              <w:t>112</w:t>
            </w:r>
            <w:r>
              <w:rPr>
                <w:webHidden/>
              </w:rPr>
              <w:fldChar w:fldCharType="end"/>
            </w:r>
          </w:hyperlink>
        </w:p>
        <w:p w14:paraId="2F2615B2" w14:textId="4EB1C148" w:rsidR="00451350" w:rsidRDefault="00451350">
          <w:pPr>
            <w:pStyle w:val="TOC3"/>
            <w:rPr>
              <w:rFonts w:asciiTheme="minorHAnsi" w:eastAsiaTheme="minorEastAsia" w:hAnsiTheme="minorHAnsi" w:cstheme="minorBidi"/>
            </w:rPr>
          </w:pPr>
          <w:hyperlink w:anchor="_Toc89857860" w:history="1">
            <w:r w:rsidRPr="003912B6">
              <w:rPr>
                <w:rStyle w:val="Hyperlink"/>
              </w:rPr>
              <w:t>State and Territory Government Health Budgets</w:t>
            </w:r>
            <w:r>
              <w:rPr>
                <w:webHidden/>
              </w:rPr>
              <w:tab/>
            </w:r>
            <w:r>
              <w:rPr>
                <w:webHidden/>
              </w:rPr>
              <w:fldChar w:fldCharType="begin"/>
            </w:r>
            <w:r>
              <w:rPr>
                <w:webHidden/>
              </w:rPr>
              <w:instrText xml:space="preserve"> PAGEREF _Toc89857860 \h </w:instrText>
            </w:r>
            <w:r>
              <w:rPr>
                <w:webHidden/>
              </w:rPr>
            </w:r>
            <w:r>
              <w:rPr>
                <w:webHidden/>
              </w:rPr>
              <w:fldChar w:fldCharType="separate"/>
            </w:r>
            <w:r>
              <w:rPr>
                <w:webHidden/>
              </w:rPr>
              <w:t>114</w:t>
            </w:r>
            <w:r>
              <w:rPr>
                <w:webHidden/>
              </w:rPr>
              <w:fldChar w:fldCharType="end"/>
            </w:r>
          </w:hyperlink>
        </w:p>
        <w:p w14:paraId="631B294D" w14:textId="52DA3A90" w:rsidR="00451350" w:rsidRDefault="00451350">
          <w:pPr>
            <w:pStyle w:val="TOC2"/>
            <w:rPr>
              <w:rFonts w:asciiTheme="minorHAnsi" w:eastAsiaTheme="minorEastAsia" w:hAnsiTheme="minorHAnsi" w:cstheme="minorBidi"/>
            </w:rPr>
          </w:pPr>
          <w:hyperlink w:anchor="_Toc89857861" w:history="1">
            <w:r w:rsidRPr="003912B6">
              <w:rPr>
                <w:rStyle w:val="Hyperlink"/>
              </w:rPr>
              <w:t>E.6.</w:t>
            </w:r>
            <w:r>
              <w:rPr>
                <w:rFonts w:asciiTheme="minorHAnsi" w:eastAsiaTheme="minorEastAsia" w:hAnsiTheme="minorHAnsi" w:cstheme="minorBidi"/>
              </w:rPr>
              <w:tab/>
            </w:r>
            <w:r w:rsidRPr="003912B6">
              <w:rPr>
                <w:rStyle w:val="Hyperlink"/>
              </w:rPr>
              <w:t>Identification, Estimation and Reduction of Uncertainty</w:t>
            </w:r>
            <w:r>
              <w:rPr>
                <w:webHidden/>
              </w:rPr>
              <w:tab/>
            </w:r>
            <w:r>
              <w:rPr>
                <w:webHidden/>
              </w:rPr>
              <w:fldChar w:fldCharType="begin"/>
            </w:r>
            <w:r>
              <w:rPr>
                <w:webHidden/>
              </w:rPr>
              <w:instrText xml:space="preserve"> PAGEREF _Toc89857861 \h </w:instrText>
            </w:r>
            <w:r>
              <w:rPr>
                <w:webHidden/>
              </w:rPr>
            </w:r>
            <w:r>
              <w:rPr>
                <w:webHidden/>
              </w:rPr>
              <w:fldChar w:fldCharType="separate"/>
            </w:r>
            <w:r>
              <w:rPr>
                <w:webHidden/>
              </w:rPr>
              <w:t>114</w:t>
            </w:r>
            <w:r>
              <w:rPr>
                <w:webHidden/>
              </w:rPr>
              <w:fldChar w:fldCharType="end"/>
            </w:r>
          </w:hyperlink>
        </w:p>
        <w:p w14:paraId="240C4E6F" w14:textId="567FB0FA" w:rsidR="00451350" w:rsidRDefault="00451350">
          <w:pPr>
            <w:pStyle w:val="TOC1"/>
            <w:tabs>
              <w:tab w:val="left" w:pos="1320"/>
            </w:tabs>
            <w:rPr>
              <w:rFonts w:asciiTheme="minorHAnsi" w:eastAsiaTheme="minorEastAsia" w:hAnsiTheme="minorHAnsi" w:cstheme="minorBidi"/>
              <w:b w:val="0"/>
            </w:rPr>
          </w:pPr>
          <w:hyperlink w:anchor="_Toc89857862" w:history="1">
            <w:r w:rsidRPr="003912B6">
              <w:rPr>
                <w:rStyle w:val="Hyperlink"/>
              </w:rPr>
              <w:t>Appendix A</w:t>
            </w:r>
            <w:r>
              <w:rPr>
                <w:rFonts w:asciiTheme="minorHAnsi" w:eastAsiaTheme="minorEastAsia" w:hAnsiTheme="minorHAnsi" w:cstheme="minorBidi"/>
                <w:b w:val="0"/>
              </w:rPr>
              <w:tab/>
            </w:r>
            <w:r w:rsidRPr="003912B6">
              <w:rPr>
                <w:rStyle w:val="Hyperlink"/>
              </w:rPr>
              <w:t>Clinical Experts and Assessment Group</w:t>
            </w:r>
            <w:r>
              <w:rPr>
                <w:webHidden/>
              </w:rPr>
              <w:tab/>
            </w:r>
            <w:r>
              <w:rPr>
                <w:webHidden/>
              </w:rPr>
              <w:fldChar w:fldCharType="begin"/>
            </w:r>
            <w:r>
              <w:rPr>
                <w:webHidden/>
              </w:rPr>
              <w:instrText xml:space="preserve"> PAGEREF _Toc89857862 \h </w:instrText>
            </w:r>
            <w:r>
              <w:rPr>
                <w:webHidden/>
              </w:rPr>
            </w:r>
            <w:r>
              <w:rPr>
                <w:webHidden/>
              </w:rPr>
              <w:fldChar w:fldCharType="separate"/>
            </w:r>
            <w:r>
              <w:rPr>
                <w:webHidden/>
              </w:rPr>
              <w:t>118</w:t>
            </w:r>
            <w:r>
              <w:rPr>
                <w:webHidden/>
              </w:rPr>
              <w:fldChar w:fldCharType="end"/>
            </w:r>
          </w:hyperlink>
        </w:p>
        <w:p w14:paraId="0729BB8A" w14:textId="148F413B" w:rsidR="00451350" w:rsidRDefault="00451350">
          <w:pPr>
            <w:pStyle w:val="TOC2"/>
            <w:rPr>
              <w:rFonts w:asciiTheme="minorHAnsi" w:eastAsiaTheme="minorEastAsia" w:hAnsiTheme="minorHAnsi" w:cstheme="minorBidi"/>
            </w:rPr>
          </w:pPr>
          <w:hyperlink w:anchor="_Toc89857863" w:history="1">
            <w:r w:rsidRPr="003912B6">
              <w:rPr>
                <w:rStyle w:val="Hyperlink"/>
              </w:rPr>
              <w:t>Assessment group</w:t>
            </w:r>
            <w:r>
              <w:rPr>
                <w:webHidden/>
              </w:rPr>
              <w:tab/>
            </w:r>
            <w:r>
              <w:rPr>
                <w:webHidden/>
              </w:rPr>
              <w:fldChar w:fldCharType="begin"/>
            </w:r>
            <w:r>
              <w:rPr>
                <w:webHidden/>
              </w:rPr>
              <w:instrText xml:space="preserve"> PAGEREF _Toc89857863 \h </w:instrText>
            </w:r>
            <w:r>
              <w:rPr>
                <w:webHidden/>
              </w:rPr>
            </w:r>
            <w:r>
              <w:rPr>
                <w:webHidden/>
              </w:rPr>
              <w:fldChar w:fldCharType="separate"/>
            </w:r>
            <w:r>
              <w:rPr>
                <w:webHidden/>
              </w:rPr>
              <w:t>118</w:t>
            </w:r>
            <w:r>
              <w:rPr>
                <w:webHidden/>
              </w:rPr>
              <w:fldChar w:fldCharType="end"/>
            </w:r>
          </w:hyperlink>
        </w:p>
        <w:p w14:paraId="670C4DFC" w14:textId="69F720CD" w:rsidR="00451350" w:rsidRDefault="00451350">
          <w:pPr>
            <w:pStyle w:val="TOC1"/>
            <w:tabs>
              <w:tab w:val="left" w:pos="1320"/>
            </w:tabs>
            <w:rPr>
              <w:rFonts w:asciiTheme="minorHAnsi" w:eastAsiaTheme="minorEastAsia" w:hAnsiTheme="minorHAnsi" w:cstheme="minorBidi"/>
              <w:b w:val="0"/>
            </w:rPr>
          </w:pPr>
          <w:hyperlink w:anchor="_Toc89857864" w:history="1">
            <w:r w:rsidRPr="003912B6">
              <w:rPr>
                <w:rStyle w:val="Hyperlink"/>
              </w:rPr>
              <w:t>Appendix B</w:t>
            </w:r>
            <w:r>
              <w:rPr>
                <w:rFonts w:asciiTheme="minorHAnsi" w:eastAsiaTheme="minorEastAsia" w:hAnsiTheme="minorHAnsi" w:cstheme="minorBidi"/>
                <w:b w:val="0"/>
              </w:rPr>
              <w:tab/>
            </w:r>
            <w:r w:rsidRPr="003912B6">
              <w:rPr>
                <w:rStyle w:val="Hyperlink"/>
              </w:rPr>
              <w:t>Search strategies</w:t>
            </w:r>
            <w:r>
              <w:rPr>
                <w:webHidden/>
              </w:rPr>
              <w:tab/>
            </w:r>
            <w:r>
              <w:rPr>
                <w:webHidden/>
              </w:rPr>
              <w:fldChar w:fldCharType="begin"/>
            </w:r>
            <w:r>
              <w:rPr>
                <w:webHidden/>
              </w:rPr>
              <w:instrText xml:space="preserve"> PAGEREF _Toc89857864 \h </w:instrText>
            </w:r>
            <w:r>
              <w:rPr>
                <w:webHidden/>
              </w:rPr>
            </w:r>
            <w:r>
              <w:rPr>
                <w:webHidden/>
              </w:rPr>
              <w:fldChar w:fldCharType="separate"/>
            </w:r>
            <w:r>
              <w:rPr>
                <w:webHidden/>
              </w:rPr>
              <w:t>119</w:t>
            </w:r>
            <w:r>
              <w:rPr>
                <w:webHidden/>
              </w:rPr>
              <w:fldChar w:fldCharType="end"/>
            </w:r>
          </w:hyperlink>
        </w:p>
        <w:p w14:paraId="5E18A6DE" w14:textId="267756CE" w:rsidR="00451350" w:rsidRDefault="00451350">
          <w:pPr>
            <w:pStyle w:val="TOC3"/>
            <w:rPr>
              <w:rFonts w:asciiTheme="minorHAnsi" w:eastAsiaTheme="minorEastAsia" w:hAnsiTheme="minorHAnsi" w:cstheme="minorBidi"/>
            </w:rPr>
          </w:pPr>
          <w:hyperlink w:anchor="_Toc89857865" w:history="1">
            <w:r w:rsidRPr="003912B6">
              <w:rPr>
                <w:rStyle w:val="Hyperlink"/>
              </w:rPr>
              <w:t>Bibliographic databases</w:t>
            </w:r>
            <w:r>
              <w:rPr>
                <w:webHidden/>
              </w:rPr>
              <w:tab/>
            </w:r>
            <w:r>
              <w:rPr>
                <w:webHidden/>
              </w:rPr>
              <w:fldChar w:fldCharType="begin"/>
            </w:r>
            <w:r>
              <w:rPr>
                <w:webHidden/>
              </w:rPr>
              <w:instrText xml:space="preserve"> PAGEREF _Toc89857865 \h </w:instrText>
            </w:r>
            <w:r>
              <w:rPr>
                <w:webHidden/>
              </w:rPr>
            </w:r>
            <w:r>
              <w:rPr>
                <w:webHidden/>
              </w:rPr>
              <w:fldChar w:fldCharType="separate"/>
            </w:r>
            <w:r>
              <w:rPr>
                <w:webHidden/>
              </w:rPr>
              <w:t>119</w:t>
            </w:r>
            <w:r>
              <w:rPr>
                <w:webHidden/>
              </w:rPr>
              <w:fldChar w:fldCharType="end"/>
            </w:r>
          </w:hyperlink>
        </w:p>
        <w:p w14:paraId="72C6892F" w14:textId="120D43BA" w:rsidR="00451350" w:rsidRDefault="00451350">
          <w:pPr>
            <w:pStyle w:val="TOC3"/>
            <w:rPr>
              <w:rFonts w:asciiTheme="minorHAnsi" w:eastAsiaTheme="minorEastAsia" w:hAnsiTheme="minorHAnsi" w:cstheme="minorBidi"/>
            </w:rPr>
          </w:pPr>
          <w:hyperlink w:anchor="_Toc89857866" w:history="1">
            <w:r w:rsidRPr="003912B6">
              <w:rPr>
                <w:rStyle w:val="Hyperlink"/>
              </w:rPr>
              <w:t>Additional sources of literature (including websites)</w:t>
            </w:r>
            <w:r>
              <w:rPr>
                <w:webHidden/>
              </w:rPr>
              <w:tab/>
            </w:r>
            <w:r>
              <w:rPr>
                <w:webHidden/>
              </w:rPr>
              <w:fldChar w:fldCharType="begin"/>
            </w:r>
            <w:r>
              <w:rPr>
                <w:webHidden/>
              </w:rPr>
              <w:instrText xml:space="preserve"> PAGEREF _Toc89857866 \h </w:instrText>
            </w:r>
            <w:r>
              <w:rPr>
                <w:webHidden/>
              </w:rPr>
            </w:r>
            <w:r>
              <w:rPr>
                <w:webHidden/>
              </w:rPr>
              <w:fldChar w:fldCharType="separate"/>
            </w:r>
            <w:r>
              <w:rPr>
                <w:webHidden/>
              </w:rPr>
              <w:t>119</w:t>
            </w:r>
            <w:r>
              <w:rPr>
                <w:webHidden/>
              </w:rPr>
              <w:fldChar w:fldCharType="end"/>
            </w:r>
          </w:hyperlink>
        </w:p>
        <w:p w14:paraId="4589B78D" w14:textId="3C51CE12" w:rsidR="00451350" w:rsidRDefault="00451350">
          <w:pPr>
            <w:pStyle w:val="TOC3"/>
            <w:rPr>
              <w:rFonts w:asciiTheme="minorHAnsi" w:eastAsiaTheme="minorEastAsia" w:hAnsiTheme="minorHAnsi" w:cstheme="minorBidi"/>
            </w:rPr>
          </w:pPr>
          <w:hyperlink w:anchor="_Toc89857867" w:history="1">
            <w:r w:rsidRPr="003912B6">
              <w:rPr>
                <w:rStyle w:val="Hyperlink"/>
              </w:rPr>
              <w:t>Search strategies</w:t>
            </w:r>
            <w:r>
              <w:rPr>
                <w:webHidden/>
              </w:rPr>
              <w:tab/>
            </w:r>
            <w:r>
              <w:rPr>
                <w:webHidden/>
              </w:rPr>
              <w:fldChar w:fldCharType="begin"/>
            </w:r>
            <w:r>
              <w:rPr>
                <w:webHidden/>
              </w:rPr>
              <w:instrText xml:space="preserve"> PAGEREF _Toc89857867 \h </w:instrText>
            </w:r>
            <w:r>
              <w:rPr>
                <w:webHidden/>
              </w:rPr>
            </w:r>
            <w:r>
              <w:rPr>
                <w:webHidden/>
              </w:rPr>
              <w:fldChar w:fldCharType="separate"/>
            </w:r>
            <w:r>
              <w:rPr>
                <w:webHidden/>
              </w:rPr>
              <w:t>119</w:t>
            </w:r>
            <w:r>
              <w:rPr>
                <w:webHidden/>
              </w:rPr>
              <w:fldChar w:fldCharType="end"/>
            </w:r>
          </w:hyperlink>
        </w:p>
        <w:p w14:paraId="4F537037" w14:textId="51540361" w:rsidR="00451350" w:rsidRDefault="00451350">
          <w:pPr>
            <w:pStyle w:val="TOC1"/>
            <w:tabs>
              <w:tab w:val="left" w:pos="1320"/>
            </w:tabs>
            <w:rPr>
              <w:rFonts w:asciiTheme="minorHAnsi" w:eastAsiaTheme="minorEastAsia" w:hAnsiTheme="minorHAnsi" w:cstheme="minorBidi"/>
              <w:b w:val="0"/>
            </w:rPr>
          </w:pPr>
          <w:hyperlink w:anchor="_Toc89857868" w:history="1">
            <w:r w:rsidRPr="003912B6">
              <w:rPr>
                <w:rStyle w:val="Hyperlink"/>
              </w:rPr>
              <w:t>Appendix C</w:t>
            </w:r>
            <w:r>
              <w:rPr>
                <w:rFonts w:asciiTheme="minorHAnsi" w:eastAsiaTheme="minorEastAsia" w:hAnsiTheme="minorHAnsi" w:cstheme="minorBidi"/>
                <w:b w:val="0"/>
              </w:rPr>
              <w:tab/>
            </w:r>
            <w:r w:rsidRPr="003912B6">
              <w:rPr>
                <w:rStyle w:val="Hyperlink"/>
              </w:rPr>
              <w:t>Studies included in the Systematic Review</w:t>
            </w:r>
            <w:r>
              <w:rPr>
                <w:webHidden/>
              </w:rPr>
              <w:tab/>
            </w:r>
            <w:r>
              <w:rPr>
                <w:webHidden/>
              </w:rPr>
              <w:fldChar w:fldCharType="begin"/>
            </w:r>
            <w:r>
              <w:rPr>
                <w:webHidden/>
              </w:rPr>
              <w:instrText xml:space="preserve"> PAGEREF _Toc89857868 \h </w:instrText>
            </w:r>
            <w:r>
              <w:rPr>
                <w:webHidden/>
              </w:rPr>
            </w:r>
            <w:r>
              <w:rPr>
                <w:webHidden/>
              </w:rPr>
              <w:fldChar w:fldCharType="separate"/>
            </w:r>
            <w:r>
              <w:rPr>
                <w:webHidden/>
              </w:rPr>
              <w:t>122</w:t>
            </w:r>
            <w:r>
              <w:rPr>
                <w:webHidden/>
              </w:rPr>
              <w:fldChar w:fldCharType="end"/>
            </w:r>
          </w:hyperlink>
        </w:p>
        <w:p w14:paraId="4F04DF92" w14:textId="07C4B783" w:rsidR="00451350" w:rsidRDefault="00451350">
          <w:pPr>
            <w:pStyle w:val="TOC1"/>
            <w:tabs>
              <w:tab w:val="left" w:pos="1320"/>
            </w:tabs>
            <w:rPr>
              <w:rFonts w:asciiTheme="minorHAnsi" w:eastAsiaTheme="minorEastAsia" w:hAnsiTheme="minorHAnsi" w:cstheme="minorBidi"/>
              <w:b w:val="0"/>
            </w:rPr>
          </w:pPr>
          <w:hyperlink w:anchor="_Toc89857869" w:history="1">
            <w:r w:rsidRPr="003912B6">
              <w:rPr>
                <w:rStyle w:val="Hyperlink"/>
              </w:rPr>
              <w:t>Appendix D</w:t>
            </w:r>
            <w:r>
              <w:rPr>
                <w:rFonts w:asciiTheme="minorHAnsi" w:eastAsiaTheme="minorEastAsia" w:hAnsiTheme="minorHAnsi" w:cstheme="minorBidi"/>
                <w:b w:val="0"/>
              </w:rPr>
              <w:tab/>
            </w:r>
            <w:r w:rsidRPr="003912B6">
              <w:rPr>
                <w:rStyle w:val="Hyperlink"/>
              </w:rPr>
              <w:t>Evidence Profile Tables</w:t>
            </w:r>
            <w:r>
              <w:rPr>
                <w:webHidden/>
              </w:rPr>
              <w:tab/>
            </w:r>
            <w:r>
              <w:rPr>
                <w:webHidden/>
              </w:rPr>
              <w:fldChar w:fldCharType="begin"/>
            </w:r>
            <w:r>
              <w:rPr>
                <w:webHidden/>
              </w:rPr>
              <w:instrText xml:space="preserve"> PAGEREF _Toc89857869 \h </w:instrText>
            </w:r>
            <w:r>
              <w:rPr>
                <w:webHidden/>
              </w:rPr>
            </w:r>
            <w:r>
              <w:rPr>
                <w:webHidden/>
              </w:rPr>
              <w:fldChar w:fldCharType="separate"/>
            </w:r>
            <w:r>
              <w:rPr>
                <w:webHidden/>
              </w:rPr>
              <w:t>136</w:t>
            </w:r>
            <w:r>
              <w:rPr>
                <w:webHidden/>
              </w:rPr>
              <w:fldChar w:fldCharType="end"/>
            </w:r>
          </w:hyperlink>
        </w:p>
        <w:p w14:paraId="0901CBF8" w14:textId="5FCBEA68" w:rsidR="00451350" w:rsidRDefault="00451350">
          <w:pPr>
            <w:pStyle w:val="TOC1"/>
            <w:tabs>
              <w:tab w:val="left" w:pos="1320"/>
            </w:tabs>
            <w:rPr>
              <w:rFonts w:asciiTheme="minorHAnsi" w:eastAsiaTheme="minorEastAsia" w:hAnsiTheme="minorHAnsi" w:cstheme="minorBidi"/>
              <w:b w:val="0"/>
            </w:rPr>
          </w:pPr>
          <w:hyperlink w:anchor="_Toc89857870" w:history="1">
            <w:r w:rsidRPr="003912B6">
              <w:rPr>
                <w:rStyle w:val="Hyperlink"/>
              </w:rPr>
              <w:t>Appendix E</w:t>
            </w:r>
            <w:r>
              <w:rPr>
                <w:rFonts w:asciiTheme="minorHAnsi" w:eastAsiaTheme="minorEastAsia" w:hAnsiTheme="minorHAnsi" w:cstheme="minorBidi"/>
                <w:b w:val="0"/>
              </w:rPr>
              <w:tab/>
            </w:r>
            <w:r w:rsidRPr="003912B6">
              <w:rPr>
                <w:rStyle w:val="Hyperlink"/>
              </w:rPr>
              <w:t>Excluded Studies</w:t>
            </w:r>
            <w:r>
              <w:rPr>
                <w:webHidden/>
              </w:rPr>
              <w:tab/>
            </w:r>
            <w:r>
              <w:rPr>
                <w:webHidden/>
              </w:rPr>
              <w:fldChar w:fldCharType="begin"/>
            </w:r>
            <w:r>
              <w:rPr>
                <w:webHidden/>
              </w:rPr>
              <w:instrText xml:space="preserve"> PAGEREF _Toc89857870 \h </w:instrText>
            </w:r>
            <w:r>
              <w:rPr>
                <w:webHidden/>
              </w:rPr>
            </w:r>
            <w:r>
              <w:rPr>
                <w:webHidden/>
              </w:rPr>
              <w:fldChar w:fldCharType="separate"/>
            </w:r>
            <w:r>
              <w:rPr>
                <w:webHidden/>
              </w:rPr>
              <w:t>138</w:t>
            </w:r>
            <w:r>
              <w:rPr>
                <w:webHidden/>
              </w:rPr>
              <w:fldChar w:fldCharType="end"/>
            </w:r>
          </w:hyperlink>
        </w:p>
        <w:p w14:paraId="24FA9A19" w14:textId="46B5796B" w:rsidR="00451350" w:rsidRDefault="00451350">
          <w:pPr>
            <w:pStyle w:val="TOC1"/>
            <w:rPr>
              <w:rFonts w:asciiTheme="minorHAnsi" w:eastAsiaTheme="minorEastAsia" w:hAnsiTheme="minorHAnsi" w:cstheme="minorBidi"/>
              <w:b w:val="0"/>
            </w:rPr>
          </w:pPr>
          <w:hyperlink w:anchor="_Toc89857871" w:history="1">
            <w:r w:rsidRPr="003912B6">
              <w:rPr>
                <w:rStyle w:val="Hyperlink"/>
              </w:rPr>
              <w:t>References</w:t>
            </w:r>
            <w:r>
              <w:rPr>
                <w:webHidden/>
              </w:rPr>
              <w:tab/>
            </w:r>
            <w:r>
              <w:rPr>
                <w:webHidden/>
              </w:rPr>
              <w:fldChar w:fldCharType="begin"/>
            </w:r>
            <w:r>
              <w:rPr>
                <w:webHidden/>
              </w:rPr>
              <w:instrText xml:space="preserve"> PAGEREF _Toc89857871 \h </w:instrText>
            </w:r>
            <w:r>
              <w:rPr>
                <w:webHidden/>
              </w:rPr>
            </w:r>
            <w:r>
              <w:rPr>
                <w:webHidden/>
              </w:rPr>
              <w:fldChar w:fldCharType="separate"/>
            </w:r>
            <w:r>
              <w:rPr>
                <w:webHidden/>
              </w:rPr>
              <w:t>139</w:t>
            </w:r>
            <w:r>
              <w:rPr>
                <w:webHidden/>
              </w:rPr>
              <w:fldChar w:fldCharType="end"/>
            </w:r>
          </w:hyperlink>
        </w:p>
        <w:p w14:paraId="492C041C" w14:textId="3CF682FB" w:rsidR="00D3772B" w:rsidRDefault="00715761" w:rsidP="00715761">
          <w:pPr>
            <w:pStyle w:val="TOC1"/>
          </w:pPr>
          <w:r>
            <w:fldChar w:fldCharType="end"/>
          </w:r>
        </w:p>
      </w:sdtContent>
    </w:sdt>
    <w:p w14:paraId="38A68B1A" w14:textId="4AFD6CCA" w:rsidR="008F59A8" w:rsidRPr="00183E4D" w:rsidRDefault="008F59A8" w:rsidP="00BC1AF1">
      <w:pPr>
        <w:pStyle w:val="Heading2"/>
        <w:tabs>
          <w:tab w:val="left" w:pos="1276"/>
        </w:tabs>
        <w:ind w:left="1276" w:hanging="1276"/>
        <w:jc w:val="both"/>
      </w:pPr>
      <w:r w:rsidRPr="00183E4D">
        <w:br w:type="page"/>
      </w:r>
      <w:bookmarkStart w:id="21" w:name="_Toc381796425"/>
      <w:bookmarkStart w:id="22" w:name="_Toc395200736"/>
      <w:bookmarkStart w:id="23" w:name="_Toc399247191"/>
      <w:bookmarkStart w:id="24" w:name="_Toc402884710"/>
      <w:bookmarkStart w:id="25" w:name="_Toc59018734"/>
      <w:bookmarkStart w:id="26" w:name="_Toc59020278"/>
      <w:bookmarkStart w:id="27" w:name="_Toc59439500"/>
      <w:bookmarkStart w:id="28" w:name="_Toc89857772"/>
      <w:r w:rsidRPr="00183E4D">
        <w:lastRenderedPageBreak/>
        <w:t>Tables</w:t>
      </w:r>
      <w:bookmarkEnd w:id="21"/>
      <w:bookmarkEnd w:id="22"/>
      <w:bookmarkEnd w:id="23"/>
      <w:bookmarkEnd w:id="24"/>
      <w:bookmarkEnd w:id="25"/>
      <w:bookmarkEnd w:id="26"/>
      <w:bookmarkEnd w:id="27"/>
      <w:bookmarkEnd w:id="28"/>
      <w:r w:rsidR="00BC1AF1">
        <w:t xml:space="preserve">    </w:t>
      </w:r>
    </w:p>
    <w:bookmarkStart w:id="29" w:name="_Toc381796426"/>
    <w:bookmarkStart w:id="30" w:name="_Toc395200737"/>
    <w:p w14:paraId="73FCCD6F" w14:textId="0ACF7370" w:rsidR="00451350" w:rsidRDefault="00503C5B">
      <w:pPr>
        <w:pStyle w:val="TableofFigures"/>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89857872" w:history="1">
        <w:r w:rsidR="00451350" w:rsidRPr="00E7123A">
          <w:rPr>
            <w:rStyle w:val="Hyperlink"/>
          </w:rPr>
          <w:t>Table 1</w:t>
        </w:r>
        <w:r w:rsidR="00451350">
          <w:rPr>
            <w:rFonts w:asciiTheme="minorHAnsi" w:eastAsiaTheme="minorEastAsia" w:hAnsiTheme="minorHAnsi" w:cstheme="minorBidi"/>
          </w:rPr>
          <w:tab/>
        </w:r>
        <w:r w:rsidR="00451350" w:rsidRPr="00E7123A">
          <w:rPr>
            <w:rStyle w:val="Hyperlink"/>
          </w:rPr>
          <w:t>Proposed MBS item descriptor</w:t>
        </w:r>
        <w:r w:rsidR="00451350">
          <w:rPr>
            <w:webHidden/>
          </w:rPr>
          <w:tab/>
        </w:r>
        <w:r w:rsidR="00451350">
          <w:rPr>
            <w:webHidden/>
          </w:rPr>
          <w:fldChar w:fldCharType="begin"/>
        </w:r>
        <w:r w:rsidR="00451350">
          <w:rPr>
            <w:webHidden/>
          </w:rPr>
          <w:instrText xml:space="preserve"> PAGEREF _Toc89857872 \h </w:instrText>
        </w:r>
        <w:r w:rsidR="00451350">
          <w:rPr>
            <w:webHidden/>
          </w:rPr>
        </w:r>
        <w:r w:rsidR="00451350">
          <w:rPr>
            <w:webHidden/>
          </w:rPr>
          <w:fldChar w:fldCharType="separate"/>
        </w:r>
        <w:r w:rsidR="00451350">
          <w:rPr>
            <w:webHidden/>
          </w:rPr>
          <w:t>xiii</w:t>
        </w:r>
        <w:r w:rsidR="00451350">
          <w:rPr>
            <w:webHidden/>
          </w:rPr>
          <w:fldChar w:fldCharType="end"/>
        </w:r>
      </w:hyperlink>
    </w:p>
    <w:p w14:paraId="44620280" w14:textId="4F12D1A5" w:rsidR="00451350" w:rsidRDefault="00451350">
      <w:pPr>
        <w:pStyle w:val="TableofFigures"/>
        <w:rPr>
          <w:rFonts w:asciiTheme="minorHAnsi" w:eastAsiaTheme="minorEastAsia" w:hAnsiTheme="minorHAnsi" w:cstheme="minorBidi"/>
        </w:rPr>
      </w:pPr>
      <w:hyperlink w:anchor="_Toc89857873" w:history="1">
        <w:r w:rsidRPr="00E7123A">
          <w:rPr>
            <w:rStyle w:val="Hyperlink"/>
          </w:rPr>
          <w:t>Table 2</w:t>
        </w:r>
        <w:r>
          <w:rPr>
            <w:rFonts w:asciiTheme="minorHAnsi" w:eastAsiaTheme="minorEastAsia" w:hAnsiTheme="minorHAnsi" w:cstheme="minorBidi"/>
          </w:rPr>
          <w:tab/>
        </w:r>
        <w:r w:rsidRPr="00E7123A">
          <w:rPr>
            <w:rStyle w:val="Hyperlink"/>
          </w:rPr>
          <w:t xml:space="preserve"> </w:t>
        </w:r>
        <w:r w:rsidRPr="00E7123A">
          <w:rPr>
            <w:rStyle w:val="Hyperlink"/>
            <w:rFonts w:cs="Arial"/>
            <w:snapToGrid w:val="0"/>
            <w:lang w:eastAsia="en-US"/>
          </w:rPr>
          <w:t>Summary of the effect and the overall quality of the evidence on the safety and effectiveness of MR-IGRT</w:t>
        </w:r>
        <w:r>
          <w:rPr>
            <w:webHidden/>
          </w:rPr>
          <w:tab/>
        </w:r>
        <w:r>
          <w:rPr>
            <w:webHidden/>
          </w:rPr>
          <w:fldChar w:fldCharType="begin"/>
        </w:r>
        <w:r>
          <w:rPr>
            <w:webHidden/>
          </w:rPr>
          <w:instrText xml:space="preserve"> PAGEREF _Toc89857873 \h </w:instrText>
        </w:r>
        <w:r>
          <w:rPr>
            <w:webHidden/>
          </w:rPr>
        </w:r>
        <w:r>
          <w:rPr>
            <w:webHidden/>
          </w:rPr>
          <w:fldChar w:fldCharType="separate"/>
        </w:r>
        <w:r>
          <w:rPr>
            <w:webHidden/>
          </w:rPr>
          <w:t>xviii</w:t>
        </w:r>
        <w:r>
          <w:rPr>
            <w:webHidden/>
          </w:rPr>
          <w:fldChar w:fldCharType="end"/>
        </w:r>
      </w:hyperlink>
    </w:p>
    <w:p w14:paraId="7F06C6FB" w14:textId="79FDE2BD" w:rsidR="00451350" w:rsidRDefault="00451350">
      <w:pPr>
        <w:pStyle w:val="TableofFigures"/>
        <w:rPr>
          <w:rFonts w:asciiTheme="minorHAnsi" w:eastAsiaTheme="minorEastAsia" w:hAnsiTheme="minorHAnsi" w:cstheme="minorBidi"/>
        </w:rPr>
      </w:pPr>
      <w:hyperlink w:anchor="_Toc89857874" w:history="1">
        <w:r w:rsidRPr="00E7123A">
          <w:rPr>
            <w:rStyle w:val="Hyperlink"/>
          </w:rPr>
          <w:t>Table 3</w:t>
        </w:r>
        <w:r>
          <w:rPr>
            <w:rFonts w:asciiTheme="minorHAnsi" w:eastAsiaTheme="minorEastAsia" w:hAnsiTheme="minorHAnsi" w:cstheme="minorBidi"/>
          </w:rPr>
          <w:tab/>
        </w:r>
        <w:r w:rsidRPr="00E7123A">
          <w:rPr>
            <w:rStyle w:val="Hyperlink"/>
          </w:rPr>
          <w:t>Summary of the economic evaluation</w:t>
        </w:r>
        <w:r>
          <w:rPr>
            <w:webHidden/>
          </w:rPr>
          <w:tab/>
        </w:r>
        <w:r>
          <w:rPr>
            <w:webHidden/>
          </w:rPr>
          <w:fldChar w:fldCharType="begin"/>
        </w:r>
        <w:r>
          <w:rPr>
            <w:webHidden/>
          </w:rPr>
          <w:instrText xml:space="preserve"> PAGEREF _Toc89857874 \h </w:instrText>
        </w:r>
        <w:r>
          <w:rPr>
            <w:webHidden/>
          </w:rPr>
        </w:r>
        <w:r>
          <w:rPr>
            <w:webHidden/>
          </w:rPr>
          <w:fldChar w:fldCharType="separate"/>
        </w:r>
        <w:r>
          <w:rPr>
            <w:webHidden/>
          </w:rPr>
          <w:t>xxi</w:t>
        </w:r>
        <w:r>
          <w:rPr>
            <w:webHidden/>
          </w:rPr>
          <w:fldChar w:fldCharType="end"/>
        </w:r>
      </w:hyperlink>
    </w:p>
    <w:p w14:paraId="420C8D42" w14:textId="291B9688" w:rsidR="00451350" w:rsidRDefault="00451350">
      <w:pPr>
        <w:pStyle w:val="TableofFigures"/>
        <w:rPr>
          <w:rFonts w:asciiTheme="minorHAnsi" w:eastAsiaTheme="minorEastAsia" w:hAnsiTheme="minorHAnsi" w:cstheme="minorBidi"/>
        </w:rPr>
      </w:pPr>
      <w:hyperlink w:anchor="_Toc89857875" w:history="1">
        <w:r w:rsidRPr="00E7123A">
          <w:rPr>
            <w:rStyle w:val="Hyperlink"/>
          </w:rPr>
          <w:t xml:space="preserve">Table 4 </w:t>
        </w:r>
        <w:r>
          <w:rPr>
            <w:rFonts w:asciiTheme="minorHAnsi" w:eastAsiaTheme="minorEastAsia" w:hAnsiTheme="minorHAnsi" w:cstheme="minorBidi"/>
          </w:rPr>
          <w:tab/>
        </w:r>
        <w:r w:rsidRPr="00E7123A">
          <w:rPr>
            <w:rStyle w:val="Hyperlink"/>
          </w:rPr>
          <w:t>Overall and incremental costs of MRI-guided radiation therapy and CBCT-guided radiation therapy</w:t>
        </w:r>
        <w:r>
          <w:rPr>
            <w:webHidden/>
          </w:rPr>
          <w:tab/>
        </w:r>
        <w:r>
          <w:rPr>
            <w:webHidden/>
          </w:rPr>
          <w:fldChar w:fldCharType="begin"/>
        </w:r>
        <w:r>
          <w:rPr>
            <w:webHidden/>
          </w:rPr>
          <w:instrText xml:space="preserve"> PAGEREF _Toc89857875 \h </w:instrText>
        </w:r>
        <w:r>
          <w:rPr>
            <w:webHidden/>
          </w:rPr>
        </w:r>
        <w:r>
          <w:rPr>
            <w:webHidden/>
          </w:rPr>
          <w:fldChar w:fldCharType="separate"/>
        </w:r>
        <w:r>
          <w:rPr>
            <w:webHidden/>
          </w:rPr>
          <w:t>xxi</w:t>
        </w:r>
        <w:r>
          <w:rPr>
            <w:webHidden/>
          </w:rPr>
          <w:fldChar w:fldCharType="end"/>
        </w:r>
      </w:hyperlink>
    </w:p>
    <w:p w14:paraId="76940367" w14:textId="08CE3FE2" w:rsidR="00451350" w:rsidRDefault="00451350">
      <w:pPr>
        <w:pStyle w:val="TableofFigures"/>
        <w:rPr>
          <w:rFonts w:asciiTheme="minorHAnsi" w:eastAsiaTheme="minorEastAsia" w:hAnsiTheme="minorHAnsi" w:cstheme="minorBidi"/>
        </w:rPr>
      </w:pPr>
      <w:hyperlink w:anchor="_Toc89857876" w:history="1">
        <w:r w:rsidRPr="00E7123A">
          <w:rPr>
            <w:rStyle w:val="Hyperlink"/>
          </w:rPr>
          <w:t>Table 5</w:t>
        </w:r>
        <w:r>
          <w:rPr>
            <w:rFonts w:asciiTheme="minorHAnsi" w:eastAsiaTheme="minorEastAsia" w:hAnsiTheme="minorHAnsi" w:cstheme="minorBidi"/>
          </w:rPr>
          <w:tab/>
        </w:r>
        <w:r w:rsidRPr="00E7123A">
          <w:rPr>
            <w:rStyle w:val="Hyperlink"/>
          </w:rPr>
          <w:t xml:space="preserve"> Changing fractions for CBCT-IGRT and impact on the incremental cost</w:t>
        </w:r>
        <w:r>
          <w:rPr>
            <w:webHidden/>
          </w:rPr>
          <w:tab/>
        </w:r>
        <w:r>
          <w:rPr>
            <w:webHidden/>
          </w:rPr>
          <w:fldChar w:fldCharType="begin"/>
        </w:r>
        <w:r>
          <w:rPr>
            <w:webHidden/>
          </w:rPr>
          <w:instrText xml:space="preserve"> PAGEREF _Toc89857876 \h </w:instrText>
        </w:r>
        <w:r>
          <w:rPr>
            <w:webHidden/>
          </w:rPr>
        </w:r>
        <w:r>
          <w:rPr>
            <w:webHidden/>
          </w:rPr>
          <w:fldChar w:fldCharType="separate"/>
        </w:r>
        <w:r>
          <w:rPr>
            <w:webHidden/>
          </w:rPr>
          <w:t>xxiii</w:t>
        </w:r>
        <w:r>
          <w:rPr>
            <w:webHidden/>
          </w:rPr>
          <w:fldChar w:fldCharType="end"/>
        </w:r>
      </w:hyperlink>
    </w:p>
    <w:p w14:paraId="27536BDF" w14:textId="0FF924B0" w:rsidR="00451350" w:rsidRDefault="00451350">
      <w:pPr>
        <w:pStyle w:val="TableofFigures"/>
        <w:rPr>
          <w:rFonts w:asciiTheme="minorHAnsi" w:eastAsiaTheme="minorEastAsia" w:hAnsiTheme="minorHAnsi" w:cstheme="minorBidi"/>
        </w:rPr>
      </w:pPr>
      <w:hyperlink w:anchor="_Toc89857877" w:history="1">
        <w:r w:rsidRPr="00E7123A">
          <w:rPr>
            <w:rStyle w:val="Hyperlink"/>
          </w:rPr>
          <w:t>Table 6</w:t>
        </w:r>
        <w:r>
          <w:rPr>
            <w:rFonts w:asciiTheme="minorHAnsi" w:eastAsiaTheme="minorEastAsia" w:hAnsiTheme="minorHAnsi" w:cstheme="minorBidi"/>
          </w:rPr>
          <w:tab/>
        </w:r>
        <w:r w:rsidRPr="00E7123A">
          <w:rPr>
            <w:rStyle w:val="Hyperlink"/>
          </w:rPr>
          <w:t xml:space="preserve"> Net MBS financial impact of MR-IGRT listing</w:t>
        </w:r>
        <w:r>
          <w:rPr>
            <w:webHidden/>
          </w:rPr>
          <w:tab/>
        </w:r>
        <w:r>
          <w:rPr>
            <w:webHidden/>
          </w:rPr>
          <w:fldChar w:fldCharType="begin"/>
        </w:r>
        <w:r>
          <w:rPr>
            <w:webHidden/>
          </w:rPr>
          <w:instrText xml:space="preserve"> PAGEREF _Toc89857877 \h </w:instrText>
        </w:r>
        <w:r>
          <w:rPr>
            <w:webHidden/>
          </w:rPr>
        </w:r>
        <w:r>
          <w:rPr>
            <w:webHidden/>
          </w:rPr>
          <w:fldChar w:fldCharType="separate"/>
        </w:r>
        <w:r>
          <w:rPr>
            <w:webHidden/>
          </w:rPr>
          <w:t>xxiv</w:t>
        </w:r>
        <w:r>
          <w:rPr>
            <w:webHidden/>
          </w:rPr>
          <w:fldChar w:fldCharType="end"/>
        </w:r>
      </w:hyperlink>
    </w:p>
    <w:p w14:paraId="465E21C1" w14:textId="474F7F77" w:rsidR="00451350" w:rsidRDefault="00451350">
      <w:pPr>
        <w:pStyle w:val="TableofFigures"/>
        <w:rPr>
          <w:rFonts w:asciiTheme="minorHAnsi" w:eastAsiaTheme="minorEastAsia" w:hAnsiTheme="minorHAnsi" w:cstheme="minorBidi"/>
        </w:rPr>
      </w:pPr>
      <w:hyperlink w:anchor="_Toc89857878" w:history="1">
        <w:r w:rsidRPr="00E7123A">
          <w:rPr>
            <w:rStyle w:val="Hyperlink"/>
          </w:rPr>
          <w:t>Table 7</w:t>
        </w:r>
        <w:r>
          <w:rPr>
            <w:rFonts w:asciiTheme="minorHAnsi" w:eastAsiaTheme="minorEastAsia" w:hAnsiTheme="minorHAnsi" w:cstheme="minorBidi"/>
          </w:rPr>
          <w:tab/>
        </w:r>
        <w:r w:rsidRPr="00E7123A">
          <w:rPr>
            <w:rStyle w:val="Hyperlink"/>
          </w:rPr>
          <w:t xml:space="preserve"> PICO Confirmation checkbox</w:t>
        </w:r>
        <w:r>
          <w:rPr>
            <w:webHidden/>
          </w:rPr>
          <w:tab/>
        </w:r>
        <w:r>
          <w:rPr>
            <w:webHidden/>
          </w:rPr>
          <w:fldChar w:fldCharType="begin"/>
        </w:r>
        <w:r>
          <w:rPr>
            <w:webHidden/>
          </w:rPr>
          <w:instrText xml:space="preserve"> PAGEREF _Toc89857878 \h </w:instrText>
        </w:r>
        <w:r>
          <w:rPr>
            <w:webHidden/>
          </w:rPr>
        </w:r>
        <w:r>
          <w:rPr>
            <w:webHidden/>
          </w:rPr>
          <w:fldChar w:fldCharType="separate"/>
        </w:r>
        <w:r>
          <w:rPr>
            <w:webHidden/>
          </w:rPr>
          <w:t>1</w:t>
        </w:r>
        <w:r>
          <w:rPr>
            <w:webHidden/>
          </w:rPr>
          <w:fldChar w:fldCharType="end"/>
        </w:r>
      </w:hyperlink>
    </w:p>
    <w:p w14:paraId="2441B77E" w14:textId="497E4341" w:rsidR="00451350" w:rsidRDefault="00451350">
      <w:pPr>
        <w:pStyle w:val="TableofFigures"/>
        <w:rPr>
          <w:rFonts w:asciiTheme="minorHAnsi" w:eastAsiaTheme="minorEastAsia" w:hAnsiTheme="minorHAnsi" w:cstheme="minorBidi"/>
        </w:rPr>
      </w:pPr>
      <w:hyperlink w:anchor="_Toc89857879" w:history="1">
        <w:r w:rsidRPr="00E7123A">
          <w:rPr>
            <w:rStyle w:val="Hyperlink"/>
          </w:rPr>
          <w:t>Table 8</w:t>
        </w:r>
        <w:r>
          <w:rPr>
            <w:rFonts w:asciiTheme="minorHAnsi" w:eastAsiaTheme="minorEastAsia" w:hAnsiTheme="minorHAnsi" w:cstheme="minorBidi"/>
          </w:rPr>
          <w:tab/>
        </w:r>
        <w:r w:rsidRPr="00E7123A">
          <w:rPr>
            <w:rStyle w:val="Hyperlink"/>
          </w:rPr>
          <w:t xml:space="preserve"> Types of MR-IGRT technologies currently available (adapted from Hall et al. (2019) and Chin et al. (2020))</w:t>
        </w:r>
        <w:r>
          <w:rPr>
            <w:webHidden/>
          </w:rPr>
          <w:tab/>
        </w:r>
        <w:r>
          <w:rPr>
            <w:webHidden/>
          </w:rPr>
          <w:fldChar w:fldCharType="begin"/>
        </w:r>
        <w:r>
          <w:rPr>
            <w:webHidden/>
          </w:rPr>
          <w:instrText xml:space="preserve"> PAGEREF _Toc89857879 \h </w:instrText>
        </w:r>
        <w:r>
          <w:rPr>
            <w:webHidden/>
          </w:rPr>
        </w:r>
        <w:r>
          <w:rPr>
            <w:webHidden/>
          </w:rPr>
          <w:fldChar w:fldCharType="separate"/>
        </w:r>
        <w:r>
          <w:rPr>
            <w:webHidden/>
          </w:rPr>
          <w:t>3</w:t>
        </w:r>
        <w:r>
          <w:rPr>
            <w:webHidden/>
          </w:rPr>
          <w:fldChar w:fldCharType="end"/>
        </w:r>
      </w:hyperlink>
    </w:p>
    <w:p w14:paraId="0829101A" w14:textId="19CD877E" w:rsidR="00451350" w:rsidRDefault="00451350">
      <w:pPr>
        <w:pStyle w:val="TableofFigures"/>
        <w:rPr>
          <w:rFonts w:asciiTheme="minorHAnsi" w:eastAsiaTheme="minorEastAsia" w:hAnsiTheme="minorHAnsi" w:cstheme="minorBidi"/>
        </w:rPr>
      </w:pPr>
      <w:hyperlink w:anchor="_Toc89857880" w:history="1">
        <w:r w:rsidRPr="00E7123A">
          <w:rPr>
            <w:rStyle w:val="Hyperlink"/>
          </w:rPr>
          <w:t>Table 9</w:t>
        </w:r>
        <w:r>
          <w:rPr>
            <w:rFonts w:asciiTheme="minorHAnsi" w:eastAsiaTheme="minorEastAsia" w:hAnsiTheme="minorHAnsi" w:cstheme="minorBidi"/>
          </w:rPr>
          <w:tab/>
        </w:r>
        <w:r w:rsidRPr="00E7123A">
          <w:rPr>
            <w:rStyle w:val="Hyperlink"/>
          </w:rPr>
          <w:t>MR-IGRT devices listed on the ARTG</w:t>
        </w:r>
        <w:r>
          <w:rPr>
            <w:webHidden/>
          </w:rPr>
          <w:tab/>
        </w:r>
        <w:r>
          <w:rPr>
            <w:webHidden/>
          </w:rPr>
          <w:fldChar w:fldCharType="begin"/>
        </w:r>
        <w:r>
          <w:rPr>
            <w:webHidden/>
          </w:rPr>
          <w:instrText xml:space="preserve"> PAGEREF _Toc89857880 \h </w:instrText>
        </w:r>
        <w:r>
          <w:rPr>
            <w:webHidden/>
          </w:rPr>
        </w:r>
        <w:r>
          <w:rPr>
            <w:webHidden/>
          </w:rPr>
          <w:fldChar w:fldCharType="separate"/>
        </w:r>
        <w:r>
          <w:rPr>
            <w:webHidden/>
          </w:rPr>
          <w:t>3</w:t>
        </w:r>
        <w:r>
          <w:rPr>
            <w:webHidden/>
          </w:rPr>
          <w:fldChar w:fldCharType="end"/>
        </w:r>
      </w:hyperlink>
    </w:p>
    <w:p w14:paraId="2A5B792F" w14:textId="3320B6BB" w:rsidR="00451350" w:rsidRDefault="00451350">
      <w:pPr>
        <w:pStyle w:val="TableofFigures"/>
        <w:rPr>
          <w:rFonts w:asciiTheme="minorHAnsi" w:eastAsiaTheme="minorEastAsia" w:hAnsiTheme="minorHAnsi" w:cstheme="minorBidi"/>
        </w:rPr>
      </w:pPr>
      <w:hyperlink w:anchor="_Toc89857881" w:history="1">
        <w:r w:rsidRPr="00E7123A">
          <w:rPr>
            <w:rStyle w:val="Hyperlink"/>
          </w:rPr>
          <w:t>Table 10</w:t>
        </w:r>
        <w:r>
          <w:rPr>
            <w:rFonts w:asciiTheme="minorHAnsi" w:eastAsiaTheme="minorEastAsia" w:hAnsiTheme="minorHAnsi" w:cstheme="minorBidi"/>
          </w:rPr>
          <w:tab/>
        </w:r>
        <w:r w:rsidRPr="00E7123A">
          <w:rPr>
            <w:rStyle w:val="Hyperlink"/>
          </w:rPr>
          <w:t>Proposed MBS item descriptor (15275)</w:t>
        </w:r>
        <w:r>
          <w:rPr>
            <w:webHidden/>
          </w:rPr>
          <w:tab/>
        </w:r>
        <w:r>
          <w:rPr>
            <w:webHidden/>
          </w:rPr>
          <w:fldChar w:fldCharType="begin"/>
        </w:r>
        <w:r>
          <w:rPr>
            <w:webHidden/>
          </w:rPr>
          <w:instrText xml:space="preserve"> PAGEREF _Toc89857881 \h </w:instrText>
        </w:r>
        <w:r>
          <w:rPr>
            <w:webHidden/>
          </w:rPr>
        </w:r>
        <w:r>
          <w:rPr>
            <w:webHidden/>
          </w:rPr>
          <w:fldChar w:fldCharType="separate"/>
        </w:r>
        <w:r>
          <w:rPr>
            <w:webHidden/>
          </w:rPr>
          <w:t>4</w:t>
        </w:r>
        <w:r>
          <w:rPr>
            <w:webHidden/>
          </w:rPr>
          <w:fldChar w:fldCharType="end"/>
        </w:r>
      </w:hyperlink>
    </w:p>
    <w:p w14:paraId="1244BB58" w14:textId="3178EDC6" w:rsidR="00451350" w:rsidRDefault="00451350">
      <w:pPr>
        <w:pStyle w:val="TableofFigures"/>
        <w:rPr>
          <w:rFonts w:asciiTheme="minorHAnsi" w:eastAsiaTheme="minorEastAsia" w:hAnsiTheme="minorHAnsi" w:cstheme="minorBidi"/>
        </w:rPr>
      </w:pPr>
      <w:hyperlink w:anchor="_Toc89857882" w:history="1">
        <w:r w:rsidRPr="00E7123A">
          <w:rPr>
            <w:rStyle w:val="Hyperlink"/>
          </w:rPr>
          <w:t>Table 11</w:t>
        </w:r>
        <w:r>
          <w:rPr>
            <w:rFonts w:asciiTheme="minorHAnsi" w:eastAsiaTheme="minorEastAsia" w:hAnsiTheme="minorHAnsi" w:cstheme="minorBidi"/>
          </w:rPr>
          <w:tab/>
        </w:r>
        <w:r w:rsidRPr="00E7123A">
          <w:rPr>
            <w:rStyle w:val="Hyperlink"/>
          </w:rPr>
          <w:t>Proposed MBS item descriptor (15555)</w:t>
        </w:r>
        <w:r>
          <w:rPr>
            <w:webHidden/>
          </w:rPr>
          <w:tab/>
        </w:r>
        <w:r>
          <w:rPr>
            <w:webHidden/>
          </w:rPr>
          <w:fldChar w:fldCharType="begin"/>
        </w:r>
        <w:r>
          <w:rPr>
            <w:webHidden/>
          </w:rPr>
          <w:instrText xml:space="preserve"> PAGEREF _Toc89857882 \h </w:instrText>
        </w:r>
        <w:r>
          <w:rPr>
            <w:webHidden/>
          </w:rPr>
        </w:r>
        <w:r>
          <w:rPr>
            <w:webHidden/>
          </w:rPr>
          <w:fldChar w:fldCharType="separate"/>
        </w:r>
        <w:r>
          <w:rPr>
            <w:webHidden/>
          </w:rPr>
          <w:t>5</w:t>
        </w:r>
        <w:r>
          <w:rPr>
            <w:webHidden/>
          </w:rPr>
          <w:fldChar w:fldCharType="end"/>
        </w:r>
      </w:hyperlink>
    </w:p>
    <w:p w14:paraId="71D3EC71" w14:textId="4FDF0729" w:rsidR="00451350" w:rsidRDefault="00451350">
      <w:pPr>
        <w:pStyle w:val="TableofFigures"/>
        <w:rPr>
          <w:rFonts w:asciiTheme="minorHAnsi" w:eastAsiaTheme="minorEastAsia" w:hAnsiTheme="minorHAnsi" w:cstheme="minorBidi"/>
        </w:rPr>
      </w:pPr>
      <w:hyperlink w:anchor="_Toc89857883" w:history="1">
        <w:r w:rsidRPr="00E7123A">
          <w:rPr>
            <w:rStyle w:val="Hyperlink"/>
          </w:rPr>
          <w:t>Table 12</w:t>
        </w:r>
        <w:r>
          <w:rPr>
            <w:rFonts w:asciiTheme="minorHAnsi" w:eastAsiaTheme="minorEastAsia" w:hAnsiTheme="minorHAnsi" w:cstheme="minorBidi"/>
          </w:rPr>
          <w:tab/>
        </w:r>
        <w:r w:rsidRPr="00E7123A">
          <w:rPr>
            <w:rStyle w:val="Hyperlink"/>
          </w:rPr>
          <w:t>Proposed MBS item descriptor (15565)</w:t>
        </w:r>
        <w:r>
          <w:rPr>
            <w:webHidden/>
          </w:rPr>
          <w:tab/>
        </w:r>
        <w:r>
          <w:rPr>
            <w:webHidden/>
          </w:rPr>
          <w:fldChar w:fldCharType="begin"/>
        </w:r>
        <w:r>
          <w:rPr>
            <w:webHidden/>
          </w:rPr>
          <w:instrText xml:space="preserve"> PAGEREF _Toc89857883 \h </w:instrText>
        </w:r>
        <w:r>
          <w:rPr>
            <w:webHidden/>
          </w:rPr>
        </w:r>
        <w:r>
          <w:rPr>
            <w:webHidden/>
          </w:rPr>
          <w:fldChar w:fldCharType="separate"/>
        </w:r>
        <w:r>
          <w:rPr>
            <w:webHidden/>
          </w:rPr>
          <w:t>5</w:t>
        </w:r>
        <w:r>
          <w:rPr>
            <w:webHidden/>
          </w:rPr>
          <w:fldChar w:fldCharType="end"/>
        </w:r>
      </w:hyperlink>
    </w:p>
    <w:p w14:paraId="6A22A435" w14:textId="0A8DEFC6" w:rsidR="00451350" w:rsidRDefault="00451350">
      <w:pPr>
        <w:pStyle w:val="TableofFigures"/>
        <w:rPr>
          <w:rFonts w:asciiTheme="minorHAnsi" w:eastAsiaTheme="minorEastAsia" w:hAnsiTheme="minorHAnsi" w:cstheme="minorBidi"/>
        </w:rPr>
      </w:pPr>
      <w:hyperlink w:anchor="_Toc89857884" w:history="1">
        <w:r w:rsidRPr="00E7123A">
          <w:rPr>
            <w:rStyle w:val="Hyperlink"/>
          </w:rPr>
          <w:t>Table 13</w:t>
        </w:r>
        <w:r>
          <w:rPr>
            <w:rFonts w:asciiTheme="minorHAnsi" w:eastAsiaTheme="minorEastAsia" w:hAnsiTheme="minorHAnsi" w:cstheme="minorBidi"/>
          </w:rPr>
          <w:tab/>
        </w:r>
        <w:r w:rsidRPr="00E7123A">
          <w:rPr>
            <w:rStyle w:val="Hyperlink"/>
          </w:rPr>
          <w:t>Assessment of the quality of the included cohort study using NOS</w:t>
        </w:r>
        <w:r>
          <w:rPr>
            <w:webHidden/>
          </w:rPr>
          <w:tab/>
        </w:r>
        <w:r>
          <w:rPr>
            <w:webHidden/>
          </w:rPr>
          <w:fldChar w:fldCharType="begin"/>
        </w:r>
        <w:r>
          <w:rPr>
            <w:webHidden/>
          </w:rPr>
          <w:instrText xml:space="preserve"> PAGEREF _Toc89857884 \h </w:instrText>
        </w:r>
        <w:r>
          <w:rPr>
            <w:webHidden/>
          </w:rPr>
        </w:r>
        <w:r>
          <w:rPr>
            <w:webHidden/>
          </w:rPr>
          <w:fldChar w:fldCharType="separate"/>
        </w:r>
        <w:r>
          <w:rPr>
            <w:webHidden/>
          </w:rPr>
          <w:t>16</w:t>
        </w:r>
        <w:r>
          <w:rPr>
            <w:webHidden/>
          </w:rPr>
          <w:fldChar w:fldCharType="end"/>
        </w:r>
      </w:hyperlink>
    </w:p>
    <w:p w14:paraId="4E027A84" w14:textId="12BB8A12" w:rsidR="00451350" w:rsidRDefault="00451350">
      <w:pPr>
        <w:pStyle w:val="TableofFigures"/>
        <w:rPr>
          <w:rFonts w:asciiTheme="minorHAnsi" w:eastAsiaTheme="minorEastAsia" w:hAnsiTheme="minorHAnsi" w:cstheme="minorBidi"/>
        </w:rPr>
      </w:pPr>
      <w:hyperlink w:anchor="_Toc89857885" w:history="1">
        <w:r w:rsidRPr="00E7123A">
          <w:rPr>
            <w:rStyle w:val="Hyperlink"/>
          </w:rPr>
          <w:t>Table 14</w:t>
        </w:r>
        <w:r>
          <w:rPr>
            <w:rFonts w:asciiTheme="minorHAnsi" w:eastAsiaTheme="minorEastAsia" w:hAnsiTheme="minorHAnsi" w:cstheme="minorBidi"/>
          </w:rPr>
          <w:tab/>
        </w:r>
        <w:r w:rsidRPr="00E7123A">
          <w:rPr>
            <w:rStyle w:val="Hyperlink"/>
          </w:rPr>
          <w:t>Assessment of the quality of the included case series on MR-IGRT using the Three-Minute Checklist</w:t>
        </w:r>
        <w:r>
          <w:rPr>
            <w:webHidden/>
          </w:rPr>
          <w:tab/>
        </w:r>
        <w:r>
          <w:rPr>
            <w:webHidden/>
          </w:rPr>
          <w:fldChar w:fldCharType="begin"/>
        </w:r>
        <w:r>
          <w:rPr>
            <w:webHidden/>
          </w:rPr>
          <w:instrText xml:space="preserve"> PAGEREF _Toc89857885 \h </w:instrText>
        </w:r>
        <w:r>
          <w:rPr>
            <w:webHidden/>
          </w:rPr>
        </w:r>
        <w:r>
          <w:rPr>
            <w:webHidden/>
          </w:rPr>
          <w:fldChar w:fldCharType="separate"/>
        </w:r>
        <w:r>
          <w:rPr>
            <w:webHidden/>
          </w:rPr>
          <w:t>17</w:t>
        </w:r>
        <w:r>
          <w:rPr>
            <w:webHidden/>
          </w:rPr>
          <w:fldChar w:fldCharType="end"/>
        </w:r>
      </w:hyperlink>
    </w:p>
    <w:p w14:paraId="5022FE0F" w14:textId="58780AA6" w:rsidR="00451350" w:rsidRDefault="00451350">
      <w:pPr>
        <w:pStyle w:val="TableofFigures"/>
        <w:rPr>
          <w:rFonts w:asciiTheme="minorHAnsi" w:eastAsiaTheme="minorEastAsia" w:hAnsiTheme="minorHAnsi" w:cstheme="minorBidi"/>
        </w:rPr>
      </w:pPr>
      <w:hyperlink w:anchor="_Toc89857886" w:history="1">
        <w:r w:rsidRPr="00E7123A">
          <w:rPr>
            <w:rStyle w:val="Hyperlink"/>
          </w:rPr>
          <w:t>Table 15</w:t>
        </w:r>
        <w:r>
          <w:rPr>
            <w:rFonts w:asciiTheme="minorHAnsi" w:eastAsiaTheme="minorEastAsia" w:hAnsiTheme="minorHAnsi" w:cstheme="minorBidi"/>
          </w:rPr>
          <w:tab/>
        </w:r>
        <w:r w:rsidRPr="00E7123A">
          <w:rPr>
            <w:rStyle w:val="Hyperlink"/>
            <w:snapToGrid w:val="0"/>
            <w:lang w:eastAsia="en-US"/>
          </w:rPr>
          <w:t>Key features of the included evidence on MR-IGRT</w:t>
        </w:r>
        <w:r>
          <w:rPr>
            <w:webHidden/>
          </w:rPr>
          <w:tab/>
        </w:r>
        <w:r>
          <w:rPr>
            <w:webHidden/>
          </w:rPr>
          <w:fldChar w:fldCharType="begin"/>
        </w:r>
        <w:r>
          <w:rPr>
            <w:webHidden/>
          </w:rPr>
          <w:instrText xml:space="preserve"> PAGEREF _Toc89857886 \h </w:instrText>
        </w:r>
        <w:r>
          <w:rPr>
            <w:webHidden/>
          </w:rPr>
        </w:r>
        <w:r>
          <w:rPr>
            <w:webHidden/>
          </w:rPr>
          <w:fldChar w:fldCharType="separate"/>
        </w:r>
        <w:r>
          <w:rPr>
            <w:webHidden/>
          </w:rPr>
          <w:t>19</w:t>
        </w:r>
        <w:r>
          <w:rPr>
            <w:webHidden/>
          </w:rPr>
          <w:fldChar w:fldCharType="end"/>
        </w:r>
      </w:hyperlink>
    </w:p>
    <w:p w14:paraId="697952B3" w14:textId="20003352" w:rsidR="00451350" w:rsidRDefault="00451350">
      <w:pPr>
        <w:pStyle w:val="TableofFigures"/>
        <w:rPr>
          <w:rFonts w:asciiTheme="minorHAnsi" w:eastAsiaTheme="minorEastAsia" w:hAnsiTheme="minorHAnsi" w:cstheme="minorBidi"/>
        </w:rPr>
      </w:pPr>
      <w:hyperlink w:anchor="_Toc89857887" w:history="1">
        <w:r w:rsidRPr="00E7123A">
          <w:rPr>
            <w:rStyle w:val="Hyperlink"/>
          </w:rPr>
          <w:t>Table 16</w:t>
        </w:r>
        <w:r>
          <w:rPr>
            <w:rFonts w:asciiTheme="minorHAnsi" w:eastAsiaTheme="minorEastAsia" w:hAnsiTheme="minorHAnsi" w:cstheme="minorBidi"/>
          </w:rPr>
          <w:tab/>
        </w:r>
        <w:r w:rsidRPr="00E7123A">
          <w:rPr>
            <w:rStyle w:val="Hyperlink"/>
            <w:snapToGrid w:val="0"/>
            <w:lang w:eastAsia="en-US"/>
          </w:rPr>
          <w:t>Key features of the included evidence on CBCT-IGRT</w:t>
        </w:r>
        <w:r>
          <w:rPr>
            <w:webHidden/>
          </w:rPr>
          <w:tab/>
        </w:r>
        <w:r>
          <w:rPr>
            <w:webHidden/>
          </w:rPr>
          <w:fldChar w:fldCharType="begin"/>
        </w:r>
        <w:r>
          <w:rPr>
            <w:webHidden/>
          </w:rPr>
          <w:instrText xml:space="preserve"> PAGEREF _Toc89857887 \h </w:instrText>
        </w:r>
        <w:r>
          <w:rPr>
            <w:webHidden/>
          </w:rPr>
        </w:r>
        <w:r>
          <w:rPr>
            <w:webHidden/>
          </w:rPr>
          <w:fldChar w:fldCharType="separate"/>
        </w:r>
        <w:r>
          <w:rPr>
            <w:webHidden/>
          </w:rPr>
          <w:t>21</w:t>
        </w:r>
        <w:r>
          <w:rPr>
            <w:webHidden/>
          </w:rPr>
          <w:fldChar w:fldCharType="end"/>
        </w:r>
      </w:hyperlink>
    </w:p>
    <w:p w14:paraId="6E668147" w14:textId="2240AB39" w:rsidR="00451350" w:rsidRDefault="00451350">
      <w:pPr>
        <w:pStyle w:val="TableofFigures"/>
        <w:rPr>
          <w:rFonts w:asciiTheme="minorHAnsi" w:eastAsiaTheme="minorEastAsia" w:hAnsiTheme="minorHAnsi" w:cstheme="minorBidi"/>
        </w:rPr>
      </w:pPr>
      <w:hyperlink w:anchor="_Toc89857888" w:history="1">
        <w:r w:rsidRPr="00E7123A">
          <w:rPr>
            <w:rStyle w:val="Hyperlink"/>
          </w:rPr>
          <w:t>Table 17</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toxicity:  </w:t>
        </w:r>
        <w:r w:rsidRPr="00E7123A">
          <w:rPr>
            <w:rStyle w:val="Hyperlink"/>
            <w:snapToGrid w:val="0"/>
          </w:rPr>
          <w:t>mean lung density changes in isodose (HU) - E. Kim et al. (2018)</w:t>
        </w:r>
        <w:r>
          <w:rPr>
            <w:webHidden/>
          </w:rPr>
          <w:tab/>
        </w:r>
        <w:r>
          <w:rPr>
            <w:webHidden/>
          </w:rPr>
          <w:fldChar w:fldCharType="begin"/>
        </w:r>
        <w:r>
          <w:rPr>
            <w:webHidden/>
          </w:rPr>
          <w:instrText xml:space="preserve"> PAGEREF _Toc89857888 \h </w:instrText>
        </w:r>
        <w:r>
          <w:rPr>
            <w:webHidden/>
          </w:rPr>
        </w:r>
        <w:r>
          <w:rPr>
            <w:webHidden/>
          </w:rPr>
          <w:fldChar w:fldCharType="separate"/>
        </w:r>
        <w:r>
          <w:rPr>
            <w:webHidden/>
          </w:rPr>
          <w:t>29</w:t>
        </w:r>
        <w:r>
          <w:rPr>
            <w:webHidden/>
          </w:rPr>
          <w:fldChar w:fldCharType="end"/>
        </w:r>
      </w:hyperlink>
    </w:p>
    <w:p w14:paraId="6D7A8257" w14:textId="77D40E7D" w:rsidR="00451350" w:rsidRDefault="00451350">
      <w:pPr>
        <w:pStyle w:val="TableofFigures"/>
        <w:rPr>
          <w:rFonts w:asciiTheme="minorHAnsi" w:eastAsiaTheme="minorEastAsia" w:hAnsiTheme="minorHAnsi" w:cstheme="minorBidi"/>
        </w:rPr>
      </w:pPr>
      <w:hyperlink w:anchor="_Toc89857889" w:history="1">
        <w:r w:rsidRPr="00E7123A">
          <w:rPr>
            <w:rStyle w:val="Hyperlink"/>
          </w:rPr>
          <w:t xml:space="preserve">Table 18 </w:t>
        </w:r>
        <w:r>
          <w:rPr>
            <w:rFonts w:asciiTheme="minorHAnsi" w:eastAsiaTheme="minorEastAsia" w:hAnsiTheme="minorHAnsi" w:cstheme="minorBidi"/>
          </w:rPr>
          <w:tab/>
        </w:r>
        <w:r w:rsidRPr="00E7123A">
          <w:rPr>
            <w:rStyle w:val="Hyperlink"/>
          </w:rPr>
          <w:t>Results of toxicity across the studies, lung cancer, MR-IGRT</w:t>
        </w:r>
        <w:r>
          <w:rPr>
            <w:webHidden/>
          </w:rPr>
          <w:tab/>
        </w:r>
        <w:r>
          <w:rPr>
            <w:webHidden/>
          </w:rPr>
          <w:fldChar w:fldCharType="begin"/>
        </w:r>
        <w:r>
          <w:rPr>
            <w:webHidden/>
          </w:rPr>
          <w:instrText xml:space="preserve"> PAGEREF _Toc89857889 \h </w:instrText>
        </w:r>
        <w:r>
          <w:rPr>
            <w:webHidden/>
          </w:rPr>
        </w:r>
        <w:r>
          <w:rPr>
            <w:webHidden/>
          </w:rPr>
          <w:fldChar w:fldCharType="separate"/>
        </w:r>
        <w:r>
          <w:rPr>
            <w:webHidden/>
          </w:rPr>
          <w:t>30</w:t>
        </w:r>
        <w:r>
          <w:rPr>
            <w:webHidden/>
          </w:rPr>
          <w:fldChar w:fldCharType="end"/>
        </w:r>
      </w:hyperlink>
    </w:p>
    <w:p w14:paraId="0FE7460F" w14:textId="2BC2E8CB" w:rsidR="00451350" w:rsidRDefault="00451350">
      <w:pPr>
        <w:pStyle w:val="TableofFigures"/>
        <w:rPr>
          <w:rFonts w:asciiTheme="minorHAnsi" w:eastAsiaTheme="minorEastAsia" w:hAnsiTheme="minorHAnsi" w:cstheme="minorBidi"/>
        </w:rPr>
      </w:pPr>
      <w:hyperlink w:anchor="_Toc89857890" w:history="1">
        <w:r w:rsidRPr="00E7123A">
          <w:rPr>
            <w:rStyle w:val="Hyperlink"/>
          </w:rPr>
          <w:t>Table 19</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pulmonary toxicity across the studies, lung cancer, CBCT-IGRT</w:t>
        </w:r>
        <w:r>
          <w:rPr>
            <w:webHidden/>
          </w:rPr>
          <w:tab/>
        </w:r>
        <w:r>
          <w:rPr>
            <w:webHidden/>
          </w:rPr>
          <w:fldChar w:fldCharType="begin"/>
        </w:r>
        <w:r>
          <w:rPr>
            <w:webHidden/>
          </w:rPr>
          <w:instrText xml:space="preserve"> PAGEREF _Toc89857890 \h </w:instrText>
        </w:r>
        <w:r>
          <w:rPr>
            <w:webHidden/>
          </w:rPr>
        </w:r>
        <w:r>
          <w:rPr>
            <w:webHidden/>
          </w:rPr>
          <w:fldChar w:fldCharType="separate"/>
        </w:r>
        <w:r>
          <w:rPr>
            <w:webHidden/>
          </w:rPr>
          <w:t>31</w:t>
        </w:r>
        <w:r>
          <w:rPr>
            <w:webHidden/>
          </w:rPr>
          <w:fldChar w:fldCharType="end"/>
        </w:r>
      </w:hyperlink>
    </w:p>
    <w:p w14:paraId="36776A11" w14:textId="3AB23368" w:rsidR="00451350" w:rsidRDefault="00451350">
      <w:pPr>
        <w:pStyle w:val="TableofFigures"/>
        <w:rPr>
          <w:rFonts w:asciiTheme="minorHAnsi" w:eastAsiaTheme="minorEastAsia" w:hAnsiTheme="minorHAnsi" w:cstheme="minorBidi"/>
        </w:rPr>
      </w:pPr>
      <w:hyperlink w:anchor="_Toc89857891" w:history="1">
        <w:r w:rsidRPr="00E7123A">
          <w:rPr>
            <w:rStyle w:val="Hyperlink"/>
          </w:rPr>
          <w:t>Table 20</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toxicity across the studies, prostate cancer, MR-IGRT</w:t>
        </w:r>
        <w:r>
          <w:rPr>
            <w:webHidden/>
          </w:rPr>
          <w:tab/>
        </w:r>
        <w:r>
          <w:rPr>
            <w:webHidden/>
          </w:rPr>
          <w:fldChar w:fldCharType="begin"/>
        </w:r>
        <w:r>
          <w:rPr>
            <w:webHidden/>
          </w:rPr>
          <w:instrText xml:space="preserve"> PAGEREF _Toc89857891 \h </w:instrText>
        </w:r>
        <w:r>
          <w:rPr>
            <w:webHidden/>
          </w:rPr>
        </w:r>
        <w:r>
          <w:rPr>
            <w:webHidden/>
          </w:rPr>
          <w:fldChar w:fldCharType="separate"/>
        </w:r>
        <w:r>
          <w:rPr>
            <w:webHidden/>
          </w:rPr>
          <w:t>32</w:t>
        </w:r>
        <w:r>
          <w:rPr>
            <w:webHidden/>
          </w:rPr>
          <w:fldChar w:fldCharType="end"/>
        </w:r>
      </w:hyperlink>
    </w:p>
    <w:p w14:paraId="1E2CE5FE" w14:textId="00B87663" w:rsidR="00451350" w:rsidRDefault="00451350">
      <w:pPr>
        <w:pStyle w:val="TableofFigures"/>
        <w:rPr>
          <w:rFonts w:asciiTheme="minorHAnsi" w:eastAsiaTheme="minorEastAsia" w:hAnsiTheme="minorHAnsi" w:cstheme="minorBidi"/>
        </w:rPr>
      </w:pPr>
      <w:hyperlink w:anchor="_Toc89857892" w:history="1">
        <w:r w:rsidRPr="00E7123A">
          <w:rPr>
            <w:rStyle w:val="Hyperlink"/>
          </w:rPr>
          <w:t>Table 21</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toxicity across the studies, prostate cancer, CBCT-IGRT</w:t>
        </w:r>
        <w:r>
          <w:rPr>
            <w:webHidden/>
          </w:rPr>
          <w:tab/>
        </w:r>
        <w:r>
          <w:rPr>
            <w:webHidden/>
          </w:rPr>
          <w:fldChar w:fldCharType="begin"/>
        </w:r>
        <w:r>
          <w:rPr>
            <w:webHidden/>
          </w:rPr>
          <w:instrText xml:space="preserve"> PAGEREF _Toc89857892 \h </w:instrText>
        </w:r>
        <w:r>
          <w:rPr>
            <w:webHidden/>
          </w:rPr>
        </w:r>
        <w:r>
          <w:rPr>
            <w:webHidden/>
          </w:rPr>
          <w:fldChar w:fldCharType="separate"/>
        </w:r>
        <w:r>
          <w:rPr>
            <w:webHidden/>
          </w:rPr>
          <w:t>33</w:t>
        </w:r>
        <w:r>
          <w:rPr>
            <w:webHidden/>
          </w:rPr>
          <w:fldChar w:fldCharType="end"/>
        </w:r>
      </w:hyperlink>
    </w:p>
    <w:p w14:paraId="3B80169E" w14:textId="1E9E9A3C" w:rsidR="00451350" w:rsidRDefault="00451350">
      <w:pPr>
        <w:pStyle w:val="TableofFigures"/>
        <w:rPr>
          <w:rFonts w:asciiTheme="minorHAnsi" w:eastAsiaTheme="minorEastAsia" w:hAnsiTheme="minorHAnsi" w:cstheme="minorBidi"/>
        </w:rPr>
      </w:pPr>
      <w:hyperlink w:anchor="_Toc89857893" w:history="1">
        <w:r w:rsidRPr="00E7123A">
          <w:rPr>
            <w:rStyle w:val="Hyperlink"/>
          </w:rPr>
          <w:t>Table 22</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toxicity across the studies, hepatocellular carcinoma and hepatic metastases, MR-IGRT</w:t>
        </w:r>
        <w:r>
          <w:rPr>
            <w:webHidden/>
          </w:rPr>
          <w:tab/>
        </w:r>
        <w:r>
          <w:rPr>
            <w:webHidden/>
          </w:rPr>
          <w:fldChar w:fldCharType="begin"/>
        </w:r>
        <w:r>
          <w:rPr>
            <w:webHidden/>
          </w:rPr>
          <w:instrText xml:space="preserve"> PAGEREF _Toc89857893 \h </w:instrText>
        </w:r>
        <w:r>
          <w:rPr>
            <w:webHidden/>
          </w:rPr>
        </w:r>
        <w:r>
          <w:rPr>
            <w:webHidden/>
          </w:rPr>
          <w:fldChar w:fldCharType="separate"/>
        </w:r>
        <w:r>
          <w:rPr>
            <w:webHidden/>
          </w:rPr>
          <w:t>40</w:t>
        </w:r>
        <w:r>
          <w:rPr>
            <w:webHidden/>
          </w:rPr>
          <w:fldChar w:fldCharType="end"/>
        </w:r>
      </w:hyperlink>
    </w:p>
    <w:p w14:paraId="3BF080F8" w14:textId="0A547CCD" w:rsidR="00451350" w:rsidRDefault="00451350">
      <w:pPr>
        <w:pStyle w:val="TableofFigures"/>
        <w:rPr>
          <w:rFonts w:asciiTheme="minorHAnsi" w:eastAsiaTheme="minorEastAsia" w:hAnsiTheme="minorHAnsi" w:cstheme="minorBidi"/>
        </w:rPr>
      </w:pPr>
      <w:hyperlink w:anchor="_Toc89857894" w:history="1">
        <w:r w:rsidRPr="00E7123A">
          <w:rPr>
            <w:rStyle w:val="Hyperlink"/>
          </w:rPr>
          <w:t>Table 23</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toxicity across the studies, abdominal malignancies, CBCT-IGRT</w:t>
        </w:r>
        <w:r>
          <w:rPr>
            <w:webHidden/>
          </w:rPr>
          <w:tab/>
        </w:r>
        <w:r>
          <w:rPr>
            <w:webHidden/>
          </w:rPr>
          <w:fldChar w:fldCharType="begin"/>
        </w:r>
        <w:r>
          <w:rPr>
            <w:webHidden/>
          </w:rPr>
          <w:instrText xml:space="preserve"> PAGEREF _Toc89857894 \h </w:instrText>
        </w:r>
        <w:r>
          <w:rPr>
            <w:webHidden/>
          </w:rPr>
        </w:r>
        <w:r>
          <w:rPr>
            <w:webHidden/>
          </w:rPr>
          <w:fldChar w:fldCharType="separate"/>
        </w:r>
        <w:r>
          <w:rPr>
            <w:webHidden/>
          </w:rPr>
          <w:t>41</w:t>
        </w:r>
        <w:r>
          <w:rPr>
            <w:webHidden/>
          </w:rPr>
          <w:fldChar w:fldCharType="end"/>
        </w:r>
      </w:hyperlink>
    </w:p>
    <w:p w14:paraId="14906E35" w14:textId="11407680" w:rsidR="00451350" w:rsidRDefault="00451350">
      <w:pPr>
        <w:pStyle w:val="TableofFigures"/>
        <w:rPr>
          <w:rFonts w:asciiTheme="minorHAnsi" w:eastAsiaTheme="minorEastAsia" w:hAnsiTheme="minorHAnsi" w:cstheme="minorBidi"/>
        </w:rPr>
      </w:pPr>
      <w:hyperlink w:anchor="_Toc89857895" w:history="1">
        <w:r w:rsidRPr="00E7123A">
          <w:rPr>
            <w:rStyle w:val="Hyperlink"/>
          </w:rPr>
          <w:t>Table 24</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toxicity across the studies, head and neck cancers, MR-IGRT</w:t>
        </w:r>
        <w:r>
          <w:rPr>
            <w:webHidden/>
          </w:rPr>
          <w:tab/>
        </w:r>
        <w:r>
          <w:rPr>
            <w:webHidden/>
          </w:rPr>
          <w:fldChar w:fldCharType="begin"/>
        </w:r>
        <w:r>
          <w:rPr>
            <w:webHidden/>
          </w:rPr>
          <w:instrText xml:space="preserve"> PAGEREF _Toc89857895 \h </w:instrText>
        </w:r>
        <w:r>
          <w:rPr>
            <w:webHidden/>
          </w:rPr>
        </w:r>
        <w:r>
          <w:rPr>
            <w:webHidden/>
          </w:rPr>
          <w:fldChar w:fldCharType="separate"/>
        </w:r>
        <w:r>
          <w:rPr>
            <w:webHidden/>
          </w:rPr>
          <w:t>43</w:t>
        </w:r>
        <w:r>
          <w:rPr>
            <w:webHidden/>
          </w:rPr>
          <w:fldChar w:fldCharType="end"/>
        </w:r>
      </w:hyperlink>
    </w:p>
    <w:p w14:paraId="03E09F01" w14:textId="034ABBEE" w:rsidR="00451350" w:rsidRDefault="00451350">
      <w:pPr>
        <w:pStyle w:val="TableofFigures"/>
        <w:rPr>
          <w:rFonts w:asciiTheme="minorHAnsi" w:eastAsiaTheme="minorEastAsia" w:hAnsiTheme="minorHAnsi" w:cstheme="minorBidi"/>
        </w:rPr>
      </w:pPr>
      <w:hyperlink w:anchor="_Toc89857896" w:history="1">
        <w:r w:rsidRPr="00E7123A">
          <w:rPr>
            <w:rStyle w:val="Hyperlink"/>
          </w:rPr>
          <w:t>Table 25</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acute toxicity, head and neck cancers, CBCT-IGRT</w:t>
        </w:r>
        <w:r>
          <w:rPr>
            <w:webHidden/>
          </w:rPr>
          <w:tab/>
        </w:r>
        <w:r>
          <w:rPr>
            <w:webHidden/>
          </w:rPr>
          <w:fldChar w:fldCharType="begin"/>
        </w:r>
        <w:r>
          <w:rPr>
            <w:webHidden/>
          </w:rPr>
          <w:instrText xml:space="preserve"> PAGEREF _Toc89857896 \h </w:instrText>
        </w:r>
        <w:r>
          <w:rPr>
            <w:webHidden/>
          </w:rPr>
        </w:r>
        <w:r>
          <w:rPr>
            <w:webHidden/>
          </w:rPr>
          <w:fldChar w:fldCharType="separate"/>
        </w:r>
        <w:r>
          <w:rPr>
            <w:webHidden/>
          </w:rPr>
          <w:t>44</w:t>
        </w:r>
        <w:r>
          <w:rPr>
            <w:webHidden/>
          </w:rPr>
          <w:fldChar w:fldCharType="end"/>
        </w:r>
      </w:hyperlink>
    </w:p>
    <w:p w14:paraId="5B40A23C" w14:textId="7E283966" w:rsidR="00451350" w:rsidRDefault="00451350">
      <w:pPr>
        <w:pStyle w:val="TableofFigures"/>
        <w:rPr>
          <w:rFonts w:asciiTheme="minorHAnsi" w:eastAsiaTheme="minorEastAsia" w:hAnsiTheme="minorHAnsi" w:cstheme="minorBidi"/>
        </w:rPr>
      </w:pPr>
      <w:hyperlink w:anchor="_Toc89857897" w:history="1">
        <w:r w:rsidRPr="00E7123A">
          <w:rPr>
            <w:rStyle w:val="Hyperlink"/>
          </w:rPr>
          <w:t>Table 26</w:t>
        </w:r>
        <w:r>
          <w:rPr>
            <w:rFonts w:asciiTheme="minorHAnsi" w:eastAsiaTheme="minorEastAsia" w:hAnsiTheme="minorHAnsi" w:cstheme="minorBidi"/>
          </w:rPr>
          <w:tab/>
        </w:r>
        <w:r w:rsidRPr="00E7123A">
          <w:rPr>
            <w:rStyle w:val="Hyperlink"/>
          </w:rPr>
          <w:t>Results</w:t>
        </w:r>
        <w:r w:rsidRPr="00E7123A">
          <w:rPr>
            <w:rStyle w:val="Hyperlink"/>
            <w:snapToGrid w:val="0"/>
            <w:lang w:eastAsia="en-US"/>
          </w:rPr>
          <w:t xml:space="preserve"> of toxicity across the studies, mixed cancer population, MR-IGRT</w:t>
        </w:r>
        <w:r>
          <w:rPr>
            <w:webHidden/>
          </w:rPr>
          <w:tab/>
        </w:r>
        <w:r>
          <w:rPr>
            <w:webHidden/>
          </w:rPr>
          <w:fldChar w:fldCharType="begin"/>
        </w:r>
        <w:r>
          <w:rPr>
            <w:webHidden/>
          </w:rPr>
          <w:instrText xml:space="preserve"> PAGEREF _Toc89857897 \h </w:instrText>
        </w:r>
        <w:r>
          <w:rPr>
            <w:webHidden/>
          </w:rPr>
        </w:r>
        <w:r>
          <w:rPr>
            <w:webHidden/>
          </w:rPr>
          <w:fldChar w:fldCharType="separate"/>
        </w:r>
        <w:r>
          <w:rPr>
            <w:webHidden/>
          </w:rPr>
          <w:t>44</w:t>
        </w:r>
        <w:r>
          <w:rPr>
            <w:webHidden/>
          </w:rPr>
          <w:fldChar w:fldCharType="end"/>
        </w:r>
      </w:hyperlink>
    </w:p>
    <w:p w14:paraId="599CAC77" w14:textId="5E1D72C5" w:rsidR="00451350" w:rsidRDefault="00451350">
      <w:pPr>
        <w:pStyle w:val="TableofFigures"/>
        <w:rPr>
          <w:rFonts w:asciiTheme="minorHAnsi" w:eastAsiaTheme="minorEastAsia" w:hAnsiTheme="minorHAnsi" w:cstheme="minorBidi"/>
        </w:rPr>
      </w:pPr>
      <w:hyperlink w:anchor="_Toc89857898" w:history="1">
        <w:r w:rsidRPr="00E7123A">
          <w:rPr>
            <w:rStyle w:val="Hyperlink"/>
          </w:rPr>
          <w:t>Table 27</w:t>
        </w:r>
        <w:r>
          <w:rPr>
            <w:rFonts w:asciiTheme="minorHAnsi" w:eastAsiaTheme="minorEastAsia" w:hAnsiTheme="minorHAnsi" w:cstheme="minorBidi"/>
          </w:rPr>
          <w:tab/>
        </w:r>
        <w:r w:rsidRPr="00E7123A">
          <w:rPr>
            <w:rStyle w:val="Hyperlink"/>
          </w:rPr>
          <w:t>Results of the patient-reported outcome questionnaires, Kluter et al. (2020)</w:t>
        </w:r>
        <w:r>
          <w:rPr>
            <w:webHidden/>
          </w:rPr>
          <w:tab/>
        </w:r>
        <w:r>
          <w:rPr>
            <w:webHidden/>
          </w:rPr>
          <w:fldChar w:fldCharType="begin"/>
        </w:r>
        <w:r>
          <w:rPr>
            <w:webHidden/>
          </w:rPr>
          <w:instrText xml:space="preserve"> PAGEREF _Toc89857898 \h </w:instrText>
        </w:r>
        <w:r>
          <w:rPr>
            <w:webHidden/>
          </w:rPr>
        </w:r>
        <w:r>
          <w:rPr>
            <w:webHidden/>
          </w:rPr>
          <w:fldChar w:fldCharType="separate"/>
        </w:r>
        <w:r>
          <w:rPr>
            <w:webHidden/>
          </w:rPr>
          <w:t>45</w:t>
        </w:r>
        <w:r>
          <w:rPr>
            <w:webHidden/>
          </w:rPr>
          <w:fldChar w:fldCharType="end"/>
        </w:r>
      </w:hyperlink>
    </w:p>
    <w:p w14:paraId="6A9134CF" w14:textId="01DEE6A4" w:rsidR="00451350" w:rsidRDefault="00451350">
      <w:pPr>
        <w:pStyle w:val="TableofFigures"/>
        <w:rPr>
          <w:rFonts w:asciiTheme="minorHAnsi" w:eastAsiaTheme="minorEastAsia" w:hAnsiTheme="minorHAnsi" w:cstheme="minorBidi"/>
        </w:rPr>
      </w:pPr>
      <w:hyperlink w:anchor="_Toc89857899" w:history="1">
        <w:r w:rsidRPr="00E7123A">
          <w:rPr>
            <w:rStyle w:val="Hyperlink"/>
          </w:rPr>
          <w:t>Table 28</w:t>
        </w:r>
        <w:r>
          <w:rPr>
            <w:rFonts w:asciiTheme="minorHAnsi" w:eastAsiaTheme="minorEastAsia" w:hAnsiTheme="minorHAnsi" w:cstheme="minorBidi"/>
          </w:rPr>
          <w:tab/>
        </w:r>
        <w:r w:rsidRPr="00E7123A">
          <w:rPr>
            <w:rStyle w:val="Hyperlink"/>
          </w:rPr>
          <w:t>MR-IGRT related complaints, S. Tetar et al. (2018)</w:t>
        </w:r>
        <w:r>
          <w:rPr>
            <w:webHidden/>
          </w:rPr>
          <w:tab/>
        </w:r>
        <w:r>
          <w:rPr>
            <w:webHidden/>
          </w:rPr>
          <w:fldChar w:fldCharType="begin"/>
        </w:r>
        <w:r>
          <w:rPr>
            <w:webHidden/>
          </w:rPr>
          <w:instrText xml:space="preserve"> PAGEREF _Toc89857899 \h </w:instrText>
        </w:r>
        <w:r>
          <w:rPr>
            <w:webHidden/>
          </w:rPr>
        </w:r>
        <w:r>
          <w:rPr>
            <w:webHidden/>
          </w:rPr>
          <w:fldChar w:fldCharType="separate"/>
        </w:r>
        <w:r>
          <w:rPr>
            <w:webHidden/>
          </w:rPr>
          <w:t>46</w:t>
        </w:r>
        <w:r>
          <w:rPr>
            <w:webHidden/>
          </w:rPr>
          <w:fldChar w:fldCharType="end"/>
        </w:r>
      </w:hyperlink>
    </w:p>
    <w:p w14:paraId="5FA3D266" w14:textId="1AE06FB6" w:rsidR="00451350" w:rsidRDefault="00451350">
      <w:pPr>
        <w:pStyle w:val="TableofFigures"/>
        <w:rPr>
          <w:rFonts w:asciiTheme="minorHAnsi" w:eastAsiaTheme="minorEastAsia" w:hAnsiTheme="minorHAnsi" w:cstheme="minorBidi"/>
        </w:rPr>
      </w:pPr>
      <w:hyperlink w:anchor="_Toc89857900" w:history="1">
        <w:r w:rsidRPr="00E7123A">
          <w:rPr>
            <w:rStyle w:val="Hyperlink"/>
          </w:rPr>
          <w:t>Table 29</w:t>
        </w:r>
        <w:r>
          <w:rPr>
            <w:rFonts w:asciiTheme="minorHAnsi" w:eastAsiaTheme="minorEastAsia" w:hAnsiTheme="minorHAnsi" w:cstheme="minorBidi"/>
          </w:rPr>
          <w:tab/>
        </w:r>
        <w:r w:rsidRPr="00E7123A">
          <w:rPr>
            <w:rStyle w:val="Hyperlink"/>
          </w:rPr>
          <w:t>Dose-volumetric parameters in lung, E. Kim et al. (2018)</w:t>
        </w:r>
        <w:r>
          <w:rPr>
            <w:webHidden/>
          </w:rPr>
          <w:tab/>
        </w:r>
        <w:r>
          <w:rPr>
            <w:webHidden/>
          </w:rPr>
          <w:fldChar w:fldCharType="begin"/>
        </w:r>
        <w:r>
          <w:rPr>
            <w:webHidden/>
          </w:rPr>
          <w:instrText xml:space="preserve"> PAGEREF _Toc89857900 \h </w:instrText>
        </w:r>
        <w:r>
          <w:rPr>
            <w:webHidden/>
          </w:rPr>
        </w:r>
        <w:r>
          <w:rPr>
            <w:webHidden/>
          </w:rPr>
          <w:fldChar w:fldCharType="separate"/>
        </w:r>
        <w:r>
          <w:rPr>
            <w:webHidden/>
          </w:rPr>
          <w:t>50</w:t>
        </w:r>
        <w:r>
          <w:rPr>
            <w:webHidden/>
          </w:rPr>
          <w:fldChar w:fldCharType="end"/>
        </w:r>
      </w:hyperlink>
    </w:p>
    <w:p w14:paraId="2ACB6DCB" w14:textId="32D104A9" w:rsidR="00451350" w:rsidRDefault="00451350">
      <w:pPr>
        <w:pStyle w:val="TableofFigures"/>
        <w:rPr>
          <w:rFonts w:asciiTheme="minorHAnsi" w:eastAsiaTheme="minorEastAsia" w:hAnsiTheme="minorHAnsi" w:cstheme="minorBidi"/>
        </w:rPr>
      </w:pPr>
      <w:hyperlink w:anchor="_Toc89857901" w:history="1">
        <w:r w:rsidRPr="00E7123A">
          <w:rPr>
            <w:rStyle w:val="Hyperlink"/>
          </w:rPr>
          <w:t>Table 30</w:t>
        </w:r>
        <w:r>
          <w:rPr>
            <w:rFonts w:asciiTheme="minorHAnsi" w:eastAsiaTheme="minorEastAsia" w:hAnsiTheme="minorHAnsi" w:cstheme="minorBidi"/>
          </w:rPr>
          <w:tab/>
        </w:r>
        <w:r w:rsidRPr="00E7123A">
          <w:rPr>
            <w:rStyle w:val="Hyperlink"/>
          </w:rPr>
          <w:t>Median (min-max) DVH parameter differences between MR-linac plans compared to current clinical practice, van de Schoot et al. (2019)</w:t>
        </w:r>
        <w:r>
          <w:rPr>
            <w:webHidden/>
          </w:rPr>
          <w:tab/>
        </w:r>
        <w:r>
          <w:rPr>
            <w:webHidden/>
          </w:rPr>
          <w:fldChar w:fldCharType="begin"/>
        </w:r>
        <w:r>
          <w:rPr>
            <w:webHidden/>
          </w:rPr>
          <w:instrText xml:space="preserve"> PAGEREF _Toc89857901 \h </w:instrText>
        </w:r>
        <w:r>
          <w:rPr>
            <w:webHidden/>
          </w:rPr>
        </w:r>
        <w:r>
          <w:rPr>
            <w:webHidden/>
          </w:rPr>
          <w:fldChar w:fldCharType="separate"/>
        </w:r>
        <w:r>
          <w:rPr>
            <w:webHidden/>
          </w:rPr>
          <w:t>52</w:t>
        </w:r>
        <w:r>
          <w:rPr>
            <w:webHidden/>
          </w:rPr>
          <w:fldChar w:fldCharType="end"/>
        </w:r>
      </w:hyperlink>
    </w:p>
    <w:p w14:paraId="593FDD4F" w14:textId="1B8868B4" w:rsidR="00451350" w:rsidRDefault="00451350">
      <w:pPr>
        <w:pStyle w:val="TableofFigures"/>
        <w:rPr>
          <w:rFonts w:asciiTheme="minorHAnsi" w:eastAsiaTheme="minorEastAsia" w:hAnsiTheme="minorHAnsi" w:cstheme="minorBidi"/>
        </w:rPr>
      </w:pPr>
      <w:hyperlink w:anchor="_Toc89857902" w:history="1">
        <w:r w:rsidRPr="00E7123A">
          <w:rPr>
            <w:rStyle w:val="Hyperlink"/>
          </w:rPr>
          <w:t>Table 31</w:t>
        </w:r>
        <w:r>
          <w:rPr>
            <w:rFonts w:asciiTheme="minorHAnsi" w:eastAsiaTheme="minorEastAsia" w:hAnsiTheme="minorHAnsi" w:cstheme="minorBidi"/>
          </w:rPr>
          <w:tab/>
        </w:r>
        <w:r w:rsidRPr="00E7123A">
          <w:rPr>
            <w:rStyle w:val="Hyperlink"/>
          </w:rPr>
          <w:t>Comparison of MR-linac and CBCT-linac plans, Winkel et al. (2020)</w:t>
        </w:r>
        <w:r>
          <w:rPr>
            <w:webHidden/>
          </w:rPr>
          <w:tab/>
        </w:r>
        <w:r>
          <w:rPr>
            <w:webHidden/>
          </w:rPr>
          <w:fldChar w:fldCharType="begin"/>
        </w:r>
        <w:r>
          <w:rPr>
            <w:webHidden/>
          </w:rPr>
          <w:instrText xml:space="preserve"> PAGEREF _Toc89857902 \h </w:instrText>
        </w:r>
        <w:r>
          <w:rPr>
            <w:webHidden/>
          </w:rPr>
        </w:r>
        <w:r>
          <w:rPr>
            <w:webHidden/>
          </w:rPr>
          <w:fldChar w:fldCharType="separate"/>
        </w:r>
        <w:r>
          <w:rPr>
            <w:webHidden/>
          </w:rPr>
          <w:t>53</w:t>
        </w:r>
        <w:r>
          <w:rPr>
            <w:webHidden/>
          </w:rPr>
          <w:fldChar w:fldCharType="end"/>
        </w:r>
      </w:hyperlink>
    </w:p>
    <w:p w14:paraId="021A145E" w14:textId="633C4F3C" w:rsidR="00451350" w:rsidRDefault="00451350">
      <w:pPr>
        <w:pStyle w:val="TableofFigures"/>
        <w:rPr>
          <w:rFonts w:asciiTheme="minorHAnsi" w:eastAsiaTheme="minorEastAsia" w:hAnsiTheme="minorHAnsi" w:cstheme="minorBidi"/>
        </w:rPr>
      </w:pPr>
      <w:hyperlink w:anchor="_Toc89857903" w:history="1">
        <w:r w:rsidRPr="00E7123A">
          <w:rPr>
            <w:rStyle w:val="Hyperlink"/>
          </w:rPr>
          <w:t>Table 32</w:t>
        </w:r>
        <w:r>
          <w:rPr>
            <w:rFonts w:asciiTheme="minorHAnsi" w:eastAsiaTheme="minorEastAsia" w:hAnsiTheme="minorHAnsi" w:cstheme="minorBidi"/>
          </w:rPr>
          <w:tab/>
        </w:r>
        <w:r w:rsidRPr="00E7123A">
          <w:rPr>
            <w:rStyle w:val="Hyperlink"/>
          </w:rPr>
          <w:t>Results of key patient-relevant outcomes across the studies, lung cancer, MR-IGRT</w:t>
        </w:r>
        <w:r>
          <w:rPr>
            <w:webHidden/>
          </w:rPr>
          <w:tab/>
        </w:r>
        <w:r>
          <w:rPr>
            <w:webHidden/>
          </w:rPr>
          <w:fldChar w:fldCharType="begin"/>
        </w:r>
        <w:r>
          <w:rPr>
            <w:webHidden/>
          </w:rPr>
          <w:instrText xml:space="preserve"> PAGEREF _Toc89857903 \h </w:instrText>
        </w:r>
        <w:r>
          <w:rPr>
            <w:webHidden/>
          </w:rPr>
        </w:r>
        <w:r>
          <w:rPr>
            <w:webHidden/>
          </w:rPr>
          <w:fldChar w:fldCharType="separate"/>
        </w:r>
        <w:r>
          <w:rPr>
            <w:webHidden/>
          </w:rPr>
          <w:t>54</w:t>
        </w:r>
        <w:r>
          <w:rPr>
            <w:webHidden/>
          </w:rPr>
          <w:fldChar w:fldCharType="end"/>
        </w:r>
      </w:hyperlink>
    </w:p>
    <w:p w14:paraId="3D8C0682" w14:textId="3B0F2339" w:rsidR="00451350" w:rsidRDefault="00451350">
      <w:pPr>
        <w:pStyle w:val="TableofFigures"/>
        <w:rPr>
          <w:rFonts w:asciiTheme="minorHAnsi" w:eastAsiaTheme="minorEastAsia" w:hAnsiTheme="minorHAnsi" w:cstheme="minorBidi"/>
        </w:rPr>
      </w:pPr>
      <w:hyperlink w:anchor="_Toc89857904" w:history="1">
        <w:r w:rsidRPr="00E7123A">
          <w:rPr>
            <w:rStyle w:val="Hyperlink"/>
          </w:rPr>
          <w:t>Table 33</w:t>
        </w:r>
        <w:r>
          <w:rPr>
            <w:rFonts w:asciiTheme="minorHAnsi" w:eastAsiaTheme="minorEastAsia" w:hAnsiTheme="minorHAnsi" w:cstheme="minorBidi"/>
          </w:rPr>
          <w:tab/>
        </w:r>
        <w:r w:rsidRPr="00E7123A">
          <w:rPr>
            <w:rStyle w:val="Hyperlink"/>
          </w:rPr>
          <w:t>Results of key patient-relevant outcomes across the studies, lung cancer, CBCT-IGRT</w:t>
        </w:r>
        <w:r>
          <w:rPr>
            <w:webHidden/>
          </w:rPr>
          <w:tab/>
        </w:r>
        <w:r>
          <w:rPr>
            <w:webHidden/>
          </w:rPr>
          <w:fldChar w:fldCharType="begin"/>
        </w:r>
        <w:r>
          <w:rPr>
            <w:webHidden/>
          </w:rPr>
          <w:instrText xml:space="preserve"> PAGEREF _Toc89857904 \h </w:instrText>
        </w:r>
        <w:r>
          <w:rPr>
            <w:webHidden/>
          </w:rPr>
        </w:r>
        <w:r>
          <w:rPr>
            <w:webHidden/>
          </w:rPr>
          <w:fldChar w:fldCharType="separate"/>
        </w:r>
        <w:r>
          <w:rPr>
            <w:webHidden/>
          </w:rPr>
          <w:t>54</w:t>
        </w:r>
        <w:r>
          <w:rPr>
            <w:webHidden/>
          </w:rPr>
          <w:fldChar w:fldCharType="end"/>
        </w:r>
      </w:hyperlink>
    </w:p>
    <w:p w14:paraId="3FE27116" w14:textId="3C84B913" w:rsidR="00451350" w:rsidRDefault="00451350">
      <w:pPr>
        <w:pStyle w:val="TableofFigures"/>
        <w:rPr>
          <w:rFonts w:asciiTheme="minorHAnsi" w:eastAsiaTheme="minorEastAsia" w:hAnsiTheme="minorHAnsi" w:cstheme="minorBidi"/>
        </w:rPr>
      </w:pPr>
      <w:hyperlink w:anchor="_Toc89857905" w:history="1">
        <w:r w:rsidRPr="00E7123A">
          <w:rPr>
            <w:rStyle w:val="Hyperlink"/>
          </w:rPr>
          <w:t>Table 34</w:t>
        </w:r>
        <w:r>
          <w:rPr>
            <w:rFonts w:asciiTheme="minorHAnsi" w:eastAsiaTheme="minorEastAsia" w:hAnsiTheme="minorHAnsi" w:cstheme="minorBidi"/>
          </w:rPr>
          <w:tab/>
        </w:r>
        <w:r w:rsidRPr="00E7123A">
          <w:rPr>
            <w:rStyle w:val="Hyperlink"/>
            <w:rFonts w:cs="Arial"/>
            <w:snapToGrid w:val="0"/>
            <w:lang w:eastAsia="en-US"/>
          </w:rPr>
          <w:t>Results of key patient-relevant outcomes, abdominal malignancies, MR-IGRT</w:t>
        </w:r>
        <w:r>
          <w:rPr>
            <w:webHidden/>
          </w:rPr>
          <w:tab/>
        </w:r>
        <w:r>
          <w:rPr>
            <w:webHidden/>
          </w:rPr>
          <w:fldChar w:fldCharType="begin"/>
        </w:r>
        <w:r>
          <w:rPr>
            <w:webHidden/>
          </w:rPr>
          <w:instrText xml:space="preserve"> PAGEREF _Toc89857905 \h </w:instrText>
        </w:r>
        <w:r>
          <w:rPr>
            <w:webHidden/>
          </w:rPr>
        </w:r>
        <w:r>
          <w:rPr>
            <w:webHidden/>
          </w:rPr>
          <w:fldChar w:fldCharType="separate"/>
        </w:r>
        <w:r>
          <w:rPr>
            <w:webHidden/>
          </w:rPr>
          <w:t>56</w:t>
        </w:r>
        <w:r>
          <w:rPr>
            <w:webHidden/>
          </w:rPr>
          <w:fldChar w:fldCharType="end"/>
        </w:r>
      </w:hyperlink>
    </w:p>
    <w:p w14:paraId="6D192AE3" w14:textId="0984E76B" w:rsidR="00451350" w:rsidRDefault="00451350">
      <w:pPr>
        <w:pStyle w:val="TableofFigures"/>
        <w:rPr>
          <w:rFonts w:asciiTheme="minorHAnsi" w:eastAsiaTheme="minorEastAsia" w:hAnsiTheme="minorHAnsi" w:cstheme="minorBidi"/>
        </w:rPr>
      </w:pPr>
      <w:hyperlink w:anchor="_Toc89857906" w:history="1">
        <w:r w:rsidRPr="00E7123A">
          <w:rPr>
            <w:rStyle w:val="Hyperlink"/>
          </w:rPr>
          <w:t>Table 35</w:t>
        </w:r>
        <w:r>
          <w:rPr>
            <w:rFonts w:asciiTheme="minorHAnsi" w:eastAsiaTheme="minorEastAsia" w:hAnsiTheme="minorHAnsi" w:cstheme="minorBidi"/>
          </w:rPr>
          <w:tab/>
        </w:r>
        <w:r w:rsidRPr="00E7123A">
          <w:rPr>
            <w:rStyle w:val="Hyperlink"/>
            <w:rFonts w:cs="Arial"/>
            <w:snapToGrid w:val="0"/>
            <w:lang w:eastAsia="en-US"/>
          </w:rPr>
          <w:t>Results of key patient-relevant outcomes, abdominal malignancies, CBCT-IGRT</w:t>
        </w:r>
        <w:r>
          <w:rPr>
            <w:webHidden/>
          </w:rPr>
          <w:tab/>
        </w:r>
        <w:r>
          <w:rPr>
            <w:webHidden/>
          </w:rPr>
          <w:fldChar w:fldCharType="begin"/>
        </w:r>
        <w:r>
          <w:rPr>
            <w:webHidden/>
          </w:rPr>
          <w:instrText xml:space="preserve"> PAGEREF _Toc89857906 \h </w:instrText>
        </w:r>
        <w:r>
          <w:rPr>
            <w:webHidden/>
          </w:rPr>
        </w:r>
        <w:r>
          <w:rPr>
            <w:webHidden/>
          </w:rPr>
          <w:fldChar w:fldCharType="separate"/>
        </w:r>
        <w:r>
          <w:rPr>
            <w:webHidden/>
          </w:rPr>
          <w:t>56</w:t>
        </w:r>
        <w:r>
          <w:rPr>
            <w:webHidden/>
          </w:rPr>
          <w:fldChar w:fldCharType="end"/>
        </w:r>
      </w:hyperlink>
    </w:p>
    <w:p w14:paraId="798F34C2" w14:textId="5223BA5B" w:rsidR="00451350" w:rsidRDefault="00451350">
      <w:pPr>
        <w:pStyle w:val="TableofFigures"/>
        <w:rPr>
          <w:rFonts w:asciiTheme="minorHAnsi" w:eastAsiaTheme="minorEastAsia" w:hAnsiTheme="minorHAnsi" w:cstheme="minorBidi"/>
        </w:rPr>
      </w:pPr>
      <w:hyperlink w:anchor="_Toc89857907" w:history="1">
        <w:r w:rsidRPr="00E7123A">
          <w:rPr>
            <w:rStyle w:val="Hyperlink"/>
          </w:rPr>
          <w:t>Table 36</w:t>
        </w:r>
        <w:r>
          <w:rPr>
            <w:rFonts w:asciiTheme="minorHAnsi" w:eastAsiaTheme="minorEastAsia" w:hAnsiTheme="minorHAnsi" w:cstheme="minorBidi"/>
          </w:rPr>
          <w:tab/>
        </w:r>
        <w:r w:rsidRPr="00E7123A">
          <w:rPr>
            <w:rStyle w:val="Hyperlink"/>
            <w:rFonts w:cs="Arial"/>
            <w:snapToGrid w:val="0"/>
            <w:lang w:eastAsia="en-US"/>
          </w:rPr>
          <w:t>Results of key patient-relevant outcomes</w:t>
        </w:r>
        <w:r w:rsidRPr="00E7123A">
          <w:rPr>
            <w:rStyle w:val="Hyperlink"/>
          </w:rPr>
          <w:t>, head and neck cancer, MR-IGRT</w:t>
        </w:r>
        <w:r>
          <w:rPr>
            <w:webHidden/>
          </w:rPr>
          <w:tab/>
        </w:r>
        <w:r>
          <w:rPr>
            <w:webHidden/>
          </w:rPr>
          <w:fldChar w:fldCharType="begin"/>
        </w:r>
        <w:r>
          <w:rPr>
            <w:webHidden/>
          </w:rPr>
          <w:instrText xml:space="preserve"> PAGEREF _Toc89857907 \h </w:instrText>
        </w:r>
        <w:r>
          <w:rPr>
            <w:webHidden/>
          </w:rPr>
        </w:r>
        <w:r>
          <w:rPr>
            <w:webHidden/>
          </w:rPr>
          <w:fldChar w:fldCharType="separate"/>
        </w:r>
        <w:r>
          <w:rPr>
            <w:webHidden/>
          </w:rPr>
          <w:t>57</w:t>
        </w:r>
        <w:r>
          <w:rPr>
            <w:webHidden/>
          </w:rPr>
          <w:fldChar w:fldCharType="end"/>
        </w:r>
      </w:hyperlink>
    </w:p>
    <w:p w14:paraId="05E7DEB5" w14:textId="530357F8" w:rsidR="00451350" w:rsidRDefault="00451350">
      <w:pPr>
        <w:pStyle w:val="TableofFigures"/>
        <w:rPr>
          <w:rFonts w:asciiTheme="minorHAnsi" w:eastAsiaTheme="minorEastAsia" w:hAnsiTheme="minorHAnsi" w:cstheme="minorBidi"/>
        </w:rPr>
      </w:pPr>
      <w:hyperlink w:anchor="_Toc89857908" w:history="1">
        <w:r w:rsidRPr="00E7123A">
          <w:rPr>
            <w:rStyle w:val="Hyperlink"/>
          </w:rPr>
          <w:t>Table 37</w:t>
        </w:r>
        <w:r>
          <w:rPr>
            <w:rFonts w:asciiTheme="minorHAnsi" w:eastAsiaTheme="minorEastAsia" w:hAnsiTheme="minorHAnsi" w:cstheme="minorBidi"/>
          </w:rPr>
          <w:tab/>
        </w:r>
        <w:r w:rsidRPr="00E7123A">
          <w:rPr>
            <w:rStyle w:val="Hyperlink"/>
            <w:rFonts w:cs="Arial"/>
            <w:snapToGrid w:val="0"/>
            <w:lang w:eastAsia="en-US"/>
          </w:rPr>
          <w:t>Results of key patient-relevant outcomes</w:t>
        </w:r>
        <w:r w:rsidRPr="00E7123A">
          <w:rPr>
            <w:rStyle w:val="Hyperlink"/>
          </w:rPr>
          <w:t>, head and neck cancer, CBCT-IGRT</w:t>
        </w:r>
        <w:r>
          <w:rPr>
            <w:webHidden/>
          </w:rPr>
          <w:tab/>
        </w:r>
        <w:r>
          <w:rPr>
            <w:webHidden/>
          </w:rPr>
          <w:fldChar w:fldCharType="begin"/>
        </w:r>
        <w:r>
          <w:rPr>
            <w:webHidden/>
          </w:rPr>
          <w:instrText xml:space="preserve"> PAGEREF _Toc89857908 \h </w:instrText>
        </w:r>
        <w:r>
          <w:rPr>
            <w:webHidden/>
          </w:rPr>
        </w:r>
        <w:r>
          <w:rPr>
            <w:webHidden/>
          </w:rPr>
          <w:fldChar w:fldCharType="separate"/>
        </w:r>
        <w:r>
          <w:rPr>
            <w:webHidden/>
          </w:rPr>
          <w:t>57</w:t>
        </w:r>
        <w:r>
          <w:rPr>
            <w:webHidden/>
          </w:rPr>
          <w:fldChar w:fldCharType="end"/>
        </w:r>
      </w:hyperlink>
    </w:p>
    <w:p w14:paraId="2B576C58" w14:textId="4563C511" w:rsidR="00451350" w:rsidRDefault="00451350">
      <w:pPr>
        <w:pStyle w:val="TableofFigures"/>
        <w:rPr>
          <w:rFonts w:asciiTheme="minorHAnsi" w:eastAsiaTheme="minorEastAsia" w:hAnsiTheme="minorHAnsi" w:cstheme="minorBidi"/>
        </w:rPr>
      </w:pPr>
      <w:hyperlink w:anchor="_Toc89857909" w:history="1">
        <w:r w:rsidRPr="00E7123A">
          <w:rPr>
            <w:rStyle w:val="Hyperlink"/>
          </w:rPr>
          <w:t>Table 38</w:t>
        </w:r>
        <w:r>
          <w:rPr>
            <w:rFonts w:asciiTheme="minorHAnsi" w:eastAsiaTheme="minorEastAsia" w:hAnsiTheme="minorHAnsi" w:cstheme="minorBidi"/>
          </w:rPr>
          <w:tab/>
        </w:r>
        <w:r w:rsidRPr="00E7123A">
          <w:rPr>
            <w:rStyle w:val="Hyperlink"/>
          </w:rPr>
          <w:t>QoL scores on EORTC QLQ-C30 at baseline and post-treatment with MR-IGRT for patients with prostate cancer Alongi et al. (2020)</w:t>
        </w:r>
        <w:r>
          <w:rPr>
            <w:webHidden/>
          </w:rPr>
          <w:tab/>
        </w:r>
        <w:r>
          <w:rPr>
            <w:webHidden/>
          </w:rPr>
          <w:fldChar w:fldCharType="begin"/>
        </w:r>
        <w:r>
          <w:rPr>
            <w:webHidden/>
          </w:rPr>
          <w:instrText xml:space="preserve"> PAGEREF _Toc89857909 \h </w:instrText>
        </w:r>
        <w:r>
          <w:rPr>
            <w:webHidden/>
          </w:rPr>
        </w:r>
        <w:r>
          <w:rPr>
            <w:webHidden/>
          </w:rPr>
          <w:fldChar w:fldCharType="separate"/>
        </w:r>
        <w:r>
          <w:rPr>
            <w:webHidden/>
          </w:rPr>
          <w:t>58</w:t>
        </w:r>
        <w:r>
          <w:rPr>
            <w:webHidden/>
          </w:rPr>
          <w:fldChar w:fldCharType="end"/>
        </w:r>
      </w:hyperlink>
    </w:p>
    <w:p w14:paraId="53E43459" w14:textId="4E08EAF4" w:rsidR="00451350" w:rsidRDefault="00451350">
      <w:pPr>
        <w:pStyle w:val="TableofFigures"/>
        <w:rPr>
          <w:rFonts w:asciiTheme="minorHAnsi" w:eastAsiaTheme="minorEastAsia" w:hAnsiTheme="minorHAnsi" w:cstheme="minorBidi"/>
        </w:rPr>
      </w:pPr>
      <w:hyperlink w:anchor="_Toc89857910" w:history="1">
        <w:r w:rsidRPr="00E7123A">
          <w:rPr>
            <w:rStyle w:val="Hyperlink"/>
          </w:rPr>
          <w:t>Table 39</w:t>
        </w:r>
        <w:r>
          <w:rPr>
            <w:rFonts w:asciiTheme="minorHAnsi" w:eastAsiaTheme="minorEastAsia" w:hAnsiTheme="minorHAnsi" w:cstheme="minorBidi"/>
          </w:rPr>
          <w:tab/>
        </w:r>
        <w:r w:rsidRPr="00E7123A">
          <w:rPr>
            <w:rStyle w:val="Hyperlink"/>
          </w:rPr>
          <w:t>QoL scores on EORTC QLQ-PR25 at baseline and post-treatment with MR-IGRT for patients with prostate cancer Alongi et al. (2020)</w:t>
        </w:r>
        <w:r>
          <w:rPr>
            <w:webHidden/>
          </w:rPr>
          <w:tab/>
        </w:r>
        <w:r>
          <w:rPr>
            <w:webHidden/>
          </w:rPr>
          <w:fldChar w:fldCharType="begin"/>
        </w:r>
        <w:r>
          <w:rPr>
            <w:webHidden/>
          </w:rPr>
          <w:instrText xml:space="preserve"> PAGEREF _Toc89857910 \h </w:instrText>
        </w:r>
        <w:r>
          <w:rPr>
            <w:webHidden/>
          </w:rPr>
        </w:r>
        <w:r>
          <w:rPr>
            <w:webHidden/>
          </w:rPr>
          <w:fldChar w:fldCharType="separate"/>
        </w:r>
        <w:r>
          <w:rPr>
            <w:webHidden/>
          </w:rPr>
          <w:t>58</w:t>
        </w:r>
        <w:r>
          <w:rPr>
            <w:webHidden/>
          </w:rPr>
          <w:fldChar w:fldCharType="end"/>
        </w:r>
      </w:hyperlink>
    </w:p>
    <w:p w14:paraId="74B92600" w14:textId="7C8A817F" w:rsidR="00451350" w:rsidRDefault="00451350">
      <w:pPr>
        <w:pStyle w:val="TableofFigures"/>
        <w:rPr>
          <w:rFonts w:asciiTheme="minorHAnsi" w:eastAsiaTheme="minorEastAsia" w:hAnsiTheme="minorHAnsi" w:cstheme="minorBidi"/>
        </w:rPr>
      </w:pPr>
      <w:hyperlink w:anchor="_Toc89857911" w:history="1">
        <w:r w:rsidRPr="00E7123A">
          <w:rPr>
            <w:rStyle w:val="Hyperlink"/>
          </w:rPr>
          <w:t>Table 40</w:t>
        </w:r>
        <w:r>
          <w:rPr>
            <w:rFonts w:asciiTheme="minorHAnsi" w:eastAsiaTheme="minorEastAsia" w:hAnsiTheme="minorHAnsi" w:cstheme="minorBidi"/>
          </w:rPr>
          <w:tab/>
        </w:r>
        <w:r w:rsidRPr="00E7123A">
          <w:rPr>
            <w:rStyle w:val="Hyperlink"/>
          </w:rPr>
          <w:t>QoL scores on EORTC QLQ-C30 at baseline and post-treatment with CBCT-IGRT for patients with prostate cancer Tondel et al. (2018)</w:t>
        </w:r>
        <w:r>
          <w:rPr>
            <w:webHidden/>
          </w:rPr>
          <w:tab/>
        </w:r>
        <w:r>
          <w:rPr>
            <w:webHidden/>
          </w:rPr>
          <w:fldChar w:fldCharType="begin"/>
        </w:r>
        <w:r>
          <w:rPr>
            <w:webHidden/>
          </w:rPr>
          <w:instrText xml:space="preserve"> PAGEREF _Toc89857911 \h </w:instrText>
        </w:r>
        <w:r>
          <w:rPr>
            <w:webHidden/>
          </w:rPr>
        </w:r>
        <w:r>
          <w:rPr>
            <w:webHidden/>
          </w:rPr>
          <w:fldChar w:fldCharType="separate"/>
        </w:r>
        <w:r>
          <w:rPr>
            <w:webHidden/>
          </w:rPr>
          <w:t>59</w:t>
        </w:r>
        <w:r>
          <w:rPr>
            <w:webHidden/>
          </w:rPr>
          <w:fldChar w:fldCharType="end"/>
        </w:r>
      </w:hyperlink>
    </w:p>
    <w:p w14:paraId="7DF3CEE0" w14:textId="08CDFB5A" w:rsidR="00451350" w:rsidRDefault="00451350">
      <w:pPr>
        <w:pStyle w:val="TableofFigures"/>
        <w:rPr>
          <w:rFonts w:asciiTheme="minorHAnsi" w:eastAsiaTheme="minorEastAsia" w:hAnsiTheme="minorHAnsi" w:cstheme="minorBidi"/>
        </w:rPr>
      </w:pPr>
      <w:hyperlink w:anchor="_Toc89857912" w:history="1">
        <w:r w:rsidRPr="00E7123A">
          <w:rPr>
            <w:rStyle w:val="Hyperlink"/>
          </w:rPr>
          <w:t>Table 41</w:t>
        </w:r>
        <w:r>
          <w:rPr>
            <w:rFonts w:asciiTheme="minorHAnsi" w:eastAsiaTheme="minorEastAsia" w:hAnsiTheme="minorHAnsi" w:cstheme="minorBidi"/>
          </w:rPr>
          <w:tab/>
        </w:r>
        <w:r w:rsidRPr="00E7123A">
          <w:rPr>
            <w:rStyle w:val="Hyperlink"/>
          </w:rPr>
          <w:t>Summary of findings for the critical patient-relevant outcomes in the MR-IGRT studies</w:t>
        </w:r>
        <w:r>
          <w:rPr>
            <w:webHidden/>
          </w:rPr>
          <w:tab/>
        </w:r>
        <w:r>
          <w:rPr>
            <w:webHidden/>
          </w:rPr>
          <w:fldChar w:fldCharType="begin"/>
        </w:r>
        <w:r>
          <w:rPr>
            <w:webHidden/>
          </w:rPr>
          <w:instrText xml:space="preserve"> PAGEREF _Toc89857912 \h </w:instrText>
        </w:r>
        <w:r>
          <w:rPr>
            <w:webHidden/>
          </w:rPr>
        </w:r>
        <w:r>
          <w:rPr>
            <w:webHidden/>
          </w:rPr>
          <w:fldChar w:fldCharType="separate"/>
        </w:r>
        <w:r>
          <w:rPr>
            <w:webHidden/>
          </w:rPr>
          <w:t>61</w:t>
        </w:r>
        <w:r>
          <w:rPr>
            <w:webHidden/>
          </w:rPr>
          <w:fldChar w:fldCharType="end"/>
        </w:r>
      </w:hyperlink>
    </w:p>
    <w:p w14:paraId="0D545167" w14:textId="3AA1D1CA" w:rsidR="00451350" w:rsidRDefault="00451350">
      <w:pPr>
        <w:pStyle w:val="TableofFigures"/>
        <w:rPr>
          <w:rFonts w:asciiTheme="minorHAnsi" w:eastAsiaTheme="minorEastAsia" w:hAnsiTheme="minorHAnsi" w:cstheme="minorBidi"/>
        </w:rPr>
      </w:pPr>
      <w:hyperlink w:anchor="_Toc89857913" w:history="1">
        <w:r w:rsidRPr="00E7123A">
          <w:rPr>
            <w:rStyle w:val="Hyperlink"/>
          </w:rPr>
          <w:t>Table 42</w:t>
        </w:r>
        <w:r>
          <w:rPr>
            <w:rFonts w:asciiTheme="minorHAnsi" w:eastAsiaTheme="minorEastAsia" w:hAnsiTheme="minorHAnsi" w:cstheme="minorBidi"/>
          </w:rPr>
          <w:tab/>
        </w:r>
        <w:r w:rsidRPr="00E7123A">
          <w:rPr>
            <w:rStyle w:val="Hyperlink"/>
          </w:rPr>
          <w:t>Classification of the comparative effectiveness and safety of the proposed therapeutic medical service compared with its main comparator and guide to the suitable type of economic evaluation</w:t>
        </w:r>
        <w:r>
          <w:rPr>
            <w:webHidden/>
          </w:rPr>
          <w:tab/>
        </w:r>
        <w:r>
          <w:rPr>
            <w:webHidden/>
          </w:rPr>
          <w:fldChar w:fldCharType="begin"/>
        </w:r>
        <w:r>
          <w:rPr>
            <w:webHidden/>
          </w:rPr>
          <w:instrText xml:space="preserve"> PAGEREF _Toc89857913 \h </w:instrText>
        </w:r>
        <w:r>
          <w:rPr>
            <w:webHidden/>
          </w:rPr>
        </w:r>
        <w:r>
          <w:rPr>
            <w:webHidden/>
          </w:rPr>
          <w:fldChar w:fldCharType="separate"/>
        </w:r>
        <w:r>
          <w:rPr>
            <w:webHidden/>
          </w:rPr>
          <w:t>65</w:t>
        </w:r>
        <w:r>
          <w:rPr>
            <w:webHidden/>
          </w:rPr>
          <w:fldChar w:fldCharType="end"/>
        </w:r>
      </w:hyperlink>
    </w:p>
    <w:p w14:paraId="76C390CA" w14:textId="3F4F6DC6" w:rsidR="00451350" w:rsidRDefault="00451350">
      <w:pPr>
        <w:pStyle w:val="TableofFigures"/>
        <w:rPr>
          <w:rFonts w:asciiTheme="minorHAnsi" w:eastAsiaTheme="minorEastAsia" w:hAnsiTheme="minorHAnsi" w:cstheme="minorBidi"/>
        </w:rPr>
      </w:pPr>
      <w:hyperlink w:anchor="_Toc89857914" w:history="1">
        <w:r w:rsidRPr="00E7123A">
          <w:rPr>
            <w:rStyle w:val="Hyperlink"/>
          </w:rPr>
          <w:t>Table 43</w:t>
        </w:r>
        <w:r>
          <w:rPr>
            <w:rFonts w:asciiTheme="minorHAnsi" w:eastAsiaTheme="minorEastAsia" w:hAnsiTheme="minorHAnsi" w:cstheme="minorBidi"/>
          </w:rPr>
          <w:tab/>
        </w:r>
        <w:r w:rsidRPr="00E7123A">
          <w:rPr>
            <w:rStyle w:val="Hyperlink"/>
          </w:rPr>
          <w:t>Summary of the economic evaluation</w:t>
        </w:r>
        <w:r>
          <w:rPr>
            <w:webHidden/>
          </w:rPr>
          <w:tab/>
        </w:r>
        <w:r>
          <w:rPr>
            <w:webHidden/>
          </w:rPr>
          <w:fldChar w:fldCharType="begin"/>
        </w:r>
        <w:r>
          <w:rPr>
            <w:webHidden/>
          </w:rPr>
          <w:instrText xml:space="preserve"> PAGEREF _Toc89857914 \h </w:instrText>
        </w:r>
        <w:r>
          <w:rPr>
            <w:webHidden/>
          </w:rPr>
        </w:r>
        <w:r>
          <w:rPr>
            <w:webHidden/>
          </w:rPr>
          <w:fldChar w:fldCharType="separate"/>
        </w:r>
        <w:r>
          <w:rPr>
            <w:webHidden/>
          </w:rPr>
          <w:t>67</w:t>
        </w:r>
        <w:r>
          <w:rPr>
            <w:webHidden/>
          </w:rPr>
          <w:fldChar w:fldCharType="end"/>
        </w:r>
      </w:hyperlink>
    </w:p>
    <w:p w14:paraId="47969450" w14:textId="7BA436C5" w:rsidR="00451350" w:rsidRDefault="00451350">
      <w:pPr>
        <w:pStyle w:val="TableofFigures"/>
        <w:rPr>
          <w:rFonts w:asciiTheme="minorHAnsi" w:eastAsiaTheme="minorEastAsia" w:hAnsiTheme="minorHAnsi" w:cstheme="minorBidi"/>
        </w:rPr>
      </w:pPr>
      <w:hyperlink w:anchor="_Toc89857915" w:history="1">
        <w:r w:rsidRPr="00E7123A">
          <w:rPr>
            <w:rStyle w:val="Hyperlink"/>
          </w:rPr>
          <w:t>Table 44</w:t>
        </w:r>
        <w:r>
          <w:rPr>
            <w:rFonts w:asciiTheme="minorHAnsi" w:eastAsiaTheme="minorEastAsia" w:hAnsiTheme="minorHAnsi" w:cstheme="minorBidi"/>
          </w:rPr>
          <w:tab/>
        </w:r>
        <w:r w:rsidRPr="00E7123A">
          <w:rPr>
            <w:rStyle w:val="Hyperlink"/>
          </w:rPr>
          <w:t>Literature search from MEDLINE</w:t>
        </w:r>
        <w:r>
          <w:rPr>
            <w:webHidden/>
          </w:rPr>
          <w:tab/>
        </w:r>
        <w:r>
          <w:rPr>
            <w:webHidden/>
          </w:rPr>
          <w:fldChar w:fldCharType="begin"/>
        </w:r>
        <w:r>
          <w:rPr>
            <w:webHidden/>
          </w:rPr>
          <w:instrText xml:space="preserve"> PAGEREF _Toc89857915 \h </w:instrText>
        </w:r>
        <w:r>
          <w:rPr>
            <w:webHidden/>
          </w:rPr>
        </w:r>
        <w:r>
          <w:rPr>
            <w:webHidden/>
          </w:rPr>
          <w:fldChar w:fldCharType="separate"/>
        </w:r>
        <w:r>
          <w:rPr>
            <w:webHidden/>
          </w:rPr>
          <w:t>68</w:t>
        </w:r>
        <w:r>
          <w:rPr>
            <w:webHidden/>
          </w:rPr>
          <w:fldChar w:fldCharType="end"/>
        </w:r>
      </w:hyperlink>
    </w:p>
    <w:p w14:paraId="76C48F82" w14:textId="7777EF4A" w:rsidR="00451350" w:rsidRDefault="00451350">
      <w:pPr>
        <w:pStyle w:val="TableofFigures"/>
        <w:rPr>
          <w:rFonts w:asciiTheme="minorHAnsi" w:eastAsiaTheme="minorEastAsia" w:hAnsiTheme="minorHAnsi" w:cstheme="minorBidi"/>
        </w:rPr>
      </w:pPr>
      <w:hyperlink w:anchor="_Toc89857916" w:history="1">
        <w:r w:rsidRPr="00E7123A">
          <w:rPr>
            <w:rStyle w:val="Hyperlink"/>
          </w:rPr>
          <w:t>Table 45</w:t>
        </w:r>
        <w:r>
          <w:rPr>
            <w:rFonts w:asciiTheme="minorHAnsi" w:eastAsiaTheme="minorEastAsia" w:hAnsiTheme="minorHAnsi" w:cstheme="minorBidi"/>
          </w:rPr>
          <w:tab/>
        </w:r>
        <w:r w:rsidRPr="00E7123A">
          <w:rPr>
            <w:rStyle w:val="Hyperlink"/>
          </w:rPr>
          <w:t>Literature search from EMBASE</w:t>
        </w:r>
        <w:r>
          <w:rPr>
            <w:webHidden/>
          </w:rPr>
          <w:tab/>
        </w:r>
        <w:r>
          <w:rPr>
            <w:webHidden/>
          </w:rPr>
          <w:fldChar w:fldCharType="begin"/>
        </w:r>
        <w:r>
          <w:rPr>
            <w:webHidden/>
          </w:rPr>
          <w:instrText xml:space="preserve"> PAGEREF _Toc89857916 \h </w:instrText>
        </w:r>
        <w:r>
          <w:rPr>
            <w:webHidden/>
          </w:rPr>
        </w:r>
        <w:r>
          <w:rPr>
            <w:webHidden/>
          </w:rPr>
          <w:fldChar w:fldCharType="separate"/>
        </w:r>
        <w:r>
          <w:rPr>
            <w:webHidden/>
          </w:rPr>
          <w:t>69</w:t>
        </w:r>
        <w:r>
          <w:rPr>
            <w:webHidden/>
          </w:rPr>
          <w:fldChar w:fldCharType="end"/>
        </w:r>
      </w:hyperlink>
    </w:p>
    <w:p w14:paraId="6DC2753F" w14:textId="44252235" w:rsidR="00451350" w:rsidRDefault="00451350">
      <w:pPr>
        <w:pStyle w:val="TableofFigures"/>
        <w:rPr>
          <w:rFonts w:asciiTheme="minorHAnsi" w:eastAsiaTheme="minorEastAsia" w:hAnsiTheme="minorHAnsi" w:cstheme="minorBidi"/>
        </w:rPr>
      </w:pPr>
      <w:hyperlink w:anchor="_Toc89857917" w:history="1">
        <w:r w:rsidRPr="00E7123A">
          <w:rPr>
            <w:rStyle w:val="Hyperlink"/>
          </w:rPr>
          <w:t>Table 46</w:t>
        </w:r>
        <w:r>
          <w:rPr>
            <w:rFonts w:asciiTheme="minorHAnsi" w:eastAsiaTheme="minorEastAsia" w:hAnsiTheme="minorHAnsi" w:cstheme="minorBidi"/>
          </w:rPr>
          <w:tab/>
        </w:r>
        <w:r w:rsidRPr="00E7123A">
          <w:rPr>
            <w:rStyle w:val="Hyperlink"/>
          </w:rPr>
          <w:t>Cost inputs</w:t>
        </w:r>
        <w:r>
          <w:rPr>
            <w:webHidden/>
          </w:rPr>
          <w:tab/>
        </w:r>
        <w:r>
          <w:rPr>
            <w:webHidden/>
          </w:rPr>
          <w:fldChar w:fldCharType="begin"/>
        </w:r>
        <w:r>
          <w:rPr>
            <w:webHidden/>
          </w:rPr>
          <w:instrText xml:space="preserve"> PAGEREF _Toc89857917 \h </w:instrText>
        </w:r>
        <w:r>
          <w:rPr>
            <w:webHidden/>
          </w:rPr>
        </w:r>
        <w:r>
          <w:rPr>
            <w:webHidden/>
          </w:rPr>
          <w:fldChar w:fldCharType="separate"/>
        </w:r>
        <w:r>
          <w:rPr>
            <w:webHidden/>
          </w:rPr>
          <w:t>72</w:t>
        </w:r>
        <w:r>
          <w:rPr>
            <w:webHidden/>
          </w:rPr>
          <w:fldChar w:fldCharType="end"/>
        </w:r>
      </w:hyperlink>
    </w:p>
    <w:p w14:paraId="5818D803" w14:textId="6320ACB9" w:rsidR="00451350" w:rsidRDefault="00451350">
      <w:pPr>
        <w:pStyle w:val="TableofFigures"/>
        <w:rPr>
          <w:rFonts w:asciiTheme="minorHAnsi" w:eastAsiaTheme="minorEastAsia" w:hAnsiTheme="minorHAnsi" w:cstheme="minorBidi"/>
        </w:rPr>
      </w:pPr>
      <w:hyperlink w:anchor="_Toc89857918" w:history="1">
        <w:r w:rsidRPr="00E7123A">
          <w:rPr>
            <w:rStyle w:val="Hyperlink"/>
          </w:rPr>
          <w:t>Table 47</w:t>
        </w:r>
        <w:r>
          <w:rPr>
            <w:rFonts w:asciiTheme="minorHAnsi" w:eastAsiaTheme="minorEastAsia" w:hAnsiTheme="minorHAnsi" w:cstheme="minorBidi"/>
          </w:rPr>
          <w:tab/>
        </w:r>
        <w:r w:rsidRPr="00E7123A">
          <w:rPr>
            <w:rStyle w:val="Hyperlink"/>
          </w:rPr>
          <w:t>List of steps, healthcare resources, time estimates and their costs to derive cost of MRI-guided SBRT and CBCT-guided SBRT from Parikh et al (Base case)</w:t>
        </w:r>
        <w:r>
          <w:rPr>
            <w:webHidden/>
          </w:rPr>
          <w:tab/>
        </w:r>
        <w:r>
          <w:rPr>
            <w:webHidden/>
          </w:rPr>
          <w:fldChar w:fldCharType="begin"/>
        </w:r>
        <w:r>
          <w:rPr>
            <w:webHidden/>
          </w:rPr>
          <w:instrText xml:space="preserve"> PAGEREF _Toc89857918 \h </w:instrText>
        </w:r>
        <w:r>
          <w:rPr>
            <w:webHidden/>
          </w:rPr>
        </w:r>
        <w:r>
          <w:rPr>
            <w:webHidden/>
          </w:rPr>
          <w:fldChar w:fldCharType="separate"/>
        </w:r>
        <w:r>
          <w:rPr>
            <w:webHidden/>
          </w:rPr>
          <w:t>73</w:t>
        </w:r>
        <w:r>
          <w:rPr>
            <w:webHidden/>
          </w:rPr>
          <w:fldChar w:fldCharType="end"/>
        </w:r>
      </w:hyperlink>
    </w:p>
    <w:p w14:paraId="4C23DB1B" w14:textId="5ED9990E" w:rsidR="00451350" w:rsidRDefault="00451350">
      <w:pPr>
        <w:pStyle w:val="TableofFigures"/>
        <w:rPr>
          <w:rFonts w:asciiTheme="minorHAnsi" w:eastAsiaTheme="minorEastAsia" w:hAnsiTheme="minorHAnsi" w:cstheme="minorBidi"/>
        </w:rPr>
      </w:pPr>
      <w:hyperlink w:anchor="_Toc89857919" w:history="1">
        <w:r w:rsidRPr="00E7123A">
          <w:rPr>
            <w:rStyle w:val="Hyperlink"/>
          </w:rPr>
          <w:t>Table 48</w:t>
        </w:r>
        <w:r>
          <w:rPr>
            <w:rFonts w:asciiTheme="minorHAnsi" w:eastAsiaTheme="minorEastAsia" w:hAnsiTheme="minorHAnsi" w:cstheme="minorBidi"/>
          </w:rPr>
          <w:tab/>
        </w:r>
        <w:r w:rsidRPr="00E7123A">
          <w:rPr>
            <w:rStyle w:val="Hyperlink"/>
          </w:rPr>
          <w:t>List of steps, healthcare resources, time estimates and their costs to derive cost of MRI-guided SBRT and CBCT-guided SBRT from Schumacher et al. (2020) (Base case)</w:t>
        </w:r>
        <w:r>
          <w:rPr>
            <w:webHidden/>
          </w:rPr>
          <w:tab/>
        </w:r>
        <w:r>
          <w:rPr>
            <w:webHidden/>
          </w:rPr>
          <w:fldChar w:fldCharType="begin"/>
        </w:r>
        <w:r>
          <w:rPr>
            <w:webHidden/>
          </w:rPr>
          <w:instrText xml:space="preserve"> PAGEREF _Toc89857919 \h </w:instrText>
        </w:r>
        <w:r>
          <w:rPr>
            <w:webHidden/>
          </w:rPr>
        </w:r>
        <w:r>
          <w:rPr>
            <w:webHidden/>
          </w:rPr>
          <w:fldChar w:fldCharType="separate"/>
        </w:r>
        <w:r>
          <w:rPr>
            <w:webHidden/>
          </w:rPr>
          <w:t>80</w:t>
        </w:r>
        <w:r>
          <w:rPr>
            <w:webHidden/>
          </w:rPr>
          <w:fldChar w:fldCharType="end"/>
        </w:r>
      </w:hyperlink>
    </w:p>
    <w:p w14:paraId="169989DB" w14:textId="31A3314A" w:rsidR="00451350" w:rsidRDefault="00451350">
      <w:pPr>
        <w:pStyle w:val="TableofFigures"/>
        <w:rPr>
          <w:rFonts w:asciiTheme="minorHAnsi" w:eastAsiaTheme="minorEastAsia" w:hAnsiTheme="minorHAnsi" w:cstheme="minorBidi"/>
        </w:rPr>
      </w:pPr>
      <w:hyperlink w:anchor="_Toc89857920" w:history="1">
        <w:r w:rsidRPr="00E7123A">
          <w:rPr>
            <w:rStyle w:val="Hyperlink"/>
          </w:rPr>
          <w:t>Table 49</w:t>
        </w:r>
        <w:r>
          <w:rPr>
            <w:rFonts w:asciiTheme="minorHAnsi" w:eastAsiaTheme="minorEastAsia" w:hAnsiTheme="minorHAnsi" w:cstheme="minorBidi"/>
          </w:rPr>
          <w:tab/>
        </w:r>
        <w:r w:rsidRPr="00E7123A">
          <w:rPr>
            <w:rStyle w:val="Hyperlink"/>
          </w:rPr>
          <w:t>List of healthcare resource items and their costs for treating prostate cancer related toxicities (Base case)</w:t>
        </w:r>
        <w:r>
          <w:rPr>
            <w:webHidden/>
          </w:rPr>
          <w:tab/>
        </w:r>
        <w:r>
          <w:rPr>
            <w:webHidden/>
          </w:rPr>
          <w:fldChar w:fldCharType="begin"/>
        </w:r>
        <w:r>
          <w:rPr>
            <w:webHidden/>
          </w:rPr>
          <w:instrText xml:space="preserve"> PAGEREF _Toc89857920 \h </w:instrText>
        </w:r>
        <w:r>
          <w:rPr>
            <w:webHidden/>
          </w:rPr>
        </w:r>
        <w:r>
          <w:rPr>
            <w:webHidden/>
          </w:rPr>
          <w:fldChar w:fldCharType="separate"/>
        </w:r>
        <w:r>
          <w:rPr>
            <w:webHidden/>
          </w:rPr>
          <w:t>82</w:t>
        </w:r>
        <w:r>
          <w:rPr>
            <w:webHidden/>
          </w:rPr>
          <w:fldChar w:fldCharType="end"/>
        </w:r>
      </w:hyperlink>
    </w:p>
    <w:p w14:paraId="1B4A5161" w14:textId="600C7F68" w:rsidR="00451350" w:rsidRDefault="00451350">
      <w:pPr>
        <w:pStyle w:val="TableofFigures"/>
        <w:rPr>
          <w:rFonts w:asciiTheme="minorHAnsi" w:eastAsiaTheme="minorEastAsia" w:hAnsiTheme="minorHAnsi" w:cstheme="minorBidi"/>
        </w:rPr>
      </w:pPr>
      <w:hyperlink w:anchor="_Toc89857921" w:history="1">
        <w:r w:rsidRPr="00E7123A">
          <w:rPr>
            <w:rStyle w:val="Hyperlink"/>
          </w:rPr>
          <w:t>Table 50</w:t>
        </w:r>
        <w:r>
          <w:rPr>
            <w:rFonts w:asciiTheme="minorHAnsi" w:eastAsiaTheme="minorEastAsia" w:hAnsiTheme="minorHAnsi" w:cstheme="minorBidi"/>
          </w:rPr>
          <w:tab/>
        </w:r>
        <w:r w:rsidRPr="00E7123A">
          <w:rPr>
            <w:rStyle w:val="Hyperlink"/>
          </w:rPr>
          <w:t>Prostate cancer related acute and late GI/GU toxicity used in economic model</w:t>
        </w:r>
        <w:r>
          <w:rPr>
            <w:webHidden/>
          </w:rPr>
          <w:tab/>
        </w:r>
        <w:r>
          <w:rPr>
            <w:webHidden/>
          </w:rPr>
          <w:fldChar w:fldCharType="begin"/>
        </w:r>
        <w:r>
          <w:rPr>
            <w:webHidden/>
          </w:rPr>
          <w:instrText xml:space="preserve"> PAGEREF _Toc89857921 \h </w:instrText>
        </w:r>
        <w:r>
          <w:rPr>
            <w:webHidden/>
          </w:rPr>
        </w:r>
        <w:r>
          <w:rPr>
            <w:webHidden/>
          </w:rPr>
          <w:fldChar w:fldCharType="separate"/>
        </w:r>
        <w:r>
          <w:rPr>
            <w:webHidden/>
          </w:rPr>
          <w:t>88</w:t>
        </w:r>
        <w:r>
          <w:rPr>
            <w:webHidden/>
          </w:rPr>
          <w:fldChar w:fldCharType="end"/>
        </w:r>
      </w:hyperlink>
    </w:p>
    <w:p w14:paraId="0D20C045" w14:textId="315A970B" w:rsidR="00451350" w:rsidRDefault="00451350">
      <w:pPr>
        <w:pStyle w:val="TableofFigures"/>
        <w:rPr>
          <w:rFonts w:asciiTheme="minorHAnsi" w:eastAsiaTheme="minorEastAsia" w:hAnsiTheme="minorHAnsi" w:cstheme="minorBidi"/>
        </w:rPr>
      </w:pPr>
      <w:hyperlink w:anchor="_Toc89857922" w:history="1">
        <w:r w:rsidRPr="00E7123A">
          <w:rPr>
            <w:rStyle w:val="Hyperlink"/>
          </w:rPr>
          <w:t>Table 51</w:t>
        </w:r>
        <w:r>
          <w:rPr>
            <w:rFonts w:asciiTheme="minorHAnsi" w:eastAsiaTheme="minorEastAsia" w:hAnsiTheme="minorHAnsi" w:cstheme="minorBidi"/>
          </w:rPr>
          <w:tab/>
        </w:r>
        <w:r w:rsidRPr="00E7123A">
          <w:rPr>
            <w:rStyle w:val="Hyperlink"/>
          </w:rPr>
          <w:t>Disaggregated costs</w:t>
        </w:r>
        <w:r>
          <w:rPr>
            <w:webHidden/>
          </w:rPr>
          <w:tab/>
        </w:r>
        <w:r>
          <w:rPr>
            <w:webHidden/>
          </w:rPr>
          <w:fldChar w:fldCharType="begin"/>
        </w:r>
        <w:r>
          <w:rPr>
            <w:webHidden/>
          </w:rPr>
          <w:instrText xml:space="preserve"> PAGEREF _Toc89857922 \h </w:instrText>
        </w:r>
        <w:r>
          <w:rPr>
            <w:webHidden/>
          </w:rPr>
        </w:r>
        <w:r>
          <w:rPr>
            <w:webHidden/>
          </w:rPr>
          <w:fldChar w:fldCharType="separate"/>
        </w:r>
        <w:r>
          <w:rPr>
            <w:webHidden/>
          </w:rPr>
          <w:t>88</w:t>
        </w:r>
        <w:r>
          <w:rPr>
            <w:webHidden/>
          </w:rPr>
          <w:fldChar w:fldCharType="end"/>
        </w:r>
      </w:hyperlink>
    </w:p>
    <w:p w14:paraId="3C7CDC3A" w14:textId="78791880" w:rsidR="00451350" w:rsidRDefault="00451350">
      <w:pPr>
        <w:pStyle w:val="TableofFigures"/>
        <w:rPr>
          <w:rFonts w:asciiTheme="minorHAnsi" w:eastAsiaTheme="minorEastAsia" w:hAnsiTheme="minorHAnsi" w:cstheme="minorBidi"/>
        </w:rPr>
      </w:pPr>
      <w:hyperlink w:anchor="_Toc89857923" w:history="1">
        <w:r w:rsidRPr="00E7123A">
          <w:rPr>
            <w:rStyle w:val="Hyperlink"/>
          </w:rPr>
          <w:t xml:space="preserve">Table 52 </w:t>
        </w:r>
        <w:r>
          <w:rPr>
            <w:rFonts w:asciiTheme="minorHAnsi" w:eastAsiaTheme="minorEastAsia" w:hAnsiTheme="minorHAnsi" w:cstheme="minorBidi"/>
          </w:rPr>
          <w:tab/>
        </w:r>
        <w:r w:rsidRPr="00E7123A">
          <w:rPr>
            <w:rStyle w:val="Hyperlink"/>
          </w:rPr>
          <w:t>Overall and incremental costs of MRI-guided radiation therapy and CBCT-guided radiation therapy</w:t>
        </w:r>
        <w:r>
          <w:rPr>
            <w:webHidden/>
          </w:rPr>
          <w:tab/>
        </w:r>
        <w:r>
          <w:rPr>
            <w:webHidden/>
          </w:rPr>
          <w:fldChar w:fldCharType="begin"/>
        </w:r>
        <w:r>
          <w:rPr>
            <w:webHidden/>
          </w:rPr>
          <w:instrText xml:space="preserve"> PAGEREF _Toc89857923 \h </w:instrText>
        </w:r>
        <w:r>
          <w:rPr>
            <w:webHidden/>
          </w:rPr>
        </w:r>
        <w:r>
          <w:rPr>
            <w:webHidden/>
          </w:rPr>
          <w:fldChar w:fldCharType="separate"/>
        </w:r>
        <w:r>
          <w:rPr>
            <w:webHidden/>
          </w:rPr>
          <w:t>89</w:t>
        </w:r>
        <w:r>
          <w:rPr>
            <w:webHidden/>
          </w:rPr>
          <w:fldChar w:fldCharType="end"/>
        </w:r>
      </w:hyperlink>
    </w:p>
    <w:p w14:paraId="1D1969A6" w14:textId="6C843202" w:rsidR="00451350" w:rsidRDefault="00451350">
      <w:pPr>
        <w:pStyle w:val="TableofFigures"/>
        <w:rPr>
          <w:rFonts w:asciiTheme="minorHAnsi" w:eastAsiaTheme="minorEastAsia" w:hAnsiTheme="minorHAnsi" w:cstheme="minorBidi"/>
        </w:rPr>
      </w:pPr>
      <w:hyperlink w:anchor="_Toc89857924" w:history="1">
        <w:r w:rsidRPr="00E7123A">
          <w:rPr>
            <w:rStyle w:val="Hyperlink"/>
          </w:rPr>
          <w:t>Table 53</w:t>
        </w:r>
        <w:r>
          <w:rPr>
            <w:rFonts w:asciiTheme="minorHAnsi" w:eastAsiaTheme="minorEastAsia" w:hAnsiTheme="minorHAnsi" w:cstheme="minorBidi"/>
          </w:rPr>
          <w:tab/>
        </w:r>
        <w:r w:rsidRPr="00E7123A">
          <w:rPr>
            <w:rStyle w:val="Hyperlink"/>
          </w:rPr>
          <w:t>Key drivers of economic model – MR-IGRT v CBCT-IGRT (± 20%)</w:t>
        </w:r>
        <w:r>
          <w:rPr>
            <w:webHidden/>
          </w:rPr>
          <w:tab/>
        </w:r>
        <w:r>
          <w:rPr>
            <w:webHidden/>
          </w:rPr>
          <w:fldChar w:fldCharType="begin"/>
        </w:r>
        <w:r>
          <w:rPr>
            <w:webHidden/>
          </w:rPr>
          <w:instrText xml:space="preserve"> PAGEREF _Toc89857924 \h </w:instrText>
        </w:r>
        <w:r>
          <w:rPr>
            <w:webHidden/>
          </w:rPr>
        </w:r>
        <w:r>
          <w:rPr>
            <w:webHidden/>
          </w:rPr>
          <w:fldChar w:fldCharType="separate"/>
        </w:r>
        <w:r>
          <w:rPr>
            <w:webHidden/>
          </w:rPr>
          <w:t>90</w:t>
        </w:r>
        <w:r>
          <w:rPr>
            <w:webHidden/>
          </w:rPr>
          <w:fldChar w:fldCharType="end"/>
        </w:r>
      </w:hyperlink>
    </w:p>
    <w:p w14:paraId="72F6D134" w14:textId="336FB459" w:rsidR="00451350" w:rsidRDefault="00451350">
      <w:pPr>
        <w:pStyle w:val="TableofFigures"/>
        <w:rPr>
          <w:rFonts w:asciiTheme="minorHAnsi" w:eastAsiaTheme="minorEastAsia" w:hAnsiTheme="minorHAnsi" w:cstheme="minorBidi"/>
        </w:rPr>
      </w:pPr>
      <w:hyperlink w:anchor="_Toc89857925" w:history="1">
        <w:r w:rsidRPr="00E7123A">
          <w:rPr>
            <w:rStyle w:val="Hyperlink"/>
          </w:rPr>
          <w:t>Table 54</w:t>
        </w:r>
        <w:r>
          <w:rPr>
            <w:rFonts w:asciiTheme="minorHAnsi" w:eastAsiaTheme="minorEastAsia" w:hAnsiTheme="minorHAnsi" w:cstheme="minorBidi"/>
          </w:rPr>
          <w:tab/>
        </w:r>
        <w:r w:rsidRPr="00E7123A">
          <w:rPr>
            <w:rStyle w:val="Hyperlink"/>
          </w:rPr>
          <w:t>Key drivers of economic model – MR-IGRT v CBCT-IGRT (± 50%)</w:t>
        </w:r>
        <w:r>
          <w:rPr>
            <w:webHidden/>
          </w:rPr>
          <w:tab/>
        </w:r>
        <w:r>
          <w:rPr>
            <w:webHidden/>
          </w:rPr>
          <w:fldChar w:fldCharType="begin"/>
        </w:r>
        <w:r>
          <w:rPr>
            <w:webHidden/>
          </w:rPr>
          <w:instrText xml:space="preserve"> PAGEREF _Toc89857925 \h </w:instrText>
        </w:r>
        <w:r>
          <w:rPr>
            <w:webHidden/>
          </w:rPr>
        </w:r>
        <w:r>
          <w:rPr>
            <w:webHidden/>
          </w:rPr>
          <w:fldChar w:fldCharType="separate"/>
        </w:r>
        <w:r>
          <w:rPr>
            <w:webHidden/>
          </w:rPr>
          <w:t>91</w:t>
        </w:r>
        <w:r>
          <w:rPr>
            <w:webHidden/>
          </w:rPr>
          <w:fldChar w:fldCharType="end"/>
        </w:r>
      </w:hyperlink>
    </w:p>
    <w:p w14:paraId="01C4B82C" w14:textId="746E7C7D" w:rsidR="00451350" w:rsidRDefault="00451350">
      <w:pPr>
        <w:pStyle w:val="TableofFigures"/>
        <w:rPr>
          <w:rFonts w:asciiTheme="minorHAnsi" w:eastAsiaTheme="minorEastAsia" w:hAnsiTheme="minorHAnsi" w:cstheme="minorBidi"/>
        </w:rPr>
      </w:pPr>
      <w:hyperlink w:anchor="_Toc89857926" w:history="1">
        <w:r w:rsidRPr="00E7123A">
          <w:rPr>
            <w:rStyle w:val="Hyperlink"/>
          </w:rPr>
          <w:t>Table 55</w:t>
        </w:r>
        <w:r>
          <w:rPr>
            <w:rFonts w:asciiTheme="minorHAnsi" w:eastAsiaTheme="minorEastAsia" w:hAnsiTheme="minorHAnsi" w:cstheme="minorBidi"/>
          </w:rPr>
          <w:tab/>
        </w:r>
        <w:r w:rsidRPr="00E7123A">
          <w:rPr>
            <w:rStyle w:val="Hyperlink"/>
          </w:rPr>
          <w:t>Changing fractions for CBCT-IGRT and impact on the incremental cost</w:t>
        </w:r>
        <w:r>
          <w:rPr>
            <w:webHidden/>
          </w:rPr>
          <w:tab/>
        </w:r>
        <w:r>
          <w:rPr>
            <w:webHidden/>
          </w:rPr>
          <w:fldChar w:fldCharType="begin"/>
        </w:r>
        <w:r>
          <w:rPr>
            <w:webHidden/>
          </w:rPr>
          <w:instrText xml:space="preserve"> PAGEREF _Toc89857926 \h </w:instrText>
        </w:r>
        <w:r>
          <w:rPr>
            <w:webHidden/>
          </w:rPr>
        </w:r>
        <w:r>
          <w:rPr>
            <w:webHidden/>
          </w:rPr>
          <w:fldChar w:fldCharType="separate"/>
        </w:r>
        <w:r>
          <w:rPr>
            <w:webHidden/>
          </w:rPr>
          <w:t>92</w:t>
        </w:r>
        <w:r>
          <w:rPr>
            <w:webHidden/>
          </w:rPr>
          <w:fldChar w:fldCharType="end"/>
        </w:r>
      </w:hyperlink>
    </w:p>
    <w:p w14:paraId="72DA2242" w14:textId="486D0D9C" w:rsidR="00451350" w:rsidRDefault="00451350">
      <w:pPr>
        <w:pStyle w:val="TableofFigures"/>
        <w:rPr>
          <w:rFonts w:asciiTheme="minorHAnsi" w:eastAsiaTheme="minorEastAsia" w:hAnsiTheme="minorHAnsi" w:cstheme="minorBidi"/>
        </w:rPr>
      </w:pPr>
      <w:hyperlink w:anchor="_Toc89857927" w:history="1">
        <w:r w:rsidRPr="00E7123A">
          <w:rPr>
            <w:rStyle w:val="Hyperlink"/>
          </w:rPr>
          <w:t>Table 56</w:t>
        </w:r>
        <w:r>
          <w:rPr>
            <w:rFonts w:asciiTheme="minorHAnsi" w:eastAsiaTheme="minorEastAsia" w:hAnsiTheme="minorHAnsi" w:cstheme="minorBidi"/>
          </w:rPr>
          <w:tab/>
        </w:r>
        <w:r w:rsidRPr="00E7123A">
          <w:rPr>
            <w:rStyle w:val="Hyperlink"/>
          </w:rPr>
          <w:t>Removing cost of fiducial marker placement from the overall cost of CBCT-IGRT</w:t>
        </w:r>
        <w:r>
          <w:rPr>
            <w:webHidden/>
          </w:rPr>
          <w:tab/>
        </w:r>
        <w:r>
          <w:rPr>
            <w:webHidden/>
          </w:rPr>
          <w:fldChar w:fldCharType="begin"/>
        </w:r>
        <w:r>
          <w:rPr>
            <w:webHidden/>
          </w:rPr>
          <w:instrText xml:space="preserve"> PAGEREF _Toc89857927 \h </w:instrText>
        </w:r>
        <w:r>
          <w:rPr>
            <w:webHidden/>
          </w:rPr>
        </w:r>
        <w:r>
          <w:rPr>
            <w:webHidden/>
          </w:rPr>
          <w:fldChar w:fldCharType="separate"/>
        </w:r>
        <w:r>
          <w:rPr>
            <w:webHidden/>
          </w:rPr>
          <w:t>92</w:t>
        </w:r>
        <w:r>
          <w:rPr>
            <w:webHidden/>
          </w:rPr>
          <w:fldChar w:fldCharType="end"/>
        </w:r>
      </w:hyperlink>
    </w:p>
    <w:p w14:paraId="3561399D" w14:textId="4035885D" w:rsidR="00451350" w:rsidRDefault="00451350">
      <w:pPr>
        <w:pStyle w:val="TableofFigures"/>
        <w:rPr>
          <w:rFonts w:asciiTheme="minorHAnsi" w:eastAsiaTheme="minorEastAsia" w:hAnsiTheme="minorHAnsi" w:cstheme="minorBidi"/>
        </w:rPr>
      </w:pPr>
      <w:hyperlink w:anchor="_Toc89857928" w:history="1">
        <w:r w:rsidRPr="00E7123A">
          <w:rPr>
            <w:rStyle w:val="Hyperlink"/>
          </w:rPr>
          <w:t>Table 57</w:t>
        </w:r>
        <w:r>
          <w:rPr>
            <w:rFonts w:asciiTheme="minorHAnsi" w:eastAsiaTheme="minorEastAsia" w:hAnsiTheme="minorHAnsi" w:cstheme="minorBidi"/>
          </w:rPr>
          <w:tab/>
        </w:r>
        <w:r w:rsidRPr="00E7123A">
          <w:rPr>
            <w:rStyle w:val="Hyperlink"/>
          </w:rPr>
          <w:t>Forecast Australian incidence of selected cancer indications and overall cancer incidence forecasts, 2021 to 2025</w:t>
        </w:r>
        <w:r>
          <w:rPr>
            <w:webHidden/>
          </w:rPr>
          <w:tab/>
        </w:r>
        <w:r>
          <w:rPr>
            <w:webHidden/>
          </w:rPr>
          <w:fldChar w:fldCharType="begin"/>
        </w:r>
        <w:r>
          <w:rPr>
            <w:webHidden/>
          </w:rPr>
          <w:instrText xml:space="preserve"> PAGEREF _Toc89857928 \h </w:instrText>
        </w:r>
        <w:r>
          <w:rPr>
            <w:webHidden/>
          </w:rPr>
        </w:r>
        <w:r>
          <w:rPr>
            <w:webHidden/>
          </w:rPr>
          <w:fldChar w:fldCharType="separate"/>
        </w:r>
        <w:r>
          <w:rPr>
            <w:webHidden/>
          </w:rPr>
          <w:t>96</w:t>
        </w:r>
        <w:r>
          <w:rPr>
            <w:webHidden/>
          </w:rPr>
          <w:fldChar w:fldCharType="end"/>
        </w:r>
      </w:hyperlink>
    </w:p>
    <w:p w14:paraId="6DEBFB59" w14:textId="67964286" w:rsidR="00451350" w:rsidRDefault="00451350">
      <w:pPr>
        <w:pStyle w:val="TableofFigures"/>
        <w:rPr>
          <w:rFonts w:asciiTheme="minorHAnsi" w:eastAsiaTheme="minorEastAsia" w:hAnsiTheme="minorHAnsi" w:cstheme="minorBidi"/>
        </w:rPr>
      </w:pPr>
      <w:hyperlink w:anchor="_Toc89857929" w:history="1">
        <w:r w:rsidRPr="00E7123A">
          <w:rPr>
            <w:rStyle w:val="Hyperlink"/>
          </w:rPr>
          <w:t>Table 58</w:t>
        </w:r>
        <w:r>
          <w:rPr>
            <w:rFonts w:asciiTheme="minorHAnsi" w:eastAsiaTheme="minorEastAsia" w:hAnsiTheme="minorHAnsi" w:cstheme="minorBidi"/>
          </w:rPr>
          <w:tab/>
        </w:r>
        <w:r w:rsidRPr="00E7123A">
          <w:rPr>
            <w:rStyle w:val="Hyperlink"/>
          </w:rPr>
          <w:t>Courses of EBRT delivered in Australia, 2013-14 to 2018-19</w:t>
        </w:r>
        <w:r>
          <w:rPr>
            <w:webHidden/>
          </w:rPr>
          <w:tab/>
        </w:r>
        <w:r>
          <w:rPr>
            <w:webHidden/>
          </w:rPr>
          <w:fldChar w:fldCharType="begin"/>
        </w:r>
        <w:r>
          <w:rPr>
            <w:webHidden/>
          </w:rPr>
          <w:instrText xml:space="preserve"> PAGEREF _Toc89857929 \h </w:instrText>
        </w:r>
        <w:r>
          <w:rPr>
            <w:webHidden/>
          </w:rPr>
        </w:r>
        <w:r>
          <w:rPr>
            <w:webHidden/>
          </w:rPr>
          <w:fldChar w:fldCharType="separate"/>
        </w:r>
        <w:r>
          <w:rPr>
            <w:webHidden/>
          </w:rPr>
          <w:t>97</w:t>
        </w:r>
        <w:r>
          <w:rPr>
            <w:webHidden/>
          </w:rPr>
          <w:fldChar w:fldCharType="end"/>
        </w:r>
      </w:hyperlink>
    </w:p>
    <w:p w14:paraId="111671D5" w14:textId="67AD2D9E" w:rsidR="00451350" w:rsidRDefault="00451350">
      <w:pPr>
        <w:pStyle w:val="TableofFigures"/>
        <w:rPr>
          <w:rFonts w:asciiTheme="minorHAnsi" w:eastAsiaTheme="minorEastAsia" w:hAnsiTheme="minorHAnsi" w:cstheme="minorBidi"/>
        </w:rPr>
      </w:pPr>
      <w:hyperlink w:anchor="_Toc89857930" w:history="1">
        <w:r w:rsidRPr="00E7123A">
          <w:rPr>
            <w:rStyle w:val="Hyperlink"/>
          </w:rPr>
          <w:t>Table 59</w:t>
        </w:r>
        <w:r>
          <w:rPr>
            <w:rFonts w:asciiTheme="minorHAnsi" w:eastAsiaTheme="minorEastAsia" w:hAnsiTheme="minorHAnsi" w:cstheme="minorBidi"/>
          </w:rPr>
          <w:tab/>
        </w:r>
        <w:r w:rsidRPr="00E7123A">
          <w:rPr>
            <w:rStyle w:val="Hyperlink"/>
          </w:rPr>
          <w:t>EBRT courses by cancer indication, 2013-14 to 2019</w:t>
        </w:r>
        <w:r>
          <w:rPr>
            <w:webHidden/>
          </w:rPr>
          <w:tab/>
        </w:r>
        <w:r>
          <w:rPr>
            <w:webHidden/>
          </w:rPr>
          <w:fldChar w:fldCharType="begin"/>
        </w:r>
        <w:r>
          <w:rPr>
            <w:webHidden/>
          </w:rPr>
          <w:instrText xml:space="preserve"> PAGEREF _Toc89857930 \h </w:instrText>
        </w:r>
        <w:r>
          <w:rPr>
            <w:webHidden/>
          </w:rPr>
        </w:r>
        <w:r>
          <w:rPr>
            <w:webHidden/>
          </w:rPr>
          <w:fldChar w:fldCharType="separate"/>
        </w:r>
        <w:r>
          <w:rPr>
            <w:webHidden/>
          </w:rPr>
          <w:t>97</w:t>
        </w:r>
        <w:r>
          <w:rPr>
            <w:webHidden/>
          </w:rPr>
          <w:fldChar w:fldCharType="end"/>
        </w:r>
      </w:hyperlink>
    </w:p>
    <w:p w14:paraId="2519AC75" w14:textId="01DE3EB1" w:rsidR="00451350" w:rsidRDefault="00451350">
      <w:pPr>
        <w:pStyle w:val="TableofFigures"/>
        <w:rPr>
          <w:rFonts w:asciiTheme="minorHAnsi" w:eastAsiaTheme="minorEastAsia" w:hAnsiTheme="minorHAnsi" w:cstheme="minorBidi"/>
        </w:rPr>
      </w:pPr>
      <w:hyperlink w:anchor="_Toc89857931" w:history="1">
        <w:r w:rsidRPr="00E7123A">
          <w:rPr>
            <w:rStyle w:val="Hyperlink"/>
          </w:rPr>
          <w:t>Table 60</w:t>
        </w:r>
        <w:r>
          <w:rPr>
            <w:rFonts w:asciiTheme="minorHAnsi" w:eastAsiaTheme="minorEastAsia" w:hAnsiTheme="minorHAnsi" w:cstheme="minorBidi"/>
          </w:rPr>
          <w:tab/>
        </w:r>
        <w:r w:rsidRPr="00E7123A">
          <w:rPr>
            <w:rStyle w:val="Hyperlink"/>
          </w:rPr>
          <w:t>Estimated proportion of all cancer indications treated by EBRT by indication, 2013-14 to 2018-19</w:t>
        </w:r>
        <w:r>
          <w:rPr>
            <w:webHidden/>
          </w:rPr>
          <w:tab/>
        </w:r>
        <w:r>
          <w:rPr>
            <w:webHidden/>
          </w:rPr>
          <w:fldChar w:fldCharType="begin"/>
        </w:r>
        <w:r>
          <w:rPr>
            <w:webHidden/>
          </w:rPr>
          <w:instrText xml:space="preserve"> PAGEREF _Toc89857931 \h </w:instrText>
        </w:r>
        <w:r>
          <w:rPr>
            <w:webHidden/>
          </w:rPr>
        </w:r>
        <w:r>
          <w:rPr>
            <w:webHidden/>
          </w:rPr>
          <w:fldChar w:fldCharType="separate"/>
        </w:r>
        <w:r>
          <w:rPr>
            <w:webHidden/>
          </w:rPr>
          <w:t>98</w:t>
        </w:r>
        <w:r>
          <w:rPr>
            <w:webHidden/>
          </w:rPr>
          <w:fldChar w:fldCharType="end"/>
        </w:r>
      </w:hyperlink>
    </w:p>
    <w:p w14:paraId="64F9C132" w14:textId="32345BC5" w:rsidR="00451350" w:rsidRDefault="00451350">
      <w:pPr>
        <w:pStyle w:val="TableofFigures"/>
        <w:rPr>
          <w:rFonts w:asciiTheme="minorHAnsi" w:eastAsiaTheme="minorEastAsia" w:hAnsiTheme="minorHAnsi" w:cstheme="minorBidi"/>
        </w:rPr>
      </w:pPr>
      <w:hyperlink w:anchor="_Toc89857932" w:history="1">
        <w:r w:rsidRPr="00E7123A">
          <w:rPr>
            <w:rStyle w:val="Hyperlink"/>
          </w:rPr>
          <w:t>Table 61</w:t>
        </w:r>
        <w:r>
          <w:rPr>
            <w:rFonts w:asciiTheme="minorHAnsi" w:eastAsiaTheme="minorEastAsia" w:hAnsiTheme="minorHAnsi" w:cstheme="minorBidi"/>
          </w:rPr>
          <w:tab/>
        </w:r>
        <w:r w:rsidRPr="00E7123A">
          <w:rPr>
            <w:rStyle w:val="Hyperlink"/>
          </w:rPr>
          <w:t>Estimated proportion of selected cancer indications treated by EBRT in Australia, 2013-14 to 2018-19 (% of overall annual incidence)</w:t>
        </w:r>
        <w:r>
          <w:rPr>
            <w:webHidden/>
          </w:rPr>
          <w:tab/>
        </w:r>
        <w:r>
          <w:rPr>
            <w:webHidden/>
          </w:rPr>
          <w:fldChar w:fldCharType="begin"/>
        </w:r>
        <w:r>
          <w:rPr>
            <w:webHidden/>
          </w:rPr>
          <w:instrText xml:space="preserve"> PAGEREF _Toc89857932 \h </w:instrText>
        </w:r>
        <w:r>
          <w:rPr>
            <w:webHidden/>
          </w:rPr>
        </w:r>
        <w:r>
          <w:rPr>
            <w:webHidden/>
          </w:rPr>
          <w:fldChar w:fldCharType="separate"/>
        </w:r>
        <w:r>
          <w:rPr>
            <w:webHidden/>
          </w:rPr>
          <w:t>98</w:t>
        </w:r>
        <w:r>
          <w:rPr>
            <w:webHidden/>
          </w:rPr>
          <w:fldChar w:fldCharType="end"/>
        </w:r>
      </w:hyperlink>
    </w:p>
    <w:p w14:paraId="5C7579F2" w14:textId="4AA2F3DC" w:rsidR="00451350" w:rsidRDefault="00451350">
      <w:pPr>
        <w:pStyle w:val="TableofFigures"/>
        <w:rPr>
          <w:rFonts w:asciiTheme="minorHAnsi" w:eastAsiaTheme="minorEastAsia" w:hAnsiTheme="minorHAnsi" w:cstheme="minorBidi"/>
        </w:rPr>
      </w:pPr>
      <w:hyperlink w:anchor="_Toc89857933" w:history="1">
        <w:r w:rsidRPr="00E7123A">
          <w:rPr>
            <w:rStyle w:val="Hyperlink"/>
          </w:rPr>
          <w:t>Table 62</w:t>
        </w:r>
        <w:r>
          <w:rPr>
            <w:rFonts w:asciiTheme="minorHAnsi" w:eastAsiaTheme="minorEastAsia" w:hAnsiTheme="minorHAnsi" w:cstheme="minorBidi"/>
          </w:rPr>
          <w:tab/>
        </w:r>
        <w:r w:rsidRPr="00E7123A">
          <w:rPr>
            <w:rStyle w:val="Hyperlink"/>
          </w:rPr>
          <w:t>Actual and forecast EBRT utilisation in Australia, 2021 to 2025</w:t>
        </w:r>
        <w:r>
          <w:rPr>
            <w:webHidden/>
          </w:rPr>
          <w:tab/>
        </w:r>
        <w:r>
          <w:rPr>
            <w:webHidden/>
          </w:rPr>
          <w:fldChar w:fldCharType="begin"/>
        </w:r>
        <w:r>
          <w:rPr>
            <w:webHidden/>
          </w:rPr>
          <w:instrText xml:space="preserve"> PAGEREF _Toc89857933 \h </w:instrText>
        </w:r>
        <w:r>
          <w:rPr>
            <w:webHidden/>
          </w:rPr>
        </w:r>
        <w:r>
          <w:rPr>
            <w:webHidden/>
          </w:rPr>
          <w:fldChar w:fldCharType="separate"/>
        </w:r>
        <w:r>
          <w:rPr>
            <w:webHidden/>
          </w:rPr>
          <w:t>99</w:t>
        </w:r>
        <w:r>
          <w:rPr>
            <w:webHidden/>
          </w:rPr>
          <w:fldChar w:fldCharType="end"/>
        </w:r>
      </w:hyperlink>
    </w:p>
    <w:p w14:paraId="21D43080" w14:textId="06A2FF6A" w:rsidR="00451350" w:rsidRDefault="00451350">
      <w:pPr>
        <w:pStyle w:val="TableofFigures"/>
        <w:rPr>
          <w:rFonts w:asciiTheme="minorHAnsi" w:eastAsiaTheme="minorEastAsia" w:hAnsiTheme="minorHAnsi" w:cstheme="minorBidi"/>
        </w:rPr>
      </w:pPr>
      <w:hyperlink w:anchor="_Toc89857934" w:history="1">
        <w:r w:rsidRPr="00E7123A">
          <w:rPr>
            <w:rStyle w:val="Hyperlink"/>
          </w:rPr>
          <w:t>Table 63</w:t>
        </w:r>
        <w:r>
          <w:rPr>
            <w:rFonts w:asciiTheme="minorHAnsi" w:eastAsiaTheme="minorEastAsia" w:hAnsiTheme="minorHAnsi" w:cstheme="minorBidi"/>
          </w:rPr>
          <w:tab/>
        </w:r>
        <w:r w:rsidRPr="00E7123A">
          <w:rPr>
            <w:rStyle w:val="Hyperlink"/>
          </w:rPr>
          <w:t>Historical utilisation of MBS-funded EBRT with reference to dosimetry planning item utilisation, 2010 to 2019</w:t>
        </w:r>
        <w:r>
          <w:rPr>
            <w:webHidden/>
          </w:rPr>
          <w:tab/>
        </w:r>
        <w:r>
          <w:rPr>
            <w:webHidden/>
          </w:rPr>
          <w:fldChar w:fldCharType="begin"/>
        </w:r>
        <w:r>
          <w:rPr>
            <w:webHidden/>
          </w:rPr>
          <w:instrText xml:space="preserve"> PAGEREF _Toc89857934 \h </w:instrText>
        </w:r>
        <w:r>
          <w:rPr>
            <w:webHidden/>
          </w:rPr>
        </w:r>
        <w:r>
          <w:rPr>
            <w:webHidden/>
          </w:rPr>
          <w:fldChar w:fldCharType="separate"/>
        </w:r>
        <w:r>
          <w:rPr>
            <w:webHidden/>
          </w:rPr>
          <w:t>99</w:t>
        </w:r>
        <w:r>
          <w:rPr>
            <w:webHidden/>
          </w:rPr>
          <w:fldChar w:fldCharType="end"/>
        </w:r>
      </w:hyperlink>
    </w:p>
    <w:p w14:paraId="64557471" w14:textId="7AB53478" w:rsidR="00451350" w:rsidRDefault="00451350">
      <w:pPr>
        <w:pStyle w:val="TableofFigures"/>
        <w:rPr>
          <w:rFonts w:asciiTheme="minorHAnsi" w:eastAsiaTheme="minorEastAsia" w:hAnsiTheme="minorHAnsi" w:cstheme="minorBidi"/>
        </w:rPr>
      </w:pPr>
      <w:hyperlink w:anchor="_Toc89857935" w:history="1">
        <w:r w:rsidRPr="00E7123A">
          <w:rPr>
            <w:rStyle w:val="Hyperlink"/>
          </w:rPr>
          <w:t>Table 64</w:t>
        </w:r>
        <w:r>
          <w:rPr>
            <w:rFonts w:asciiTheme="minorHAnsi" w:eastAsiaTheme="minorEastAsia" w:hAnsiTheme="minorHAnsi" w:cstheme="minorBidi"/>
          </w:rPr>
          <w:tab/>
        </w:r>
        <w:r w:rsidRPr="00E7123A">
          <w:rPr>
            <w:rStyle w:val="Hyperlink"/>
          </w:rPr>
          <w:t>Forecast utilisation of MBS-funded EBRT with reference to dosimetry planning item utilisation, 2021 to 2025</w:t>
        </w:r>
        <w:r>
          <w:rPr>
            <w:webHidden/>
          </w:rPr>
          <w:tab/>
        </w:r>
        <w:r>
          <w:rPr>
            <w:webHidden/>
          </w:rPr>
          <w:fldChar w:fldCharType="begin"/>
        </w:r>
        <w:r>
          <w:rPr>
            <w:webHidden/>
          </w:rPr>
          <w:instrText xml:space="preserve"> PAGEREF _Toc89857935 \h </w:instrText>
        </w:r>
        <w:r>
          <w:rPr>
            <w:webHidden/>
          </w:rPr>
        </w:r>
        <w:r>
          <w:rPr>
            <w:webHidden/>
          </w:rPr>
          <w:fldChar w:fldCharType="separate"/>
        </w:r>
        <w:r>
          <w:rPr>
            <w:webHidden/>
          </w:rPr>
          <w:t>100</w:t>
        </w:r>
        <w:r>
          <w:rPr>
            <w:webHidden/>
          </w:rPr>
          <w:fldChar w:fldCharType="end"/>
        </w:r>
      </w:hyperlink>
    </w:p>
    <w:p w14:paraId="3D60FA01" w14:textId="7823EECC" w:rsidR="00451350" w:rsidRDefault="00451350">
      <w:pPr>
        <w:pStyle w:val="TableofFigures"/>
        <w:rPr>
          <w:rFonts w:asciiTheme="minorHAnsi" w:eastAsiaTheme="minorEastAsia" w:hAnsiTheme="minorHAnsi" w:cstheme="minorBidi"/>
        </w:rPr>
      </w:pPr>
      <w:hyperlink w:anchor="_Toc89857936" w:history="1">
        <w:r w:rsidRPr="00E7123A">
          <w:rPr>
            <w:rStyle w:val="Hyperlink"/>
          </w:rPr>
          <w:t>Table 65</w:t>
        </w:r>
        <w:r>
          <w:rPr>
            <w:rFonts w:asciiTheme="minorHAnsi" w:eastAsiaTheme="minorEastAsia" w:hAnsiTheme="minorHAnsi" w:cstheme="minorBidi"/>
          </w:rPr>
          <w:tab/>
        </w:r>
        <w:r w:rsidRPr="00E7123A">
          <w:rPr>
            <w:rStyle w:val="Hyperlink"/>
          </w:rPr>
          <w:t>Applicant-provided current utilisation breakdown of MR-linac patient indications to date</w:t>
        </w:r>
        <w:r>
          <w:rPr>
            <w:webHidden/>
          </w:rPr>
          <w:tab/>
        </w:r>
        <w:r>
          <w:rPr>
            <w:webHidden/>
          </w:rPr>
          <w:fldChar w:fldCharType="begin"/>
        </w:r>
        <w:r>
          <w:rPr>
            <w:webHidden/>
          </w:rPr>
          <w:instrText xml:space="preserve"> PAGEREF _Toc89857936 \h </w:instrText>
        </w:r>
        <w:r>
          <w:rPr>
            <w:webHidden/>
          </w:rPr>
        </w:r>
        <w:r>
          <w:rPr>
            <w:webHidden/>
          </w:rPr>
          <w:fldChar w:fldCharType="separate"/>
        </w:r>
        <w:r>
          <w:rPr>
            <w:webHidden/>
          </w:rPr>
          <w:t>101</w:t>
        </w:r>
        <w:r>
          <w:rPr>
            <w:webHidden/>
          </w:rPr>
          <w:fldChar w:fldCharType="end"/>
        </w:r>
      </w:hyperlink>
    </w:p>
    <w:p w14:paraId="4C63C1DE" w14:textId="7786A8A9" w:rsidR="00451350" w:rsidRDefault="00451350">
      <w:pPr>
        <w:pStyle w:val="TableofFigures"/>
        <w:rPr>
          <w:rFonts w:asciiTheme="minorHAnsi" w:eastAsiaTheme="minorEastAsia" w:hAnsiTheme="minorHAnsi" w:cstheme="minorBidi"/>
        </w:rPr>
      </w:pPr>
      <w:hyperlink w:anchor="_Toc89857937" w:history="1">
        <w:r w:rsidRPr="00E7123A">
          <w:rPr>
            <w:rStyle w:val="Hyperlink"/>
          </w:rPr>
          <w:t>Table 66</w:t>
        </w:r>
        <w:r>
          <w:rPr>
            <w:rFonts w:asciiTheme="minorHAnsi" w:eastAsiaTheme="minorEastAsia" w:hAnsiTheme="minorHAnsi" w:cstheme="minorBidi"/>
          </w:rPr>
          <w:tab/>
        </w:r>
        <w:r w:rsidRPr="00E7123A">
          <w:rPr>
            <w:rStyle w:val="Hyperlink"/>
          </w:rPr>
          <w:t>Estimated current and project EBRT treatment course capacity with CBCT-IGRT and MR-IGRT</w:t>
        </w:r>
        <w:r>
          <w:rPr>
            <w:webHidden/>
          </w:rPr>
          <w:tab/>
        </w:r>
        <w:r>
          <w:rPr>
            <w:webHidden/>
          </w:rPr>
          <w:fldChar w:fldCharType="begin"/>
        </w:r>
        <w:r>
          <w:rPr>
            <w:webHidden/>
          </w:rPr>
          <w:instrText xml:space="preserve"> PAGEREF _Toc89857937 \h </w:instrText>
        </w:r>
        <w:r>
          <w:rPr>
            <w:webHidden/>
          </w:rPr>
        </w:r>
        <w:r>
          <w:rPr>
            <w:webHidden/>
          </w:rPr>
          <w:fldChar w:fldCharType="separate"/>
        </w:r>
        <w:r>
          <w:rPr>
            <w:webHidden/>
          </w:rPr>
          <w:t>103</w:t>
        </w:r>
        <w:r>
          <w:rPr>
            <w:webHidden/>
          </w:rPr>
          <w:fldChar w:fldCharType="end"/>
        </w:r>
      </w:hyperlink>
    </w:p>
    <w:p w14:paraId="2A1142C2" w14:textId="74F20982" w:rsidR="00451350" w:rsidRDefault="00451350">
      <w:pPr>
        <w:pStyle w:val="TableofFigures"/>
        <w:rPr>
          <w:rFonts w:asciiTheme="minorHAnsi" w:eastAsiaTheme="minorEastAsia" w:hAnsiTheme="minorHAnsi" w:cstheme="minorBidi"/>
        </w:rPr>
      </w:pPr>
      <w:hyperlink w:anchor="_Toc89857938" w:history="1">
        <w:r w:rsidRPr="00E7123A">
          <w:rPr>
            <w:rStyle w:val="Hyperlink"/>
          </w:rPr>
          <w:t>Table 67</w:t>
        </w:r>
        <w:r>
          <w:rPr>
            <w:rFonts w:asciiTheme="minorHAnsi" w:eastAsiaTheme="minorEastAsia" w:hAnsiTheme="minorHAnsi" w:cstheme="minorBidi"/>
          </w:rPr>
          <w:tab/>
        </w:r>
        <w:r w:rsidRPr="00E7123A">
          <w:rPr>
            <w:rStyle w:val="Hyperlink"/>
          </w:rPr>
          <w:t>Estimated utilisation of MR-IGRT (substitution of CBCT-IGRT), assuming predominantly prostate and breast cancer indication targeting, 2021 to 2025</w:t>
        </w:r>
        <w:r>
          <w:rPr>
            <w:webHidden/>
          </w:rPr>
          <w:tab/>
        </w:r>
        <w:r>
          <w:rPr>
            <w:webHidden/>
          </w:rPr>
          <w:fldChar w:fldCharType="begin"/>
        </w:r>
        <w:r>
          <w:rPr>
            <w:webHidden/>
          </w:rPr>
          <w:instrText xml:space="preserve"> PAGEREF _Toc89857938 \h </w:instrText>
        </w:r>
        <w:r>
          <w:rPr>
            <w:webHidden/>
          </w:rPr>
        </w:r>
        <w:r>
          <w:rPr>
            <w:webHidden/>
          </w:rPr>
          <w:fldChar w:fldCharType="separate"/>
        </w:r>
        <w:r>
          <w:rPr>
            <w:webHidden/>
          </w:rPr>
          <w:t>105</w:t>
        </w:r>
        <w:r>
          <w:rPr>
            <w:webHidden/>
          </w:rPr>
          <w:fldChar w:fldCharType="end"/>
        </w:r>
      </w:hyperlink>
    </w:p>
    <w:p w14:paraId="733ACF89" w14:textId="1E7EE945" w:rsidR="00451350" w:rsidRDefault="00451350">
      <w:pPr>
        <w:pStyle w:val="TableofFigures"/>
        <w:rPr>
          <w:rFonts w:asciiTheme="minorHAnsi" w:eastAsiaTheme="minorEastAsia" w:hAnsiTheme="minorHAnsi" w:cstheme="minorBidi"/>
        </w:rPr>
      </w:pPr>
      <w:hyperlink w:anchor="_Toc89857939" w:history="1">
        <w:r w:rsidRPr="00E7123A">
          <w:rPr>
            <w:rStyle w:val="Hyperlink"/>
          </w:rPr>
          <w:t>Table 68</w:t>
        </w:r>
        <w:r>
          <w:rPr>
            <w:rFonts w:asciiTheme="minorHAnsi" w:eastAsiaTheme="minorEastAsia" w:hAnsiTheme="minorHAnsi" w:cstheme="minorBidi"/>
          </w:rPr>
          <w:tab/>
        </w:r>
        <w:r w:rsidRPr="00E7123A">
          <w:rPr>
            <w:rStyle w:val="Hyperlink"/>
          </w:rPr>
          <w:t>Estimated reduction in utilisation of episodes of radiation oncology treatment, 2021 to 2025</w:t>
        </w:r>
        <w:r>
          <w:rPr>
            <w:webHidden/>
          </w:rPr>
          <w:tab/>
        </w:r>
        <w:r>
          <w:rPr>
            <w:webHidden/>
          </w:rPr>
          <w:fldChar w:fldCharType="begin"/>
        </w:r>
        <w:r>
          <w:rPr>
            <w:webHidden/>
          </w:rPr>
          <w:instrText xml:space="preserve"> PAGEREF _Toc89857939 \h </w:instrText>
        </w:r>
        <w:r>
          <w:rPr>
            <w:webHidden/>
          </w:rPr>
        </w:r>
        <w:r>
          <w:rPr>
            <w:webHidden/>
          </w:rPr>
          <w:fldChar w:fldCharType="separate"/>
        </w:r>
        <w:r>
          <w:rPr>
            <w:webHidden/>
          </w:rPr>
          <w:t>106</w:t>
        </w:r>
        <w:r>
          <w:rPr>
            <w:webHidden/>
          </w:rPr>
          <w:fldChar w:fldCharType="end"/>
        </w:r>
      </w:hyperlink>
    </w:p>
    <w:p w14:paraId="3238AA6A" w14:textId="6D60489C" w:rsidR="00451350" w:rsidRDefault="00451350">
      <w:pPr>
        <w:pStyle w:val="TableofFigures"/>
        <w:rPr>
          <w:rFonts w:asciiTheme="minorHAnsi" w:eastAsiaTheme="minorEastAsia" w:hAnsiTheme="minorHAnsi" w:cstheme="minorBidi"/>
        </w:rPr>
      </w:pPr>
      <w:hyperlink w:anchor="_Toc89857940" w:history="1">
        <w:r w:rsidRPr="00E7123A">
          <w:rPr>
            <w:rStyle w:val="Hyperlink"/>
          </w:rPr>
          <w:t>Table 69</w:t>
        </w:r>
        <w:r>
          <w:rPr>
            <w:rFonts w:asciiTheme="minorHAnsi" w:eastAsiaTheme="minorEastAsia" w:hAnsiTheme="minorHAnsi" w:cstheme="minorBidi"/>
          </w:rPr>
          <w:tab/>
        </w:r>
        <w:r w:rsidRPr="00E7123A">
          <w:rPr>
            <w:rStyle w:val="Hyperlink"/>
          </w:rPr>
          <w:t>Relevant cost inputs for MR-IGRT and CBCT-IGRT</w:t>
        </w:r>
        <w:r>
          <w:rPr>
            <w:webHidden/>
          </w:rPr>
          <w:tab/>
        </w:r>
        <w:r>
          <w:rPr>
            <w:webHidden/>
          </w:rPr>
          <w:fldChar w:fldCharType="begin"/>
        </w:r>
        <w:r>
          <w:rPr>
            <w:webHidden/>
          </w:rPr>
          <w:instrText xml:space="preserve"> PAGEREF _Toc89857940 \h </w:instrText>
        </w:r>
        <w:r>
          <w:rPr>
            <w:webHidden/>
          </w:rPr>
        </w:r>
        <w:r>
          <w:rPr>
            <w:webHidden/>
          </w:rPr>
          <w:fldChar w:fldCharType="separate"/>
        </w:r>
        <w:r>
          <w:rPr>
            <w:webHidden/>
          </w:rPr>
          <w:t>107</w:t>
        </w:r>
        <w:r>
          <w:rPr>
            <w:webHidden/>
          </w:rPr>
          <w:fldChar w:fldCharType="end"/>
        </w:r>
      </w:hyperlink>
    </w:p>
    <w:p w14:paraId="42EE70DC" w14:textId="487CE30E" w:rsidR="00451350" w:rsidRDefault="00451350">
      <w:pPr>
        <w:pStyle w:val="TableofFigures"/>
        <w:rPr>
          <w:rFonts w:asciiTheme="minorHAnsi" w:eastAsiaTheme="minorEastAsia" w:hAnsiTheme="minorHAnsi" w:cstheme="minorBidi"/>
        </w:rPr>
      </w:pPr>
      <w:hyperlink w:anchor="_Toc89857941" w:history="1">
        <w:r w:rsidRPr="00E7123A">
          <w:rPr>
            <w:rStyle w:val="Hyperlink"/>
          </w:rPr>
          <w:t>Table 70</w:t>
        </w:r>
        <w:r>
          <w:rPr>
            <w:rFonts w:asciiTheme="minorHAnsi" w:eastAsiaTheme="minorEastAsia" w:hAnsiTheme="minorHAnsi" w:cstheme="minorBidi"/>
          </w:rPr>
          <w:tab/>
        </w:r>
        <w:r w:rsidRPr="00E7123A">
          <w:rPr>
            <w:rStyle w:val="Hyperlink"/>
          </w:rPr>
          <w:t>Estimated financial impact of listing MR-IGRT on the MBS, 2021 to 2025</w:t>
        </w:r>
        <w:r>
          <w:rPr>
            <w:webHidden/>
          </w:rPr>
          <w:tab/>
        </w:r>
        <w:r>
          <w:rPr>
            <w:webHidden/>
          </w:rPr>
          <w:fldChar w:fldCharType="begin"/>
        </w:r>
        <w:r>
          <w:rPr>
            <w:webHidden/>
          </w:rPr>
          <w:instrText xml:space="preserve"> PAGEREF _Toc89857941 \h </w:instrText>
        </w:r>
        <w:r>
          <w:rPr>
            <w:webHidden/>
          </w:rPr>
        </w:r>
        <w:r>
          <w:rPr>
            <w:webHidden/>
          </w:rPr>
          <w:fldChar w:fldCharType="separate"/>
        </w:r>
        <w:r>
          <w:rPr>
            <w:webHidden/>
          </w:rPr>
          <w:t>109</w:t>
        </w:r>
        <w:r>
          <w:rPr>
            <w:webHidden/>
          </w:rPr>
          <w:fldChar w:fldCharType="end"/>
        </w:r>
      </w:hyperlink>
    </w:p>
    <w:p w14:paraId="506C8548" w14:textId="6D0BA2F6" w:rsidR="00451350" w:rsidRDefault="00451350">
      <w:pPr>
        <w:pStyle w:val="TableofFigures"/>
        <w:rPr>
          <w:rFonts w:asciiTheme="minorHAnsi" w:eastAsiaTheme="minorEastAsia" w:hAnsiTheme="minorHAnsi" w:cstheme="minorBidi"/>
        </w:rPr>
      </w:pPr>
      <w:hyperlink w:anchor="_Toc89857942" w:history="1">
        <w:r w:rsidRPr="00E7123A">
          <w:rPr>
            <w:rStyle w:val="Hyperlink"/>
          </w:rPr>
          <w:t>Table 71</w:t>
        </w:r>
        <w:r>
          <w:rPr>
            <w:rFonts w:asciiTheme="minorHAnsi" w:eastAsiaTheme="minorEastAsia" w:hAnsiTheme="minorHAnsi" w:cstheme="minorBidi"/>
          </w:rPr>
          <w:tab/>
        </w:r>
        <w:r w:rsidRPr="00E7123A">
          <w:rPr>
            <w:rStyle w:val="Hyperlink"/>
          </w:rPr>
          <w:t>Financial impact of decreased use of other medical services on the MBS, 2021 to 2025</w:t>
        </w:r>
        <w:r>
          <w:rPr>
            <w:webHidden/>
          </w:rPr>
          <w:tab/>
        </w:r>
        <w:r>
          <w:rPr>
            <w:webHidden/>
          </w:rPr>
          <w:fldChar w:fldCharType="begin"/>
        </w:r>
        <w:r>
          <w:rPr>
            <w:webHidden/>
          </w:rPr>
          <w:instrText xml:space="preserve"> PAGEREF _Toc89857942 \h </w:instrText>
        </w:r>
        <w:r>
          <w:rPr>
            <w:webHidden/>
          </w:rPr>
        </w:r>
        <w:r>
          <w:rPr>
            <w:webHidden/>
          </w:rPr>
          <w:fldChar w:fldCharType="separate"/>
        </w:r>
        <w:r>
          <w:rPr>
            <w:webHidden/>
          </w:rPr>
          <w:t>110</w:t>
        </w:r>
        <w:r>
          <w:rPr>
            <w:webHidden/>
          </w:rPr>
          <w:fldChar w:fldCharType="end"/>
        </w:r>
      </w:hyperlink>
    </w:p>
    <w:p w14:paraId="6E42016E" w14:textId="02D080F2" w:rsidR="00451350" w:rsidRDefault="00451350">
      <w:pPr>
        <w:pStyle w:val="TableofFigures"/>
        <w:rPr>
          <w:rFonts w:asciiTheme="minorHAnsi" w:eastAsiaTheme="minorEastAsia" w:hAnsiTheme="minorHAnsi" w:cstheme="minorBidi"/>
        </w:rPr>
      </w:pPr>
      <w:hyperlink w:anchor="_Toc89857943" w:history="1">
        <w:r w:rsidRPr="00E7123A">
          <w:rPr>
            <w:rStyle w:val="Hyperlink"/>
          </w:rPr>
          <w:t>Table 72</w:t>
        </w:r>
        <w:r>
          <w:rPr>
            <w:rFonts w:asciiTheme="minorHAnsi" w:eastAsiaTheme="minorEastAsia" w:hAnsiTheme="minorHAnsi" w:cstheme="minorBidi"/>
          </w:rPr>
          <w:tab/>
        </w:r>
        <w:r w:rsidRPr="00E7123A">
          <w:rPr>
            <w:rStyle w:val="Hyperlink"/>
          </w:rPr>
          <w:t>Estimated financial impact of treatment-related adverse events on the MBS: per patient acute toxicity costs, prostate cancer only</w:t>
        </w:r>
        <w:r>
          <w:rPr>
            <w:webHidden/>
          </w:rPr>
          <w:tab/>
        </w:r>
        <w:r>
          <w:rPr>
            <w:webHidden/>
          </w:rPr>
          <w:fldChar w:fldCharType="begin"/>
        </w:r>
        <w:r>
          <w:rPr>
            <w:webHidden/>
          </w:rPr>
          <w:instrText xml:space="preserve"> PAGEREF _Toc89857943 \h </w:instrText>
        </w:r>
        <w:r>
          <w:rPr>
            <w:webHidden/>
          </w:rPr>
        </w:r>
        <w:r>
          <w:rPr>
            <w:webHidden/>
          </w:rPr>
          <w:fldChar w:fldCharType="separate"/>
        </w:r>
        <w:r>
          <w:rPr>
            <w:webHidden/>
          </w:rPr>
          <w:t>111</w:t>
        </w:r>
        <w:r>
          <w:rPr>
            <w:webHidden/>
          </w:rPr>
          <w:fldChar w:fldCharType="end"/>
        </w:r>
      </w:hyperlink>
    </w:p>
    <w:p w14:paraId="753DD6D6" w14:textId="54285CC1" w:rsidR="00451350" w:rsidRDefault="00451350">
      <w:pPr>
        <w:pStyle w:val="TableofFigures"/>
        <w:rPr>
          <w:rFonts w:asciiTheme="minorHAnsi" w:eastAsiaTheme="minorEastAsia" w:hAnsiTheme="minorHAnsi" w:cstheme="minorBidi"/>
        </w:rPr>
      </w:pPr>
      <w:hyperlink w:anchor="_Toc89857944" w:history="1">
        <w:r w:rsidRPr="00E7123A">
          <w:rPr>
            <w:rStyle w:val="Hyperlink"/>
          </w:rPr>
          <w:t>Table 73</w:t>
        </w:r>
        <w:r>
          <w:rPr>
            <w:rFonts w:asciiTheme="minorHAnsi" w:eastAsiaTheme="minorEastAsia" w:hAnsiTheme="minorHAnsi" w:cstheme="minorBidi"/>
          </w:rPr>
          <w:tab/>
        </w:r>
        <w:r w:rsidRPr="00E7123A">
          <w:rPr>
            <w:rStyle w:val="Hyperlink"/>
          </w:rPr>
          <w:t>Estimated financial impact of treatment-related adverse events on the MBS: per patient late toxicity costs, prostate cancer only</w:t>
        </w:r>
        <w:r>
          <w:rPr>
            <w:webHidden/>
          </w:rPr>
          <w:tab/>
        </w:r>
        <w:r>
          <w:rPr>
            <w:webHidden/>
          </w:rPr>
          <w:fldChar w:fldCharType="begin"/>
        </w:r>
        <w:r>
          <w:rPr>
            <w:webHidden/>
          </w:rPr>
          <w:instrText xml:space="preserve"> PAGEREF _Toc89857944 \h </w:instrText>
        </w:r>
        <w:r>
          <w:rPr>
            <w:webHidden/>
          </w:rPr>
        </w:r>
        <w:r>
          <w:rPr>
            <w:webHidden/>
          </w:rPr>
          <w:fldChar w:fldCharType="separate"/>
        </w:r>
        <w:r>
          <w:rPr>
            <w:webHidden/>
          </w:rPr>
          <w:t>111</w:t>
        </w:r>
        <w:r>
          <w:rPr>
            <w:webHidden/>
          </w:rPr>
          <w:fldChar w:fldCharType="end"/>
        </w:r>
      </w:hyperlink>
    </w:p>
    <w:p w14:paraId="6067D5F0" w14:textId="7647EDE5" w:rsidR="00451350" w:rsidRDefault="00451350">
      <w:pPr>
        <w:pStyle w:val="TableofFigures"/>
        <w:rPr>
          <w:rFonts w:asciiTheme="minorHAnsi" w:eastAsiaTheme="minorEastAsia" w:hAnsiTheme="minorHAnsi" w:cstheme="minorBidi"/>
        </w:rPr>
      </w:pPr>
      <w:hyperlink w:anchor="_Toc89857945" w:history="1">
        <w:r w:rsidRPr="00E7123A">
          <w:rPr>
            <w:rStyle w:val="Hyperlink"/>
          </w:rPr>
          <w:t>Table 74</w:t>
        </w:r>
        <w:r>
          <w:rPr>
            <w:rFonts w:asciiTheme="minorHAnsi" w:eastAsiaTheme="minorEastAsia" w:hAnsiTheme="minorHAnsi" w:cstheme="minorBidi"/>
          </w:rPr>
          <w:tab/>
        </w:r>
        <w:r w:rsidRPr="00E7123A">
          <w:rPr>
            <w:rStyle w:val="Hyperlink"/>
          </w:rPr>
          <w:t>Net MBS financial impact of MR-IGRT listing</w:t>
        </w:r>
        <w:r>
          <w:rPr>
            <w:webHidden/>
          </w:rPr>
          <w:tab/>
        </w:r>
        <w:r>
          <w:rPr>
            <w:webHidden/>
          </w:rPr>
          <w:fldChar w:fldCharType="begin"/>
        </w:r>
        <w:r>
          <w:rPr>
            <w:webHidden/>
          </w:rPr>
          <w:instrText xml:space="preserve"> PAGEREF _Toc89857945 \h </w:instrText>
        </w:r>
        <w:r>
          <w:rPr>
            <w:webHidden/>
          </w:rPr>
        </w:r>
        <w:r>
          <w:rPr>
            <w:webHidden/>
          </w:rPr>
          <w:fldChar w:fldCharType="separate"/>
        </w:r>
        <w:r>
          <w:rPr>
            <w:webHidden/>
          </w:rPr>
          <w:t>112</w:t>
        </w:r>
        <w:r>
          <w:rPr>
            <w:webHidden/>
          </w:rPr>
          <w:fldChar w:fldCharType="end"/>
        </w:r>
      </w:hyperlink>
    </w:p>
    <w:p w14:paraId="0A873E51" w14:textId="4A225128" w:rsidR="00451350" w:rsidRDefault="00451350">
      <w:pPr>
        <w:pStyle w:val="TableofFigures"/>
        <w:rPr>
          <w:rFonts w:asciiTheme="minorHAnsi" w:eastAsiaTheme="minorEastAsia" w:hAnsiTheme="minorHAnsi" w:cstheme="minorBidi"/>
        </w:rPr>
      </w:pPr>
      <w:hyperlink w:anchor="_Toc89857946" w:history="1">
        <w:r w:rsidRPr="00E7123A">
          <w:rPr>
            <w:rStyle w:val="Hyperlink"/>
          </w:rPr>
          <w:t>Table 75</w:t>
        </w:r>
        <w:r>
          <w:rPr>
            <w:rFonts w:asciiTheme="minorHAnsi" w:eastAsiaTheme="minorEastAsia" w:hAnsiTheme="minorHAnsi" w:cstheme="minorBidi"/>
          </w:rPr>
          <w:tab/>
        </w:r>
        <w:r w:rsidRPr="00E7123A">
          <w:rPr>
            <w:rStyle w:val="Hyperlink"/>
          </w:rPr>
          <w:t>PBS cost offsets associated with reduced fiducial marking procedures, 2021 to 2025</w:t>
        </w:r>
        <w:r>
          <w:rPr>
            <w:webHidden/>
          </w:rPr>
          <w:tab/>
        </w:r>
        <w:r>
          <w:rPr>
            <w:webHidden/>
          </w:rPr>
          <w:fldChar w:fldCharType="begin"/>
        </w:r>
        <w:r>
          <w:rPr>
            <w:webHidden/>
          </w:rPr>
          <w:instrText xml:space="preserve"> PAGEREF _Toc89857946 \h </w:instrText>
        </w:r>
        <w:r>
          <w:rPr>
            <w:webHidden/>
          </w:rPr>
        </w:r>
        <w:r>
          <w:rPr>
            <w:webHidden/>
          </w:rPr>
          <w:fldChar w:fldCharType="separate"/>
        </w:r>
        <w:r>
          <w:rPr>
            <w:webHidden/>
          </w:rPr>
          <w:t>113</w:t>
        </w:r>
        <w:r>
          <w:rPr>
            <w:webHidden/>
          </w:rPr>
          <w:fldChar w:fldCharType="end"/>
        </w:r>
      </w:hyperlink>
    </w:p>
    <w:p w14:paraId="016E7302" w14:textId="757A5B1C" w:rsidR="00451350" w:rsidRDefault="00451350">
      <w:pPr>
        <w:pStyle w:val="TableofFigures"/>
        <w:rPr>
          <w:rFonts w:asciiTheme="minorHAnsi" w:eastAsiaTheme="minorEastAsia" w:hAnsiTheme="minorHAnsi" w:cstheme="minorBidi"/>
        </w:rPr>
      </w:pPr>
      <w:hyperlink w:anchor="_Toc89857947" w:history="1">
        <w:r w:rsidRPr="00E7123A">
          <w:rPr>
            <w:rStyle w:val="Hyperlink"/>
          </w:rPr>
          <w:t>Table 76</w:t>
        </w:r>
        <w:r>
          <w:rPr>
            <w:rFonts w:asciiTheme="minorHAnsi" w:eastAsiaTheme="minorEastAsia" w:hAnsiTheme="minorHAnsi" w:cstheme="minorBidi"/>
          </w:rPr>
          <w:tab/>
        </w:r>
        <w:r w:rsidRPr="00E7123A">
          <w:rPr>
            <w:rStyle w:val="Hyperlink"/>
          </w:rPr>
          <w:t>Financial impact of treatment-related adverse events: acute toxicity costs, prostate cancer only</w:t>
        </w:r>
        <w:r>
          <w:rPr>
            <w:webHidden/>
          </w:rPr>
          <w:tab/>
        </w:r>
        <w:r>
          <w:rPr>
            <w:webHidden/>
          </w:rPr>
          <w:fldChar w:fldCharType="begin"/>
        </w:r>
        <w:r>
          <w:rPr>
            <w:webHidden/>
          </w:rPr>
          <w:instrText xml:space="preserve"> PAGEREF _Toc89857947 \h </w:instrText>
        </w:r>
        <w:r>
          <w:rPr>
            <w:webHidden/>
          </w:rPr>
        </w:r>
        <w:r>
          <w:rPr>
            <w:webHidden/>
          </w:rPr>
          <w:fldChar w:fldCharType="separate"/>
        </w:r>
        <w:r>
          <w:rPr>
            <w:webHidden/>
          </w:rPr>
          <w:t>113</w:t>
        </w:r>
        <w:r>
          <w:rPr>
            <w:webHidden/>
          </w:rPr>
          <w:fldChar w:fldCharType="end"/>
        </w:r>
      </w:hyperlink>
    </w:p>
    <w:p w14:paraId="053ED571" w14:textId="3592B1A4" w:rsidR="00451350" w:rsidRDefault="00451350">
      <w:pPr>
        <w:pStyle w:val="TableofFigures"/>
        <w:rPr>
          <w:rFonts w:asciiTheme="minorHAnsi" w:eastAsiaTheme="minorEastAsia" w:hAnsiTheme="minorHAnsi" w:cstheme="minorBidi"/>
        </w:rPr>
      </w:pPr>
      <w:hyperlink w:anchor="_Toc89857948" w:history="1">
        <w:r w:rsidRPr="00E7123A">
          <w:rPr>
            <w:rStyle w:val="Hyperlink"/>
          </w:rPr>
          <w:t>Table 77</w:t>
        </w:r>
        <w:r>
          <w:rPr>
            <w:rFonts w:asciiTheme="minorHAnsi" w:eastAsiaTheme="minorEastAsia" w:hAnsiTheme="minorHAnsi" w:cstheme="minorBidi"/>
          </w:rPr>
          <w:tab/>
        </w:r>
        <w:r w:rsidRPr="00E7123A">
          <w:rPr>
            <w:rStyle w:val="Hyperlink"/>
          </w:rPr>
          <w:t>Financial impact of treatment-related adverse events: late toxicity costs, prostate cancer only</w:t>
        </w:r>
        <w:r>
          <w:rPr>
            <w:webHidden/>
          </w:rPr>
          <w:tab/>
        </w:r>
        <w:r>
          <w:rPr>
            <w:webHidden/>
          </w:rPr>
          <w:fldChar w:fldCharType="begin"/>
        </w:r>
        <w:r>
          <w:rPr>
            <w:webHidden/>
          </w:rPr>
          <w:instrText xml:space="preserve"> PAGEREF _Toc89857948 \h </w:instrText>
        </w:r>
        <w:r>
          <w:rPr>
            <w:webHidden/>
          </w:rPr>
        </w:r>
        <w:r>
          <w:rPr>
            <w:webHidden/>
          </w:rPr>
          <w:fldChar w:fldCharType="separate"/>
        </w:r>
        <w:r>
          <w:rPr>
            <w:webHidden/>
          </w:rPr>
          <w:t>114</w:t>
        </w:r>
        <w:r>
          <w:rPr>
            <w:webHidden/>
          </w:rPr>
          <w:fldChar w:fldCharType="end"/>
        </w:r>
      </w:hyperlink>
    </w:p>
    <w:p w14:paraId="568F0EFE" w14:textId="2E3C4FC5" w:rsidR="00451350" w:rsidRDefault="00451350">
      <w:pPr>
        <w:pStyle w:val="TableofFigures"/>
        <w:rPr>
          <w:rFonts w:asciiTheme="minorHAnsi" w:eastAsiaTheme="minorEastAsia" w:hAnsiTheme="minorHAnsi" w:cstheme="minorBidi"/>
        </w:rPr>
      </w:pPr>
      <w:hyperlink w:anchor="_Toc89857949" w:history="1">
        <w:r w:rsidRPr="00E7123A">
          <w:rPr>
            <w:rStyle w:val="Hyperlink"/>
          </w:rPr>
          <w:t>Table 78</w:t>
        </w:r>
        <w:r>
          <w:rPr>
            <w:rFonts w:asciiTheme="minorHAnsi" w:eastAsiaTheme="minorEastAsia" w:hAnsiTheme="minorHAnsi" w:cstheme="minorBidi"/>
          </w:rPr>
          <w:tab/>
        </w:r>
        <w:r w:rsidRPr="00E7123A">
          <w:rPr>
            <w:rStyle w:val="Hyperlink"/>
          </w:rPr>
          <w:t>Sensitivity analysis: Financial implications for MBS – EBRT growth rate halves to 3% per annum</w:t>
        </w:r>
        <w:r>
          <w:rPr>
            <w:webHidden/>
          </w:rPr>
          <w:tab/>
        </w:r>
        <w:r>
          <w:rPr>
            <w:webHidden/>
          </w:rPr>
          <w:fldChar w:fldCharType="begin"/>
        </w:r>
        <w:r>
          <w:rPr>
            <w:webHidden/>
          </w:rPr>
          <w:instrText xml:space="preserve"> PAGEREF _Toc89857949 \h </w:instrText>
        </w:r>
        <w:r>
          <w:rPr>
            <w:webHidden/>
          </w:rPr>
        </w:r>
        <w:r>
          <w:rPr>
            <w:webHidden/>
          </w:rPr>
          <w:fldChar w:fldCharType="separate"/>
        </w:r>
        <w:r>
          <w:rPr>
            <w:webHidden/>
          </w:rPr>
          <w:t>116</w:t>
        </w:r>
        <w:r>
          <w:rPr>
            <w:webHidden/>
          </w:rPr>
          <w:fldChar w:fldCharType="end"/>
        </w:r>
      </w:hyperlink>
    </w:p>
    <w:p w14:paraId="493EFB6D" w14:textId="0B34448E" w:rsidR="00451350" w:rsidRDefault="00451350">
      <w:pPr>
        <w:pStyle w:val="TableofFigures"/>
        <w:rPr>
          <w:rFonts w:asciiTheme="minorHAnsi" w:eastAsiaTheme="minorEastAsia" w:hAnsiTheme="minorHAnsi" w:cstheme="minorBidi"/>
        </w:rPr>
      </w:pPr>
      <w:hyperlink w:anchor="_Toc89857950" w:history="1">
        <w:r w:rsidRPr="00E7123A">
          <w:rPr>
            <w:rStyle w:val="Hyperlink"/>
          </w:rPr>
          <w:t>Table 79</w:t>
        </w:r>
        <w:r>
          <w:rPr>
            <w:rFonts w:asciiTheme="minorHAnsi" w:eastAsiaTheme="minorEastAsia" w:hAnsiTheme="minorHAnsi" w:cstheme="minorBidi"/>
          </w:rPr>
          <w:tab/>
        </w:r>
        <w:r w:rsidRPr="00E7123A">
          <w:rPr>
            <w:rStyle w:val="Hyperlink"/>
          </w:rPr>
          <w:t>Sensitivity analysis: Financial implications for MBS – average of 10 fractions of treatment per treatment course with MR-IGRT</w:t>
        </w:r>
        <w:r>
          <w:rPr>
            <w:webHidden/>
          </w:rPr>
          <w:tab/>
        </w:r>
        <w:r>
          <w:rPr>
            <w:webHidden/>
          </w:rPr>
          <w:fldChar w:fldCharType="begin"/>
        </w:r>
        <w:r>
          <w:rPr>
            <w:webHidden/>
          </w:rPr>
          <w:instrText xml:space="preserve"> PAGEREF _Toc89857950 \h </w:instrText>
        </w:r>
        <w:r>
          <w:rPr>
            <w:webHidden/>
          </w:rPr>
        </w:r>
        <w:r>
          <w:rPr>
            <w:webHidden/>
          </w:rPr>
          <w:fldChar w:fldCharType="separate"/>
        </w:r>
        <w:r>
          <w:rPr>
            <w:webHidden/>
          </w:rPr>
          <w:t>116</w:t>
        </w:r>
        <w:r>
          <w:rPr>
            <w:webHidden/>
          </w:rPr>
          <w:fldChar w:fldCharType="end"/>
        </w:r>
      </w:hyperlink>
    </w:p>
    <w:p w14:paraId="10405453" w14:textId="31AE2559" w:rsidR="00451350" w:rsidRDefault="00451350">
      <w:pPr>
        <w:pStyle w:val="TableofFigures"/>
        <w:rPr>
          <w:rFonts w:asciiTheme="minorHAnsi" w:eastAsiaTheme="minorEastAsia" w:hAnsiTheme="minorHAnsi" w:cstheme="minorBidi"/>
        </w:rPr>
      </w:pPr>
      <w:hyperlink w:anchor="_Toc89857951" w:history="1">
        <w:r w:rsidRPr="00E7123A">
          <w:rPr>
            <w:rStyle w:val="Hyperlink"/>
          </w:rPr>
          <w:t>Table 80</w:t>
        </w:r>
        <w:r>
          <w:rPr>
            <w:rFonts w:asciiTheme="minorHAnsi" w:eastAsiaTheme="minorEastAsia" w:hAnsiTheme="minorHAnsi" w:cstheme="minorBidi"/>
          </w:rPr>
          <w:tab/>
        </w:r>
        <w:r w:rsidRPr="00E7123A">
          <w:rPr>
            <w:rStyle w:val="Hyperlink"/>
          </w:rPr>
          <w:t>Sensitivity analysis: Financial implications for MBS – average duration per MR-IGRT treatment fraction remains at 45 minutes</w:t>
        </w:r>
        <w:r>
          <w:rPr>
            <w:webHidden/>
          </w:rPr>
          <w:tab/>
        </w:r>
        <w:r>
          <w:rPr>
            <w:webHidden/>
          </w:rPr>
          <w:fldChar w:fldCharType="begin"/>
        </w:r>
        <w:r>
          <w:rPr>
            <w:webHidden/>
          </w:rPr>
          <w:instrText xml:space="preserve"> PAGEREF _Toc89857951 \h </w:instrText>
        </w:r>
        <w:r>
          <w:rPr>
            <w:webHidden/>
          </w:rPr>
        </w:r>
        <w:r>
          <w:rPr>
            <w:webHidden/>
          </w:rPr>
          <w:fldChar w:fldCharType="separate"/>
        </w:r>
        <w:r>
          <w:rPr>
            <w:webHidden/>
          </w:rPr>
          <w:t>116</w:t>
        </w:r>
        <w:r>
          <w:rPr>
            <w:webHidden/>
          </w:rPr>
          <w:fldChar w:fldCharType="end"/>
        </w:r>
      </w:hyperlink>
    </w:p>
    <w:p w14:paraId="0EEFB1D2" w14:textId="76414C4F" w:rsidR="00451350" w:rsidRDefault="00451350">
      <w:pPr>
        <w:pStyle w:val="TableofFigures"/>
        <w:rPr>
          <w:rFonts w:asciiTheme="minorHAnsi" w:eastAsiaTheme="minorEastAsia" w:hAnsiTheme="minorHAnsi" w:cstheme="minorBidi"/>
        </w:rPr>
      </w:pPr>
      <w:hyperlink w:anchor="_Toc89857952" w:history="1">
        <w:r w:rsidRPr="00E7123A">
          <w:rPr>
            <w:rStyle w:val="Hyperlink"/>
          </w:rPr>
          <w:t>Table 81</w:t>
        </w:r>
        <w:r>
          <w:rPr>
            <w:rFonts w:asciiTheme="minorHAnsi" w:eastAsiaTheme="minorEastAsia" w:hAnsiTheme="minorHAnsi" w:cstheme="minorBidi"/>
          </w:rPr>
          <w:tab/>
        </w:r>
        <w:r w:rsidRPr="00E7123A">
          <w:rPr>
            <w:rStyle w:val="Hyperlink"/>
          </w:rPr>
          <w:t>Sensitivity analysis: Financial implications for MBS – number of MR-linacs grows to five by year two, seven by year three, remaining steady thereafter</w:t>
        </w:r>
        <w:r>
          <w:rPr>
            <w:webHidden/>
          </w:rPr>
          <w:tab/>
        </w:r>
        <w:r>
          <w:rPr>
            <w:webHidden/>
          </w:rPr>
          <w:fldChar w:fldCharType="begin"/>
        </w:r>
        <w:r>
          <w:rPr>
            <w:webHidden/>
          </w:rPr>
          <w:instrText xml:space="preserve"> PAGEREF _Toc89857952 \h </w:instrText>
        </w:r>
        <w:r>
          <w:rPr>
            <w:webHidden/>
          </w:rPr>
        </w:r>
        <w:r>
          <w:rPr>
            <w:webHidden/>
          </w:rPr>
          <w:fldChar w:fldCharType="separate"/>
        </w:r>
        <w:r>
          <w:rPr>
            <w:webHidden/>
          </w:rPr>
          <w:t>116</w:t>
        </w:r>
        <w:r>
          <w:rPr>
            <w:webHidden/>
          </w:rPr>
          <w:fldChar w:fldCharType="end"/>
        </w:r>
      </w:hyperlink>
    </w:p>
    <w:p w14:paraId="1C858B93" w14:textId="315EF90A" w:rsidR="00451350" w:rsidRDefault="00451350">
      <w:pPr>
        <w:pStyle w:val="TableofFigures"/>
        <w:rPr>
          <w:rFonts w:asciiTheme="minorHAnsi" w:eastAsiaTheme="minorEastAsia" w:hAnsiTheme="minorHAnsi" w:cstheme="minorBidi"/>
        </w:rPr>
      </w:pPr>
      <w:hyperlink w:anchor="_Toc89857953" w:history="1">
        <w:r w:rsidRPr="00E7123A">
          <w:rPr>
            <w:rStyle w:val="Hyperlink"/>
          </w:rPr>
          <w:t>Table 82</w:t>
        </w:r>
        <w:r>
          <w:rPr>
            <w:rFonts w:asciiTheme="minorHAnsi" w:eastAsiaTheme="minorEastAsia" w:hAnsiTheme="minorHAnsi" w:cstheme="minorBidi"/>
          </w:rPr>
          <w:tab/>
        </w:r>
        <w:r w:rsidRPr="00E7123A">
          <w:rPr>
            <w:rStyle w:val="Hyperlink"/>
          </w:rPr>
          <w:t>Sensitivity analysis: Financial implications for MBS – number of MR-linacs grows to 12 by year four, and 15 by year five</w:t>
        </w:r>
        <w:r>
          <w:rPr>
            <w:webHidden/>
          </w:rPr>
          <w:tab/>
        </w:r>
        <w:r>
          <w:rPr>
            <w:webHidden/>
          </w:rPr>
          <w:fldChar w:fldCharType="begin"/>
        </w:r>
        <w:r>
          <w:rPr>
            <w:webHidden/>
          </w:rPr>
          <w:instrText xml:space="preserve"> PAGEREF _Toc89857953 \h </w:instrText>
        </w:r>
        <w:r>
          <w:rPr>
            <w:webHidden/>
          </w:rPr>
        </w:r>
        <w:r>
          <w:rPr>
            <w:webHidden/>
          </w:rPr>
          <w:fldChar w:fldCharType="separate"/>
        </w:r>
        <w:r>
          <w:rPr>
            <w:webHidden/>
          </w:rPr>
          <w:t>116</w:t>
        </w:r>
        <w:r>
          <w:rPr>
            <w:webHidden/>
          </w:rPr>
          <w:fldChar w:fldCharType="end"/>
        </w:r>
      </w:hyperlink>
    </w:p>
    <w:p w14:paraId="4A48486A" w14:textId="787FA56D" w:rsidR="00451350" w:rsidRDefault="00451350">
      <w:pPr>
        <w:pStyle w:val="TableofFigures"/>
        <w:rPr>
          <w:rFonts w:asciiTheme="minorHAnsi" w:eastAsiaTheme="minorEastAsia" w:hAnsiTheme="minorHAnsi" w:cstheme="minorBidi"/>
        </w:rPr>
      </w:pPr>
      <w:hyperlink w:anchor="_Toc89857954" w:history="1">
        <w:r w:rsidRPr="00E7123A">
          <w:rPr>
            <w:rStyle w:val="Hyperlink"/>
          </w:rPr>
          <w:t>Table 83</w:t>
        </w:r>
        <w:r>
          <w:rPr>
            <w:rFonts w:asciiTheme="minorHAnsi" w:eastAsiaTheme="minorEastAsia" w:hAnsiTheme="minorHAnsi" w:cstheme="minorBidi"/>
          </w:rPr>
          <w:tab/>
        </w:r>
        <w:r w:rsidRPr="00E7123A">
          <w:rPr>
            <w:rStyle w:val="Hyperlink"/>
          </w:rPr>
          <w:t>Sensitivity analysis: Financial implications for MBS – uptake rate of given pool of initial cancer indications (e.g. prostate and breast) with low average fraction rate (five) increases to 15%, 30%, 45%, 60%, 75% and number of MR-linacs grows to eight, 11, 14 and 17 in years two to five, respectively.</w:t>
        </w:r>
        <w:r>
          <w:rPr>
            <w:webHidden/>
          </w:rPr>
          <w:tab/>
        </w:r>
        <w:r>
          <w:rPr>
            <w:webHidden/>
          </w:rPr>
          <w:fldChar w:fldCharType="begin"/>
        </w:r>
        <w:r>
          <w:rPr>
            <w:webHidden/>
          </w:rPr>
          <w:instrText xml:space="preserve"> PAGEREF _Toc89857954 \h </w:instrText>
        </w:r>
        <w:r>
          <w:rPr>
            <w:webHidden/>
          </w:rPr>
        </w:r>
        <w:r>
          <w:rPr>
            <w:webHidden/>
          </w:rPr>
          <w:fldChar w:fldCharType="separate"/>
        </w:r>
        <w:r>
          <w:rPr>
            <w:webHidden/>
          </w:rPr>
          <w:t>117</w:t>
        </w:r>
        <w:r>
          <w:rPr>
            <w:webHidden/>
          </w:rPr>
          <w:fldChar w:fldCharType="end"/>
        </w:r>
      </w:hyperlink>
    </w:p>
    <w:p w14:paraId="520EE552" w14:textId="5130CF67" w:rsidR="00451350" w:rsidRDefault="00451350">
      <w:pPr>
        <w:pStyle w:val="TableofFigures"/>
        <w:rPr>
          <w:rFonts w:asciiTheme="minorHAnsi" w:eastAsiaTheme="minorEastAsia" w:hAnsiTheme="minorHAnsi" w:cstheme="minorBidi"/>
        </w:rPr>
      </w:pPr>
      <w:hyperlink w:anchor="_Toc89857955" w:history="1">
        <w:r w:rsidRPr="00E7123A">
          <w:rPr>
            <w:rStyle w:val="Hyperlink"/>
          </w:rPr>
          <w:t>Table 84</w:t>
        </w:r>
        <w:r>
          <w:rPr>
            <w:rFonts w:asciiTheme="minorHAnsi" w:eastAsiaTheme="minorEastAsia" w:hAnsiTheme="minorHAnsi" w:cstheme="minorBidi"/>
          </w:rPr>
          <w:tab/>
        </w:r>
        <w:r w:rsidRPr="00E7123A">
          <w:rPr>
            <w:rStyle w:val="Hyperlink"/>
          </w:rPr>
          <w:t>Sensitivity analysis: Financial implications for MBS – CBCT-IGRT fraction rate reduces to an average of 16 per patient</w:t>
        </w:r>
        <w:r>
          <w:rPr>
            <w:webHidden/>
          </w:rPr>
          <w:tab/>
        </w:r>
        <w:r>
          <w:rPr>
            <w:webHidden/>
          </w:rPr>
          <w:fldChar w:fldCharType="begin"/>
        </w:r>
        <w:r>
          <w:rPr>
            <w:webHidden/>
          </w:rPr>
          <w:instrText xml:space="preserve"> PAGEREF _Toc89857955 \h </w:instrText>
        </w:r>
        <w:r>
          <w:rPr>
            <w:webHidden/>
          </w:rPr>
        </w:r>
        <w:r>
          <w:rPr>
            <w:webHidden/>
          </w:rPr>
          <w:fldChar w:fldCharType="separate"/>
        </w:r>
        <w:r>
          <w:rPr>
            <w:webHidden/>
          </w:rPr>
          <w:t>117</w:t>
        </w:r>
        <w:r>
          <w:rPr>
            <w:webHidden/>
          </w:rPr>
          <w:fldChar w:fldCharType="end"/>
        </w:r>
      </w:hyperlink>
    </w:p>
    <w:p w14:paraId="20805A53" w14:textId="6B8FD5AC" w:rsidR="00451350" w:rsidRDefault="00451350">
      <w:pPr>
        <w:pStyle w:val="TableofFigures"/>
        <w:rPr>
          <w:rFonts w:asciiTheme="minorHAnsi" w:eastAsiaTheme="minorEastAsia" w:hAnsiTheme="minorHAnsi" w:cstheme="minorBidi"/>
        </w:rPr>
      </w:pPr>
      <w:hyperlink w:anchor="_Toc89857956" w:history="1">
        <w:r w:rsidRPr="00E7123A">
          <w:rPr>
            <w:rStyle w:val="Hyperlink"/>
          </w:rPr>
          <w:t>Table 85</w:t>
        </w:r>
        <w:r>
          <w:rPr>
            <w:rFonts w:asciiTheme="minorHAnsi" w:eastAsiaTheme="minorEastAsia" w:hAnsiTheme="minorHAnsi" w:cstheme="minorBidi"/>
          </w:rPr>
          <w:tab/>
        </w:r>
        <w:r w:rsidRPr="00E7123A">
          <w:rPr>
            <w:rStyle w:val="Hyperlink"/>
          </w:rPr>
          <w:t>Sensitivity analysis: Financial implications for MBS – no fraction reduction, fiducial market cost-offset only</w:t>
        </w:r>
        <w:r>
          <w:rPr>
            <w:webHidden/>
          </w:rPr>
          <w:tab/>
        </w:r>
        <w:r>
          <w:rPr>
            <w:webHidden/>
          </w:rPr>
          <w:fldChar w:fldCharType="begin"/>
        </w:r>
        <w:r>
          <w:rPr>
            <w:webHidden/>
          </w:rPr>
          <w:instrText xml:space="preserve"> PAGEREF _Toc89857956 \h </w:instrText>
        </w:r>
        <w:r>
          <w:rPr>
            <w:webHidden/>
          </w:rPr>
        </w:r>
        <w:r>
          <w:rPr>
            <w:webHidden/>
          </w:rPr>
          <w:fldChar w:fldCharType="separate"/>
        </w:r>
        <w:r>
          <w:rPr>
            <w:webHidden/>
          </w:rPr>
          <w:t>117</w:t>
        </w:r>
        <w:r>
          <w:rPr>
            <w:webHidden/>
          </w:rPr>
          <w:fldChar w:fldCharType="end"/>
        </w:r>
      </w:hyperlink>
    </w:p>
    <w:p w14:paraId="7715EC54" w14:textId="44822E69" w:rsidR="00451350" w:rsidRDefault="00451350">
      <w:pPr>
        <w:pStyle w:val="TableofFigures"/>
        <w:rPr>
          <w:rFonts w:asciiTheme="minorHAnsi" w:eastAsiaTheme="minorEastAsia" w:hAnsiTheme="minorHAnsi" w:cstheme="minorBidi"/>
        </w:rPr>
      </w:pPr>
      <w:hyperlink w:anchor="_Toc89857957" w:history="1">
        <w:r w:rsidRPr="00E7123A">
          <w:rPr>
            <w:rStyle w:val="Hyperlink"/>
          </w:rPr>
          <w:t>Table 86</w:t>
        </w:r>
        <w:r>
          <w:rPr>
            <w:rFonts w:asciiTheme="minorHAnsi" w:eastAsiaTheme="minorEastAsia" w:hAnsiTheme="minorHAnsi" w:cstheme="minorBidi"/>
          </w:rPr>
          <w:tab/>
        </w:r>
        <w:r w:rsidRPr="00E7123A">
          <w:rPr>
            <w:rStyle w:val="Hyperlink"/>
          </w:rPr>
          <w:t>Evidence profile table for MR-IGRT</w:t>
        </w:r>
        <w:r>
          <w:rPr>
            <w:webHidden/>
          </w:rPr>
          <w:tab/>
        </w:r>
        <w:r>
          <w:rPr>
            <w:webHidden/>
          </w:rPr>
          <w:fldChar w:fldCharType="begin"/>
        </w:r>
        <w:r>
          <w:rPr>
            <w:webHidden/>
          </w:rPr>
          <w:instrText xml:space="preserve"> PAGEREF _Toc89857957 \h </w:instrText>
        </w:r>
        <w:r>
          <w:rPr>
            <w:webHidden/>
          </w:rPr>
        </w:r>
        <w:r>
          <w:rPr>
            <w:webHidden/>
          </w:rPr>
          <w:fldChar w:fldCharType="separate"/>
        </w:r>
        <w:r>
          <w:rPr>
            <w:webHidden/>
          </w:rPr>
          <w:t>136</w:t>
        </w:r>
        <w:r>
          <w:rPr>
            <w:webHidden/>
          </w:rPr>
          <w:fldChar w:fldCharType="end"/>
        </w:r>
      </w:hyperlink>
    </w:p>
    <w:p w14:paraId="5DBFD4DC" w14:textId="1F184BFA" w:rsidR="00310008" w:rsidRPr="00183E4D" w:rsidRDefault="00503C5B" w:rsidP="00A27881">
      <w:pPr>
        <w:pStyle w:val="Heading2"/>
        <w:tabs>
          <w:tab w:val="left" w:pos="1276"/>
        </w:tabs>
        <w:ind w:left="1276" w:hanging="1276"/>
        <w:jc w:val="both"/>
      </w:pPr>
      <w:r>
        <w:rPr>
          <w:rFonts w:asciiTheme="minorHAnsi" w:eastAsiaTheme="minorEastAsia" w:hAnsiTheme="minorHAnsi" w:cstheme="minorBidi"/>
          <w:b w:val="0"/>
          <w:smallCaps w:val="0"/>
          <w:noProof/>
          <w:sz w:val="22"/>
        </w:rPr>
        <w:fldChar w:fldCharType="end"/>
      </w:r>
      <w:bookmarkStart w:id="31" w:name="_Toc399247192"/>
      <w:bookmarkStart w:id="32" w:name="_Toc402884711"/>
      <w:bookmarkStart w:id="33" w:name="_Toc59018735"/>
      <w:bookmarkStart w:id="34" w:name="_Toc59020279"/>
      <w:bookmarkStart w:id="35" w:name="_Toc59439501"/>
      <w:bookmarkStart w:id="36" w:name="_Toc89857773"/>
      <w:r w:rsidR="00310008" w:rsidRPr="00183E4D">
        <w:t>Boxes</w:t>
      </w:r>
      <w:bookmarkEnd w:id="29"/>
      <w:bookmarkEnd w:id="30"/>
      <w:bookmarkEnd w:id="31"/>
      <w:bookmarkEnd w:id="32"/>
      <w:bookmarkEnd w:id="33"/>
      <w:bookmarkEnd w:id="34"/>
      <w:bookmarkEnd w:id="35"/>
      <w:bookmarkEnd w:id="36"/>
    </w:p>
    <w:p w14:paraId="03BB6213" w14:textId="750205DF" w:rsidR="00451350" w:rsidRDefault="0086593E">
      <w:pPr>
        <w:pStyle w:val="TableofFigures"/>
        <w:rPr>
          <w:rFonts w:asciiTheme="minorHAnsi" w:eastAsiaTheme="minorEastAsia" w:hAnsiTheme="minorHAnsi" w:cstheme="minorBidi"/>
        </w:rPr>
      </w:pPr>
      <w:r w:rsidRPr="00183E4D">
        <w:rPr>
          <w:rFonts w:asciiTheme="minorHAnsi" w:eastAsiaTheme="minorEastAsia" w:hAnsiTheme="minorHAnsi" w:cstheme="minorBidi"/>
        </w:rPr>
        <w:fldChar w:fldCharType="begin"/>
      </w:r>
      <w:r w:rsidR="008A46A4" w:rsidRPr="00183E4D">
        <w:rPr>
          <w:rFonts w:asciiTheme="minorHAnsi" w:eastAsiaTheme="minorEastAsia" w:hAnsiTheme="minorHAnsi" w:cstheme="minorBidi"/>
        </w:rPr>
        <w:instrText xml:space="preserve"> TOC \h \z \c "Box" </w:instrText>
      </w:r>
      <w:r w:rsidRPr="00183E4D">
        <w:rPr>
          <w:rFonts w:asciiTheme="minorHAnsi" w:eastAsiaTheme="minorEastAsia" w:hAnsiTheme="minorHAnsi" w:cstheme="minorBidi"/>
        </w:rPr>
        <w:fldChar w:fldCharType="separate"/>
      </w:r>
      <w:hyperlink w:anchor="_Toc89857958" w:history="1">
        <w:r w:rsidR="00451350" w:rsidRPr="00D17467">
          <w:rPr>
            <w:rStyle w:val="Hyperlink"/>
          </w:rPr>
          <w:t>Box 1</w:t>
        </w:r>
        <w:r w:rsidR="00451350">
          <w:rPr>
            <w:rFonts w:asciiTheme="minorHAnsi" w:eastAsiaTheme="minorEastAsia" w:hAnsiTheme="minorHAnsi" w:cstheme="minorBidi"/>
          </w:rPr>
          <w:tab/>
        </w:r>
        <w:r w:rsidR="00451350" w:rsidRPr="00D17467">
          <w:rPr>
            <w:rStyle w:val="Hyperlink"/>
          </w:rPr>
          <w:t>Criteria for identifying and selecting studies to determine the safety of MR-IGRT in patients with cancer who undergo external beam radiation therapy (EBRT)</w:t>
        </w:r>
        <w:r w:rsidR="00451350">
          <w:rPr>
            <w:webHidden/>
          </w:rPr>
          <w:tab/>
        </w:r>
        <w:r w:rsidR="00451350">
          <w:rPr>
            <w:webHidden/>
          </w:rPr>
          <w:fldChar w:fldCharType="begin"/>
        </w:r>
        <w:r w:rsidR="00451350">
          <w:rPr>
            <w:webHidden/>
          </w:rPr>
          <w:instrText xml:space="preserve"> PAGEREF _Toc89857958 \h </w:instrText>
        </w:r>
        <w:r w:rsidR="00451350">
          <w:rPr>
            <w:webHidden/>
          </w:rPr>
        </w:r>
        <w:r w:rsidR="00451350">
          <w:rPr>
            <w:webHidden/>
          </w:rPr>
          <w:fldChar w:fldCharType="separate"/>
        </w:r>
        <w:r w:rsidR="00451350">
          <w:rPr>
            <w:webHidden/>
          </w:rPr>
          <w:t>9</w:t>
        </w:r>
        <w:r w:rsidR="00451350">
          <w:rPr>
            <w:webHidden/>
          </w:rPr>
          <w:fldChar w:fldCharType="end"/>
        </w:r>
      </w:hyperlink>
    </w:p>
    <w:p w14:paraId="46AE1824" w14:textId="5516AE12" w:rsidR="00451350" w:rsidRDefault="00451350">
      <w:pPr>
        <w:pStyle w:val="TableofFigures"/>
        <w:rPr>
          <w:rFonts w:asciiTheme="minorHAnsi" w:eastAsiaTheme="minorEastAsia" w:hAnsiTheme="minorHAnsi" w:cstheme="minorBidi"/>
        </w:rPr>
      </w:pPr>
      <w:hyperlink w:anchor="_Toc89857959" w:history="1">
        <w:r w:rsidRPr="00D17467">
          <w:rPr>
            <w:rStyle w:val="Hyperlink"/>
          </w:rPr>
          <w:t>Box 2</w:t>
        </w:r>
        <w:r>
          <w:rPr>
            <w:rFonts w:asciiTheme="minorHAnsi" w:eastAsiaTheme="minorEastAsia" w:hAnsiTheme="minorHAnsi" w:cstheme="minorBidi"/>
          </w:rPr>
          <w:tab/>
        </w:r>
        <w:r w:rsidRPr="00D17467">
          <w:rPr>
            <w:rStyle w:val="Hyperlink"/>
          </w:rPr>
          <w:t>Criteria for identifying and selecting studies to determine the effectiveness of MR-IGRT in patients with cancer who undergo external beam radiation therapy (EBRT)</w:t>
        </w:r>
        <w:r>
          <w:rPr>
            <w:webHidden/>
          </w:rPr>
          <w:tab/>
        </w:r>
        <w:r>
          <w:rPr>
            <w:webHidden/>
          </w:rPr>
          <w:fldChar w:fldCharType="begin"/>
        </w:r>
        <w:r>
          <w:rPr>
            <w:webHidden/>
          </w:rPr>
          <w:instrText xml:space="preserve"> PAGEREF _Toc89857959 \h </w:instrText>
        </w:r>
        <w:r>
          <w:rPr>
            <w:webHidden/>
          </w:rPr>
        </w:r>
        <w:r>
          <w:rPr>
            <w:webHidden/>
          </w:rPr>
          <w:fldChar w:fldCharType="separate"/>
        </w:r>
        <w:r>
          <w:rPr>
            <w:webHidden/>
          </w:rPr>
          <w:t>10</w:t>
        </w:r>
        <w:r>
          <w:rPr>
            <w:webHidden/>
          </w:rPr>
          <w:fldChar w:fldCharType="end"/>
        </w:r>
      </w:hyperlink>
    </w:p>
    <w:p w14:paraId="0180CD30" w14:textId="1FE1017C" w:rsidR="008A46A4" w:rsidRPr="00183E4D" w:rsidRDefault="0086593E" w:rsidP="00A27881">
      <w:pPr>
        <w:pStyle w:val="TableofFigures"/>
        <w:tabs>
          <w:tab w:val="clear" w:pos="1800"/>
          <w:tab w:val="left" w:pos="1276"/>
        </w:tabs>
        <w:ind w:left="1276" w:hanging="1276"/>
        <w:jc w:val="both"/>
        <w:rPr>
          <w:rFonts w:asciiTheme="minorHAnsi" w:eastAsiaTheme="minorEastAsia" w:hAnsiTheme="minorHAnsi" w:cstheme="minorBidi"/>
        </w:rPr>
      </w:pPr>
      <w:r w:rsidRPr="00183E4D">
        <w:rPr>
          <w:rFonts w:asciiTheme="minorHAnsi" w:eastAsiaTheme="minorEastAsia" w:hAnsiTheme="minorHAnsi" w:cstheme="minorBidi"/>
        </w:rPr>
        <w:fldChar w:fldCharType="end"/>
      </w:r>
    </w:p>
    <w:p w14:paraId="454C4E2E" w14:textId="02635D7E" w:rsidR="00452F32" w:rsidRPr="00183E4D" w:rsidRDefault="008F59A8" w:rsidP="00DF343F">
      <w:pPr>
        <w:pStyle w:val="Heading2"/>
        <w:jc w:val="both"/>
      </w:pPr>
      <w:bookmarkStart w:id="37" w:name="_Toc381796427"/>
      <w:bookmarkStart w:id="38" w:name="_Toc395200738"/>
      <w:bookmarkStart w:id="39" w:name="_Toc399247193"/>
      <w:bookmarkStart w:id="40" w:name="_Toc402884712"/>
      <w:bookmarkStart w:id="41" w:name="_Toc59018736"/>
      <w:bookmarkStart w:id="42" w:name="_Toc59020280"/>
      <w:bookmarkStart w:id="43" w:name="_Toc59439502"/>
      <w:bookmarkStart w:id="44" w:name="_Toc89857774"/>
      <w:r w:rsidRPr="00183E4D">
        <w:t>Figures</w:t>
      </w:r>
      <w:bookmarkEnd w:id="37"/>
      <w:bookmarkEnd w:id="38"/>
      <w:bookmarkEnd w:id="39"/>
      <w:bookmarkEnd w:id="40"/>
      <w:bookmarkEnd w:id="41"/>
      <w:bookmarkEnd w:id="42"/>
      <w:bookmarkEnd w:id="43"/>
      <w:bookmarkEnd w:id="44"/>
    </w:p>
    <w:p w14:paraId="7AE8043F" w14:textId="00FBF237" w:rsidR="00451350" w:rsidRDefault="00AF799A">
      <w:pPr>
        <w:pStyle w:val="TableofFigures"/>
        <w:rPr>
          <w:rFonts w:asciiTheme="minorHAnsi" w:eastAsiaTheme="minorEastAsia" w:hAnsiTheme="minorHAnsi" w:cstheme="minorBidi"/>
        </w:rPr>
      </w:pPr>
      <w:r>
        <w:rPr>
          <w:szCs w:val="24"/>
        </w:rPr>
        <w:fldChar w:fldCharType="begin"/>
      </w:r>
      <w:r>
        <w:rPr>
          <w:szCs w:val="24"/>
        </w:rPr>
        <w:instrText xml:space="preserve"> TOC \h \z \c "Figure" </w:instrText>
      </w:r>
      <w:r>
        <w:rPr>
          <w:szCs w:val="24"/>
        </w:rPr>
        <w:fldChar w:fldCharType="separate"/>
      </w:r>
      <w:hyperlink w:anchor="_Toc89857960" w:history="1">
        <w:r w:rsidR="00451350" w:rsidRPr="00E017F3">
          <w:rPr>
            <w:rStyle w:val="Hyperlink"/>
          </w:rPr>
          <w:t>Figure 1</w:t>
        </w:r>
        <w:r w:rsidR="00451350">
          <w:rPr>
            <w:rFonts w:asciiTheme="minorHAnsi" w:eastAsiaTheme="minorEastAsia" w:hAnsiTheme="minorHAnsi" w:cstheme="minorBidi"/>
          </w:rPr>
          <w:tab/>
        </w:r>
        <w:r w:rsidR="00451350" w:rsidRPr="00E017F3">
          <w:rPr>
            <w:rStyle w:val="Hyperlink"/>
          </w:rPr>
          <w:t>Tornado diagram of main drivers within the economic evaluation (± 20%)</w:t>
        </w:r>
        <w:r w:rsidR="00451350">
          <w:rPr>
            <w:webHidden/>
          </w:rPr>
          <w:tab/>
        </w:r>
        <w:r w:rsidR="00451350">
          <w:rPr>
            <w:webHidden/>
          </w:rPr>
          <w:fldChar w:fldCharType="begin"/>
        </w:r>
        <w:r w:rsidR="00451350">
          <w:rPr>
            <w:webHidden/>
          </w:rPr>
          <w:instrText xml:space="preserve"> PAGEREF _Toc89857960 \h </w:instrText>
        </w:r>
        <w:r w:rsidR="00451350">
          <w:rPr>
            <w:webHidden/>
          </w:rPr>
        </w:r>
        <w:r w:rsidR="00451350">
          <w:rPr>
            <w:webHidden/>
          </w:rPr>
          <w:fldChar w:fldCharType="separate"/>
        </w:r>
        <w:r w:rsidR="00451350">
          <w:rPr>
            <w:webHidden/>
          </w:rPr>
          <w:t>xxii</w:t>
        </w:r>
        <w:r w:rsidR="00451350">
          <w:rPr>
            <w:webHidden/>
          </w:rPr>
          <w:fldChar w:fldCharType="end"/>
        </w:r>
      </w:hyperlink>
    </w:p>
    <w:p w14:paraId="31F7EFBB" w14:textId="7CD40657" w:rsidR="00451350" w:rsidRDefault="00451350">
      <w:pPr>
        <w:pStyle w:val="TableofFigures"/>
        <w:rPr>
          <w:rFonts w:asciiTheme="minorHAnsi" w:eastAsiaTheme="minorEastAsia" w:hAnsiTheme="minorHAnsi" w:cstheme="minorBidi"/>
        </w:rPr>
      </w:pPr>
      <w:hyperlink w:anchor="_Toc89857961" w:history="1">
        <w:r w:rsidRPr="00E017F3">
          <w:rPr>
            <w:rStyle w:val="Hyperlink"/>
          </w:rPr>
          <w:t>Figure 2</w:t>
        </w:r>
        <w:r>
          <w:rPr>
            <w:rFonts w:asciiTheme="minorHAnsi" w:eastAsiaTheme="minorEastAsia" w:hAnsiTheme="minorHAnsi" w:cstheme="minorBidi"/>
          </w:rPr>
          <w:tab/>
        </w:r>
        <w:r w:rsidRPr="00E017F3">
          <w:rPr>
            <w:rStyle w:val="Hyperlink"/>
          </w:rPr>
          <w:t>Clinical management algorithm for the proposed MR-IGRT relative to current clinical practice (amendment to the current algorithm in green box)</w:t>
        </w:r>
        <w:r>
          <w:rPr>
            <w:webHidden/>
          </w:rPr>
          <w:tab/>
        </w:r>
        <w:r>
          <w:rPr>
            <w:webHidden/>
          </w:rPr>
          <w:fldChar w:fldCharType="begin"/>
        </w:r>
        <w:r>
          <w:rPr>
            <w:webHidden/>
          </w:rPr>
          <w:instrText xml:space="preserve"> PAGEREF _Toc89857961 \h </w:instrText>
        </w:r>
        <w:r>
          <w:rPr>
            <w:webHidden/>
          </w:rPr>
        </w:r>
        <w:r>
          <w:rPr>
            <w:webHidden/>
          </w:rPr>
          <w:fldChar w:fldCharType="separate"/>
        </w:r>
        <w:r>
          <w:rPr>
            <w:webHidden/>
          </w:rPr>
          <w:t>8</w:t>
        </w:r>
        <w:r>
          <w:rPr>
            <w:webHidden/>
          </w:rPr>
          <w:fldChar w:fldCharType="end"/>
        </w:r>
      </w:hyperlink>
    </w:p>
    <w:p w14:paraId="0FB4A2BE" w14:textId="4415338B" w:rsidR="00451350" w:rsidRDefault="00451350">
      <w:pPr>
        <w:pStyle w:val="TableofFigures"/>
        <w:rPr>
          <w:rFonts w:asciiTheme="minorHAnsi" w:eastAsiaTheme="minorEastAsia" w:hAnsiTheme="minorHAnsi" w:cstheme="minorBidi"/>
        </w:rPr>
      </w:pPr>
      <w:hyperlink w:anchor="_Toc89857962" w:history="1">
        <w:r w:rsidRPr="00E017F3">
          <w:rPr>
            <w:rStyle w:val="Hyperlink"/>
          </w:rPr>
          <w:t>Figure 3</w:t>
        </w:r>
        <w:r>
          <w:rPr>
            <w:rFonts w:asciiTheme="minorHAnsi" w:eastAsiaTheme="minorEastAsia" w:hAnsiTheme="minorHAnsi" w:cstheme="minorBidi"/>
          </w:rPr>
          <w:tab/>
        </w:r>
        <w:r w:rsidRPr="00E017F3">
          <w:rPr>
            <w:rStyle w:val="Hyperlink"/>
          </w:rPr>
          <w:t>Summary of the process used to identify and select studies on MR-IGRT for the assessment</w:t>
        </w:r>
        <w:r>
          <w:rPr>
            <w:webHidden/>
          </w:rPr>
          <w:tab/>
        </w:r>
        <w:r>
          <w:rPr>
            <w:webHidden/>
          </w:rPr>
          <w:fldChar w:fldCharType="begin"/>
        </w:r>
        <w:r>
          <w:rPr>
            <w:webHidden/>
          </w:rPr>
          <w:instrText xml:space="preserve"> PAGEREF _Toc89857962 \h </w:instrText>
        </w:r>
        <w:r>
          <w:rPr>
            <w:webHidden/>
          </w:rPr>
        </w:r>
        <w:r>
          <w:rPr>
            <w:webHidden/>
          </w:rPr>
          <w:fldChar w:fldCharType="separate"/>
        </w:r>
        <w:r>
          <w:rPr>
            <w:webHidden/>
          </w:rPr>
          <w:t>13</w:t>
        </w:r>
        <w:r>
          <w:rPr>
            <w:webHidden/>
          </w:rPr>
          <w:fldChar w:fldCharType="end"/>
        </w:r>
      </w:hyperlink>
    </w:p>
    <w:p w14:paraId="1FD40348" w14:textId="0AF9F1CB" w:rsidR="00451350" w:rsidRDefault="00451350">
      <w:pPr>
        <w:pStyle w:val="TableofFigures"/>
        <w:rPr>
          <w:rFonts w:asciiTheme="minorHAnsi" w:eastAsiaTheme="minorEastAsia" w:hAnsiTheme="minorHAnsi" w:cstheme="minorBidi"/>
        </w:rPr>
      </w:pPr>
      <w:hyperlink w:anchor="_Toc89857963" w:history="1">
        <w:r w:rsidRPr="00E017F3">
          <w:rPr>
            <w:rStyle w:val="Hyperlink"/>
          </w:rPr>
          <w:t>Figure 4</w:t>
        </w:r>
        <w:r>
          <w:rPr>
            <w:rFonts w:asciiTheme="minorHAnsi" w:eastAsiaTheme="minorEastAsia" w:hAnsiTheme="minorHAnsi" w:cstheme="minorBidi"/>
          </w:rPr>
          <w:tab/>
        </w:r>
        <w:r w:rsidRPr="00E017F3">
          <w:rPr>
            <w:rStyle w:val="Hyperlink"/>
          </w:rPr>
          <w:t>Summary of the process used to identify and select studies on CBCT-IGRT and dosimetric outcomes for the assessment</w:t>
        </w:r>
        <w:r>
          <w:rPr>
            <w:webHidden/>
          </w:rPr>
          <w:tab/>
        </w:r>
        <w:r>
          <w:rPr>
            <w:webHidden/>
          </w:rPr>
          <w:fldChar w:fldCharType="begin"/>
        </w:r>
        <w:r>
          <w:rPr>
            <w:webHidden/>
          </w:rPr>
          <w:instrText xml:space="preserve"> PAGEREF _Toc89857963 \h </w:instrText>
        </w:r>
        <w:r>
          <w:rPr>
            <w:webHidden/>
          </w:rPr>
        </w:r>
        <w:r>
          <w:rPr>
            <w:webHidden/>
          </w:rPr>
          <w:fldChar w:fldCharType="separate"/>
        </w:r>
        <w:r>
          <w:rPr>
            <w:webHidden/>
          </w:rPr>
          <w:t>14</w:t>
        </w:r>
        <w:r>
          <w:rPr>
            <w:webHidden/>
          </w:rPr>
          <w:fldChar w:fldCharType="end"/>
        </w:r>
      </w:hyperlink>
    </w:p>
    <w:p w14:paraId="238E93BC" w14:textId="107CDD36" w:rsidR="00451350" w:rsidRDefault="00451350">
      <w:pPr>
        <w:pStyle w:val="TableofFigures"/>
        <w:rPr>
          <w:rFonts w:asciiTheme="minorHAnsi" w:eastAsiaTheme="minorEastAsia" w:hAnsiTheme="minorHAnsi" w:cstheme="minorBidi"/>
        </w:rPr>
      </w:pPr>
      <w:hyperlink w:anchor="_Toc89857964" w:history="1">
        <w:r w:rsidRPr="00E017F3">
          <w:rPr>
            <w:rStyle w:val="Hyperlink"/>
          </w:rPr>
          <w:t>Figure 5</w:t>
        </w:r>
        <w:r>
          <w:rPr>
            <w:rFonts w:asciiTheme="minorHAnsi" w:eastAsiaTheme="minorEastAsia" w:hAnsiTheme="minorHAnsi" w:cstheme="minorBidi"/>
          </w:rPr>
          <w:tab/>
        </w:r>
        <w:r w:rsidRPr="00E017F3">
          <w:rPr>
            <w:rStyle w:val="Hyperlink"/>
          </w:rPr>
          <w:t>Mean lung density changes according to treatment modality for different isodose regions</w:t>
        </w:r>
        <w:r>
          <w:rPr>
            <w:webHidden/>
          </w:rPr>
          <w:tab/>
        </w:r>
        <w:r>
          <w:rPr>
            <w:webHidden/>
          </w:rPr>
          <w:fldChar w:fldCharType="begin"/>
        </w:r>
        <w:r>
          <w:rPr>
            <w:webHidden/>
          </w:rPr>
          <w:instrText xml:space="preserve"> PAGEREF _Toc89857964 \h </w:instrText>
        </w:r>
        <w:r>
          <w:rPr>
            <w:webHidden/>
          </w:rPr>
        </w:r>
        <w:r>
          <w:rPr>
            <w:webHidden/>
          </w:rPr>
          <w:fldChar w:fldCharType="separate"/>
        </w:r>
        <w:r>
          <w:rPr>
            <w:webHidden/>
          </w:rPr>
          <w:t>30</w:t>
        </w:r>
        <w:r>
          <w:rPr>
            <w:webHidden/>
          </w:rPr>
          <w:fldChar w:fldCharType="end"/>
        </w:r>
      </w:hyperlink>
    </w:p>
    <w:p w14:paraId="2FC65E14" w14:textId="7B3D5F46" w:rsidR="00451350" w:rsidRDefault="00451350">
      <w:pPr>
        <w:pStyle w:val="TableofFigures"/>
        <w:rPr>
          <w:rFonts w:asciiTheme="minorHAnsi" w:eastAsiaTheme="minorEastAsia" w:hAnsiTheme="minorHAnsi" w:cstheme="minorBidi"/>
        </w:rPr>
      </w:pPr>
      <w:hyperlink w:anchor="_Toc89857965" w:history="1">
        <w:r w:rsidRPr="00E017F3">
          <w:rPr>
            <w:rStyle w:val="Hyperlink"/>
          </w:rPr>
          <w:t>Figure 6</w:t>
        </w:r>
        <w:r>
          <w:rPr>
            <w:rFonts w:asciiTheme="minorHAnsi" w:eastAsiaTheme="minorEastAsia" w:hAnsiTheme="minorHAnsi" w:cstheme="minorBidi"/>
          </w:rPr>
          <w:tab/>
        </w:r>
        <w:r w:rsidRPr="00E017F3">
          <w:rPr>
            <w:rStyle w:val="Hyperlink"/>
          </w:rPr>
          <w:t>Patient reported complaints during MR-IGRT for prostate cancer (N=89)</w:t>
        </w:r>
        <w:r>
          <w:rPr>
            <w:webHidden/>
          </w:rPr>
          <w:tab/>
        </w:r>
        <w:r>
          <w:rPr>
            <w:webHidden/>
          </w:rPr>
          <w:fldChar w:fldCharType="begin"/>
        </w:r>
        <w:r>
          <w:rPr>
            <w:webHidden/>
          </w:rPr>
          <w:instrText xml:space="preserve"> PAGEREF _Toc89857965 \h </w:instrText>
        </w:r>
        <w:r>
          <w:rPr>
            <w:webHidden/>
          </w:rPr>
        </w:r>
        <w:r>
          <w:rPr>
            <w:webHidden/>
          </w:rPr>
          <w:fldChar w:fldCharType="separate"/>
        </w:r>
        <w:r>
          <w:rPr>
            <w:webHidden/>
          </w:rPr>
          <w:t>47</w:t>
        </w:r>
        <w:r>
          <w:rPr>
            <w:webHidden/>
          </w:rPr>
          <w:fldChar w:fldCharType="end"/>
        </w:r>
      </w:hyperlink>
    </w:p>
    <w:p w14:paraId="6813E361" w14:textId="661DB67E" w:rsidR="00451350" w:rsidRDefault="00451350">
      <w:pPr>
        <w:pStyle w:val="TableofFigures"/>
        <w:rPr>
          <w:rFonts w:asciiTheme="minorHAnsi" w:eastAsiaTheme="minorEastAsia" w:hAnsiTheme="minorHAnsi" w:cstheme="minorBidi"/>
        </w:rPr>
      </w:pPr>
      <w:hyperlink w:anchor="_Toc89857966" w:history="1">
        <w:r w:rsidRPr="00E017F3">
          <w:rPr>
            <w:rStyle w:val="Hyperlink"/>
          </w:rPr>
          <w:t>Figure 7</w:t>
        </w:r>
        <w:r>
          <w:rPr>
            <w:rFonts w:asciiTheme="minorHAnsi" w:eastAsiaTheme="minorEastAsia" w:hAnsiTheme="minorHAnsi" w:cstheme="minorBidi"/>
          </w:rPr>
          <w:tab/>
        </w:r>
        <w:r w:rsidRPr="00E017F3">
          <w:rPr>
            <w:rStyle w:val="Hyperlink"/>
          </w:rPr>
          <w:t>Number of plans (N=17) that passed or failed based on dose criteria for the initial plan, the initial plan calculated on the daily anatomy and full online replanning (simulating MR-linac treatment)</w:t>
        </w:r>
        <w:r>
          <w:rPr>
            <w:webHidden/>
          </w:rPr>
          <w:tab/>
        </w:r>
        <w:r>
          <w:rPr>
            <w:webHidden/>
          </w:rPr>
          <w:fldChar w:fldCharType="begin"/>
        </w:r>
        <w:r>
          <w:rPr>
            <w:webHidden/>
          </w:rPr>
          <w:instrText xml:space="preserve"> PAGEREF _Toc89857966 \h </w:instrText>
        </w:r>
        <w:r>
          <w:rPr>
            <w:webHidden/>
          </w:rPr>
        </w:r>
        <w:r>
          <w:rPr>
            <w:webHidden/>
          </w:rPr>
          <w:fldChar w:fldCharType="separate"/>
        </w:r>
        <w:r>
          <w:rPr>
            <w:webHidden/>
          </w:rPr>
          <w:t>51</w:t>
        </w:r>
        <w:r>
          <w:rPr>
            <w:webHidden/>
          </w:rPr>
          <w:fldChar w:fldCharType="end"/>
        </w:r>
      </w:hyperlink>
    </w:p>
    <w:p w14:paraId="5E06F054" w14:textId="54FDB62E" w:rsidR="00451350" w:rsidRDefault="00451350">
      <w:pPr>
        <w:pStyle w:val="TableofFigures"/>
        <w:rPr>
          <w:rFonts w:asciiTheme="minorHAnsi" w:eastAsiaTheme="minorEastAsia" w:hAnsiTheme="minorHAnsi" w:cstheme="minorBidi"/>
        </w:rPr>
      </w:pPr>
      <w:hyperlink w:anchor="_Toc89857967" w:history="1">
        <w:r w:rsidRPr="00E017F3">
          <w:rPr>
            <w:rStyle w:val="Hyperlink"/>
          </w:rPr>
          <w:t>Figure 8</w:t>
        </w:r>
        <w:r>
          <w:rPr>
            <w:rFonts w:asciiTheme="minorHAnsi" w:eastAsiaTheme="minorEastAsia" w:hAnsiTheme="minorHAnsi" w:cstheme="minorBidi"/>
          </w:rPr>
          <w:tab/>
        </w:r>
        <w:r w:rsidRPr="00E017F3">
          <w:rPr>
            <w:rStyle w:val="Hyperlink"/>
          </w:rPr>
          <w:t>Tornado diagram of main drivers within the economic evaluation (± 20%)</w:t>
        </w:r>
        <w:r>
          <w:rPr>
            <w:webHidden/>
          </w:rPr>
          <w:tab/>
        </w:r>
        <w:r>
          <w:rPr>
            <w:webHidden/>
          </w:rPr>
          <w:fldChar w:fldCharType="begin"/>
        </w:r>
        <w:r>
          <w:rPr>
            <w:webHidden/>
          </w:rPr>
          <w:instrText xml:space="preserve"> PAGEREF _Toc89857967 \h </w:instrText>
        </w:r>
        <w:r>
          <w:rPr>
            <w:webHidden/>
          </w:rPr>
        </w:r>
        <w:r>
          <w:rPr>
            <w:webHidden/>
          </w:rPr>
          <w:fldChar w:fldCharType="separate"/>
        </w:r>
        <w:r>
          <w:rPr>
            <w:webHidden/>
          </w:rPr>
          <w:t>90</w:t>
        </w:r>
        <w:r>
          <w:rPr>
            <w:webHidden/>
          </w:rPr>
          <w:fldChar w:fldCharType="end"/>
        </w:r>
      </w:hyperlink>
    </w:p>
    <w:p w14:paraId="4B3EBC87" w14:textId="338A466B" w:rsidR="00451350" w:rsidRDefault="00451350">
      <w:pPr>
        <w:pStyle w:val="TableofFigures"/>
        <w:rPr>
          <w:rFonts w:asciiTheme="minorHAnsi" w:eastAsiaTheme="minorEastAsia" w:hAnsiTheme="minorHAnsi" w:cstheme="minorBidi"/>
        </w:rPr>
      </w:pPr>
      <w:hyperlink w:anchor="_Toc89857968" w:history="1">
        <w:r w:rsidRPr="00E017F3">
          <w:rPr>
            <w:rStyle w:val="Hyperlink"/>
          </w:rPr>
          <w:t>Figure 9</w:t>
        </w:r>
        <w:r>
          <w:rPr>
            <w:rFonts w:asciiTheme="minorHAnsi" w:eastAsiaTheme="minorEastAsia" w:hAnsiTheme="minorHAnsi" w:cstheme="minorBidi"/>
          </w:rPr>
          <w:tab/>
        </w:r>
        <w:r w:rsidRPr="00E017F3">
          <w:rPr>
            <w:rStyle w:val="Hyperlink"/>
          </w:rPr>
          <w:t>Tornado diagram of main drivers within the economic evaluation (± 50%)</w:t>
        </w:r>
        <w:r>
          <w:rPr>
            <w:webHidden/>
          </w:rPr>
          <w:tab/>
        </w:r>
        <w:r>
          <w:rPr>
            <w:webHidden/>
          </w:rPr>
          <w:fldChar w:fldCharType="begin"/>
        </w:r>
        <w:r>
          <w:rPr>
            <w:webHidden/>
          </w:rPr>
          <w:instrText xml:space="preserve"> PAGEREF _Toc89857968 \h </w:instrText>
        </w:r>
        <w:r>
          <w:rPr>
            <w:webHidden/>
          </w:rPr>
        </w:r>
        <w:r>
          <w:rPr>
            <w:webHidden/>
          </w:rPr>
          <w:fldChar w:fldCharType="separate"/>
        </w:r>
        <w:r>
          <w:rPr>
            <w:webHidden/>
          </w:rPr>
          <w:t>91</w:t>
        </w:r>
        <w:r>
          <w:rPr>
            <w:webHidden/>
          </w:rPr>
          <w:fldChar w:fldCharType="end"/>
        </w:r>
      </w:hyperlink>
    </w:p>
    <w:p w14:paraId="07DABE86" w14:textId="40D3641B" w:rsidR="00452F32" w:rsidRPr="00183E4D" w:rsidRDefault="00AF799A" w:rsidP="00A27881">
      <w:pPr>
        <w:tabs>
          <w:tab w:val="left" w:pos="1276"/>
        </w:tabs>
        <w:ind w:left="1276" w:hanging="1276"/>
        <w:jc w:val="both"/>
      </w:pPr>
      <w:r>
        <w:rPr>
          <w:noProof/>
          <w:szCs w:val="24"/>
        </w:rPr>
        <w:fldChar w:fldCharType="end"/>
      </w:r>
    </w:p>
    <w:p w14:paraId="6DCBCB4E" w14:textId="77777777" w:rsidR="008F59A8" w:rsidRPr="00183E4D" w:rsidRDefault="008F59A8" w:rsidP="00DF343F">
      <w:pPr>
        <w:jc w:val="both"/>
        <w:sectPr w:rsidR="008F59A8" w:rsidRPr="00183E4D" w:rsidSect="00C447A4">
          <w:headerReference w:type="even" r:id="rId14"/>
          <w:headerReference w:type="default" r:id="rId15"/>
          <w:footerReference w:type="even" r:id="rId16"/>
          <w:footerReference w:type="default" r:id="rId17"/>
          <w:headerReference w:type="first" r:id="rId18"/>
          <w:type w:val="oddPage"/>
          <w:pgSz w:w="11906" w:h="16838"/>
          <w:pgMar w:top="1440" w:right="1440" w:bottom="1440" w:left="1440" w:header="720" w:footer="720" w:gutter="0"/>
          <w:paperSrc w:first="2" w:other="2"/>
          <w:pgNumType w:fmt="lowerRoman"/>
          <w:cols w:space="720"/>
          <w:docGrid w:linePitch="299"/>
        </w:sectPr>
      </w:pPr>
    </w:p>
    <w:p w14:paraId="3E436B1E" w14:textId="77777777" w:rsidR="002F5F9B" w:rsidRPr="00183E4D" w:rsidRDefault="000D1300" w:rsidP="00DF343F">
      <w:pPr>
        <w:pStyle w:val="Heading1"/>
        <w:jc w:val="both"/>
      </w:pPr>
      <w:bookmarkStart w:id="45" w:name="_Toc236559502"/>
      <w:bookmarkStart w:id="46" w:name="_Toc379118056"/>
      <w:bookmarkStart w:id="47" w:name="_Toc381796428"/>
      <w:bookmarkStart w:id="48" w:name="_Toc59018737"/>
      <w:bookmarkStart w:id="49" w:name="_Toc59020281"/>
      <w:bookmarkStart w:id="50" w:name="_Toc59439503"/>
      <w:bookmarkStart w:id="51" w:name="_Toc89857775"/>
      <w:r w:rsidRPr="00183E4D">
        <w:lastRenderedPageBreak/>
        <w:t>Executive S</w:t>
      </w:r>
      <w:r w:rsidR="002F5F9B" w:rsidRPr="00183E4D">
        <w:t>ummary</w:t>
      </w:r>
      <w:bookmarkEnd w:id="45"/>
      <w:bookmarkEnd w:id="46"/>
      <w:bookmarkEnd w:id="47"/>
      <w:bookmarkEnd w:id="48"/>
      <w:bookmarkEnd w:id="49"/>
      <w:bookmarkEnd w:id="50"/>
      <w:bookmarkEnd w:id="51"/>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85259E" w14:paraId="60C9BD55" w14:textId="77777777" w:rsidTr="00384CE3">
        <w:trPr>
          <w:tblHeader/>
        </w:trPr>
        <w:tc>
          <w:tcPr>
            <w:tcW w:w="9016" w:type="dxa"/>
            <w:tcBorders>
              <w:top w:val="single" w:sz="4" w:space="0" w:color="auto"/>
              <w:left w:val="single" w:sz="4" w:space="0" w:color="auto"/>
              <w:bottom w:val="nil"/>
              <w:right w:val="single" w:sz="4" w:space="0" w:color="auto"/>
            </w:tcBorders>
            <w:hideMark/>
          </w:tcPr>
          <w:p w14:paraId="01DB9AAE" w14:textId="77777777" w:rsidR="0085259E" w:rsidRPr="002051FE" w:rsidRDefault="0085259E" w:rsidP="008D4A3E">
            <w:pPr>
              <w:pStyle w:val="Tabletext1"/>
              <w:spacing w:line="360" w:lineRule="auto"/>
              <w:ind w:left="166"/>
              <w:rPr>
                <w:b/>
                <w:sz w:val="22"/>
                <w:szCs w:val="22"/>
              </w:rPr>
            </w:pPr>
            <w:bookmarkStart w:id="52" w:name="_Toc381796429"/>
            <w:r w:rsidRPr="002051FE">
              <w:rPr>
                <w:b/>
                <w:sz w:val="22"/>
                <w:szCs w:val="22"/>
              </w:rPr>
              <w:t>Main issues for MSAC consideration</w:t>
            </w:r>
          </w:p>
        </w:tc>
      </w:tr>
      <w:tr w:rsidR="0085259E" w14:paraId="15B80BB3" w14:textId="77777777" w:rsidTr="00384CE3">
        <w:tc>
          <w:tcPr>
            <w:tcW w:w="9016" w:type="dxa"/>
            <w:tcBorders>
              <w:top w:val="nil"/>
              <w:left w:val="single" w:sz="4" w:space="0" w:color="auto"/>
              <w:bottom w:val="single" w:sz="4" w:space="0" w:color="auto"/>
              <w:right w:val="single" w:sz="4" w:space="0" w:color="auto"/>
            </w:tcBorders>
            <w:hideMark/>
          </w:tcPr>
          <w:p w14:paraId="52C750B3" w14:textId="60817DD1" w:rsidR="00E553A6" w:rsidRPr="008D4A3E" w:rsidRDefault="000C7D2C" w:rsidP="008D4A3E">
            <w:pPr>
              <w:pStyle w:val="Tabletext1"/>
              <w:numPr>
                <w:ilvl w:val="0"/>
                <w:numId w:val="14"/>
              </w:numPr>
              <w:spacing w:line="312" w:lineRule="auto"/>
              <w:ind w:left="618" w:hanging="357"/>
              <w:rPr>
                <w:rFonts w:asciiTheme="minorHAnsi" w:hAnsiTheme="minorHAnsi" w:cstheme="minorHAnsi"/>
                <w:sz w:val="22"/>
                <w:szCs w:val="22"/>
              </w:rPr>
            </w:pPr>
            <w:r w:rsidRPr="008D4A3E">
              <w:rPr>
                <w:rFonts w:asciiTheme="minorHAnsi" w:hAnsiTheme="minorHAnsi" w:cstheme="minorHAnsi"/>
                <w:sz w:val="22"/>
                <w:szCs w:val="22"/>
              </w:rPr>
              <w:t>There was insufficient evidence from</w:t>
            </w:r>
            <w:r w:rsidR="00E553A6" w:rsidRPr="008D4A3E">
              <w:rPr>
                <w:rFonts w:asciiTheme="minorHAnsi" w:hAnsiTheme="minorHAnsi" w:cstheme="minorHAnsi"/>
                <w:sz w:val="22"/>
                <w:szCs w:val="22"/>
              </w:rPr>
              <w:t xml:space="preserve"> </w:t>
            </w:r>
            <w:r w:rsidRPr="008D4A3E">
              <w:rPr>
                <w:rFonts w:asciiTheme="minorHAnsi" w:hAnsiTheme="minorHAnsi" w:cstheme="minorHAnsi"/>
                <w:sz w:val="22"/>
                <w:szCs w:val="22"/>
              </w:rPr>
              <w:t xml:space="preserve">comparative studies for this assessment consisting of one retrospective matched cohort study in lung cancer patients reporting on a surrogate outcome for pulmonary toxicity following radiotherapy. </w:t>
            </w:r>
          </w:p>
          <w:p w14:paraId="641255A1" w14:textId="7DD125D8" w:rsidR="00AB0857" w:rsidRPr="00AB0857" w:rsidRDefault="00A43C4B" w:rsidP="00AB0857">
            <w:pPr>
              <w:pStyle w:val="Tabletext1"/>
              <w:numPr>
                <w:ilvl w:val="0"/>
                <w:numId w:val="14"/>
              </w:numPr>
              <w:spacing w:line="312" w:lineRule="auto"/>
              <w:ind w:left="618" w:hanging="357"/>
              <w:rPr>
                <w:rFonts w:asciiTheme="minorHAnsi" w:hAnsiTheme="minorHAnsi" w:cstheme="minorHAnsi"/>
                <w:sz w:val="22"/>
                <w:szCs w:val="22"/>
              </w:rPr>
            </w:pPr>
            <w:r w:rsidRPr="008D4A3E">
              <w:rPr>
                <w:rFonts w:asciiTheme="minorHAnsi" w:hAnsiTheme="minorHAnsi" w:cstheme="minorHAnsi"/>
                <w:sz w:val="22"/>
                <w:szCs w:val="22"/>
              </w:rPr>
              <w:t xml:space="preserve">Due to the </w:t>
            </w:r>
            <w:r w:rsidR="00E9656D" w:rsidRPr="008D4A3E">
              <w:rPr>
                <w:rFonts w:asciiTheme="minorHAnsi" w:hAnsiTheme="minorHAnsi" w:cstheme="minorHAnsi"/>
                <w:sz w:val="22"/>
                <w:szCs w:val="22"/>
              </w:rPr>
              <w:t xml:space="preserve">lack of comparative evidence a naïve comparison was attempted. </w:t>
            </w:r>
            <w:r w:rsidR="005B1AAC" w:rsidRPr="008D4A3E">
              <w:rPr>
                <w:rFonts w:asciiTheme="minorHAnsi" w:hAnsiTheme="minorHAnsi" w:cstheme="minorHAnsi"/>
                <w:sz w:val="22"/>
                <w:szCs w:val="22"/>
              </w:rPr>
              <w:t>A meaningful comparison of treatment safety and effectiveness between the intervention and comparator was difficult to carry out due to the variety of treatment modalities, treatment schedules, total dose delivered, and differing patient characteristics encountered.</w:t>
            </w:r>
          </w:p>
          <w:p w14:paraId="7D93CB5C" w14:textId="55C1A9F6" w:rsidR="00D42C99" w:rsidRPr="006F417E" w:rsidRDefault="001F0768" w:rsidP="002C72BD">
            <w:pPr>
              <w:pStyle w:val="Tabletext1"/>
              <w:numPr>
                <w:ilvl w:val="0"/>
                <w:numId w:val="14"/>
              </w:numPr>
              <w:spacing w:line="312" w:lineRule="auto"/>
              <w:jc w:val="both"/>
              <w:rPr>
                <w:rFonts w:asciiTheme="minorHAnsi" w:hAnsiTheme="minorHAnsi" w:cstheme="minorHAnsi"/>
                <w:sz w:val="22"/>
                <w:szCs w:val="22"/>
              </w:rPr>
            </w:pPr>
            <w:r w:rsidRPr="002C72BD">
              <w:rPr>
                <w:rFonts w:asciiTheme="minorHAnsi" w:hAnsiTheme="minorHAnsi" w:cstheme="minorHAnsi"/>
                <w:sz w:val="22"/>
                <w:szCs w:val="22"/>
              </w:rPr>
              <w:t xml:space="preserve">The economic evaluation consisted of a cost-minimisation </w:t>
            </w:r>
            <w:r w:rsidR="00B66AF5" w:rsidRPr="002C72BD">
              <w:rPr>
                <w:rFonts w:asciiTheme="minorHAnsi" w:hAnsiTheme="minorHAnsi" w:cstheme="minorHAnsi"/>
                <w:sz w:val="22"/>
                <w:szCs w:val="22"/>
              </w:rPr>
              <w:t>analysis</w:t>
            </w:r>
            <w:r w:rsidRPr="005B1627">
              <w:rPr>
                <w:rFonts w:asciiTheme="minorHAnsi" w:hAnsiTheme="minorHAnsi" w:cstheme="minorHAnsi"/>
                <w:sz w:val="22"/>
                <w:szCs w:val="22"/>
              </w:rPr>
              <w:t xml:space="preserve"> </w:t>
            </w:r>
            <w:r w:rsidR="00B66AF5" w:rsidRPr="005B1627">
              <w:rPr>
                <w:rFonts w:asciiTheme="minorHAnsi" w:hAnsiTheme="minorHAnsi" w:cstheme="minorHAnsi"/>
                <w:sz w:val="22"/>
                <w:szCs w:val="22"/>
              </w:rPr>
              <w:t xml:space="preserve">representing cost of delivering </w:t>
            </w:r>
            <w:r w:rsidR="002C72BD" w:rsidRPr="00022C0C">
              <w:rPr>
                <w:rFonts w:asciiTheme="minorHAnsi" w:hAnsiTheme="minorHAnsi" w:cstheme="minorHAnsi"/>
                <w:sz w:val="22"/>
                <w:szCs w:val="22"/>
              </w:rPr>
              <w:t>MR-IGRT and CBCT-</w:t>
            </w:r>
            <w:r w:rsidR="00B66AF5" w:rsidRPr="00022C0C">
              <w:rPr>
                <w:rFonts w:asciiTheme="minorHAnsi" w:hAnsiTheme="minorHAnsi" w:cstheme="minorHAnsi"/>
                <w:sz w:val="22"/>
                <w:szCs w:val="22"/>
              </w:rPr>
              <w:t xml:space="preserve">IGRT with 5 fractions </w:t>
            </w:r>
            <w:r w:rsidR="00B345F7">
              <w:rPr>
                <w:rFonts w:asciiTheme="minorHAnsi" w:hAnsiTheme="minorHAnsi" w:cstheme="minorHAnsi"/>
                <w:sz w:val="22"/>
                <w:szCs w:val="22"/>
              </w:rPr>
              <w:t xml:space="preserve">of </w:t>
            </w:r>
            <w:r w:rsidR="00B66AF5" w:rsidRPr="00022C0C">
              <w:rPr>
                <w:rFonts w:asciiTheme="minorHAnsi" w:hAnsiTheme="minorHAnsi" w:cstheme="minorHAnsi"/>
                <w:sz w:val="22"/>
                <w:szCs w:val="22"/>
              </w:rPr>
              <w:t>Stereotactic Body Radiation therapy (SBRT)</w:t>
            </w:r>
            <w:r w:rsidR="00140162">
              <w:rPr>
                <w:rFonts w:asciiTheme="minorHAnsi" w:hAnsiTheme="minorHAnsi" w:cstheme="minorHAnsi"/>
                <w:sz w:val="22"/>
                <w:szCs w:val="22"/>
              </w:rPr>
              <w:t xml:space="preserve"> and included</w:t>
            </w:r>
            <w:r w:rsidR="00B66AF5" w:rsidRPr="00022C0C" w:rsidDel="00140162">
              <w:rPr>
                <w:rFonts w:asciiTheme="minorHAnsi" w:hAnsiTheme="minorHAnsi" w:cstheme="minorHAnsi"/>
                <w:sz w:val="22"/>
                <w:szCs w:val="22"/>
              </w:rPr>
              <w:t xml:space="preserve"> </w:t>
            </w:r>
            <w:r w:rsidR="00140162">
              <w:rPr>
                <w:rFonts w:asciiTheme="minorHAnsi" w:hAnsiTheme="minorHAnsi" w:cstheme="minorHAnsi"/>
                <w:sz w:val="22"/>
                <w:szCs w:val="22"/>
              </w:rPr>
              <w:t>the</w:t>
            </w:r>
            <w:r w:rsidR="00B66AF5" w:rsidRPr="00022C0C">
              <w:rPr>
                <w:rFonts w:asciiTheme="minorHAnsi" w:hAnsiTheme="minorHAnsi" w:cstheme="minorHAnsi"/>
                <w:sz w:val="22"/>
                <w:szCs w:val="22"/>
              </w:rPr>
              <w:t xml:space="preserve"> </w:t>
            </w:r>
            <w:r w:rsidR="002C72BD" w:rsidRPr="00022C0C">
              <w:rPr>
                <w:rFonts w:asciiTheme="minorHAnsi" w:hAnsiTheme="minorHAnsi" w:cstheme="minorHAnsi"/>
                <w:sz w:val="22"/>
                <w:szCs w:val="22"/>
              </w:rPr>
              <w:t>modell</w:t>
            </w:r>
            <w:r w:rsidR="00140162">
              <w:rPr>
                <w:rFonts w:asciiTheme="minorHAnsi" w:hAnsiTheme="minorHAnsi" w:cstheme="minorHAnsi"/>
                <w:sz w:val="22"/>
                <w:szCs w:val="22"/>
              </w:rPr>
              <w:t>ed</w:t>
            </w:r>
            <w:r w:rsidR="002C72BD" w:rsidRPr="00022C0C">
              <w:rPr>
                <w:rFonts w:asciiTheme="minorHAnsi" w:hAnsiTheme="minorHAnsi" w:cstheme="minorHAnsi"/>
                <w:sz w:val="22"/>
                <w:szCs w:val="22"/>
              </w:rPr>
              <w:t xml:space="preserve"> toxicity in prostate cancer patients. </w:t>
            </w:r>
            <w:r w:rsidR="00D42C99" w:rsidRPr="00022C0C">
              <w:rPr>
                <w:rFonts w:asciiTheme="minorHAnsi" w:hAnsiTheme="minorHAnsi" w:cstheme="minorHAnsi"/>
                <w:sz w:val="22"/>
                <w:szCs w:val="22"/>
              </w:rPr>
              <w:t xml:space="preserve">The base case of the economic evaluation was generated using the evidence available from two studies conducted in the United States. Hence, there are considerable applicability issues in using the evidence </w:t>
            </w:r>
            <w:r w:rsidR="005B1627">
              <w:rPr>
                <w:rFonts w:asciiTheme="minorHAnsi" w:hAnsiTheme="minorHAnsi" w:cstheme="minorHAnsi"/>
                <w:sz w:val="22"/>
                <w:szCs w:val="22"/>
              </w:rPr>
              <w:t>in</w:t>
            </w:r>
            <w:r w:rsidR="005B1627" w:rsidRPr="005B1627">
              <w:rPr>
                <w:rFonts w:asciiTheme="minorHAnsi" w:hAnsiTheme="minorHAnsi" w:cstheme="minorHAnsi"/>
                <w:sz w:val="22"/>
                <w:szCs w:val="22"/>
              </w:rPr>
              <w:t xml:space="preserve"> </w:t>
            </w:r>
            <w:r w:rsidR="00D42C99" w:rsidRPr="005B1627">
              <w:rPr>
                <w:rFonts w:asciiTheme="minorHAnsi" w:hAnsiTheme="minorHAnsi" w:cstheme="minorHAnsi"/>
                <w:sz w:val="22"/>
                <w:szCs w:val="22"/>
              </w:rPr>
              <w:t xml:space="preserve">the Australian </w:t>
            </w:r>
            <w:r w:rsidR="00140162">
              <w:rPr>
                <w:rFonts w:asciiTheme="minorHAnsi" w:hAnsiTheme="minorHAnsi" w:cstheme="minorHAnsi"/>
                <w:sz w:val="22"/>
                <w:szCs w:val="22"/>
              </w:rPr>
              <w:t xml:space="preserve">healthcare </w:t>
            </w:r>
            <w:r w:rsidR="00D42C99" w:rsidRPr="005B1627">
              <w:rPr>
                <w:rFonts w:asciiTheme="minorHAnsi" w:hAnsiTheme="minorHAnsi" w:cstheme="minorHAnsi"/>
                <w:sz w:val="22"/>
                <w:szCs w:val="22"/>
              </w:rPr>
              <w:t xml:space="preserve">setting. The healthcare resource utilisation, and time </w:t>
            </w:r>
            <w:r w:rsidR="00D42C99" w:rsidRPr="00022C0C">
              <w:rPr>
                <w:rFonts w:asciiTheme="minorHAnsi" w:hAnsiTheme="minorHAnsi" w:cstheme="minorHAnsi"/>
                <w:sz w:val="22"/>
                <w:szCs w:val="22"/>
              </w:rPr>
              <w:t>estimates on each activity of MRI-IGRT and CBCT-IGRT from these two studies were multiplied with</w:t>
            </w:r>
            <w:r w:rsidR="00D42C99" w:rsidRPr="00A91C71">
              <w:rPr>
                <w:rFonts w:asciiTheme="minorHAnsi" w:hAnsiTheme="minorHAnsi" w:cstheme="minorHAnsi"/>
                <w:sz w:val="22"/>
                <w:szCs w:val="22"/>
              </w:rPr>
              <w:t xml:space="preserve"> relevant healthcare costs in the Australian healthcare setting, and where available, other Australian p</w:t>
            </w:r>
            <w:r w:rsidR="00D42C99" w:rsidRPr="0030674B">
              <w:rPr>
                <w:rFonts w:asciiTheme="minorHAnsi" w:hAnsiTheme="minorHAnsi" w:cstheme="minorHAnsi"/>
                <w:sz w:val="22"/>
                <w:szCs w:val="22"/>
              </w:rPr>
              <w:t xml:space="preserve">arameters. Furthermore, the economic </w:t>
            </w:r>
            <w:r w:rsidR="00022C0C">
              <w:rPr>
                <w:rFonts w:asciiTheme="minorHAnsi" w:hAnsiTheme="minorHAnsi" w:cstheme="minorHAnsi"/>
                <w:sz w:val="22"/>
                <w:szCs w:val="22"/>
              </w:rPr>
              <w:t>evaluation</w:t>
            </w:r>
            <w:r w:rsidR="00022C0C" w:rsidRPr="00022C0C">
              <w:rPr>
                <w:rFonts w:asciiTheme="minorHAnsi" w:hAnsiTheme="minorHAnsi" w:cstheme="minorHAnsi"/>
                <w:sz w:val="22"/>
                <w:szCs w:val="22"/>
              </w:rPr>
              <w:t xml:space="preserve"> </w:t>
            </w:r>
            <w:r w:rsidR="00D42C99" w:rsidRPr="00022C0C">
              <w:rPr>
                <w:rFonts w:asciiTheme="minorHAnsi" w:hAnsiTheme="minorHAnsi" w:cstheme="minorHAnsi"/>
                <w:sz w:val="22"/>
                <w:szCs w:val="22"/>
              </w:rPr>
              <w:t>only included costs of treatment related to acute and late gastrointestinal (GI) and genitourinary (GU) toxicity in prostate cancer</w:t>
            </w:r>
            <w:r w:rsidR="002F12BF">
              <w:rPr>
                <w:rFonts w:asciiTheme="minorHAnsi" w:hAnsiTheme="minorHAnsi" w:cstheme="minorHAnsi"/>
                <w:sz w:val="22"/>
                <w:szCs w:val="22"/>
              </w:rPr>
              <w:t xml:space="preserve"> due to </w:t>
            </w:r>
            <w:r w:rsidR="00955B16">
              <w:rPr>
                <w:rFonts w:asciiTheme="minorHAnsi" w:hAnsiTheme="minorHAnsi" w:cstheme="minorHAnsi"/>
                <w:sz w:val="22"/>
                <w:szCs w:val="22"/>
              </w:rPr>
              <w:t>the availability of evidence</w:t>
            </w:r>
            <w:r w:rsidR="00D42C99" w:rsidRPr="00022C0C">
              <w:rPr>
                <w:rFonts w:asciiTheme="minorHAnsi" w:hAnsiTheme="minorHAnsi" w:cstheme="minorHAnsi"/>
                <w:sz w:val="22"/>
                <w:szCs w:val="22"/>
              </w:rPr>
              <w:t>.</w:t>
            </w:r>
            <w:r w:rsidR="00553E0B" w:rsidRPr="00022C0C">
              <w:rPr>
                <w:rFonts w:asciiTheme="minorHAnsi" w:hAnsiTheme="minorHAnsi" w:cstheme="minorHAnsi"/>
                <w:sz w:val="22"/>
                <w:szCs w:val="22"/>
              </w:rPr>
              <w:t xml:space="preserve"> </w:t>
            </w:r>
            <w:r w:rsidR="002F12BF">
              <w:rPr>
                <w:rFonts w:asciiTheme="minorHAnsi" w:hAnsiTheme="minorHAnsi" w:cstheme="minorHAnsi"/>
                <w:sz w:val="22"/>
                <w:szCs w:val="22"/>
              </w:rPr>
              <w:t>T</w:t>
            </w:r>
            <w:r w:rsidR="009B6FD6" w:rsidRPr="00022C0C">
              <w:rPr>
                <w:rFonts w:asciiTheme="minorHAnsi" w:hAnsiTheme="minorHAnsi" w:cstheme="minorHAnsi"/>
                <w:sz w:val="22"/>
                <w:szCs w:val="22"/>
              </w:rPr>
              <w:t>oxicity</w:t>
            </w:r>
            <w:r w:rsidR="00553E0B" w:rsidRPr="006F417E">
              <w:rPr>
                <w:rFonts w:asciiTheme="minorHAnsi" w:hAnsiTheme="minorHAnsi" w:cstheme="minorHAnsi"/>
                <w:sz w:val="22"/>
                <w:szCs w:val="22"/>
              </w:rPr>
              <w:t xml:space="preserve"> </w:t>
            </w:r>
            <w:r w:rsidR="006F417E">
              <w:rPr>
                <w:rFonts w:asciiTheme="minorHAnsi" w:hAnsiTheme="minorHAnsi" w:cstheme="minorHAnsi"/>
                <w:sz w:val="22"/>
                <w:szCs w:val="22"/>
              </w:rPr>
              <w:t xml:space="preserve">related to </w:t>
            </w:r>
            <w:r w:rsidR="00553E0B" w:rsidRPr="006F417E">
              <w:rPr>
                <w:rFonts w:asciiTheme="minorHAnsi" w:hAnsiTheme="minorHAnsi" w:cstheme="minorHAnsi"/>
                <w:sz w:val="22"/>
                <w:szCs w:val="22"/>
              </w:rPr>
              <w:t>other kind of cancer</w:t>
            </w:r>
            <w:r w:rsidR="009B6FD6" w:rsidRPr="006F417E">
              <w:rPr>
                <w:rFonts w:asciiTheme="minorHAnsi" w:hAnsiTheme="minorHAnsi" w:cstheme="minorHAnsi"/>
                <w:sz w:val="22"/>
                <w:szCs w:val="22"/>
              </w:rPr>
              <w:t>s</w:t>
            </w:r>
            <w:r w:rsidR="00553E0B" w:rsidRPr="006F417E">
              <w:rPr>
                <w:rFonts w:asciiTheme="minorHAnsi" w:hAnsiTheme="minorHAnsi" w:cstheme="minorHAnsi"/>
                <w:sz w:val="22"/>
                <w:szCs w:val="22"/>
              </w:rPr>
              <w:t xml:space="preserve"> </w:t>
            </w:r>
            <w:r w:rsidR="00955B16">
              <w:rPr>
                <w:rFonts w:asciiTheme="minorHAnsi" w:hAnsiTheme="minorHAnsi" w:cstheme="minorHAnsi"/>
                <w:sz w:val="22"/>
                <w:szCs w:val="22"/>
              </w:rPr>
              <w:t xml:space="preserve">were not included </w:t>
            </w:r>
            <w:r w:rsidR="00CA6D19" w:rsidRPr="006F417E">
              <w:rPr>
                <w:rFonts w:asciiTheme="minorHAnsi" w:hAnsiTheme="minorHAnsi" w:cstheme="minorHAnsi"/>
                <w:sz w:val="22"/>
                <w:szCs w:val="22"/>
              </w:rPr>
              <w:t xml:space="preserve">due to the </w:t>
            </w:r>
            <w:r w:rsidR="00382758" w:rsidRPr="006F417E">
              <w:rPr>
                <w:rFonts w:asciiTheme="minorHAnsi" w:hAnsiTheme="minorHAnsi" w:cstheme="minorHAnsi"/>
                <w:sz w:val="22"/>
                <w:szCs w:val="22"/>
              </w:rPr>
              <w:t>lack of</w:t>
            </w:r>
            <w:r w:rsidR="00CA6D19" w:rsidRPr="006F417E">
              <w:rPr>
                <w:rFonts w:asciiTheme="minorHAnsi" w:hAnsiTheme="minorHAnsi" w:cstheme="minorHAnsi"/>
                <w:sz w:val="22"/>
                <w:szCs w:val="22"/>
              </w:rPr>
              <w:t xml:space="preserve"> evidence.</w:t>
            </w:r>
          </w:p>
          <w:p w14:paraId="14855FA8" w14:textId="3A96090E" w:rsidR="00053C8A" w:rsidRPr="00EB587C" w:rsidRDefault="00053C8A" w:rsidP="0030674B">
            <w:pPr>
              <w:pStyle w:val="Tabletext1"/>
              <w:numPr>
                <w:ilvl w:val="0"/>
                <w:numId w:val="14"/>
              </w:numPr>
              <w:spacing w:line="312" w:lineRule="auto"/>
              <w:rPr>
                <w:rFonts w:asciiTheme="minorHAnsi" w:hAnsiTheme="minorHAnsi" w:cstheme="minorHAnsi"/>
                <w:sz w:val="22"/>
                <w:szCs w:val="22"/>
              </w:rPr>
            </w:pPr>
            <w:bookmarkStart w:id="53" w:name="_Hlk59191217"/>
            <w:r w:rsidRPr="0030674B">
              <w:rPr>
                <w:rFonts w:asciiTheme="minorHAnsi" w:hAnsiTheme="minorHAnsi" w:cstheme="minorHAnsi"/>
                <w:sz w:val="22"/>
                <w:szCs w:val="22"/>
              </w:rPr>
              <w:t>The economic</w:t>
            </w:r>
            <w:r w:rsidR="008B3A49" w:rsidRPr="0030674B">
              <w:rPr>
                <w:rFonts w:asciiTheme="minorHAnsi" w:hAnsiTheme="minorHAnsi" w:cstheme="minorHAnsi"/>
                <w:sz w:val="22"/>
                <w:szCs w:val="22"/>
              </w:rPr>
              <w:t xml:space="preserve"> evaluation </w:t>
            </w:r>
            <w:r w:rsidRPr="0030674B">
              <w:rPr>
                <w:rFonts w:asciiTheme="minorHAnsi" w:hAnsiTheme="minorHAnsi" w:cstheme="minorHAnsi"/>
                <w:sz w:val="22"/>
                <w:szCs w:val="22"/>
              </w:rPr>
              <w:t xml:space="preserve">assumed that radiation therapy will be delivered using 5 fractions </w:t>
            </w:r>
            <w:r w:rsidR="00955B16">
              <w:rPr>
                <w:rFonts w:asciiTheme="minorHAnsi" w:hAnsiTheme="minorHAnsi" w:cstheme="minorHAnsi"/>
                <w:sz w:val="22"/>
                <w:szCs w:val="22"/>
              </w:rPr>
              <w:t xml:space="preserve">of </w:t>
            </w:r>
            <w:r w:rsidRPr="0030674B">
              <w:rPr>
                <w:rFonts w:asciiTheme="minorHAnsi" w:hAnsiTheme="minorHAnsi" w:cstheme="minorHAnsi"/>
                <w:sz w:val="22"/>
                <w:szCs w:val="22"/>
              </w:rPr>
              <w:t>SBRT</w:t>
            </w:r>
            <w:r w:rsidR="007E7009">
              <w:rPr>
                <w:rFonts w:asciiTheme="minorHAnsi" w:hAnsiTheme="minorHAnsi" w:cstheme="minorHAnsi"/>
                <w:sz w:val="22"/>
                <w:szCs w:val="22"/>
              </w:rPr>
              <w:t>.</w:t>
            </w:r>
            <w:r w:rsidRPr="00EB587C">
              <w:rPr>
                <w:rFonts w:asciiTheme="minorHAnsi" w:hAnsiTheme="minorHAnsi" w:cstheme="minorHAnsi"/>
                <w:sz w:val="22"/>
                <w:szCs w:val="22"/>
              </w:rPr>
              <w:t xml:space="preserve"> </w:t>
            </w:r>
            <w:r w:rsidR="00AE2201" w:rsidRPr="00470AEB">
              <w:rPr>
                <w:rFonts w:asciiTheme="minorHAnsi" w:hAnsiTheme="minorHAnsi" w:cstheme="minorHAnsi"/>
                <w:sz w:val="22"/>
                <w:szCs w:val="22"/>
              </w:rPr>
              <w:t xml:space="preserve">However, in the Australian </w:t>
            </w:r>
            <w:r w:rsidR="00AE2201" w:rsidRPr="001325A6">
              <w:rPr>
                <w:rFonts w:asciiTheme="minorHAnsi" w:hAnsiTheme="minorHAnsi" w:cstheme="minorHAnsi"/>
                <w:sz w:val="22"/>
                <w:szCs w:val="22"/>
              </w:rPr>
              <w:t xml:space="preserve">setting, underlying radiation therapy could be delivered using </w:t>
            </w:r>
            <w:r w:rsidR="00AE2201" w:rsidRPr="00397573">
              <w:rPr>
                <w:rFonts w:asciiTheme="minorHAnsi" w:hAnsiTheme="minorHAnsi" w:cstheme="minorHAnsi"/>
                <w:sz w:val="22"/>
                <w:szCs w:val="22"/>
              </w:rPr>
              <w:t xml:space="preserve">different </w:t>
            </w:r>
            <w:r w:rsidR="00141888" w:rsidRPr="00397573">
              <w:rPr>
                <w:rFonts w:asciiTheme="minorHAnsi" w:hAnsiTheme="minorHAnsi" w:cstheme="minorHAnsi"/>
                <w:sz w:val="22"/>
                <w:szCs w:val="22"/>
              </w:rPr>
              <w:t xml:space="preserve">treatment such as Intensity Modulated Radiation Therapy (IMRT). </w:t>
            </w:r>
            <w:r w:rsidR="00F70799" w:rsidRPr="00F70799">
              <w:rPr>
                <w:rFonts w:asciiTheme="minorHAnsi" w:hAnsiTheme="minorHAnsi" w:cstheme="minorHAnsi"/>
                <w:sz w:val="22"/>
                <w:szCs w:val="22"/>
              </w:rPr>
              <w:t>As such the</w:t>
            </w:r>
            <w:r w:rsidR="008E5B6A" w:rsidRPr="00397573">
              <w:rPr>
                <w:rFonts w:asciiTheme="minorHAnsi" w:hAnsiTheme="minorHAnsi" w:cstheme="minorHAnsi"/>
                <w:sz w:val="22"/>
                <w:szCs w:val="22"/>
              </w:rPr>
              <w:t xml:space="preserve"> radiation dose, </w:t>
            </w:r>
            <w:r w:rsidR="008331AA" w:rsidRPr="00397573">
              <w:rPr>
                <w:rFonts w:asciiTheme="minorHAnsi" w:hAnsiTheme="minorHAnsi" w:cstheme="minorHAnsi"/>
                <w:sz w:val="22"/>
                <w:szCs w:val="22"/>
              </w:rPr>
              <w:t xml:space="preserve">number of </w:t>
            </w:r>
            <w:r w:rsidR="008E5B6A" w:rsidRPr="00397573">
              <w:rPr>
                <w:rFonts w:asciiTheme="minorHAnsi" w:hAnsiTheme="minorHAnsi" w:cstheme="minorHAnsi"/>
                <w:sz w:val="22"/>
                <w:szCs w:val="22"/>
              </w:rPr>
              <w:t>fractions</w:t>
            </w:r>
            <w:r w:rsidR="0043786A" w:rsidRPr="00397573">
              <w:rPr>
                <w:rFonts w:asciiTheme="minorHAnsi" w:hAnsiTheme="minorHAnsi" w:cstheme="minorHAnsi"/>
                <w:sz w:val="22"/>
                <w:szCs w:val="22"/>
              </w:rPr>
              <w:t xml:space="preserve">, and healthcare resources utilisation is likely to differ based on the </w:t>
            </w:r>
            <w:r w:rsidR="008331AA" w:rsidRPr="00397573">
              <w:rPr>
                <w:rFonts w:asciiTheme="minorHAnsi" w:hAnsiTheme="minorHAnsi" w:cstheme="minorHAnsi"/>
                <w:sz w:val="22"/>
                <w:szCs w:val="22"/>
              </w:rPr>
              <w:t xml:space="preserve">radiation treatment and </w:t>
            </w:r>
            <w:r w:rsidR="00F70799" w:rsidRPr="00F70799">
              <w:rPr>
                <w:rFonts w:asciiTheme="minorHAnsi" w:hAnsiTheme="minorHAnsi" w:cstheme="minorHAnsi"/>
                <w:sz w:val="22"/>
                <w:szCs w:val="22"/>
              </w:rPr>
              <w:t>can</w:t>
            </w:r>
            <w:r w:rsidR="008331AA" w:rsidRPr="00397573">
              <w:rPr>
                <w:rFonts w:asciiTheme="minorHAnsi" w:hAnsiTheme="minorHAnsi" w:cstheme="minorHAnsi"/>
                <w:sz w:val="22"/>
                <w:szCs w:val="22"/>
              </w:rPr>
              <w:t xml:space="preserve"> impact </w:t>
            </w:r>
            <w:r w:rsidR="0030674B" w:rsidRPr="00397573">
              <w:rPr>
                <w:rFonts w:asciiTheme="minorHAnsi" w:hAnsiTheme="minorHAnsi" w:cstheme="minorHAnsi"/>
                <w:sz w:val="22"/>
                <w:szCs w:val="22"/>
              </w:rPr>
              <w:t xml:space="preserve">the cost. </w:t>
            </w:r>
            <w:r w:rsidR="00EB587C">
              <w:rPr>
                <w:rFonts w:asciiTheme="minorHAnsi" w:hAnsiTheme="minorHAnsi" w:cstheme="minorHAnsi"/>
                <w:sz w:val="22"/>
                <w:szCs w:val="22"/>
              </w:rPr>
              <w:t xml:space="preserve">Furthermore, depending on the type of cancer and stage, the </w:t>
            </w:r>
            <w:r w:rsidR="00991AF9">
              <w:rPr>
                <w:rFonts w:asciiTheme="minorHAnsi" w:hAnsiTheme="minorHAnsi" w:cstheme="minorHAnsi"/>
                <w:sz w:val="22"/>
                <w:szCs w:val="22"/>
              </w:rPr>
              <w:t xml:space="preserve">requirements are likely to differ and impact the overall cost. </w:t>
            </w:r>
            <w:bookmarkEnd w:id="53"/>
            <w:r w:rsidR="00EB587C">
              <w:rPr>
                <w:rFonts w:asciiTheme="minorHAnsi" w:hAnsiTheme="minorHAnsi" w:cstheme="minorHAnsi"/>
                <w:sz w:val="22"/>
                <w:szCs w:val="22"/>
              </w:rPr>
              <w:t xml:space="preserve"> </w:t>
            </w:r>
          </w:p>
          <w:p w14:paraId="0375D13C" w14:textId="3A5CC99A" w:rsidR="002646B3" w:rsidRPr="001561B3" w:rsidRDefault="00DD5268" w:rsidP="002646B3">
            <w:pPr>
              <w:pStyle w:val="Tabletext1"/>
              <w:numPr>
                <w:ilvl w:val="0"/>
                <w:numId w:val="14"/>
              </w:numPr>
              <w:spacing w:line="312" w:lineRule="auto"/>
              <w:ind w:left="618" w:hanging="357"/>
              <w:jc w:val="both"/>
              <w:rPr>
                <w:sz w:val="22"/>
                <w:szCs w:val="22"/>
              </w:rPr>
            </w:pPr>
            <w:r w:rsidRPr="008D4A3E">
              <w:rPr>
                <w:rFonts w:asciiTheme="minorHAnsi" w:hAnsiTheme="minorHAnsi" w:cstheme="minorHAnsi"/>
                <w:sz w:val="22"/>
                <w:szCs w:val="22"/>
              </w:rPr>
              <w:t xml:space="preserve">Assuming the capability of MR-IGRT to achieve </w:t>
            </w:r>
            <w:r w:rsidR="002B0AD9" w:rsidRPr="008D4A3E">
              <w:rPr>
                <w:rFonts w:asciiTheme="minorHAnsi" w:hAnsiTheme="minorHAnsi" w:cstheme="minorHAnsi"/>
                <w:sz w:val="22"/>
                <w:szCs w:val="22"/>
              </w:rPr>
              <w:t>reductions</w:t>
            </w:r>
            <w:r w:rsidRPr="008D4A3E">
              <w:rPr>
                <w:rFonts w:asciiTheme="minorHAnsi" w:hAnsiTheme="minorHAnsi" w:cstheme="minorHAnsi"/>
                <w:sz w:val="22"/>
                <w:szCs w:val="22"/>
              </w:rPr>
              <w:t xml:space="preserve"> in </w:t>
            </w:r>
            <w:r w:rsidR="00A6504F">
              <w:rPr>
                <w:rFonts w:asciiTheme="minorHAnsi" w:hAnsiTheme="minorHAnsi" w:cstheme="minorHAnsi"/>
                <w:sz w:val="22"/>
                <w:szCs w:val="22"/>
              </w:rPr>
              <w:t>the number of fractions required</w:t>
            </w:r>
            <w:r w:rsidRPr="008D4A3E">
              <w:rPr>
                <w:rFonts w:asciiTheme="minorHAnsi" w:hAnsiTheme="minorHAnsi" w:cstheme="minorHAnsi"/>
                <w:sz w:val="22"/>
                <w:szCs w:val="22"/>
              </w:rPr>
              <w:t xml:space="preserve">, there is potential for significant </w:t>
            </w:r>
            <w:r w:rsidR="002315A3">
              <w:rPr>
                <w:rFonts w:asciiTheme="minorHAnsi" w:hAnsiTheme="minorHAnsi" w:cstheme="minorHAnsi"/>
                <w:sz w:val="22"/>
                <w:szCs w:val="22"/>
              </w:rPr>
              <w:t>cost savings</w:t>
            </w:r>
            <w:r w:rsidRPr="008D4A3E">
              <w:rPr>
                <w:rFonts w:asciiTheme="minorHAnsi" w:hAnsiTheme="minorHAnsi" w:cstheme="minorHAnsi"/>
                <w:sz w:val="22"/>
                <w:szCs w:val="22"/>
              </w:rPr>
              <w:t xml:space="preserve"> for the MBS.</w:t>
            </w:r>
            <w:r w:rsidR="002646B3">
              <w:rPr>
                <w:rFonts w:asciiTheme="minorHAnsi" w:hAnsiTheme="minorHAnsi" w:cstheme="minorHAnsi"/>
                <w:sz w:val="22"/>
                <w:szCs w:val="22"/>
              </w:rPr>
              <w:t xml:space="preserve">  </w:t>
            </w:r>
            <w:r w:rsidR="002646B3" w:rsidRPr="008D4A3E">
              <w:rPr>
                <w:rFonts w:asciiTheme="minorHAnsi" w:hAnsiTheme="minorHAnsi" w:cstheme="minorHAnsi"/>
                <w:sz w:val="22"/>
                <w:szCs w:val="22"/>
              </w:rPr>
              <w:t>MBS cost</w:t>
            </w:r>
            <w:r w:rsidR="002646B3">
              <w:rPr>
                <w:rFonts w:asciiTheme="minorHAnsi" w:hAnsiTheme="minorHAnsi" w:cstheme="minorHAnsi"/>
                <w:sz w:val="22"/>
                <w:szCs w:val="22"/>
              </w:rPr>
              <w:t xml:space="preserve"> savings </w:t>
            </w:r>
            <w:r w:rsidR="002646B3" w:rsidRPr="008D4A3E">
              <w:rPr>
                <w:rFonts w:asciiTheme="minorHAnsi" w:hAnsiTheme="minorHAnsi" w:cstheme="minorHAnsi"/>
                <w:sz w:val="22"/>
                <w:szCs w:val="22"/>
              </w:rPr>
              <w:t>would be largely driven by reductions in treatment fractions and growth in MR-linac treatment capacity.  Given the uncertainties identified including switching rates</w:t>
            </w:r>
            <w:r w:rsidR="002646B3">
              <w:rPr>
                <w:rFonts w:asciiTheme="minorHAnsi" w:hAnsiTheme="minorHAnsi" w:cstheme="minorHAnsi"/>
                <w:sz w:val="22"/>
                <w:szCs w:val="22"/>
              </w:rPr>
              <w:t xml:space="preserve"> from CBCT-IGRT</w:t>
            </w:r>
            <w:r w:rsidR="002646B3" w:rsidRPr="008D4A3E">
              <w:rPr>
                <w:rFonts w:asciiTheme="minorHAnsi" w:hAnsiTheme="minorHAnsi" w:cstheme="minorHAnsi"/>
                <w:sz w:val="22"/>
                <w:szCs w:val="22"/>
              </w:rPr>
              <w:t xml:space="preserve">, the patient population </w:t>
            </w:r>
            <w:r w:rsidR="002646B3">
              <w:rPr>
                <w:rFonts w:asciiTheme="minorHAnsi" w:hAnsiTheme="minorHAnsi" w:cstheme="minorHAnsi"/>
                <w:sz w:val="22"/>
                <w:szCs w:val="22"/>
              </w:rPr>
              <w:t>treated</w:t>
            </w:r>
            <w:r w:rsidR="002646B3" w:rsidRPr="008D4A3E">
              <w:rPr>
                <w:rFonts w:asciiTheme="minorHAnsi" w:hAnsiTheme="minorHAnsi" w:cstheme="minorHAnsi"/>
                <w:sz w:val="22"/>
                <w:szCs w:val="22"/>
              </w:rPr>
              <w:t>, the progression of technolog</w:t>
            </w:r>
            <w:r w:rsidR="002646B3">
              <w:rPr>
                <w:rFonts w:asciiTheme="minorHAnsi" w:hAnsiTheme="minorHAnsi" w:cstheme="minorHAnsi"/>
                <w:sz w:val="22"/>
                <w:szCs w:val="22"/>
              </w:rPr>
              <w:t>ical</w:t>
            </w:r>
            <w:r w:rsidR="002646B3" w:rsidRPr="008D4A3E">
              <w:rPr>
                <w:rFonts w:asciiTheme="minorHAnsi" w:hAnsiTheme="minorHAnsi" w:cstheme="minorHAnsi"/>
                <w:sz w:val="22"/>
                <w:szCs w:val="22"/>
              </w:rPr>
              <w:t xml:space="preserve"> capabilities and health system capacity, there is the potential for </w:t>
            </w:r>
            <w:r w:rsidR="002646B3">
              <w:rPr>
                <w:rFonts w:asciiTheme="minorHAnsi" w:hAnsiTheme="minorHAnsi" w:cstheme="minorHAnsi"/>
                <w:sz w:val="22"/>
                <w:szCs w:val="22"/>
              </w:rPr>
              <w:t>cost savings</w:t>
            </w:r>
            <w:r w:rsidR="002646B3" w:rsidRPr="008D4A3E">
              <w:rPr>
                <w:rFonts w:asciiTheme="minorHAnsi" w:hAnsiTheme="minorHAnsi" w:cstheme="minorHAnsi"/>
                <w:sz w:val="22"/>
                <w:szCs w:val="22"/>
              </w:rPr>
              <w:t xml:space="preserve"> to vary considerably.</w:t>
            </w:r>
          </w:p>
          <w:p w14:paraId="1B653BE9" w14:textId="123D8086" w:rsidR="0085259E" w:rsidRPr="00796F7E" w:rsidRDefault="0039697B" w:rsidP="00796F7E">
            <w:pPr>
              <w:pStyle w:val="Tabletext1"/>
              <w:numPr>
                <w:ilvl w:val="0"/>
                <w:numId w:val="14"/>
              </w:numPr>
              <w:spacing w:line="312" w:lineRule="auto"/>
              <w:ind w:left="618" w:hanging="357"/>
              <w:jc w:val="both"/>
              <w:rPr>
                <w:sz w:val="22"/>
                <w:szCs w:val="22"/>
              </w:rPr>
            </w:pPr>
            <w:r w:rsidRPr="00543E35">
              <w:rPr>
                <w:rFonts w:asciiTheme="minorHAnsi" w:hAnsiTheme="minorHAnsi" w:cstheme="minorHAnsi"/>
                <w:sz w:val="22"/>
                <w:szCs w:val="22"/>
              </w:rPr>
              <w:lastRenderedPageBreak/>
              <w:t>These results are in contrast</w:t>
            </w:r>
            <w:r w:rsidR="002646B3" w:rsidRPr="00E141D8">
              <w:rPr>
                <w:rFonts w:asciiTheme="minorHAnsi" w:hAnsiTheme="minorHAnsi" w:cstheme="minorHAnsi"/>
                <w:sz w:val="22"/>
                <w:szCs w:val="22"/>
              </w:rPr>
              <w:t xml:space="preserve"> to</w:t>
            </w:r>
            <w:r w:rsidRPr="009E3DAF">
              <w:rPr>
                <w:rFonts w:asciiTheme="minorHAnsi" w:hAnsiTheme="minorHAnsi" w:cstheme="minorHAnsi"/>
                <w:sz w:val="22"/>
                <w:szCs w:val="22"/>
              </w:rPr>
              <w:t xml:space="preserve"> tho</w:t>
            </w:r>
            <w:r w:rsidRPr="00C43E58">
              <w:rPr>
                <w:rFonts w:asciiTheme="minorHAnsi" w:hAnsiTheme="minorHAnsi" w:cstheme="minorHAnsi"/>
                <w:sz w:val="22"/>
                <w:szCs w:val="22"/>
              </w:rPr>
              <w:t>se of</w:t>
            </w:r>
            <w:r w:rsidR="002646B3" w:rsidRPr="00C43E58">
              <w:rPr>
                <w:rFonts w:asciiTheme="minorHAnsi" w:hAnsiTheme="minorHAnsi" w:cstheme="minorHAnsi"/>
                <w:sz w:val="22"/>
                <w:szCs w:val="22"/>
              </w:rPr>
              <w:t xml:space="preserve"> the economic evaluation, which </w:t>
            </w:r>
            <w:r w:rsidR="002646B3" w:rsidRPr="00481D05">
              <w:rPr>
                <w:rFonts w:asciiTheme="minorHAnsi" w:hAnsiTheme="minorHAnsi" w:cstheme="minorHAnsi"/>
                <w:sz w:val="22"/>
                <w:szCs w:val="22"/>
              </w:rPr>
              <w:t>notes MR-IGRT is more costly to deliver than CBCT-IGRT</w:t>
            </w:r>
            <w:r w:rsidR="002646B3" w:rsidRPr="00183330">
              <w:rPr>
                <w:rFonts w:asciiTheme="minorHAnsi" w:hAnsiTheme="minorHAnsi" w:cstheme="minorHAnsi"/>
                <w:sz w:val="22"/>
                <w:szCs w:val="22"/>
              </w:rPr>
              <w:t>. The Applicant is not requesting a higher MBS fee, considering there to be no expected net impact to out-of-pocket costs, with any impact dependent on the individual MR-IGRT treatment provider.</w:t>
            </w:r>
            <w:r w:rsidR="00543E35" w:rsidRPr="00183330">
              <w:rPr>
                <w:rFonts w:asciiTheme="minorHAnsi" w:hAnsiTheme="minorHAnsi" w:cstheme="minorHAnsi"/>
                <w:sz w:val="22"/>
                <w:szCs w:val="22"/>
              </w:rPr>
              <w:t xml:space="preserve"> While the Applicant has stated that the </w:t>
            </w:r>
            <w:r w:rsidR="00543E35" w:rsidRPr="00543E35">
              <w:rPr>
                <w:rFonts w:asciiTheme="minorHAnsi" w:hAnsiTheme="minorHAnsi" w:cstheme="minorHAnsi"/>
                <w:sz w:val="22"/>
                <w:szCs w:val="22"/>
              </w:rPr>
              <w:t>difference between the cost to deliver MR-IGRT and the MBS cost</w:t>
            </w:r>
            <w:r w:rsidR="00543E35">
              <w:rPr>
                <w:rFonts w:asciiTheme="minorHAnsi" w:hAnsiTheme="minorHAnsi" w:cstheme="minorHAnsi"/>
                <w:sz w:val="22"/>
                <w:szCs w:val="22"/>
              </w:rPr>
              <w:t xml:space="preserve"> would not be </w:t>
            </w:r>
            <w:r w:rsidR="00E141D8">
              <w:rPr>
                <w:rFonts w:asciiTheme="minorHAnsi" w:hAnsiTheme="minorHAnsi" w:cstheme="minorHAnsi"/>
                <w:sz w:val="22"/>
                <w:szCs w:val="22"/>
              </w:rPr>
              <w:t>transferred to the patient</w:t>
            </w:r>
            <w:r w:rsidR="00C43E58">
              <w:rPr>
                <w:rFonts w:asciiTheme="minorHAnsi" w:hAnsiTheme="minorHAnsi" w:cstheme="minorHAnsi"/>
                <w:sz w:val="22"/>
                <w:szCs w:val="22"/>
              </w:rPr>
              <w:t>, it is uncertain who would cover this cost.</w:t>
            </w:r>
            <w:r w:rsidR="002646B3" w:rsidRPr="00543E35">
              <w:rPr>
                <w:rFonts w:asciiTheme="minorHAnsi" w:hAnsiTheme="minorHAnsi" w:cstheme="minorHAnsi"/>
                <w:sz w:val="22"/>
                <w:szCs w:val="22"/>
              </w:rPr>
              <w:t xml:space="preserve">  </w:t>
            </w:r>
          </w:p>
        </w:tc>
      </w:tr>
    </w:tbl>
    <w:p w14:paraId="12E8C15B" w14:textId="13425DC8" w:rsidR="008C7152" w:rsidRPr="00903061" w:rsidRDefault="006A2A9E" w:rsidP="00903061">
      <w:pPr>
        <w:pStyle w:val="Heading2"/>
      </w:pPr>
      <w:bookmarkStart w:id="54" w:name="_Toc59018738"/>
      <w:bookmarkStart w:id="55" w:name="_Toc59020282"/>
      <w:bookmarkStart w:id="56" w:name="_Toc59439504"/>
      <w:bookmarkStart w:id="57" w:name="_Toc89857776"/>
      <w:bookmarkEnd w:id="52"/>
      <w:r w:rsidRPr="00903061">
        <w:lastRenderedPageBreak/>
        <w:t>Magnetic Resonance Image Guided Radiation Therapy</w:t>
      </w:r>
      <w:bookmarkEnd w:id="54"/>
      <w:bookmarkEnd w:id="55"/>
      <w:bookmarkEnd w:id="56"/>
      <w:bookmarkEnd w:id="57"/>
    </w:p>
    <w:p w14:paraId="064E8213" w14:textId="2C4EB890" w:rsidR="00EB4DCD" w:rsidRPr="00EB6381" w:rsidRDefault="00EB4DCD" w:rsidP="008D4A3E">
      <w:pPr>
        <w:rPr>
          <w:sz w:val="24"/>
        </w:rPr>
      </w:pPr>
      <w:r w:rsidRPr="00E553A6">
        <w:t xml:space="preserve">This </w:t>
      </w:r>
      <w:r w:rsidR="006E0349">
        <w:t>Department contracted assessment report (</w:t>
      </w:r>
      <w:r w:rsidR="00E94511">
        <w:t>DCAR</w:t>
      </w:r>
      <w:r w:rsidR="006E0349">
        <w:t>)</w:t>
      </w:r>
      <w:r w:rsidRPr="00E553A6">
        <w:t xml:space="preserve"> examines the evidence to support listing of </w:t>
      </w:r>
      <w:r w:rsidR="006A2A9E" w:rsidRPr="00E553A6">
        <w:t>Magnetic Resonance Image Guided Radiation Therapy</w:t>
      </w:r>
      <w:r w:rsidRPr="00E553A6">
        <w:t xml:space="preserve"> </w:t>
      </w:r>
      <w:r w:rsidR="00277612" w:rsidRPr="00E553A6">
        <w:t>(MR-IGRT)</w:t>
      </w:r>
      <w:r w:rsidRPr="00E553A6">
        <w:t xml:space="preserve"> on the Medicare Benefits Schedule (MBS). The service would be used in the </w:t>
      </w:r>
      <w:r w:rsidR="003D3064" w:rsidRPr="00E553A6">
        <w:t>inpatient and outpatient</w:t>
      </w:r>
      <w:r w:rsidRPr="00E553A6">
        <w:t xml:space="preserve"> setting for the treatment of </w:t>
      </w:r>
      <w:r w:rsidR="00A91772" w:rsidRPr="00E553A6">
        <w:t>cancer</w:t>
      </w:r>
      <w:r w:rsidRPr="00E553A6">
        <w:t xml:space="preserve">. The target population are </w:t>
      </w:r>
      <w:r w:rsidR="000E444B" w:rsidRPr="00E553A6">
        <w:t>all</w:t>
      </w:r>
      <w:r w:rsidRPr="00E553A6">
        <w:t xml:space="preserve"> people with </w:t>
      </w:r>
      <w:r w:rsidR="00262A0C" w:rsidRPr="00E553A6">
        <w:t xml:space="preserve">cancer </w:t>
      </w:r>
      <w:r w:rsidR="00576E36" w:rsidRPr="00E553A6">
        <w:t>scheduled for external beam radiation therapy (EBRT</w:t>
      </w:r>
      <w:r w:rsidR="00576E36">
        <w:t xml:space="preserve">). </w:t>
      </w:r>
      <w:r w:rsidRPr="00576E36">
        <w:t xml:space="preserve">The </w:t>
      </w:r>
      <w:r w:rsidR="008F4472">
        <w:t>A</w:t>
      </w:r>
      <w:r w:rsidRPr="00576E36">
        <w:t>pplicant has claimed</w:t>
      </w:r>
      <w:r w:rsidRPr="008059D2">
        <w:t xml:space="preserve"> that </w:t>
      </w:r>
      <w:r>
        <w:t xml:space="preserve">the </w:t>
      </w:r>
      <w:r w:rsidRPr="008059D2">
        <w:t xml:space="preserve">successful listing of the technology in the </w:t>
      </w:r>
      <w:r>
        <w:t>target</w:t>
      </w:r>
      <w:r w:rsidRPr="008059D2">
        <w:t xml:space="preserve"> population and setting will </w:t>
      </w:r>
      <w:r w:rsidR="00770B8E">
        <w:t>introduce a clinical choice for tumour sites benefiting of reduced target volume margins and hypofractionated courses.</w:t>
      </w:r>
    </w:p>
    <w:p w14:paraId="0CE0C75B" w14:textId="77777777" w:rsidR="007D7A19" w:rsidRPr="00183E4D" w:rsidRDefault="007D7A19" w:rsidP="00AA2C7A">
      <w:pPr>
        <w:pStyle w:val="ESNumberedSectionHeading"/>
        <w:numPr>
          <w:ilvl w:val="0"/>
          <w:numId w:val="0"/>
        </w:numPr>
        <w:ind w:left="1134" w:hanging="1134"/>
      </w:pPr>
      <w:bookmarkStart w:id="58" w:name="_Toc59018739"/>
      <w:bookmarkStart w:id="59" w:name="_Toc59020283"/>
      <w:bookmarkStart w:id="60" w:name="_Toc59439505"/>
      <w:bookmarkStart w:id="61" w:name="_Toc89857777"/>
      <w:r>
        <w:t xml:space="preserve">Alignment with agreed </w:t>
      </w:r>
      <w:r w:rsidR="0088661A">
        <w:t>PICO Confirmation</w:t>
      </w:r>
      <w:bookmarkEnd w:id="58"/>
      <w:bookmarkEnd w:id="59"/>
      <w:bookmarkEnd w:id="60"/>
      <w:bookmarkEnd w:id="61"/>
    </w:p>
    <w:p w14:paraId="2F5E3D19" w14:textId="4EDC18E5" w:rsidR="004B4847" w:rsidRDefault="008A6152" w:rsidP="00DF343F">
      <w:pPr>
        <w:jc w:val="both"/>
      </w:pPr>
      <w:r w:rsidRPr="00183E4D">
        <w:t xml:space="preserve">This </w:t>
      </w:r>
      <w:r w:rsidR="00E94511">
        <w:t>DCAR</w:t>
      </w:r>
      <w:r w:rsidRPr="00183E4D">
        <w:t xml:space="preserve"> </w:t>
      </w:r>
      <w:r w:rsidR="00B313E2" w:rsidRPr="00183E4D">
        <w:t xml:space="preserve">of </w:t>
      </w:r>
      <w:r w:rsidR="004B4847">
        <w:t>MR-IGRT</w:t>
      </w:r>
      <w:r w:rsidR="00B313E2" w:rsidRPr="00183E4D">
        <w:t xml:space="preserve"> </w:t>
      </w:r>
      <w:r w:rsidRPr="00183E4D">
        <w:t xml:space="preserve">addresses </w:t>
      </w:r>
      <w:r w:rsidRPr="00E9656D">
        <w:t>some</w:t>
      </w:r>
      <w:r w:rsidRPr="00183E4D">
        <w:t xml:space="preserve"> of the PICO</w:t>
      </w:r>
      <w:r w:rsidR="00B313E2" w:rsidRPr="00183E4D">
        <w:rPr>
          <w:rStyle w:val="FootnoteReference"/>
        </w:rPr>
        <w:footnoteReference w:id="2"/>
      </w:r>
      <w:r w:rsidRPr="00183E4D">
        <w:t xml:space="preserve"> elements </w:t>
      </w:r>
      <w:r w:rsidR="00B313E2" w:rsidRPr="00183E4D">
        <w:t xml:space="preserve">that were </w:t>
      </w:r>
      <w:r w:rsidR="00593423">
        <w:t>pre-</w:t>
      </w:r>
      <w:r w:rsidRPr="00183E4D">
        <w:t xml:space="preserve">specified in the </w:t>
      </w:r>
      <w:r w:rsidR="0088661A">
        <w:t>PICO Confirmation</w:t>
      </w:r>
      <w:r w:rsidRPr="00183E4D">
        <w:t xml:space="preserve"> </w:t>
      </w:r>
      <w:r w:rsidR="00B313E2" w:rsidRPr="00183E4D">
        <w:t xml:space="preserve">that was </w:t>
      </w:r>
      <w:r w:rsidR="00C47764" w:rsidRPr="00D60108">
        <w:t>ratified</w:t>
      </w:r>
      <w:r w:rsidR="00593423" w:rsidRPr="00D60108">
        <w:t xml:space="preserve"> </w:t>
      </w:r>
      <w:r w:rsidR="00B313E2" w:rsidRPr="00D60108">
        <w:t>by</w:t>
      </w:r>
      <w:r w:rsidR="00B313E2" w:rsidRPr="00183E4D">
        <w:t xml:space="preserve"> the P</w:t>
      </w:r>
      <w:r w:rsidR="005743A7">
        <w:t>ICO</w:t>
      </w:r>
      <w:r w:rsidR="00B313E2" w:rsidRPr="00183E4D">
        <w:t xml:space="preserve"> Advisory SubCommittee (PASC)</w:t>
      </w:r>
      <w:r w:rsidRPr="00183E4D">
        <w:t>.</w:t>
      </w:r>
      <w:r w:rsidR="00B313E2" w:rsidRPr="00183E4D">
        <w:t xml:space="preserve"> </w:t>
      </w:r>
      <w:r w:rsidR="004B4847">
        <w:t>The literature search retrieved a single comparative study (Kim et al. 2018), reporting on a surrogate outcome for lung toxicity following radiotherapy in patients</w:t>
      </w:r>
      <w:r w:rsidR="002D403D">
        <w:t xml:space="preserve"> with lung cancer</w:t>
      </w:r>
      <w:r w:rsidR="004B4847">
        <w:t xml:space="preserve">. </w:t>
      </w:r>
      <w:r w:rsidR="004B109B">
        <w:t>Due to the paucity of comparative evidence a naïve comparison was attempted.</w:t>
      </w:r>
      <w:r w:rsidR="00976C22" w:rsidRPr="00976C22">
        <w:t xml:space="preserve"> </w:t>
      </w:r>
      <w:r w:rsidR="00995FF4">
        <w:t>The</w:t>
      </w:r>
      <w:r w:rsidR="00995FF4" w:rsidRPr="002051FE">
        <w:t xml:space="preserve"> </w:t>
      </w:r>
      <w:r w:rsidR="00995FF4">
        <w:t>validity of this comparison is very limited d</w:t>
      </w:r>
      <w:r w:rsidR="00976C22" w:rsidRPr="002051FE">
        <w:t>ue to the variety of treatment modalities, treatment schedules</w:t>
      </w:r>
      <w:r w:rsidR="00976C22">
        <w:t xml:space="preserve"> and dose</w:t>
      </w:r>
      <w:r w:rsidR="00976C22" w:rsidRPr="002051FE">
        <w:t>, and differing patient characteristics</w:t>
      </w:r>
      <w:r w:rsidR="00210F48">
        <w:t xml:space="preserve"> en</w:t>
      </w:r>
      <w:r w:rsidR="00C00D78">
        <w:t>c</w:t>
      </w:r>
      <w:r w:rsidR="00210F48">
        <w:t>ountered</w:t>
      </w:r>
      <w:r w:rsidR="00843D0D">
        <w:t xml:space="preserve">. </w:t>
      </w:r>
    </w:p>
    <w:p w14:paraId="65B84C9C" w14:textId="77777777" w:rsidR="008C7152" w:rsidRPr="00183E4D" w:rsidRDefault="008A6152" w:rsidP="009F7373">
      <w:pPr>
        <w:pStyle w:val="Heading3"/>
      </w:pPr>
      <w:bookmarkStart w:id="62" w:name="_Toc395200742"/>
      <w:bookmarkStart w:id="63" w:name="_Toc59018740"/>
      <w:bookmarkStart w:id="64" w:name="_Toc59020284"/>
      <w:bookmarkStart w:id="65" w:name="_Toc59439506"/>
      <w:bookmarkStart w:id="66" w:name="_Toc89857778"/>
      <w:r w:rsidRPr="00183E4D">
        <w:t xml:space="preserve">Proposed </w:t>
      </w:r>
      <w:r w:rsidR="00630910" w:rsidRPr="00183E4D">
        <w:t>M</w:t>
      </w:r>
      <w:r w:rsidRPr="00183E4D">
        <w:t xml:space="preserve">edical </w:t>
      </w:r>
      <w:r w:rsidR="00630910" w:rsidRPr="00183E4D">
        <w:t>S</w:t>
      </w:r>
      <w:r w:rsidRPr="00183E4D">
        <w:t>ervice</w:t>
      </w:r>
      <w:bookmarkEnd w:id="62"/>
      <w:bookmarkEnd w:id="63"/>
      <w:bookmarkEnd w:id="64"/>
      <w:bookmarkEnd w:id="65"/>
      <w:bookmarkEnd w:id="66"/>
    </w:p>
    <w:p w14:paraId="2DC8ABF1" w14:textId="49ADDBD0" w:rsidR="00FD7E90" w:rsidRDefault="004965AF" w:rsidP="00FD7E90">
      <w:bookmarkStart w:id="67" w:name="_Toc379118248"/>
      <w:bookmarkStart w:id="68" w:name="_Toc381796432"/>
      <w:r>
        <w:t>MR-IGRT, also known a</w:t>
      </w:r>
      <w:r w:rsidR="00210F48">
        <w:t>s</w:t>
      </w:r>
      <w:r>
        <w:t xml:space="preserve"> MR-linac, combines a MR unit with a linear accelerator (linac). The combination of the two technologies </w:t>
      </w:r>
      <w:r w:rsidR="00FE10C4">
        <w:t xml:space="preserve">allows real-time imaging of target volumes and organs at risk </w:t>
      </w:r>
      <w:r w:rsidR="006B043D">
        <w:t xml:space="preserve">(OARs) </w:t>
      </w:r>
      <w:r w:rsidR="00FD2E10">
        <w:t xml:space="preserve">before and during </w:t>
      </w:r>
      <w:r w:rsidR="00CE03B6">
        <w:t>radiation therapy</w:t>
      </w:r>
      <w:r w:rsidR="00FD2E10">
        <w:t xml:space="preserve"> delivery</w:t>
      </w:r>
      <w:r w:rsidR="00210F48">
        <w:t>,</w:t>
      </w:r>
      <w:r w:rsidR="00FD2E10">
        <w:t xml:space="preserve"> </w:t>
      </w:r>
      <w:r w:rsidR="00633301">
        <w:t xml:space="preserve">enabling re-planning </w:t>
      </w:r>
      <w:r w:rsidR="004B4847">
        <w:t xml:space="preserve">for each fraction </w:t>
      </w:r>
      <w:r w:rsidR="00383C09">
        <w:t>if</w:t>
      </w:r>
      <w:r w:rsidR="00633301">
        <w:t xml:space="preserve"> necessary.</w:t>
      </w:r>
      <w:r w:rsidR="00FD2E10">
        <w:t xml:space="preserve"> </w:t>
      </w:r>
    </w:p>
    <w:p w14:paraId="58E5B835" w14:textId="77777777" w:rsidR="001326C5" w:rsidRPr="00183E4D" w:rsidRDefault="001326C5" w:rsidP="001326C5">
      <w:pPr>
        <w:jc w:val="both"/>
      </w:pPr>
      <w:r w:rsidRPr="00965EBE">
        <w:t xml:space="preserve">The intervention is </w:t>
      </w:r>
      <w:r>
        <w:t xml:space="preserve">not </w:t>
      </w:r>
      <w:r w:rsidRPr="00965EBE">
        <w:t>currently used for other clinical indications in Australia.</w:t>
      </w:r>
    </w:p>
    <w:p w14:paraId="7F423E96" w14:textId="77777777" w:rsidR="008F1D1C" w:rsidRPr="00183E4D" w:rsidRDefault="008F1D1C" w:rsidP="008F1D1C">
      <w:pPr>
        <w:pStyle w:val="Heading3"/>
      </w:pPr>
      <w:bookmarkStart w:id="69" w:name="_Toc59018741"/>
      <w:bookmarkStart w:id="70" w:name="_Toc59020285"/>
      <w:bookmarkStart w:id="71" w:name="_Toc59439507"/>
      <w:bookmarkStart w:id="72" w:name="_Toc395200743"/>
      <w:bookmarkStart w:id="73" w:name="_Toc89857779"/>
      <w:r w:rsidRPr="00183E4D">
        <w:lastRenderedPageBreak/>
        <w:t>Proposal for Public Funding</w:t>
      </w:r>
      <w:bookmarkEnd w:id="69"/>
      <w:bookmarkEnd w:id="70"/>
      <w:bookmarkEnd w:id="71"/>
      <w:bookmarkEnd w:id="73"/>
    </w:p>
    <w:p w14:paraId="4961C5F0" w14:textId="6FE8EDFF" w:rsidR="0088424E" w:rsidRPr="0088424E" w:rsidRDefault="0088424E" w:rsidP="0088424E">
      <w:pPr>
        <w:rPr>
          <w:i/>
          <w:iCs/>
        </w:rPr>
      </w:pPr>
      <w:r w:rsidRPr="00BA03F3">
        <w:t xml:space="preserve">The </w:t>
      </w:r>
      <w:r w:rsidR="008F4472">
        <w:t>Applicant</w:t>
      </w:r>
      <w:r w:rsidRPr="00BA03F3">
        <w:t xml:space="preserve"> requested an amendment to the way the service is clinically delivered under existing MBS item 15275</w:t>
      </w:r>
      <w:r>
        <w:t xml:space="preserve"> </w:t>
      </w:r>
      <w:r w:rsidR="00E705F2">
        <w:t>(</w:t>
      </w:r>
      <w:r w:rsidR="00E705F2">
        <w:fldChar w:fldCharType="begin"/>
      </w:r>
      <w:r w:rsidR="00E705F2">
        <w:instrText xml:space="preserve"> REF _Ref55909658 \h </w:instrText>
      </w:r>
      <w:r w:rsidR="00E705F2">
        <w:fldChar w:fldCharType="separate"/>
      </w:r>
      <w:r w:rsidR="00451350" w:rsidRPr="00651420">
        <w:t xml:space="preserve">Table </w:t>
      </w:r>
      <w:r w:rsidR="00451350">
        <w:rPr>
          <w:noProof/>
        </w:rPr>
        <w:t>1</w:t>
      </w:r>
      <w:r w:rsidR="00E705F2">
        <w:fldChar w:fldCharType="end"/>
      </w:r>
      <w:r w:rsidR="00E705F2">
        <w:t>)</w:t>
      </w:r>
      <w:r w:rsidRPr="00BA03F3">
        <w:t>.</w:t>
      </w:r>
      <w:r>
        <w:rPr>
          <w:i/>
          <w:iCs/>
        </w:rPr>
        <w:t xml:space="preserve"> </w:t>
      </w:r>
      <w:r w:rsidRPr="00903061">
        <w:t>This MBS item is technologically-agnostic, as confirmed by PASC.</w:t>
      </w:r>
    </w:p>
    <w:p w14:paraId="4EE70A4F" w14:textId="7A63B231" w:rsidR="008F1D1C" w:rsidRPr="00183E4D" w:rsidRDefault="008F1D1C" w:rsidP="00903061">
      <w:pPr>
        <w:pStyle w:val="Caption"/>
        <w:keepNext/>
        <w:tabs>
          <w:tab w:val="left" w:pos="1134"/>
        </w:tabs>
        <w:ind w:left="1134" w:hanging="1134"/>
        <w:jc w:val="both"/>
      </w:pPr>
      <w:bookmarkStart w:id="74" w:name="_Ref55909658"/>
      <w:bookmarkStart w:id="75" w:name="_Toc89857872"/>
      <w:r w:rsidRPr="00651420">
        <w:t xml:space="preserve">Table </w:t>
      </w:r>
      <w:r w:rsidR="00211285">
        <w:fldChar w:fldCharType="begin"/>
      </w:r>
      <w:r w:rsidR="00211285">
        <w:instrText xml:space="preserve"> SEQ Table \* ARABIC </w:instrText>
      </w:r>
      <w:r w:rsidR="00211285">
        <w:fldChar w:fldCharType="separate"/>
      </w:r>
      <w:r w:rsidR="00451350">
        <w:rPr>
          <w:noProof/>
        </w:rPr>
        <w:t>1</w:t>
      </w:r>
      <w:r w:rsidR="00211285">
        <w:rPr>
          <w:noProof/>
        </w:rPr>
        <w:fldChar w:fldCharType="end"/>
      </w:r>
      <w:bookmarkEnd w:id="74"/>
      <w:r w:rsidRPr="00183E4D">
        <w:tab/>
        <w:t xml:space="preserve">Proposed </w:t>
      </w:r>
      <w:r w:rsidRPr="00651420">
        <w:t>MBS item</w:t>
      </w:r>
      <w:r w:rsidRPr="00183E4D">
        <w:t xml:space="preserve"> descriptor</w:t>
      </w:r>
      <w:bookmarkEnd w:id="75"/>
    </w:p>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 Proposed MBS item descriptor"/>
        <w:tblDescription w:val="This table provides the proposed description of the requested Medicare Benefits Schedule item."/>
      </w:tblPr>
      <w:tblGrid>
        <w:gridCol w:w="9016"/>
      </w:tblGrid>
      <w:tr w:rsidR="00651420" w:rsidRPr="00BA03F3" w:rsidDel="00A134DA" w14:paraId="0701B7F2" w14:textId="77777777" w:rsidTr="00183330">
        <w:trPr>
          <w:cnfStyle w:val="100000000000" w:firstRow="1" w:lastRow="0" w:firstColumn="0" w:lastColumn="0" w:oddVBand="0" w:evenVBand="0" w:oddHBand="0" w:evenHBand="0" w:firstRowFirstColumn="0" w:firstRowLastColumn="0" w:lastRowFirstColumn="0" w:lastRowLastColumn="0"/>
        </w:trPr>
        <w:tc>
          <w:tcPr>
            <w:tcW w:w="5000" w:type="pct"/>
          </w:tcPr>
          <w:p w14:paraId="61835932" w14:textId="77777777" w:rsidR="00651420" w:rsidRPr="00BA03F3" w:rsidDel="00A134DA" w:rsidRDefault="00651420" w:rsidP="00903061">
            <w:pPr>
              <w:pStyle w:val="Tabletext1"/>
              <w:keepNext/>
            </w:pPr>
            <w:r w:rsidRPr="00BA03F3" w:rsidDel="00A134DA">
              <w:t xml:space="preserve">Category </w:t>
            </w:r>
            <w:r w:rsidRPr="00BA03F3">
              <w:t>3</w:t>
            </w:r>
            <w:r w:rsidRPr="00BA03F3" w:rsidDel="00A134DA">
              <w:t xml:space="preserve"> – </w:t>
            </w:r>
            <w:r w:rsidRPr="00BA03F3">
              <w:t>THERAPEUTIC PROCEDURES</w:t>
            </w:r>
          </w:p>
        </w:tc>
      </w:tr>
      <w:tr w:rsidR="00651420" w:rsidRPr="00BA03F3" w:rsidDel="00A134DA" w14:paraId="05A8C764" w14:textId="77777777" w:rsidTr="00183330">
        <w:tc>
          <w:tcPr>
            <w:tcW w:w="5000" w:type="pct"/>
          </w:tcPr>
          <w:p w14:paraId="67FA7E27" w14:textId="77777777" w:rsidR="00651420" w:rsidRPr="00BA03F3" w:rsidRDefault="00651420" w:rsidP="00903061">
            <w:pPr>
              <w:pStyle w:val="Tabletext1"/>
              <w:keepNext/>
            </w:pPr>
            <w:r w:rsidRPr="00BA03F3">
              <w:t>RADIATION ONCOLOGY TREATMENT with IGRT imaging facilities undertaken:</w:t>
            </w:r>
          </w:p>
          <w:p w14:paraId="0FC683B3" w14:textId="77777777" w:rsidR="00651420" w:rsidRPr="00BA03F3" w:rsidRDefault="00651420" w:rsidP="00903061">
            <w:pPr>
              <w:pStyle w:val="Tabletext1"/>
              <w:keepNext/>
            </w:pPr>
            <w:r w:rsidRPr="00BA03F3">
              <w:t>(a) to implement an IMRT dosimetry plan prepared in accordance with item 15565; and</w:t>
            </w:r>
          </w:p>
          <w:p w14:paraId="4DB72239" w14:textId="77777777" w:rsidR="00651420" w:rsidRPr="00BA03F3" w:rsidDel="00A134DA" w:rsidRDefault="00651420" w:rsidP="00903061">
            <w:pPr>
              <w:pStyle w:val="Tabletext1"/>
              <w:keepNext/>
            </w:pPr>
            <w:r w:rsidRPr="00BA03F3">
              <w:t>(b) utilising an intensity modulated treatment delivery mode (delivered by a fixed or dynamic gantry linear accelerator or by a helical non C-arm based linear accelerator), once only at each attendance at which treatment is given.</w:t>
            </w:r>
          </w:p>
        </w:tc>
      </w:tr>
      <w:tr w:rsidR="00651420" w:rsidRPr="00BA03F3" w:rsidDel="00A134DA" w14:paraId="16E853E6" w14:textId="77777777" w:rsidTr="00183330">
        <w:tc>
          <w:tcPr>
            <w:tcW w:w="5000" w:type="pct"/>
          </w:tcPr>
          <w:p w14:paraId="36F60346" w14:textId="77777777" w:rsidR="00651420" w:rsidRPr="00BA03F3" w:rsidDel="00A134DA" w:rsidRDefault="00651420" w:rsidP="0010042E">
            <w:pPr>
              <w:pStyle w:val="Tabletext1"/>
            </w:pPr>
            <w:r w:rsidRPr="00BA03F3">
              <w:rPr>
                <w:b/>
              </w:rPr>
              <w:t>MBS Fee*: $188.65    Benefit: 75% = $141.50    85% = $160.40</w:t>
            </w:r>
          </w:p>
        </w:tc>
      </w:tr>
    </w:tbl>
    <w:p w14:paraId="69657889" w14:textId="20E90B50" w:rsidR="00651420" w:rsidRDefault="00651420" w:rsidP="00DB0E4A">
      <w:pPr>
        <w:pStyle w:val="Tablenotes0"/>
        <w:jc w:val="left"/>
      </w:pPr>
      <w:r w:rsidRPr="00BA03F3">
        <w:t>*Fees updated according to current information on mbsonline.gov.au as of 15 October 2020</w:t>
      </w:r>
      <w:r w:rsidR="00DB0E4A">
        <w:br/>
      </w:r>
      <w:r>
        <w:t>CT=computed tomography; IGRT=image guided radiation therapy; IMRT=intensity-modulated radiation therapy; MBS=Medical Benefits Schedule</w:t>
      </w:r>
    </w:p>
    <w:p w14:paraId="50987BE4" w14:textId="77777777" w:rsidR="008F1D1C" w:rsidRDefault="008F1D1C" w:rsidP="005C061E">
      <w:pPr>
        <w:pStyle w:val="Heading3"/>
      </w:pPr>
      <w:bookmarkStart w:id="76" w:name="_Toc59018742"/>
      <w:bookmarkStart w:id="77" w:name="_Toc59020286"/>
      <w:bookmarkStart w:id="78" w:name="_Toc59439508"/>
      <w:bookmarkStart w:id="79" w:name="_Toc89857780"/>
      <w:r>
        <w:t>Population</w:t>
      </w:r>
      <w:bookmarkEnd w:id="76"/>
      <w:bookmarkEnd w:id="77"/>
      <w:bookmarkEnd w:id="78"/>
      <w:bookmarkEnd w:id="79"/>
    </w:p>
    <w:p w14:paraId="4DB2DA51" w14:textId="1A964669" w:rsidR="0074580D" w:rsidRDefault="0074580D" w:rsidP="0074580D">
      <w:r w:rsidRPr="00BA03F3">
        <w:t>The proposed population includes all patients with cancer undergoing EBRT regardless of the cancer type.</w:t>
      </w:r>
    </w:p>
    <w:p w14:paraId="616E3AA7" w14:textId="77777777" w:rsidR="0074580D" w:rsidRPr="00BA03F3" w:rsidRDefault="0074580D" w:rsidP="0074580D">
      <w:r>
        <w:t>Initial use of MR-linac is expected to focus on cancers of the brain, breast, cervix, oesophagus, lung, oropharynx, pancreas, prostate, oligometastatic sites, liver, bladder, and rectum.</w:t>
      </w:r>
    </w:p>
    <w:p w14:paraId="180C59C2" w14:textId="77777777" w:rsidR="00753141" w:rsidRPr="00183E4D" w:rsidRDefault="005602D3" w:rsidP="009F7373">
      <w:pPr>
        <w:pStyle w:val="Heading3"/>
      </w:pPr>
      <w:bookmarkStart w:id="80" w:name="_Toc395200744"/>
      <w:bookmarkStart w:id="81" w:name="_Toc59018743"/>
      <w:bookmarkStart w:id="82" w:name="_Toc59020287"/>
      <w:bookmarkStart w:id="83" w:name="_Toc59439509"/>
      <w:bookmarkStart w:id="84" w:name="_Toc379118249"/>
      <w:bookmarkStart w:id="85" w:name="_Toc381796433"/>
      <w:bookmarkStart w:id="86" w:name="_Toc89857781"/>
      <w:bookmarkEnd w:id="67"/>
      <w:bookmarkEnd w:id="68"/>
      <w:bookmarkEnd w:id="72"/>
      <w:r w:rsidRPr="00183E4D">
        <w:t xml:space="preserve">Comparator </w:t>
      </w:r>
      <w:r w:rsidR="00630910" w:rsidRPr="00183E4D">
        <w:t>D</w:t>
      </w:r>
      <w:r w:rsidRPr="00183E4D">
        <w:t>etail</w:t>
      </w:r>
      <w:r w:rsidR="00753141" w:rsidRPr="00183E4D">
        <w:t>s</w:t>
      </w:r>
      <w:bookmarkEnd w:id="80"/>
      <w:bookmarkEnd w:id="81"/>
      <w:bookmarkEnd w:id="82"/>
      <w:bookmarkEnd w:id="83"/>
      <w:bookmarkEnd w:id="86"/>
      <w:r w:rsidRPr="00183E4D">
        <w:t xml:space="preserve"> </w:t>
      </w:r>
    </w:p>
    <w:p w14:paraId="2143ECC6" w14:textId="20B79CBD" w:rsidR="00504E76" w:rsidRPr="00ED0534" w:rsidRDefault="00504E76" w:rsidP="00504E76">
      <w:r>
        <w:t>The comparator is</w:t>
      </w:r>
      <w:r w:rsidR="00E457C3">
        <w:t xml:space="preserve"> </w:t>
      </w:r>
      <w:r w:rsidR="00F23D8A">
        <w:t>cone-beam computed tomography (</w:t>
      </w:r>
      <w:r>
        <w:rPr>
          <w:shd w:val="clear" w:color="auto" w:fill="FFFFFF"/>
        </w:rPr>
        <w:t>CBCT</w:t>
      </w:r>
      <w:r w:rsidR="00F23D8A">
        <w:rPr>
          <w:shd w:val="clear" w:color="auto" w:fill="FFFFFF"/>
        </w:rPr>
        <w:t>)</w:t>
      </w:r>
      <w:r>
        <w:rPr>
          <w:shd w:val="clear" w:color="auto" w:fill="FFFFFF"/>
        </w:rPr>
        <w:t>-guided radiation therapy</w:t>
      </w:r>
      <w:r w:rsidR="00D814F0">
        <w:rPr>
          <w:shd w:val="clear" w:color="auto" w:fill="FFFFFF"/>
        </w:rPr>
        <w:t xml:space="preserve"> (CBCT-IGRT)</w:t>
      </w:r>
      <w:r>
        <w:rPr>
          <w:shd w:val="clear" w:color="auto" w:fill="FFFFFF"/>
        </w:rPr>
        <w:t>. Currently, IGRT can be performed using many systems and techniques, including ultrasound, MR imaging, radiographic and fluoroscopic imaging</w:t>
      </w:r>
      <w:r w:rsidR="00341E51">
        <w:rPr>
          <w:shd w:val="clear" w:color="auto" w:fill="FFFFFF"/>
        </w:rPr>
        <w:t>,</w:t>
      </w:r>
      <w:r>
        <w:rPr>
          <w:shd w:val="clear" w:color="auto" w:fill="FFFFFF"/>
        </w:rPr>
        <w:t xml:space="preserve"> and CT-guided systems. </w:t>
      </w:r>
      <w:r w:rsidRPr="00B22660">
        <w:rPr>
          <w:shd w:val="clear" w:color="auto" w:fill="FFFFFF"/>
        </w:rPr>
        <w:t>The type of system used depend</w:t>
      </w:r>
      <w:r>
        <w:rPr>
          <w:shd w:val="clear" w:color="auto" w:fill="FFFFFF"/>
        </w:rPr>
        <w:t>s on resources in</w:t>
      </w:r>
      <w:r w:rsidRPr="00B22660">
        <w:rPr>
          <w:shd w:val="clear" w:color="auto" w:fill="FFFFFF"/>
        </w:rPr>
        <w:t xml:space="preserve"> </w:t>
      </w:r>
      <w:r>
        <w:rPr>
          <w:shd w:val="clear" w:color="auto" w:fill="FFFFFF"/>
        </w:rPr>
        <w:t xml:space="preserve">radiation oncology </w:t>
      </w:r>
      <w:r w:rsidRPr="00B22660">
        <w:rPr>
          <w:shd w:val="clear" w:color="auto" w:fill="FFFFFF"/>
        </w:rPr>
        <w:t>departments</w:t>
      </w:r>
      <w:r>
        <w:rPr>
          <w:shd w:val="clear" w:color="auto" w:fill="FFFFFF"/>
        </w:rPr>
        <w:t xml:space="preserve">, and </w:t>
      </w:r>
      <w:r w:rsidRPr="00B22660">
        <w:rPr>
          <w:shd w:val="clear" w:color="auto" w:fill="FFFFFF"/>
        </w:rPr>
        <w:t>accuracy of the</w:t>
      </w:r>
      <w:r>
        <w:rPr>
          <w:shd w:val="clear" w:color="auto" w:fill="FFFFFF"/>
        </w:rPr>
        <w:t xml:space="preserve"> </w:t>
      </w:r>
      <w:r w:rsidRPr="00B22660">
        <w:rPr>
          <w:shd w:val="clear" w:color="auto" w:fill="FFFFFF"/>
        </w:rPr>
        <w:t>type of treat</w:t>
      </w:r>
      <w:r>
        <w:rPr>
          <w:shd w:val="clear" w:color="auto" w:fill="FFFFFF"/>
        </w:rPr>
        <w:t xml:space="preserve">ments to be delivered. CBCT is generally understood to be the current standard of care for IGRT for most cancer types </w:t>
      </w:r>
      <w:r w:rsidR="000C77B0">
        <w:rPr>
          <w:shd w:val="clear" w:color="auto" w:fill="FFFFFF"/>
        </w:rPr>
        <w:fldChar w:fldCharType="begin"/>
      </w:r>
      <w:r w:rsidR="001F781A">
        <w:rPr>
          <w:shd w:val="clear" w:color="auto" w:fill="FFFFFF"/>
        </w:rPr>
        <w:instrText xml:space="preserve"> ADDIN EN.CITE &lt;EndNote&gt;&lt;Cite&gt;&lt;Author&gt;Srinivasan&lt;/Author&gt;&lt;Year&gt;2014&lt;/Year&gt;&lt;RecNum&gt;90&lt;/RecNum&gt;&lt;DisplayText&gt;(Srinivasan, Mohammadi, &amp;amp; Shepherd, 2014)&lt;/DisplayText&gt;&lt;record&gt;&lt;rec-number&gt;90&lt;/rec-number&gt;&lt;foreign-keys&gt;&lt;key app="EN" db-id="sx5wsdwv795wvue959xxw0ptaewvdezxxp05" timestamp="1605078299"&gt;90&lt;/key&gt;&lt;/foreign-keys&gt;&lt;ref-type name="Journal Article"&gt;17&lt;/ref-type&gt;&lt;contributors&gt;&lt;authors&gt;&lt;author&gt;Srinivasan, K.&lt;/author&gt;&lt;author&gt;Mohammadi, M.&lt;/author&gt;&lt;author&gt;Shepherd, J.&lt;/author&gt;&lt;/authors&gt;&lt;/contributors&gt;&lt;auth-address&gt;School of Chemistry and Physics, University of Adelaide, Adelaide, Australia.&amp;#xD;School of Chemistry and Physics, University of Adelaide, Adelaide, Australia ; Department of Medical Physics, Royal Adelaide Hospital, Adelaide, Australia.&amp;#xD;Department of Medical Physics, Royal Adelaide Hospital, Adelaide, Australia.&lt;/auth-address&gt;&lt;titles&gt;&lt;title&gt;Applications of linac-mounted kilovoltage Cone-beam Computed Tomography in modern radiation therapy: A review&lt;/title&gt;&lt;secondary-title&gt;Pol J Radiol&lt;/secondary-title&gt;&lt;/titles&gt;&lt;pages&gt;181-93&lt;/pages&gt;&lt;volume&gt;79&lt;/volume&gt;&lt;edition&gt;2014/07/10&lt;/edition&gt;&lt;keywords&gt;&lt;keyword&gt;Artifacts&lt;/keyword&gt;&lt;keyword&gt;Computer-Assisted&lt;/keyword&gt;&lt;keyword&gt;Cone-Beam Computed Tomography&lt;/keyword&gt;&lt;keyword&gt;Image Processing&lt;/keyword&gt;&lt;keyword&gt;Image-Guided&lt;/keyword&gt;&lt;keyword&gt;Radiotherapy&lt;/keyword&gt;&lt;/keywords&gt;&lt;dates&gt;&lt;year&gt;2014&lt;/year&gt;&lt;/dates&gt;&lt;isbn&gt;1733-134X (Print)&amp;#xD;1733-134x&lt;/isbn&gt;&lt;accession-num&gt;25006356&lt;/accession-num&gt;&lt;urls&gt;&lt;related-urls&gt;&lt;url&gt;https://www.ncbi.nlm.nih.gov/pmc/articles/PMC4085117/pdf/poljradiol-79-181.pdf&lt;/url&gt;&lt;/related-urls&gt;&lt;/urls&gt;&lt;custom2&gt;PMC4085117&lt;/custom2&gt;&lt;electronic-resource-num&gt;10.12659/pjr.890745&lt;/electronic-resource-num&gt;&lt;remote-database-provider&gt;NLM&lt;/remote-database-provider&gt;&lt;language&gt;eng&lt;/language&gt;&lt;/record&gt;&lt;/Cite&gt;&lt;/EndNote&gt;</w:instrText>
      </w:r>
      <w:r w:rsidR="000C77B0">
        <w:rPr>
          <w:shd w:val="clear" w:color="auto" w:fill="FFFFFF"/>
        </w:rPr>
        <w:fldChar w:fldCharType="separate"/>
      </w:r>
      <w:r w:rsidR="001F781A">
        <w:rPr>
          <w:noProof/>
          <w:shd w:val="clear" w:color="auto" w:fill="FFFFFF"/>
        </w:rPr>
        <w:t>(Srinivasan, Mohammadi, &amp; Shepherd, 2014)</w:t>
      </w:r>
      <w:r w:rsidR="000C77B0">
        <w:rPr>
          <w:shd w:val="clear" w:color="auto" w:fill="FFFFFF"/>
        </w:rPr>
        <w:fldChar w:fldCharType="end"/>
      </w:r>
      <w:r>
        <w:rPr>
          <w:shd w:val="clear" w:color="auto" w:fill="FFFFFF"/>
        </w:rPr>
        <w:t>.</w:t>
      </w:r>
    </w:p>
    <w:p w14:paraId="1433869B" w14:textId="77777777" w:rsidR="008C7152" w:rsidRPr="00183E4D" w:rsidRDefault="008C7152" w:rsidP="009F7373">
      <w:pPr>
        <w:pStyle w:val="Heading3"/>
      </w:pPr>
      <w:bookmarkStart w:id="87" w:name="_Toc395200745"/>
      <w:bookmarkStart w:id="88" w:name="_Toc59018744"/>
      <w:bookmarkStart w:id="89" w:name="_Toc59020288"/>
      <w:bookmarkStart w:id="90" w:name="_Toc59439510"/>
      <w:bookmarkStart w:id="91" w:name="_Toc89857782"/>
      <w:r w:rsidRPr="00183E4D">
        <w:t xml:space="preserve">Clinical </w:t>
      </w:r>
      <w:bookmarkEnd w:id="84"/>
      <w:bookmarkEnd w:id="85"/>
      <w:bookmarkEnd w:id="87"/>
      <w:r w:rsidR="00D544ED">
        <w:t>management algorithm(s)</w:t>
      </w:r>
      <w:bookmarkEnd w:id="88"/>
      <w:bookmarkEnd w:id="89"/>
      <w:bookmarkEnd w:id="90"/>
      <w:bookmarkEnd w:id="91"/>
    </w:p>
    <w:p w14:paraId="042AE537" w14:textId="40D6BB01" w:rsidR="006749CE" w:rsidRDefault="006749CE" w:rsidP="006749CE">
      <w:r>
        <w:t>The key difference between</w:t>
      </w:r>
      <w:r w:rsidR="00E11A52">
        <w:t xml:space="preserve"> the </w:t>
      </w:r>
      <w:r w:rsidR="004B4847">
        <w:t xml:space="preserve">current </w:t>
      </w:r>
      <w:r w:rsidR="00E11A52">
        <w:t xml:space="preserve">standard of care in IGRT </w:t>
      </w:r>
      <w:r>
        <w:t>(performed with CBCT</w:t>
      </w:r>
      <w:r w:rsidR="00E11A52">
        <w:t>)</w:t>
      </w:r>
      <w:r>
        <w:t xml:space="preserve"> and MR-IGRT is that MR-IGRT delivers a higher level of soft tissue imaging and a more sophisticated adaptive functionality, enabling the user to optimise dose distribution of the treatment plan </w:t>
      </w:r>
      <w:r w:rsidR="007262FC">
        <w:t>for</w:t>
      </w:r>
      <w:r>
        <w:t xml:space="preserve"> every fraction in an online setting (i.e. while the patient is in the machine).</w:t>
      </w:r>
    </w:p>
    <w:p w14:paraId="178F0C25" w14:textId="681007B7" w:rsidR="00FA03DE" w:rsidRDefault="00675A10" w:rsidP="00796F7E">
      <w:r>
        <w:t xml:space="preserve">Clinical management algorithm for the proposed MR-IGRT relative to the current clinical practice </w:t>
      </w:r>
      <w:r w:rsidR="000D09FF">
        <w:t xml:space="preserve">is </w:t>
      </w:r>
      <w:r w:rsidR="008E059D">
        <w:t>depicted in</w:t>
      </w:r>
      <w:r w:rsidR="00796F7E">
        <w:t xml:space="preserve"> </w:t>
      </w:r>
      <w:r w:rsidR="00796F7E">
        <w:fldChar w:fldCharType="begin"/>
      </w:r>
      <w:r w:rsidR="00796F7E">
        <w:instrText xml:space="preserve"> REF _Ref59528069 \h  \* MERGEFORMAT </w:instrText>
      </w:r>
      <w:r w:rsidR="00796F7E">
        <w:fldChar w:fldCharType="separate"/>
      </w:r>
      <w:r w:rsidR="00451350">
        <w:t xml:space="preserve">Figure </w:t>
      </w:r>
      <w:r w:rsidR="00451350">
        <w:rPr>
          <w:noProof/>
        </w:rPr>
        <w:t>2</w:t>
      </w:r>
      <w:r w:rsidR="00796F7E">
        <w:fldChar w:fldCharType="end"/>
      </w:r>
      <w:r w:rsidR="008E059D">
        <w:t xml:space="preserve"> in </w:t>
      </w:r>
      <w:r w:rsidR="00675495">
        <w:t>Section A.</w:t>
      </w:r>
    </w:p>
    <w:p w14:paraId="303D97DC" w14:textId="77777777" w:rsidR="00FB6A8A" w:rsidRPr="00183E4D" w:rsidRDefault="00630910" w:rsidP="009F7373">
      <w:pPr>
        <w:pStyle w:val="Heading3"/>
      </w:pPr>
      <w:bookmarkStart w:id="92" w:name="_Toc395200746"/>
      <w:bookmarkStart w:id="93" w:name="_Toc59018745"/>
      <w:bookmarkStart w:id="94" w:name="_Toc59020289"/>
      <w:bookmarkStart w:id="95" w:name="_Toc59439511"/>
      <w:bookmarkStart w:id="96" w:name="_Toc89857783"/>
      <w:r w:rsidRPr="00183E4D">
        <w:lastRenderedPageBreak/>
        <w:t>Key Differences in the D</w:t>
      </w:r>
      <w:r w:rsidR="00FB6A8A" w:rsidRPr="00183E4D">
        <w:t xml:space="preserve">elivery of the </w:t>
      </w:r>
      <w:r w:rsidRPr="00183E4D">
        <w:t>Proposed Medical Service and the Main C</w:t>
      </w:r>
      <w:r w:rsidR="00FB6A8A" w:rsidRPr="00183E4D">
        <w:t>omparator</w:t>
      </w:r>
      <w:bookmarkEnd w:id="92"/>
      <w:bookmarkEnd w:id="93"/>
      <w:bookmarkEnd w:id="94"/>
      <w:bookmarkEnd w:id="95"/>
      <w:bookmarkEnd w:id="96"/>
      <w:r w:rsidR="00FB6A8A" w:rsidRPr="00183E4D">
        <w:t xml:space="preserve"> </w:t>
      </w:r>
    </w:p>
    <w:p w14:paraId="31C8E619" w14:textId="435B9626" w:rsidR="00A32B74" w:rsidRDefault="00A32B74" w:rsidP="00A32B74">
      <w:r>
        <w:t>The procedure for every treatment fraction is similar to the standard IGRT procedure: patient setup, imaging, adaptation, and treatment. Use of MR-linac involves the same professionals as CBCT-linac: radiation oncologists, medical physicists, and radiation therapists. However, more complex workflows may require all these professional</w:t>
      </w:r>
      <w:r w:rsidR="00345AC0">
        <w:t>s</w:t>
      </w:r>
      <w:r>
        <w:t xml:space="preserve"> be present collectively at the treatment machine at the same time. The MR-IGRT technique is more time-intensive than the comparator, requiring twice- to three-times as long per fraction as CBCT-IGRT.</w:t>
      </w:r>
    </w:p>
    <w:p w14:paraId="491BCCFA" w14:textId="77777777" w:rsidR="00224E39" w:rsidRPr="00183E4D" w:rsidRDefault="00224E39" w:rsidP="00224E39">
      <w:pPr>
        <w:pStyle w:val="ESNumberedSectionHeading"/>
        <w:numPr>
          <w:ilvl w:val="0"/>
          <w:numId w:val="0"/>
        </w:numPr>
        <w:jc w:val="both"/>
      </w:pPr>
      <w:bookmarkStart w:id="97" w:name="_Toc395200747"/>
      <w:bookmarkStart w:id="98" w:name="_Toc426968105"/>
      <w:bookmarkStart w:id="99" w:name="_Toc59018746"/>
      <w:bookmarkStart w:id="100" w:name="_Toc59020290"/>
      <w:bookmarkStart w:id="101" w:name="_Toc59439512"/>
      <w:bookmarkStart w:id="102" w:name="_Toc89857784"/>
      <w:r w:rsidRPr="00183E4D">
        <w:t>Clinical Claim</w:t>
      </w:r>
      <w:bookmarkEnd w:id="97"/>
      <w:bookmarkEnd w:id="98"/>
      <w:bookmarkEnd w:id="99"/>
      <w:bookmarkEnd w:id="100"/>
      <w:bookmarkEnd w:id="101"/>
      <w:bookmarkEnd w:id="102"/>
    </w:p>
    <w:p w14:paraId="70B0BE67" w14:textId="2B9BF9D6" w:rsidR="008E3775" w:rsidRPr="00022FCD" w:rsidRDefault="008E3775" w:rsidP="008E3775">
      <w:r w:rsidRPr="009C5293">
        <w:t>The clinical claim is that MR-IGRT is non-inferior in safety and non-inferior in clinical effectiveness, when compared to current standard of CBCT</w:t>
      </w:r>
      <w:r>
        <w:t>-</w:t>
      </w:r>
      <w:r w:rsidR="00D814F0">
        <w:t>IGRT</w:t>
      </w:r>
      <w:r w:rsidRPr="009C5293">
        <w:t>.</w:t>
      </w:r>
    </w:p>
    <w:p w14:paraId="16CD4946" w14:textId="77777777" w:rsidR="00C96FE9" w:rsidRPr="00183E4D" w:rsidRDefault="00630910" w:rsidP="00DF343F">
      <w:pPr>
        <w:pStyle w:val="Heading3"/>
        <w:jc w:val="both"/>
      </w:pPr>
      <w:bookmarkStart w:id="103" w:name="_Toc395200748"/>
      <w:bookmarkStart w:id="104" w:name="_Toc59018747"/>
      <w:bookmarkStart w:id="105" w:name="_Toc59020291"/>
      <w:bookmarkStart w:id="106" w:name="_Toc59439513"/>
      <w:bookmarkStart w:id="107" w:name="_Toc89857785"/>
      <w:r w:rsidRPr="00183E4D">
        <w:rPr>
          <w:rStyle w:val="Heading3Char"/>
          <w:b/>
          <w:smallCaps/>
        </w:rPr>
        <w:t>Approach T</w:t>
      </w:r>
      <w:r w:rsidR="00AE1CBE" w:rsidRPr="00183E4D">
        <w:t xml:space="preserve">aken to the </w:t>
      </w:r>
      <w:r w:rsidRPr="00183E4D">
        <w:rPr>
          <w:rStyle w:val="Heading3Char"/>
          <w:b/>
          <w:smallCaps/>
        </w:rPr>
        <w:t>E</w:t>
      </w:r>
      <w:r w:rsidR="00AE1CBE" w:rsidRPr="00183E4D">
        <w:t xml:space="preserve">vidence </w:t>
      </w:r>
      <w:r w:rsidRPr="00183E4D">
        <w:rPr>
          <w:rStyle w:val="Heading3Char"/>
          <w:b/>
          <w:smallCaps/>
        </w:rPr>
        <w:t>A</w:t>
      </w:r>
      <w:r w:rsidR="00AE1CBE" w:rsidRPr="00183E4D">
        <w:t>ssessment</w:t>
      </w:r>
      <w:bookmarkStart w:id="108" w:name="_Toc379118058"/>
      <w:bookmarkStart w:id="109" w:name="_Toc379118250"/>
      <w:bookmarkStart w:id="110" w:name="_Toc381796434"/>
      <w:bookmarkEnd w:id="103"/>
      <w:bookmarkEnd w:id="104"/>
      <w:bookmarkEnd w:id="105"/>
      <w:bookmarkEnd w:id="106"/>
      <w:bookmarkEnd w:id="107"/>
    </w:p>
    <w:p w14:paraId="5C80BE72" w14:textId="134A33F3" w:rsidR="00F5251C" w:rsidRPr="00183E4D" w:rsidRDefault="00AE1CBE" w:rsidP="00DF343F">
      <w:pPr>
        <w:jc w:val="both"/>
      </w:pPr>
      <w:r w:rsidRPr="00183E4D">
        <w:t xml:space="preserve">A systematic </w:t>
      </w:r>
      <w:r w:rsidR="003305B8">
        <w:t>literature search</w:t>
      </w:r>
      <w:r w:rsidRPr="00183E4D">
        <w:t xml:space="preserve"> of </w:t>
      </w:r>
      <w:r w:rsidR="0016589F">
        <w:t xml:space="preserve">medical </w:t>
      </w:r>
      <w:r w:rsidRPr="00183E4D">
        <w:t>literature was undertaken</w:t>
      </w:r>
      <w:r w:rsidR="0016589F">
        <w:t xml:space="preserve"> on </w:t>
      </w:r>
      <w:r w:rsidR="00814735">
        <w:t>02 October 2020</w:t>
      </w:r>
      <w:r w:rsidR="00C41A26">
        <w:t xml:space="preserve"> </w:t>
      </w:r>
      <w:r w:rsidR="00C41A26" w:rsidRPr="00183E4D">
        <w:t xml:space="preserve">to identify relevant studies and systematic reviews published </w:t>
      </w:r>
      <w:r w:rsidR="004871DB">
        <w:t>since</w:t>
      </w:r>
      <w:r w:rsidR="00C41A26" w:rsidRPr="00183E4D">
        <w:t xml:space="preserve"> </w:t>
      </w:r>
      <w:r w:rsidR="00C41A26" w:rsidRPr="001135EB">
        <w:t>2014</w:t>
      </w:r>
      <w:r w:rsidR="00C41A26" w:rsidRPr="00183E4D">
        <w:t xml:space="preserve">. </w:t>
      </w:r>
      <w:r w:rsidR="00C41A26" w:rsidRPr="00D07D43">
        <w:t>Only literature published since 2014 was included corresponding to the year MR-IGRT was first used</w:t>
      </w:r>
      <w:r w:rsidR="004871DB">
        <w:t xml:space="preserve"> for</w:t>
      </w:r>
      <w:r w:rsidR="00C41A26" w:rsidRPr="00D07D43">
        <w:t xml:space="preserve"> patient treatment</w:t>
      </w:r>
      <w:r w:rsidR="00C41A26">
        <w:t xml:space="preserve"> </w:t>
      </w:r>
      <w:r w:rsidR="000C77B0">
        <w:fldChar w:fldCharType="begin"/>
      </w:r>
      <w:r w:rsidR="000C77B0">
        <w:instrText xml:space="preserve"> ADDIN EN.CITE &lt;EndNote&gt;&lt;Cite&gt;&lt;Author&gt;Chin&lt;/Author&gt;&lt;Year&gt;2020&lt;/Year&gt;&lt;RecNum&gt;9&lt;/RecNum&gt;&lt;DisplayText&gt;(Chin et al., 2020)&lt;/DisplayText&gt;&lt;record&gt;&lt;rec-number&gt;9&lt;/rec-number&gt;&lt;foreign-keys&gt;&lt;key app="EN" db-id="sx5wsdwv795wvue959xxw0ptaewvdezxxp05" timestamp="1604445039"&gt;9&lt;/key&gt;&lt;/foreign-keys&gt;&lt;ref-type name="Journal Article"&gt;17&lt;/ref-type&gt;&lt;contributors&gt;&lt;authors&gt;&lt;author&gt;Chin, S.&lt;/author&gt;&lt;author&gt;Eccles, C. L.&lt;/author&gt;&lt;author&gt;McWilliam, A.&lt;/author&gt;&lt;author&gt;Chuter, R.&lt;/author&gt;&lt;author&gt;Walker, E.&lt;/author&gt;&lt;author&gt;Whitehurst, P.&lt;/author&gt;&lt;author&gt;Berresford, J.&lt;/author&gt;&lt;author&gt;Van Herk, M.&lt;/author&gt;&lt;author&gt;Hoskin, P. J.&lt;/author&gt;&lt;author&gt;Choudhury, A.&lt;/author&gt;&lt;/authors&gt;&lt;/contributors&gt;&lt;auth-address&gt;Department of Clinical Oncology, The Christie NHS Foundation Trust, Manchester, UK.&amp;#xD;Westmead Clinical School, University of Sydney, Sydney, New South Wales, Australia.&amp;#xD;Department of Radiotherapy, The Christie NHS Foundation Trust, Manchester, UK.&amp;#xD;Division of Cancer Sciences, The University of Manchester, Manchester, UK.&amp;#xD;Christie Medical Physics and Engineering, The Christie NHS Foundation Trust, Manchester, UK.&lt;/auth-address&gt;&lt;titles&gt;&lt;title&gt;Magnetic resonance-guided radiation therapy: A review&lt;/title&gt;&lt;secondary-title&gt;J Med Imaging Radiat Oncol&lt;/secondary-title&gt;&lt;/titles&gt;&lt;pages&gt;163-177&lt;/pages&gt;&lt;volume&gt;64&lt;/volume&gt;&lt;number&gt;1&lt;/number&gt;&lt;edition&gt;2019/10/28&lt;/edition&gt;&lt;keywords&gt;&lt;keyword&gt;MR-guided radiation therapy&lt;/keyword&gt;&lt;keyword&gt;magnetic resonance imaging&lt;/keyword&gt;&lt;keyword&gt;radiation oncology&lt;/keyword&gt;&lt;keyword&gt;radiation oncology imaging&lt;/keyword&gt;&lt;/keywords&gt;&lt;dates&gt;&lt;year&gt;2020&lt;/year&gt;&lt;pub-dates&gt;&lt;date&gt;Feb&lt;/date&gt;&lt;/pub-dates&gt;&lt;/dates&gt;&lt;isbn&gt;1754-9485 (Electronic)&amp;#xD;1754-9477 (Linking)&lt;/isbn&gt;&lt;accession-num&gt;31646742&lt;/accession-num&gt;&lt;urls&gt;&lt;related-urls&gt;&lt;url&gt;https://www.ncbi.nlm.nih.gov/pubmed/31646742&lt;/url&gt;&lt;url&gt;https://onlinelibrary.wiley.com/doi/pdfdirect/10.1111/1754-9485.12968?download=true&lt;/url&gt;&lt;/related-urls&gt;&lt;/urls&gt;&lt;electronic-resource-num&gt;10.1111/1754-9485.12968&lt;/electronic-resource-num&gt;&lt;/record&gt;&lt;/Cite&gt;&lt;/EndNote&gt;</w:instrText>
      </w:r>
      <w:r w:rsidR="000C77B0">
        <w:fldChar w:fldCharType="separate"/>
      </w:r>
      <w:r w:rsidR="000C77B0">
        <w:rPr>
          <w:noProof/>
        </w:rPr>
        <w:t>(</w:t>
      </w:r>
      <w:r w:rsidR="008B6FC0">
        <w:rPr>
          <w:noProof/>
        </w:rPr>
        <w:t>Chin et al., 2020</w:t>
      </w:r>
      <w:r w:rsidR="000C77B0">
        <w:rPr>
          <w:noProof/>
        </w:rPr>
        <w:t>)</w:t>
      </w:r>
      <w:r w:rsidR="000C77B0">
        <w:fldChar w:fldCharType="end"/>
      </w:r>
      <w:r w:rsidR="00C41A26">
        <w:t xml:space="preserve">. Due to </w:t>
      </w:r>
      <w:r w:rsidR="00120873">
        <w:t xml:space="preserve">the </w:t>
      </w:r>
      <w:r w:rsidR="00C41A26">
        <w:t>paucity of comparative evidence on MR-IGRT and CBCT-IGRT</w:t>
      </w:r>
      <w:r w:rsidR="00E90600">
        <w:t>,</w:t>
      </w:r>
      <w:r w:rsidR="00C41A26">
        <w:t xml:space="preserve"> a second search was conducted on 23</w:t>
      </w:r>
      <w:r w:rsidR="00C41A26">
        <w:rPr>
          <w:vertAlign w:val="superscript"/>
        </w:rPr>
        <w:t xml:space="preserve"> </w:t>
      </w:r>
      <w:r w:rsidR="00C41A26">
        <w:t xml:space="preserve">October 2020 with no date limits to capture comparative studies with technical outcomes as well as studies on CBCT-IGRT </w:t>
      </w:r>
      <w:r w:rsidR="00F60D14">
        <w:t xml:space="preserve">which could be used for </w:t>
      </w:r>
      <w:r w:rsidR="00C41A26">
        <w:t>a naïve comparison.</w:t>
      </w:r>
      <w:r w:rsidR="00EF36B1">
        <w:t xml:space="preserve"> </w:t>
      </w:r>
    </w:p>
    <w:p w14:paraId="65BBCBEE" w14:textId="77777777" w:rsidR="00111912" w:rsidRDefault="00EF36B1" w:rsidP="00111912">
      <w:pPr>
        <w:jc w:val="both"/>
      </w:pPr>
      <w:r>
        <w:t xml:space="preserve">Studies were selected by a single reviewer. </w:t>
      </w:r>
      <w:r w:rsidR="00111912">
        <w:t xml:space="preserve">Any doubts regarding </w:t>
      </w:r>
      <w:r w:rsidR="00111912" w:rsidRPr="00D37354">
        <w:t xml:space="preserve">study selection </w:t>
      </w:r>
      <w:r w:rsidR="00111912">
        <w:t>were discussed with a second reviewer.</w:t>
      </w:r>
    </w:p>
    <w:p w14:paraId="57E9A7E0" w14:textId="3CF8FEF7" w:rsidR="00AE0579" w:rsidRPr="00183E4D" w:rsidRDefault="00AE0579" w:rsidP="00DF343F">
      <w:pPr>
        <w:jc w:val="both"/>
      </w:pPr>
      <w:r>
        <w:t xml:space="preserve">Due to </w:t>
      </w:r>
      <w:r w:rsidRPr="005C08CD">
        <w:t>a considerable heterogeneity in patient populations, technologies used, and radiation dose received</w:t>
      </w:r>
      <w:r>
        <w:t xml:space="preserve"> in the included studies on MR-IGRT and CBCT-IGRT, the naïve comparison is of limited </w:t>
      </w:r>
      <w:r w:rsidR="000C2FC7">
        <w:t xml:space="preserve">validity for </w:t>
      </w:r>
      <w:r>
        <w:t>evaluating the outcomes pre-specified in the ratified PICO.</w:t>
      </w:r>
    </w:p>
    <w:p w14:paraId="58A2CF91" w14:textId="77777777" w:rsidR="008C7152" w:rsidRPr="00183E4D" w:rsidRDefault="00630910" w:rsidP="00DF343F">
      <w:pPr>
        <w:pStyle w:val="Heading3"/>
        <w:jc w:val="both"/>
      </w:pPr>
      <w:bookmarkStart w:id="111" w:name="_Toc395200749"/>
      <w:bookmarkStart w:id="112" w:name="_Toc59018748"/>
      <w:bookmarkStart w:id="113" w:name="_Toc59020292"/>
      <w:bookmarkStart w:id="114" w:name="_Toc59439514"/>
      <w:bookmarkStart w:id="115" w:name="_Toc89857786"/>
      <w:r w:rsidRPr="00183E4D">
        <w:rPr>
          <w:rStyle w:val="Heading3Char"/>
          <w:b/>
          <w:smallCaps/>
        </w:rPr>
        <w:t>Characteristics of the Evidence B</w:t>
      </w:r>
      <w:r w:rsidR="00A36EB9" w:rsidRPr="00183E4D">
        <w:rPr>
          <w:rStyle w:val="Heading3Char"/>
          <w:b/>
          <w:smallCaps/>
        </w:rPr>
        <w:t>ase</w:t>
      </w:r>
      <w:bookmarkEnd w:id="108"/>
      <w:bookmarkEnd w:id="109"/>
      <w:bookmarkEnd w:id="110"/>
      <w:bookmarkEnd w:id="111"/>
      <w:bookmarkEnd w:id="112"/>
      <w:bookmarkEnd w:id="113"/>
      <w:bookmarkEnd w:id="114"/>
      <w:bookmarkEnd w:id="115"/>
    </w:p>
    <w:p w14:paraId="28A96588" w14:textId="1EBA3031" w:rsidR="00087616" w:rsidRDefault="00087616" w:rsidP="005C061E">
      <w:r>
        <w:t>The first literature search identified one comparative retrospective cohort study evaluating patients with lung cancer and 11 case series reporting on toxicity rates, patient tolerance, quality of life and survival rates after receiving MR-IGRT for cancer. The studies evaluated patients with lung cancer, prostate cancer, liver and abdominal malignancies, head and neck as well as mixed cancer populations. The quality of the evidence for MR-IGRT is very low.</w:t>
      </w:r>
    </w:p>
    <w:p w14:paraId="02C13C66" w14:textId="77777777" w:rsidR="00D92552" w:rsidRDefault="00087616" w:rsidP="005C061E">
      <w:r>
        <w:t>The second literatur</w:t>
      </w:r>
      <w:r w:rsidRPr="002C0072">
        <w:t>e search identifie</w:t>
      </w:r>
      <w:r w:rsidR="002C0072" w:rsidRPr="002C0072">
        <w:t xml:space="preserve">d </w:t>
      </w:r>
      <w:r w:rsidR="00F819A7">
        <w:t xml:space="preserve">56 studies of which </w:t>
      </w:r>
      <w:r w:rsidR="000A6D59">
        <w:t xml:space="preserve">54 reported on toxicity and survival outcomes </w:t>
      </w:r>
      <w:r w:rsidR="00C86B4E">
        <w:t>in cancer patients that were treated with CBCT-IGRT. Only cancer sites that were identified in the evidence base for MR-IGRT were included</w:t>
      </w:r>
      <w:r w:rsidR="00FA10C7">
        <w:t xml:space="preserve">. </w:t>
      </w:r>
    </w:p>
    <w:p w14:paraId="67D78C22" w14:textId="3BE95DD3" w:rsidR="00087616" w:rsidRPr="002C0072" w:rsidRDefault="00FA10C7" w:rsidP="005C061E">
      <w:r>
        <w:lastRenderedPageBreak/>
        <w:t>Two</w:t>
      </w:r>
      <w:r w:rsidR="006C4829">
        <w:t xml:space="preserve"> treatment</w:t>
      </w:r>
      <w:r>
        <w:t xml:space="preserve"> </w:t>
      </w:r>
      <w:r w:rsidR="006C4829">
        <w:t xml:space="preserve">simulation </w:t>
      </w:r>
      <w:r>
        <w:t xml:space="preserve">studies </w:t>
      </w:r>
      <w:r w:rsidR="002D5D0E">
        <w:t xml:space="preserve">compared dosimetric qualities of </w:t>
      </w:r>
      <w:r w:rsidR="009A1122">
        <w:t xml:space="preserve">MR-IGRT and CBCT-IGRT treatment plans </w:t>
      </w:r>
      <w:r w:rsidR="00DA39B4">
        <w:t xml:space="preserve">for </w:t>
      </w:r>
      <w:r w:rsidR="009A1122">
        <w:t xml:space="preserve">patients </w:t>
      </w:r>
      <w:r w:rsidR="006A14EB">
        <w:t xml:space="preserve">that were </w:t>
      </w:r>
      <w:r w:rsidR="009A1122">
        <w:t xml:space="preserve">previously </w:t>
      </w:r>
      <w:r w:rsidR="006A14EB">
        <w:t>treated with radiotherapy.</w:t>
      </w:r>
    </w:p>
    <w:p w14:paraId="22BA49BD" w14:textId="0A82975D" w:rsidR="00786014" w:rsidRPr="002C0072" w:rsidRDefault="00786014" w:rsidP="002C0072">
      <w:r>
        <w:t xml:space="preserve">Key features of the included evidence on MR-IGRT and CBCT-IGRT are summarised in </w:t>
      </w:r>
      <w:r w:rsidR="00E448FD">
        <w:t xml:space="preserve">Section </w:t>
      </w:r>
      <w:r w:rsidR="00640A12">
        <w:t>B4.</w:t>
      </w:r>
    </w:p>
    <w:p w14:paraId="5339112B" w14:textId="77777777" w:rsidR="00A36EB9" w:rsidRPr="00183E4D" w:rsidRDefault="00A36EB9" w:rsidP="00DF343F">
      <w:pPr>
        <w:pStyle w:val="Heading3"/>
        <w:jc w:val="both"/>
      </w:pPr>
      <w:bookmarkStart w:id="116" w:name="_Toc395200750"/>
      <w:bookmarkStart w:id="117" w:name="_Toc59018749"/>
      <w:bookmarkStart w:id="118" w:name="_Toc59020293"/>
      <w:bookmarkStart w:id="119" w:name="_Toc59439515"/>
      <w:bookmarkStart w:id="120" w:name="_Toc89857787"/>
      <w:r w:rsidRPr="00183E4D">
        <w:t>Results</w:t>
      </w:r>
      <w:bookmarkEnd w:id="116"/>
      <w:bookmarkEnd w:id="117"/>
      <w:bookmarkEnd w:id="118"/>
      <w:bookmarkEnd w:id="119"/>
      <w:bookmarkEnd w:id="120"/>
    </w:p>
    <w:p w14:paraId="4F548832" w14:textId="77777777" w:rsidR="00E91BE1" w:rsidRPr="00183E4D" w:rsidRDefault="008C7152" w:rsidP="00DF343F">
      <w:pPr>
        <w:pStyle w:val="Heading4"/>
        <w:jc w:val="both"/>
      </w:pPr>
      <w:r w:rsidRPr="00183E4D">
        <w:t xml:space="preserve">Safety </w:t>
      </w:r>
    </w:p>
    <w:p w14:paraId="584407F0" w14:textId="266375D8" w:rsidR="00867A38" w:rsidRPr="00867A38" w:rsidRDefault="00867A38" w:rsidP="00867A38">
      <w:pPr>
        <w:rPr>
          <w:bCs/>
        </w:rPr>
      </w:pPr>
      <w:r w:rsidRPr="00867A38">
        <w:rPr>
          <w:bCs/>
        </w:rPr>
        <w:t xml:space="preserve">Comparative evidence on the safety of MR-IGRT compared to CBCT-IGRT was scarce, with only one </w:t>
      </w:r>
      <w:r>
        <w:rPr>
          <w:bCs/>
        </w:rPr>
        <w:t xml:space="preserve">retrospective cohort </w:t>
      </w:r>
      <w:r w:rsidRPr="00867A38">
        <w:rPr>
          <w:bCs/>
        </w:rPr>
        <w:t>study identified. Therefore, a naïve comparison of single-arm MR-IGRT studies and CBCT-IGRT studies was attempted. The overall contribution of this naïve comparison to the evidence base is limited due to low methodologic quality of the included studies and a considerable heterogeneity in patient populations, technologies used, and radiation dose received.</w:t>
      </w:r>
    </w:p>
    <w:p w14:paraId="06E7FB82" w14:textId="4E9215F3" w:rsidR="009F02EA" w:rsidRPr="00867A38" w:rsidRDefault="009F02EA" w:rsidP="009F02EA">
      <w:pPr>
        <w:pStyle w:val="Heading5"/>
      </w:pPr>
      <w:r>
        <w:t>Toxicity</w:t>
      </w:r>
    </w:p>
    <w:p w14:paraId="44F16AF0" w14:textId="77777777" w:rsidR="00867A38" w:rsidRPr="00867A38" w:rsidRDefault="00867A38" w:rsidP="009F02EA">
      <w:pPr>
        <w:pStyle w:val="Heading6"/>
        <w:rPr>
          <w:b/>
        </w:rPr>
      </w:pPr>
      <w:r w:rsidRPr="00867A38">
        <w:t>Lung cancer</w:t>
      </w:r>
    </w:p>
    <w:p w14:paraId="7CA0507A" w14:textId="5E275D54" w:rsidR="00867A38" w:rsidRPr="00867A38" w:rsidRDefault="00867A38" w:rsidP="00867A38">
      <w:pPr>
        <w:rPr>
          <w:bCs/>
        </w:rPr>
      </w:pPr>
      <w:r w:rsidRPr="00867A38">
        <w:rPr>
          <w:bCs/>
        </w:rPr>
        <w:t>One retrospective cohort study comparing radiation-induced lung damage (RILD) between MR-IGRT and CBCT-IGRT on follow-up CT scans was identified. The study quality was fair, however, it used outdated MR-IGRT technology and a proxy indicator for lung injury</w:t>
      </w:r>
      <w:r w:rsidR="00062E1F">
        <w:rPr>
          <w:bCs/>
        </w:rPr>
        <w:t xml:space="preserve"> (radiological lung density changes)</w:t>
      </w:r>
      <w:r w:rsidRPr="00867A38">
        <w:rPr>
          <w:bCs/>
        </w:rPr>
        <w:t xml:space="preserve">. No statistically significant difference was found between the two image guidance modalities; a clinically meaningful difference has not been established either. </w:t>
      </w:r>
    </w:p>
    <w:p w14:paraId="2D3C499D" w14:textId="77777777" w:rsidR="00867A38" w:rsidRPr="00867A38" w:rsidRDefault="00867A38" w:rsidP="00867A38">
      <w:pPr>
        <w:rPr>
          <w:bCs/>
        </w:rPr>
      </w:pPr>
      <w:r w:rsidRPr="00867A38">
        <w:rPr>
          <w:bCs/>
        </w:rPr>
        <w:t>Two single-arm studies reported on the toxicity of MR-IGRT treatment for lung malignancies. One of them reported 15/50 (30%) of patients experienced any grade ≥2 treatment-related toxicity.</w:t>
      </w:r>
    </w:p>
    <w:p w14:paraId="7CE0D815" w14:textId="77777777" w:rsidR="00867A38" w:rsidRPr="00867A38" w:rsidRDefault="00867A38" w:rsidP="00867A38">
      <w:pPr>
        <w:rPr>
          <w:bCs/>
        </w:rPr>
      </w:pPr>
      <w:r w:rsidRPr="00867A38">
        <w:rPr>
          <w:bCs/>
        </w:rPr>
        <w:t>Six studies reported on the toxicity of CBCT-IGRT treatment for lung malignancies. Treatment toxicity varied in severity and symptoms across studies; one study reported that 92% of patients experienced any acute or late grade ≥1 treatment-related toxicity.</w:t>
      </w:r>
    </w:p>
    <w:p w14:paraId="58CEABD7" w14:textId="77777777" w:rsidR="00867A38" w:rsidRPr="00867A38" w:rsidRDefault="00867A38" w:rsidP="009F02EA">
      <w:pPr>
        <w:pStyle w:val="Heading6"/>
        <w:rPr>
          <w:b/>
        </w:rPr>
      </w:pPr>
      <w:r w:rsidRPr="00867A38">
        <w:t>Prostate</w:t>
      </w:r>
      <w:r w:rsidRPr="00867A38">
        <w:rPr>
          <w:b/>
        </w:rPr>
        <w:t xml:space="preserve"> </w:t>
      </w:r>
      <w:r w:rsidRPr="00867A38">
        <w:rPr>
          <w:bCs/>
        </w:rPr>
        <w:t>cancer</w:t>
      </w:r>
    </w:p>
    <w:p w14:paraId="0BA34E05" w14:textId="6A7C4B03" w:rsidR="00867A38" w:rsidRPr="00867A38" w:rsidRDefault="00867A38" w:rsidP="00867A38">
      <w:r w:rsidRPr="00867A38">
        <w:t xml:space="preserve">One prospective </w:t>
      </w:r>
      <w:r w:rsidR="00861198">
        <w:t xml:space="preserve">single-arm </w:t>
      </w:r>
      <w:r w:rsidRPr="00867A38">
        <w:t>case series evaluated acute toxicity of MR-IGRT in patients</w:t>
      </w:r>
      <w:r w:rsidR="00F37D74">
        <w:t xml:space="preserve"> with localised prostate cancer</w:t>
      </w:r>
      <w:r w:rsidRPr="00867A38">
        <w:t>, reporting 24% and 12% of patients suffering grade 1 and 2 genitourinary (GU) toxicity, and 8% and 4% of patients suffering grade 1 and 2 gastrointestinal (GI) toxicity, respectively. No grade ≥3 events were encountered.</w:t>
      </w:r>
    </w:p>
    <w:p w14:paraId="12F4D369" w14:textId="2F56BAF7" w:rsidR="00867A38" w:rsidRPr="00867A38" w:rsidRDefault="00867A38" w:rsidP="00867A38">
      <w:r w:rsidRPr="00867A38">
        <w:t>Thirty-three studies reported on the safety of CBCT-IGRT in patients</w:t>
      </w:r>
      <w:r w:rsidR="00B94EB8">
        <w:t xml:space="preserve"> with </w:t>
      </w:r>
      <w:r w:rsidR="00B94EB8" w:rsidRPr="00867A38">
        <w:t>prostate cancer</w:t>
      </w:r>
      <w:r w:rsidRPr="00867A38">
        <w:t xml:space="preserve">. Population characteristics ranged from localised to locally-advanced disease, low to high risk, newly-diagnosed or relapsing disease, and both radical or post-prostatectomy radiation therapy. </w:t>
      </w:r>
      <w:r w:rsidR="000C34D5">
        <w:t>A</w:t>
      </w:r>
      <w:r w:rsidRPr="00867A38">
        <w:t xml:space="preserve">cute and late treatment-related toxicity was reported, mostly of grade 1-2. Grade ≥3 events were rare, and </w:t>
      </w:r>
      <w:r w:rsidRPr="00867A38">
        <w:lastRenderedPageBreak/>
        <w:t>reported in less than 5% of patients except for one study which reported grade 3 GU toxicity in 6/69 (9%) patients receiving dose-escalated salvage radiotherapy after radical prostatectomy and macroscopic local recurrence.</w:t>
      </w:r>
    </w:p>
    <w:p w14:paraId="555F2275" w14:textId="77777777" w:rsidR="00867A38" w:rsidRPr="00867A38" w:rsidRDefault="00867A38" w:rsidP="009F02EA">
      <w:pPr>
        <w:pStyle w:val="Heading6"/>
        <w:rPr>
          <w:b/>
          <w:bCs/>
        </w:rPr>
      </w:pPr>
      <w:r w:rsidRPr="00867A38">
        <w:t>Abdominal malignancies</w:t>
      </w:r>
    </w:p>
    <w:p w14:paraId="3DB9CF00" w14:textId="0DE379D6" w:rsidR="00867A38" w:rsidRPr="00867A38" w:rsidRDefault="00867A38" w:rsidP="00867A38">
      <w:pPr>
        <w:rPr>
          <w:bCs/>
        </w:rPr>
      </w:pPr>
      <w:r w:rsidRPr="00867A38">
        <w:rPr>
          <w:bCs/>
        </w:rPr>
        <w:t xml:space="preserve">Three </w:t>
      </w:r>
      <w:r w:rsidR="000D5BB4">
        <w:rPr>
          <w:bCs/>
        </w:rPr>
        <w:t xml:space="preserve">single-arm </w:t>
      </w:r>
      <w:r w:rsidRPr="00867A38">
        <w:rPr>
          <w:bCs/>
        </w:rPr>
        <w:t xml:space="preserve">case series evaluated the safety of MR-guided </w:t>
      </w:r>
      <w:r w:rsidR="000D5BB4">
        <w:rPr>
          <w:bCs/>
        </w:rPr>
        <w:t>stereotactic body radiation therapy (</w:t>
      </w:r>
      <w:r w:rsidRPr="00867A38">
        <w:rPr>
          <w:bCs/>
        </w:rPr>
        <w:t>SBRT</w:t>
      </w:r>
      <w:r w:rsidR="000D5BB4">
        <w:rPr>
          <w:bCs/>
        </w:rPr>
        <w:t>)</w:t>
      </w:r>
      <w:r w:rsidRPr="00867A38">
        <w:rPr>
          <w:bCs/>
        </w:rPr>
        <w:t xml:space="preserve"> for abdominal malignancies (liver or non-liver, primary or metastatic lesions). One study reported 10% of patients experiencing acute grade 1 GI toxicity, one study reported acute grade 2 toxicity in 5% of patients and no acute grade 3 and no late treatment-related toxicity. One study reported acute grade ≥3 GI toxicity of 7%. </w:t>
      </w:r>
    </w:p>
    <w:p w14:paraId="1C470D71" w14:textId="51D75B1F" w:rsidR="00867A38" w:rsidRPr="00867A38" w:rsidRDefault="00867A38" w:rsidP="00867A38">
      <w:pPr>
        <w:rPr>
          <w:bCs/>
        </w:rPr>
      </w:pPr>
      <w:r w:rsidRPr="00867A38">
        <w:rPr>
          <w:bCs/>
        </w:rPr>
        <w:t>Seven retrospective case series and one prospective trial on the safety of CBCT-guided SBRT in abdominal malignancies (liver, pancreas,</w:t>
      </w:r>
      <w:r w:rsidR="005E497B">
        <w:rPr>
          <w:bCs/>
        </w:rPr>
        <w:t xml:space="preserve"> </w:t>
      </w:r>
      <w:r w:rsidR="00765507">
        <w:rPr>
          <w:bCs/>
        </w:rPr>
        <w:t xml:space="preserve">secondary </w:t>
      </w:r>
      <w:r w:rsidR="005E497B">
        <w:rPr>
          <w:bCs/>
        </w:rPr>
        <w:t>liver</w:t>
      </w:r>
      <w:r w:rsidRPr="00867A38">
        <w:rPr>
          <w:bCs/>
        </w:rPr>
        <w:t xml:space="preserve"> oligometastases) were identified. No acute toxicity grade ≥3 was found in </w:t>
      </w:r>
      <w:r w:rsidR="00011E02">
        <w:rPr>
          <w:bCs/>
        </w:rPr>
        <w:t>seven</w:t>
      </w:r>
      <w:r w:rsidRPr="00867A38">
        <w:rPr>
          <w:bCs/>
        </w:rPr>
        <w:t xml:space="preserve"> studies, and one study reported acute toxicity grade ≥3 was found in &lt;1% of patients treated for liver metastases. Similarly, </w:t>
      </w:r>
      <w:r w:rsidR="00011E02">
        <w:rPr>
          <w:bCs/>
        </w:rPr>
        <w:t>seven</w:t>
      </w:r>
      <w:r w:rsidRPr="00867A38">
        <w:rPr>
          <w:bCs/>
        </w:rPr>
        <w:t xml:space="preserve"> studies observed no cases of late toxicity grade ≥3, whereas one study observed late grade ≥3 toxicity in 4/47 (9%) patients with abdominopelvic tumours, one of them being of grade 5.</w:t>
      </w:r>
    </w:p>
    <w:p w14:paraId="6CDB64BE" w14:textId="77777777" w:rsidR="00867A38" w:rsidRPr="00867A38" w:rsidRDefault="00867A38" w:rsidP="009F02EA">
      <w:pPr>
        <w:pStyle w:val="Heading6"/>
        <w:rPr>
          <w:b/>
        </w:rPr>
      </w:pPr>
      <w:r w:rsidRPr="00867A38">
        <w:t>Head and neck cancer</w:t>
      </w:r>
    </w:p>
    <w:p w14:paraId="37B4ABCF" w14:textId="77D02B64" w:rsidR="00867A38" w:rsidRPr="00867A38" w:rsidRDefault="00867A38" w:rsidP="00867A38">
      <w:r w:rsidRPr="00867A38">
        <w:t xml:space="preserve">One prospective </w:t>
      </w:r>
      <w:r w:rsidR="009E5663">
        <w:t xml:space="preserve">single-arm </w:t>
      </w:r>
      <w:r w:rsidRPr="00867A38">
        <w:t>case series evaluated the safety of MR-IGRT in patients</w:t>
      </w:r>
      <w:r w:rsidR="002A5A21">
        <w:t xml:space="preserve"> with head and neck cancer</w:t>
      </w:r>
      <w:r w:rsidR="00FD1C04">
        <w:t xml:space="preserve"> and reported</w:t>
      </w:r>
      <w:r w:rsidRPr="00867A38">
        <w:t xml:space="preserve"> </w:t>
      </w:r>
      <w:r w:rsidR="00FD1C04">
        <w:t>44%</w:t>
      </w:r>
      <w:r w:rsidRPr="00867A38">
        <w:t xml:space="preserve"> of patients experienced acute grade 3 toxicity.</w:t>
      </w:r>
    </w:p>
    <w:p w14:paraId="292FF580" w14:textId="71BF4F57" w:rsidR="00867A38" w:rsidRPr="00867A38" w:rsidRDefault="00867A38" w:rsidP="00867A38">
      <w:r w:rsidRPr="00867A38">
        <w:t xml:space="preserve">One cohort </w:t>
      </w:r>
      <w:r w:rsidR="00AD1EC7">
        <w:t xml:space="preserve">study </w:t>
      </w:r>
      <w:r w:rsidRPr="00867A38">
        <w:t>reporting on the safety of CBCT-IGRT in head and neck cancer was identified</w:t>
      </w:r>
      <w:r w:rsidR="00FD1C04">
        <w:t xml:space="preserve"> and reported 54%</w:t>
      </w:r>
      <w:r w:rsidRPr="00867A38">
        <w:t xml:space="preserve"> of patients experienced acute grade 3 toxicity and 65% experienced late grade 3 toxicity.</w:t>
      </w:r>
    </w:p>
    <w:p w14:paraId="2FE9E60D" w14:textId="77777777" w:rsidR="00867A38" w:rsidRPr="00867A38" w:rsidRDefault="00867A38" w:rsidP="009F02EA">
      <w:pPr>
        <w:pStyle w:val="Heading5"/>
        <w:rPr>
          <w:bCs/>
        </w:rPr>
      </w:pPr>
      <w:r w:rsidRPr="00867A38">
        <w:t>Patient tolerance</w:t>
      </w:r>
    </w:p>
    <w:p w14:paraId="3B2B3D31" w14:textId="000F3E24" w:rsidR="00867A38" w:rsidRPr="00867A38" w:rsidRDefault="00867A38" w:rsidP="00867A38">
      <w:r w:rsidRPr="00867A38">
        <w:t>Three single-arm studies reported on MR-IGRT-related complaints. In two studies, 65% and 80% of patients reported at least some degree of potential MR-IGRT-related complaints</w:t>
      </w:r>
      <w:r w:rsidR="00765507">
        <w:t xml:space="preserve">, mainly related to </w:t>
      </w:r>
      <w:r w:rsidR="000C5BC6">
        <w:t>feeling uncomfortable during the treatment (noise, temperature, paraesthesias)</w:t>
      </w:r>
      <w:r w:rsidRPr="00867A38">
        <w:t>.</w:t>
      </w:r>
    </w:p>
    <w:p w14:paraId="04D74AAF" w14:textId="77777777" w:rsidR="00867A38" w:rsidRPr="00867A38" w:rsidRDefault="00867A38" w:rsidP="00867A38">
      <w:r w:rsidRPr="00867A38">
        <w:t>No studies on patient tolerance of CBCT-IGRT were identified.</w:t>
      </w:r>
    </w:p>
    <w:p w14:paraId="1FE31C90" w14:textId="77777777" w:rsidR="00E91BE1" w:rsidRPr="00183E4D" w:rsidRDefault="008C7152" w:rsidP="00DF343F">
      <w:pPr>
        <w:pStyle w:val="Heading4"/>
        <w:jc w:val="both"/>
      </w:pPr>
      <w:r w:rsidRPr="00183E4D">
        <w:t xml:space="preserve">Effectiveness </w:t>
      </w:r>
    </w:p>
    <w:p w14:paraId="08318DE3" w14:textId="1AD5C23E" w:rsidR="00022446" w:rsidRPr="00E54FA2" w:rsidRDefault="00022446" w:rsidP="00022446">
      <w:r>
        <w:t xml:space="preserve">No comparative studies of the clinical effectiveness of MR-IGRT versus CBCT-IGRT were identified in the literature search. A naïve comparison of MR-IGRT and CBCT-IGRT was attempted for the patient-relevant outcomes of survival and quality of life. </w:t>
      </w:r>
    </w:p>
    <w:p w14:paraId="701CE7F2" w14:textId="77777777" w:rsidR="00022446" w:rsidRPr="00E54FA2" w:rsidRDefault="00022446" w:rsidP="00022446">
      <w:r>
        <w:lastRenderedPageBreak/>
        <w:t xml:space="preserve">Additionally, given the lack of comparative evidence for clinical effectiveness, three studies comparing the dosimetric parameters of MR-IGRT and CBCT-IGRT were identified and included in this assessment. </w:t>
      </w:r>
    </w:p>
    <w:p w14:paraId="6D7887C4" w14:textId="77777777" w:rsidR="008473AD" w:rsidRPr="008473AD" w:rsidRDefault="008473AD" w:rsidP="009F02EA">
      <w:pPr>
        <w:pStyle w:val="Heading5"/>
      </w:pPr>
      <w:r w:rsidRPr="008473AD">
        <w:t>Survival outcomes</w:t>
      </w:r>
    </w:p>
    <w:p w14:paraId="43FD5C9E" w14:textId="2D50D9B0" w:rsidR="008473AD" w:rsidRPr="008473AD" w:rsidRDefault="008473AD" w:rsidP="008473AD">
      <w:r w:rsidRPr="008473AD">
        <w:rPr>
          <w:bCs/>
        </w:rPr>
        <w:t xml:space="preserve">No comparative evidence was found for survival outcomes. Four </w:t>
      </w:r>
      <w:r>
        <w:rPr>
          <w:bCs/>
        </w:rPr>
        <w:t xml:space="preserve">single-arm </w:t>
      </w:r>
      <w:r w:rsidRPr="008473AD">
        <w:rPr>
          <w:bCs/>
        </w:rPr>
        <w:t>case series reported on survival after MR-IGRT treatment. A naïve comparison with studies on the effectiveness of CBCT-IGRT was attempted. Due to low methodologic quality of included studies, considerable heterogeneity in patient populations and treatment modalities, and a large variability in outcome assessment and reporting, its value is very limited.</w:t>
      </w:r>
    </w:p>
    <w:p w14:paraId="69D70152" w14:textId="77777777" w:rsidR="008473AD" w:rsidRPr="008473AD" w:rsidRDefault="008473AD" w:rsidP="009F02EA">
      <w:pPr>
        <w:pStyle w:val="Heading6"/>
      </w:pPr>
      <w:r w:rsidRPr="008473AD">
        <w:t>Lung cancer</w:t>
      </w:r>
    </w:p>
    <w:p w14:paraId="785AA484" w14:textId="77777777" w:rsidR="008473AD" w:rsidRPr="008473AD" w:rsidRDefault="008473AD" w:rsidP="008473AD">
      <w:pPr>
        <w:rPr>
          <w:bCs/>
        </w:rPr>
      </w:pPr>
      <w:r w:rsidRPr="008473AD">
        <w:rPr>
          <w:bCs/>
        </w:rPr>
        <w:t>Overall local control in patients treated with MR-IGRT for lung malignancies at one year was reported to be 95.6% (95% confidence interval, CI, 89.8%-100.0%). The overall survival was 82.8% (95% CI 79.4%-97.5%) for early-stage primary lung cancer and 95.2% (95% CI 86.6%-100.0%) for patients with lung metastases.</w:t>
      </w:r>
    </w:p>
    <w:p w14:paraId="48665436" w14:textId="2001DFF6" w:rsidR="008473AD" w:rsidRPr="000C5BC6" w:rsidRDefault="008473AD" w:rsidP="008473AD">
      <w:r w:rsidRPr="008473AD">
        <w:t xml:space="preserve">Nine studies reported survival outcomes after CBCT-IGRT treatment of lung malignancies. Local control rate at one year was reported to be 97% in one </w:t>
      </w:r>
      <w:r w:rsidRPr="000C5BC6">
        <w:t xml:space="preserve">study. One-year overall survival ranged between 67-87%, decreasing to 44.4-63% at 3 years and to 42% at </w:t>
      </w:r>
      <w:r w:rsidR="000C5BC6" w:rsidRPr="003E2266">
        <w:t>5</w:t>
      </w:r>
      <w:r w:rsidR="000C5BC6" w:rsidRPr="000C5BC6">
        <w:t xml:space="preserve"> </w:t>
      </w:r>
      <w:r w:rsidRPr="000C5BC6">
        <w:t>years.</w:t>
      </w:r>
    </w:p>
    <w:p w14:paraId="18B989FD" w14:textId="77777777" w:rsidR="008473AD" w:rsidRPr="006E0193" w:rsidRDefault="008473AD" w:rsidP="009F02EA">
      <w:pPr>
        <w:pStyle w:val="Heading6"/>
      </w:pPr>
      <w:r w:rsidRPr="006E0193">
        <w:t>Abdominal malignancies</w:t>
      </w:r>
    </w:p>
    <w:p w14:paraId="20EF77BE" w14:textId="66AF1DEF" w:rsidR="008473AD" w:rsidRPr="005C192C" w:rsidRDefault="008473AD" w:rsidP="008473AD">
      <w:pPr>
        <w:rPr>
          <w:bCs/>
        </w:rPr>
      </w:pPr>
      <w:r w:rsidRPr="006E0193">
        <w:rPr>
          <w:bCs/>
        </w:rPr>
        <w:t>In patients with hepatocellular carcinoma treated with MR-IGRT, freedom from local progression at median follow-up (21.2 months</w:t>
      </w:r>
      <w:r w:rsidRPr="00535CB7">
        <w:rPr>
          <w:bCs/>
        </w:rPr>
        <w:t xml:space="preserve">) was 80.4%, progression-free survival at median follow-up was 35%, and </w:t>
      </w:r>
      <w:r w:rsidR="001A721A">
        <w:rPr>
          <w:bCs/>
        </w:rPr>
        <w:t>one</w:t>
      </w:r>
      <w:r w:rsidRPr="00535CB7">
        <w:rPr>
          <w:bCs/>
        </w:rPr>
        <w:t xml:space="preserve"> and </w:t>
      </w:r>
      <w:r w:rsidR="001A721A">
        <w:rPr>
          <w:bCs/>
        </w:rPr>
        <w:t xml:space="preserve">two </w:t>
      </w:r>
      <w:r w:rsidRPr="00535CB7">
        <w:rPr>
          <w:bCs/>
        </w:rPr>
        <w:t xml:space="preserve">year overall survival was 69% and 60%, respectively. </w:t>
      </w:r>
    </w:p>
    <w:p w14:paraId="1DD17CC8" w14:textId="122A0750" w:rsidR="008473AD" w:rsidRPr="000C5BC6" w:rsidRDefault="008473AD" w:rsidP="008473AD">
      <w:pPr>
        <w:rPr>
          <w:bCs/>
        </w:rPr>
      </w:pPr>
      <w:r w:rsidRPr="000C5BC6">
        <w:rPr>
          <w:bCs/>
        </w:rPr>
        <w:t xml:space="preserve">The survival outcomes of patients with </w:t>
      </w:r>
      <w:r w:rsidR="00AD611C">
        <w:rPr>
          <w:bCs/>
        </w:rPr>
        <w:t>hepatocellular carcinoma</w:t>
      </w:r>
      <w:r w:rsidR="00AD611C" w:rsidRPr="000C5BC6">
        <w:rPr>
          <w:bCs/>
        </w:rPr>
        <w:t xml:space="preserve"> </w:t>
      </w:r>
      <w:r w:rsidRPr="000C5BC6">
        <w:rPr>
          <w:bCs/>
        </w:rPr>
        <w:t xml:space="preserve">treated with CBCT-IGRT were similar, with freedom from local progression of 85.7% and 76.3% at </w:t>
      </w:r>
      <w:r w:rsidR="000C5BC6" w:rsidRPr="003E2266">
        <w:rPr>
          <w:bCs/>
        </w:rPr>
        <w:t>1</w:t>
      </w:r>
      <w:r w:rsidR="000C5BC6" w:rsidRPr="000C5BC6">
        <w:rPr>
          <w:bCs/>
        </w:rPr>
        <w:t xml:space="preserve"> </w:t>
      </w:r>
      <w:r w:rsidRPr="000C5BC6">
        <w:rPr>
          <w:bCs/>
        </w:rPr>
        <w:t>and</w:t>
      </w:r>
      <w:r w:rsidRPr="000C5BC6" w:rsidDel="000C5BC6">
        <w:rPr>
          <w:bCs/>
        </w:rPr>
        <w:t xml:space="preserve"> </w:t>
      </w:r>
      <w:r w:rsidR="000C5BC6" w:rsidRPr="003E2266">
        <w:rPr>
          <w:bCs/>
        </w:rPr>
        <w:t>2</w:t>
      </w:r>
      <w:r w:rsidR="000C5BC6" w:rsidRPr="000C5BC6">
        <w:rPr>
          <w:bCs/>
        </w:rPr>
        <w:t xml:space="preserve"> </w:t>
      </w:r>
      <w:r w:rsidRPr="000C5BC6">
        <w:rPr>
          <w:bCs/>
        </w:rPr>
        <w:t xml:space="preserve">years, respectively, progression-free survival of 37.8% and 35.6% at </w:t>
      </w:r>
      <w:r w:rsidR="000C5BC6" w:rsidRPr="003E2266">
        <w:rPr>
          <w:bCs/>
        </w:rPr>
        <w:t>1</w:t>
      </w:r>
      <w:r w:rsidR="000C5BC6" w:rsidRPr="000C5BC6">
        <w:rPr>
          <w:bCs/>
        </w:rPr>
        <w:t xml:space="preserve"> </w:t>
      </w:r>
      <w:r w:rsidRPr="000C5BC6">
        <w:rPr>
          <w:bCs/>
        </w:rPr>
        <w:t>and</w:t>
      </w:r>
      <w:r w:rsidRPr="000C5BC6" w:rsidDel="000C5BC6">
        <w:rPr>
          <w:bCs/>
        </w:rPr>
        <w:t xml:space="preserve"> </w:t>
      </w:r>
      <w:r w:rsidR="000C5BC6" w:rsidRPr="003E2266">
        <w:rPr>
          <w:bCs/>
        </w:rPr>
        <w:t>2</w:t>
      </w:r>
      <w:r w:rsidR="000C5BC6" w:rsidRPr="000C5BC6">
        <w:rPr>
          <w:bCs/>
        </w:rPr>
        <w:t xml:space="preserve"> </w:t>
      </w:r>
      <w:r w:rsidRPr="000C5BC6">
        <w:rPr>
          <w:bCs/>
        </w:rPr>
        <w:t xml:space="preserve">years, respectively, and overall survival ranging between 77-88.5% at </w:t>
      </w:r>
      <w:r w:rsidR="000C5BC6" w:rsidRPr="003E2266">
        <w:rPr>
          <w:bCs/>
        </w:rPr>
        <w:t>1</w:t>
      </w:r>
      <w:r w:rsidR="000C5BC6" w:rsidRPr="000C5BC6">
        <w:rPr>
          <w:bCs/>
        </w:rPr>
        <w:t xml:space="preserve"> </w:t>
      </w:r>
      <w:r w:rsidRPr="000C5BC6">
        <w:rPr>
          <w:bCs/>
        </w:rPr>
        <w:t xml:space="preserve">year and 60-75% at </w:t>
      </w:r>
      <w:r w:rsidR="000C5BC6" w:rsidRPr="003E2266">
        <w:rPr>
          <w:bCs/>
        </w:rPr>
        <w:t>2</w:t>
      </w:r>
      <w:r w:rsidR="000C5BC6" w:rsidRPr="000C5BC6">
        <w:rPr>
          <w:bCs/>
        </w:rPr>
        <w:t xml:space="preserve"> </w:t>
      </w:r>
      <w:r w:rsidRPr="000C5BC6">
        <w:rPr>
          <w:bCs/>
        </w:rPr>
        <w:t>years.</w:t>
      </w:r>
    </w:p>
    <w:p w14:paraId="08ACC672" w14:textId="7C356CA4" w:rsidR="008473AD" w:rsidRPr="008473AD" w:rsidRDefault="008473AD" w:rsidP="008473AD">
      <w:pPr>
        <w:rPr>
          <w:bCs/>
        </w:rPr>
      </w:pPr>
      <w:r w:rsidRPr="006E0193">
        <w:rPr>
          <w:bCs/>
        </w:rPr>
        <w:t xml:space="preserve">Three- and 6-month progression-free survival of patients with unresectable abdominal cancers treated with MR-IGRT was reported to be 95% and 89%, respectively, with </w:t>
      </w:r>
      <w:r w:rsidR="001A721A">
        <w:rPr>
          <w:bCs/>
        </w:rPr>
        <w:t>one year</w:t>
      </w:r>
      <w:r w:rsidRPr="006E0193">
        <w:rPr>
          <w:bCs/>
        </w:rPr>
        <w:t xml:space="preserve"> overall</w:t>
      </w:r>
      <w:r w:rsidRPr="008473AD">
        <w:rPr>
          <w:bCs/>
        </w:rPr>
        <w:t xml:space="preserve"> survival of 75%.</w:t>
      </w:r>
    </w:p>
    <w:p w14:paraId="6745C952" w14:textId="77777777" w:rsidR="008473AD" w:rsidRPr="008473AD" w:rsidRDefault="008473AD" w:rsidP="009F02EA">
      <w:pPr>
        <w:pStyle w:val="Heading6"/>
      </w:pPr>
      <w:r w:rsidRPr="008473AD">
        <w:t>Head and neck cancer</w:t>
      </w:r>
    </w:p>
    <w:p w14:paraId="7B493AAF" w14:textId="0A34DCF0" w:rsidR="008473AD" w:rsidRPr="006E0193" w:rsidRDefault="008473AD" w:rsidP="008473AD">
      <w:pPr>
        <w:rPr>
          <w:bCs/>
        </w:rPr>
      </w:pPr>
      <w:r w:rsidRPr="008473AD">
        <w:rPr>
          <w:bCs/>
        </w:rPr>
        <w:t xml:space="preserve">One prospective case series of patients </w:t>
      </w:r>
      <w:r w:rsidR="00DC7176">
        <w:rPr>
          <w:bCs/>
        </w:rPr>
        <w:t xml:space="preserve">with </w:t>
      </w:r>
      <w:r w:rsidR="00DC7176" w:rsidRPr="008473AD">
        <w:rPr>
          <w:bCs/>
        </w:rPr>
        <w:t xml:space="preserve">head and neck cancer </w:t>
      </w:r>
      <w:r w:rsidRPr="008473AD">
        <w:rPr>
          <w:bCs/>
        </w:rPr>
        <w:t xml:space="preserve">treated with MR-IGRT reported the locoregional control at </w:t>
      </w:r>
      <w:r w:rsidR="000C5BC6" w:rsidRPr="006C4D27">
        <w:t>1</w:t>
      </w:r>
      <w:r w:rsidR="000C5BC6" w:rsidRPr="000C5BC6">
        <w:rPr>
          <w:bCs/>
        </w:rPr>
        <w:t xml:space="preserve"> </w:t>
      </w:r>
      <w:r w:rsidRPr="000C5BC6">
        <w:rPr>
          <w:bCs/>
        </w:rPr>
        <w:t xml:space="preserve">year was 95%, and the </w:t>
      </w:r>
      <w:r w:rsidR="001A721A">
        <w:rPr>
          <w:bCs/>
        </w:rPr>
        <w:t>one year</w:t>
      </w:r>
      <w:r w:rsidRPr="000C5BC6">
        <w:rPr>
          <w:bCs/>
        </w:rPr>
        <w:t xml:space="preserve"> progression-free and overall survival rates were 95% and 96%, respectively.</w:t>
      </w:r>
    </w:p>
    <w:p w14:paraId="435D3AFE" w14:textId="250F4852" w:rsidR="008473AD" w:rsidRPr="008473AD" w:rsidRDefault="008473AD" w:rsidP="008473AD">
      <w:pPr>
        <w:rPr>
          <w:bCs/>
        </w:rPr>
      </w:pPr>
      <w:r w:rsidRPr="006E0193">
        <w:rPr>
          <w:bCs/>
        </w:rPr>
        <w:lastRenderedPageBreak/>
        <w:t xml:space="preserve">One cohort study reported </w:t>
      </w:r>
      <w:r w:rsidR="001A721A">
        <w:rPr>
          <w:bCs/>
        </w:rPr>
        <w:t>two year</w:t>
      </w:r>
      <w:r w:rsidRPr="000C5BC6">
        <w:rPr>
          <w:bCs/>
        </w:rPr>
        <w:t xml:space="preserve"> survival outcomes of head and neck cancer treatment with CBCT-IGRT stratified by different target margin s</w:t>
      </w:r>
      <w:r w:rsidRPr="006E0193">
        <w:rPr>
          <w:bCs/>
        </w:rPr>
        <w:t xml:space="preserve">izes. Overall survival was 75%, with </w:t>
      </w:r>
      <w:r w:rsidR="001A721A">
        <w:rPr>
          <w:bCs/>
        </w:rPr>
        <w:t>two year</w:t>
      </w:r>
      <w:r w:rsidRPr="008473AD">
        <w:rPr>
          <w:bCs/>
        </w:rPr>
        <w:t xml:space="preserve"> locoregional control rate of 79-80%.</w:t>
      </w:r>
    </w:p>
    <w:p w14:paraId="6AAD0002" w14:textId="77777777" w:rsidR="008473AD" w:rsidRPr="008473AD" w:rsidRDefault="008473AD" w:rsidP="009F02EA">
      <w:pPr>
        <w:pStyle w:val="Heading5"/>
      </w:pPr>
      <w:r w:rsidRPr="008473AD">
        <w:t xml:space="preserve">Quality of life </w:t>
      </w:r>
    </w:p>
    <w:p w14:paraId="09E62F7C" w14:textId="5C24E6FD" w:rsidR="008473AD" w:rsidRPr="008473AD" w:rsidRDefault="008473AD" w:rsidP="008473AD">
      <w:r w:rsidRPr="008473AD">
        <w:rPr>
          <w:bCs/>
        </w:rPr>
        <w:t xml:space="preserve">No comparative evidence was found for </w:t>
      </w:r>
      <w:r w:rsidR="003B49CD">
        <w:rPr>
          <w:bCs/>
        </w:rPr>
        <w:t>quality of life (</w:t>
      </w:r>
      <w:r w:rsidRPr="008473AD">
        <w:rPr>
          <w:bCs/>
        </w:rPr>
        <w:t>QoL</w:t>
      </w:r>
      <w:r w:rsidR="003B49CD">
        <w:rPr>
          <w:bCs/>
        </w:rPr>
        <w:t>)</w:t>
      </w:r>
      <w:r w:rsidRPr="008473AD">
        <w:rPr>
          <w:bCs/>
        </w:rPr>
        <w:t xml:space="preserve">. Two studies in </w:t>
      </w:r>
      <w:r w:rsidR="002A5A21" w:rsidRPr="008473AD">
        <w:rPr>
          <w:bCs/>
        </w:rPr>
        <w:t xml:space="preserve">patients </w:t>
      </w:r>
      <w:r w:rsidR="002A5A21">
        <w:rPr>
          <w:bCs/>
        </w:rPr>
        <w:t xml:space="preserve">with </w:t>
      </w:r>
      <w:r w:rsidRPr="008473AD">
        <w:rPr>
          <w:bCs/>
        </w:rPr>
        <w:t>unresectable abdominal cancer and</w:t>
      </w:r>
      <w:r w:rsidR="002A5A21">
        <w:rPr>
          <w:bCs/>
        </w:rPr>
        <w:t xml:space="preserve"> with</w:t>
      </w:r>
      <w:r w:rsidRPr="008473AD">
        <w:rPr>
          <w:bCs/>
        </w:rPr>
        <w:t xml:space="preserve"> prostate cancer</w:t>
      </w:r>
      <w:r w:rsidRPr="008473AD" w:rsidDel="002A5A21">
        <w:rPr>
          <w:bCs/>
        </w:rPr>
        <w:t xml:space="preserve"> </w:t>
      </w:r>
      <w:r w:rsidRPr="008473AD">
        <w:rPr>
          <w:bCs/>
        </w:rPr>
        <w:t>treated with MR-IGRT reported no differences in QoL scores on the same questionnaire (EORTC QLQ-C30) over the course of radiotherapy treatment.</w:t>
      </w:r>
    </w:p>
    <w:p w14:paraId="3198705B" w14:textId="77777777" w:rsidR="00B94EB8" w:rsidRDefault="006F7D9B" w:rsidP="006F7D9B">
      <w:pPr>
        <w:rPr>
          <w:bCs/>
        </w:rPr>
      </w:pPr>
      <w:r w:rsidRPr="006F7D9B">
        <w:rPr>
          <w:bCs/>
        </w:rPr>
        <w:t>One study reported QoL scores after CBCT-IGRT of prostate cancer. However, as no baseline measurements were provided, it is not clear if QoL scores changed during treatment.</w:t>
      </w:r>
    </w:p>
    <w:p w14:paraId="4EE97ED2" w14:textId="77777777" w:rsidR="00B94EB8" w:rsidRPr="008473AD" w:rsidRDefault="00B94EB8" w:rsidP="00B94EB8">
      <w:pPr>
        <w:pStyle w:val="Heading5"/>
      </w:pPr>
      <w:r w:rsidRPr="008473AD">
        <w:t xml:space="preserve">Dosimetric outcomes </w:t>
      </w:r>
    </w:p>
    <w:p w14:paraId="550931EC" w14:textId="26CB353D" w:rsidR="006F7D9B" w:rsidRPr="006F7D9B" w:rsidRDefault="00B94EB8" w:rsidP="006F7D9B">
      <w:pPr>
        <w:rPr>
          <w:bCs/>
        </w:rPr>
      </w:pPr>
      <w:r w:rsidRPr="008473AD">
        <w:rPr>
          <w:bCs/>
        </w:rPr>
        <w:t>One comparative cohort study compared the dos</w:t>
      </w:r>
      <w:r>
        <w:rPr>
          <w:bCs/>
        </w:rPr>
        <w:t>e-volu</w:t>
      </w:r>
      <w:r w:rsidRPr="008473AD">
        <w:rPr>
          <w:bCs/>
        </w:rPr>
        <w:t xml:space="preserve">metric parameters </w:t>
      </w:r>
      <w:r>
        <w:rPr>
          <w:bCs/>
        </w:rPr>
        <w:t xml:space="preserve">of </w:t>
      </w:r>
      <w:r w:rsidRPr="008473AD">
        <w:rPr>
          <w:bCs/>
        </w:rPr>
        <w:t xml:space="preserve">MR-IGRT and CBCT-IGRT </w:t>
      </w:r>
      <w:r>
        <w:rPr>
          <w:bCs/>
        </w:rPr>
        <w:t>lung radiation therapy plans</w:t>
      </w:r>
      <w:r w:rsidRPr="008473AD">
        <w:rPr>
          <w:bCs/>
        </w:rPr>
        <w:t xml:space="preserve">. Dosimetric parameters were </w:t>
      </w:r>
      <w:r>
        <w:rPr>
          <w:bCs/>
        </w:rPr>
        <w:t xml:space="preserve">significantly more favourable </w:t>
      </w:r>
      <w:r w:rsidRPr="008473AD">
        <w:rPr>
          <w:bCs/>
        </w:rPr>
        <w:t xml:space="preserve">in the </w:t>
      </w:r>
      <w:r>
        <w:rPr>
          <w:bCs/>
        </w:rPr>
        <w:t>CBCT</w:t>
      </w:r>
      <w:r w:rsidRPr="008473AD">
        <w:rPr>
          <w:bCs/>
        </w:rPr>
        <w:t>-IGRT group. Two simulation studies compared MR-IGRT and CBCT-IGRT plans for patients that had previously undergone radiotherapy treatment for cancer. In one study</w:t>
      </w:r>
      <w:r>
        <w:rPr>
          <w:bCs/>
        </w:rPr>
        <w:t>,</w:t>
      </w:r>
      <w:r w:rsidRPr="008473AD">
        <w:rPr>
          <w:bCs/>
        </w:rPr>
        <w:t xml:space="preserve"> all MR-IGRT plans fulfilled the clinical acceptance criteria while a minimal decrease in plan homogeneity was found for MR-IGRT plans compared to current clinical practice for all included patients. In the other simulation study MR-IGRT treatment, resulted in a reduction of violations to the OARs.</w:t>
      </w:r>
    </w:p>
    <w:p w14:paraId="2A75AC65" w14:textId="510F0B16" w:rsidR="0023020D" w:rsidRPr="000A77C8" w:rsidRDefault="0023020D" w:rsidP="00DA1E65">
      <w:r>
        <w:t xml:space="preserve">The summary of findings </w:t>
      </w:r>
      <w:r w:rsidR="005C08CD">
        <w:t xml:space="preserve">for MR-IGRT </w:t>
      </w:r>
      <w:r>
        <w:t xml:space="preserve">is shown in </w:t>
      </w:r>
      <w:r>
        <w:fldChar w:fldCharType="begin"/>
      </w:r>
      <w:r>
        <w:instrText xml:space="preserve"> REF _Ref421184437 \h </w:instrText>
      </w:r>
      <w:r w:rsidR="00DA1E65">
        <w:instrText xml:space="preserve"> \* MERGEFORMAT </w:instrText>
      </w:r>
      <w:r>
        <w:fldChar w:fldCharType="separate"/>
      </w:r>
      <w:r w:rsidR="00451350">
        <w:t xml:space="preserve">Table </w:t>
      </w:r>
      <w:r w:rsidR="00451350">
        <w:rPr>
          <w:noProof/>
        </w:rPr>
        <w:t>2</w:t>
      </w:r>
      <w:r>
        <w:fldChar w:fldCharType="end"/>
      </w:r>
      <w:r>
        <w:t>.</w:t>
      </w:r>
    </w:p>
    <w:p w14:paraId="24929C69" w14:textId="717101D9" w:rsidR="008340E9" w:rsidRPr="00183E4D" w:rsidRDefault="00540F5E" w:rsidP="00183330">
      <w:pPr>
        <w:pStyle w:val="Caption"/>
        <w:keepNext/>
        <w:rPr>
          <w:rFonts w:cs="Arial"/>
          <w:snapToGrid w:val="0"/>
          <w:szCs w:val="16"/>
          <w:lang w:eastAsia="en-US"/>
        </w:rPr>
      </w:pPr>
      <w:bookmarkStart w:id="121" w:name="_Ref421184437"/>
      <w:bookmarkStart w:id="122" w:name="_Toc89857873"/>
      <w:r>
        <w:t xml:space="preserve">Table </w:t>
      </w:r>
      <w:r w:rsidR="00211285">
        <w:fldChar w:fldCharType="begin"/>
      </w:r>
      <w:r w:rsidR="00211285">
        <w:instrText xml:space="preserve"> SEQ Table \* </w:instrText>
      </w:r>
      <w:r w:rsidR="00211285">
        <w:instrText xml:space="preserve">ARABIC </w:instrText>
      </w:r>
      <w:r w:rsidR="00211285">
        <w:fldChar w:fldCharType="separate"/>
      </w:r>
      <w:r w:rsidR="00451350">
        <w:rPr>
          <w:noProof/>
        </w:rPr>
        <w:t>2</w:t>
      </w:r>
      <w:r w:rsidR="00211285">
        <w:rPr>
          <w:noProof/>
        </w:rPr>
        <w:fldChar w:fldCharType="end"/>
      </w:r>
      <w:bookmarkEnd w:id="121"/>
      <w:r>
        <w:tab/>
      </w:r>
      <w:r w:rsidR="008340E9" w:rsidRPr="00183E4D">
        <w:tab/>
      </w:r>
      <w:r w:rsidR="00B56F4C">
        <w:rPr>
          <w:rFonts w:cs="Arial"/>
          <w:snapToGrid w:val="0"/>
          <w:szCs w:val="16"/>
          <w:lang w:eastAsia="en-US"/>
        </w:rPr>
        <w:t xml:space="preserve">Summary of </w:t>
      </w:r>
      <w:r w:rsidR="0010598C">
        <w:rPr>
          <w:rFonts w:cs="Arial"/>
          <w:snapToGrid w:val="0"/>
          <w:szCs w:val="16"/>
          <w:lang w:eastAsia="en-US"/>
        </w:rPr>
        <w:t xml:space="preserve">the </w:t>
      </w:r>
      <w:r w:rsidR="002C0072">
        <w:rPr>
          <w:rFonts w:cs="Arial"/>
          <w:snapToGrid w:val="0"/>
          <w:szCs w:val="16"/>
          <w:lang w:eastAsia="en-US"/>
        </w:rPr>
        <w:t xml:space="preserve">effect and the overall quality of the </w:t>
      </w:r>
      <w:r w:rsidR="0010598C">
        <w:rPr>
          <w:rFonts w:cs="Arial"/>
          <w:snapToGrid w:val="0"/>
          <w:szCs w:val="16"/>
          <w:lang w:eastAsia="en-US"/>
        </w:rPr>
        <w:t xml:space="preserve">evidence on the </w:t>
      </w:r>
      <w:r w:rsidR="00B024AC">
        <w:rPr>
          <w:rFonts w:cs="Arial"/>
          <w:snapToGrid w:val="0"/>
          <w:szCs w:val="16"/>
          <w:lang w:eastAsia="en-US"/>
        </w:rPr>
        <w:t>safety and effectiveness of MR-IGRT</w:t>
      </w:r>
      <w:bookmarkEnd w:id="122"/>
      <w:r w:rsidR="00B024AC">
        <w:rPr>
          <w:rFonts w:cs="Arial"/>
          <w:snapToGrid w:val="0"/>
          <w:szCs w:val="16"/>
          <w:lang w:eastAsia="en-US"/>
        </w:rPr>
        <w:t xml:space="preserve"> </w:t>
      </w:r>
    </w:p>
    <w:tbl>
      <w:tblPr>
        <w:tblStyle w:val="TableGrid1"/>
        <w:tblW w:w="5000" w:type="pct"/>
        <w:tblLook w:val="04A0" w:firstRow="1" w:lastRow="0" w:firstColumn="1" w:lastColumn="0" w:noHBand="0" w:noVBand="1"/>
        <w:tblCaption w:val="Table 2"/>
        <w:tblDescription w:val="Summary of the effect and the overall quality of the evidence on the safety and effectiveness of MR-IGRT "/>
      </w:tblPr>
      <w:tblGrid>
        <w:gridCol w:w="1019"/>
        <w:gridCol w:w="1527"/>
        <w:gridCol w:w="1134"/>
        <w:gridCol w:w="5336"/>
      </w:tblGrid>
      <w:tr w:rsidR="00B56F4C" w14:paraId="76006256" w14:textId="77777777" w:rsidTr="00DB0E4A">
        <w:trPr>
          <w:cnfStyle w:val="100000000000" w:firstRow="1" w:lastRow="0" w:firstColumn="0" w:lastColumn="0" w:oddVBand="0" w:evenVBand="0" w:oddHBand="0" w:evenHBand="0" w:firstRowFirstColumn="0" w:firstRowLastColumn="0" w:lastRowFirstColumn="0" w:lastRowLastColumn="0"/>
          <w:cantSplit/>
          <w:tblHeader/>
        </w:trPr>
        <w:tc>
          <w:tcPr>
            <w:tcW w:w="565" w:type="pct"/>
            <w:tcBorders>
              <w:top w:val="single" w:sz="4" w:space="0" w:color="auto"/>
              <w:left w:val="single" w:sz="4" w:space="0" w:color="auto"/>
              <w:bottom w:val="single" w:sz="4" w:space="0" w:color="auto"/>
              <w:right w:val="single" w:sz="4" w:space="0" w:color="auto"/>
            </w:tcBorders>
          </w:tcPr>
          <w:p w14:paraId="20A58761" w14:textId="77777777" w:rsidR="00B56F4C" w:rsidRPr="000A1599" w:rsidRDefault="00B56F4C" w:rsidP="00A913F6">
            <w:pPr>
              <w:pStyle w:val="TableHeading"/>
            </w:pPr>
            <w:r w:rsidRPr="000A1599">
              <w:t>Outcomes</w:t>
            </w:r>
            <w:r>
              <w:t xml:space="preserve"> </w:t>
            </w:r>
          </w:p>
        </w:tc>
        <w:tc>
          <w:tcPr>
            <w:tcW w:w="847" w:type="pct"/>
            <w:tcBorders>
              <w:top w:val="single" w:sz="4" w:space="0" w:color="auto"/>
              <w:left w:val="single" w:sz="4" w:space="0" w:color="auto"/>
              <w:bottom w:val="single" w:sz="4" w:space="0" w:color="auto"/>
              <w:right w:val="single" w:sz="4" w:space="0" w:color="auto"/>
            </w:tcBorders>
          </w:tcPr>
          <w:p w14:paraId="09475C79" w14:textId="77777777" w:rsidR="00B56F4C" w:rsidRPr="000A1599" w:rsidRDefault="00B56F4C" w:rsidP="00A913F6">
            <w:pPr>
              <w:pStyle w:val="TableHeading"/>
            </w:pPr>
            <w:r>
              <w:t>Participants (studies)</w:t>
            </w:r>
          </w:p>
        </w:tc>
        <w:tc>
          <w:tcPr>
            <w:tcW w:w="629" w:type="pct"/>
            <w:tcBorders>
              <w:top w:val="single" w:sz="4" w:space="0" w:color="auto"/>
              <w:left w:val="single" w:sz="4" w:space="0" w:color="auto"/>
              <w:bottom w:val="single" w:sz="4" w:space="0" w:color="auto"/>
              <w:right w:val="single" w:sz="4" w:space="0" w:color="auto"/>
            </w:tcBorders>
          </w:tcPr>
          <w:p w14:paraId="11B34555" w14:textId="0EA73299" w:rsidR="00B56F4C" w:rsidRPr="00A05ECE" w:rsidRDefault="00B56F4C" w:rsidP="003B3816">
            <w:pPr>
              <w:pStyle w:val="TableHeading"/>
              <w:rPr>
                <w:vertAlign w:val="superscript"/>
              </w:rPr>
            </w:pPr>
            <w:r>
              <w:t>Quality of evidence (GRADE)</w:t>
            </w:r>
            <w:r>
              <w:rPr>
                <w:vertAlign w:val="superscript"/>
              </w:rPr>
              <w:t>a</w:t>
            </w:r>
            <w:r w:rsidR="00F73F17">
              <w:rPr>
                <w:vertAlign w:val="superscript"/>
              </w:rPr>
              <w:t>,</w:t>
            </w:r>
            <w:r>
              <w:rPr>
                <w:vertAlign w:val="superscript"/>
              </w:rPr>
              <w:t>b</w:t>
            </w:r>
          </w:p>
        </w:tc>
        <w:tc>
          <w:tcPr>
            <w:tcW w:w="2959" w:type="pct"/>
            <w:tcBorders>
              <w:top w:val="single" w:sz="4" w:space="0" w:color="auto"/>
              <w:left w:val="single" w:sz="4" w:space="0" w:color="auto"/>
              <w:bottom w:val="single" w:sz="4" w:space="0" w:color="auto"/>
              <w:right w:val="single" w:sz="4" w:space="0" w:color="auto"/>
            </w:tcBorders>
          </w:tcPr>
          <w:p w14:paraId="25778A46" w14:textId="3FB8118B" w:rsidR="00B56F4C" w:rsidRPr="000C5BC6" w:rsidRDefault="004A189C" w:rsidP="00FF3138">
            <w:pPr>
              <w:pStyle w:val="TableHeading"/>
              <w:rPr>
                <w:vertAlign w:val="superscript"/>
              </w:rPr>
            </w:pPr>
            <w:r>
              <w:t>Summary</w:t>
            </w:r>
            <w:r>
              <w:rPr>
                <w:vertAlign w:val="superscript"/>
              </w:rPr>
              <w:t>c</w:t>
            </w:r>
          </w:p>
        </w:tc>
      </w:tr>
      <w:tr w:rsidR="00B56F4C" w14:paraId="6F9B92D5" w14:textId="77777777" w:rsidTr="00DB0E4A">
        <w:trPr>
          <w:cantSplit/>
          <w:trHeight w:val="263"/>
        </w:trPr>
        <w:tc>
          <w:tcPr>
            <w:tcW w:w="565" w:type="pct"/>
            <w:tcBorders>
              <w:top w:val="single" w:sz="4" w:space="0" w:color="auto"/>
              <w:left w:val="single" w:sz="4" w:space="0" w:color="auto"/>
              <w:bottom w:val="single" w:sz="4" w:space="0" w:color="auto"/>
              <w:right w:val="single" w:sz="4" w:space="0" w:color="auto"/>
            </w:tcBorders>
          </w:tcPr>
          <w:p w14:paraId="07C98551" w14:textId="77777777" w:rsidR="00B56F4C" w:rsidRPr="00066A76" w:rsidRDefault="00B56F4C" w:rsidP="00183330">
            <w:pPr>
              <w:pStyle w:val="Tabletext1"/>
              <w:keepNext/>
              <w:rPr>
                <w:rFonts w:cs="Arial"/>
                <w:sz w:val="18"/>
                <w:szCs w:val="18"/>
              </w:rPr>
            </w:pPr>
            <w:r w:rsidRPr="00095FA2">
              <w:t>Toxicity</w:t>
            </w:r>
          </w:p>
        </w:tc>
        <w:tc>
          <w:tcPr>
            <w:tcW w:w="847" w:type="pct"/>
            <w:tcBorders>
              <w:top w:val="single" w:sz="4" w:space="0" w:color="auto"/>
              <w:left w:val="single" w:sz="4" w:space="0" w:color="auto"/>
              <w:bottom w:val="single" w:sz="4" w:space="0" w:color="auto"/>
              <w:right w:val="single" w:sz="4" w:space="0" w:color="auto"/>
            </w:tcBorders>
          </w:tcPr>
          <w:p w14:paraId="590C2281" w14:textId="77777777" w:rsidR="00B56F4C" w:rsidRPr="00615407" w:rsidRDefault="00B56F4C" w:rsidP="00183330">
            <w:pPr>
              <w:pStyle w:val="Tabletext1"/>
              <w:keepNext/>
            </w:pPr>
            <w:r w:rsidRPr="00095FA2">
              <w:t>211 participants (</w:t>
            </w:r>
            <w:r>
              <w:t>8 studies)</w:t>
            </w:r>
          </w:p>
        </w:tc>
        <w:tc>
          <w:tcPr>
            <w:tcW w:w="629" w:type="pct"/>
            <w:tcBorders>
              <w:top w:val="single" w:sz="4" w:space="0" w:color="auto"/>
              <w:left w:val="single" w:sz="4" w:space="0" w:color="auto"/>
              <w:bottom w:val="single" w:sz="4" w:space="0" w:color="auto"/>
              <w:right w:val="single" w:sz="4" w:space="0" w:color="auto"/>
            </w:tcBorders>
          </w:tcPr>
          <w:p w14:paraId="4194A3E7" w14:textId="77777777" w:rsidR="00B56F4C" w:rsidRDefault="00B56F4C" w:rsidP="00183330">
            <w:pPr>
              <w:keepNext/>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7E60A41D" w14:textId="77777777" w:rsidR="00B56F4C" w:rsidRDefault="00B56F4C" w:rsidP="00183330">
            <w:pPr>
              <w:pStyle w:val="Tabletext1"/>
              <w:keepNext/>
            </w:pPr>
            <w:r w:rsidRPr="00D235AA">
              <w:t>One comparative study reported no difference in lung density between MR-IGRT and CBCT-IGRT on follow-up CT scans</w:t>
            </w:r>
            <w:r>
              <w:t>.</w:t>
            </w:r>
          </w:p>
          <w:p w14:paraId="5C84EC83" w14:textId="3A581620" w:rsidR="00B56F4C" w:rsidRDefault="00B56F4C" w:rsidP="00183330">
            <w:pPr>
              <w:pStyle w:val="Tabletext1"/>
              <w:keepNext/>
            </w:pPr>
            <w:r>
              <w:t>In one (out of two) lung cancer CS</w:t>
            </w:r>
            <w:r w:rsidR="00B444FE">
              <w:t>,</w:t>
            </w:r>
            <w:r>
              <w:t xml:space="preserve"> 15/50 (30%) patients treated with MR-IGRT experienced grade ≥2 toxicity. One CS of</w:t>
            </w:r>
            <w:r w:rsidDel="002A5A21">
              <w:t xml:space="preserve"> </w:t>
            </w:r>
            <w:r>
              <w:t xml:space="preserve">patients </w:t>
            </w:r>
            <w:r w:rsidR="002A5A21">
              <w:t xml:space="preserve">with prostate cancer </w:t>
            </w:r>
            <w:r>
              <w:t xml:space="preserve">treated with MR-IGRT reported </w:t>
            </w:r>
            <w:r w:rsidRPr="00D235AA">
              <w:t>24% and 12% of patients suffering grade 1 and 2 GU toxicity, and 8% and 4% of patients suffering grade 1 and 2 GI toxicity, respectively</w:t>
            </w:r>
            <w:r>
              <w:t>.</w:t>
            </w:r>
          </w:p>
          <w:p w14:paraId="727240B8" w14:textId="47AB088B" w:rsidR="00B56F4C" w:rsidRDefault="00B56F4C" w:rsidP="00183330">
            <w:pPr>
              <w:pStyle w:val="Tabletext1"/>
              <w:keepNext/>
            </w:pPr>
            <w:r>
              <w:t>One (out of three) CS on abdominal malignanc</w:t>
            </w:r>
            <w:r w:rsidR="005B4412">
              <w:t>ies</w:t>
            </w:r>
            <w:r>
              <w:t xml:space="preserve"> treated with MR-IGRT reported grade ≥3 GI toxicity in 3/44 (7%) of patients.</w:t>
            </w:r>
          </w:p>
          <w:p w14:paraId="2429B899" w14:textId="0EBE6C94" w:rsidR="00B56F4C" w:rsidRPr="00D235AA" w:rsidRDefault="00B56F4C" w:rsidP="00183330">
            <w:pPr>
              <w:pStyle w:val="Tabletext1"/>
              <w:keepNext/>
            </w:pPr>
            <w:r>
              <w:t>Any grade ≥3 or higher toxicity was reported in 44% of patients</w:t>
            </w:r>
            <w:r w:rsidR="002A5A21">
              <w:t xml:space="preserve"> with head and neck cancer</w:t>
            </w:r>
            <w:r>
              <w:t xml:space="preserve"> treated with MR-IGRT in one CS.</w:t>
            </w:r>
          </w:p>
        </w:tc>
      </w:tr>
      <w:tr w:rsidR="00B56F4C" w14:paraId="4466941D" w14:textId="77777777" w:rsidTr="00DB0E4A">
        <w:trPr>
          <w:cantSplit/>
          <w:trHeight w:val="25"/>
        </w:trPr>
        <w:tc>
          <w:tcPr>
            <w:tcW w:w="565" w:type="pct"/>
            <w:tcBorders>
              <w:top w:val="single" w:sz="4" w:space="0" w:color="auto"/>
              <w:left w:val="single" w:sz="4" w:space="0" w:color="auto"/>
              <w:bottom w:val="single" w:sz="4" w:space="0" w:color="auto"/>
              <w:right w:val="single" w:sz="4" w:space="0" w:color="auto"/>
            </w:tcBorders>
          </w:tcPr>
          <w:p w14:paraId="3E5CD9A2" w14:textId="77777777" w:rsidR="00B56F4C" w:rsidRDefault="00B56F4C" w:rsidP="00A913F6">
            <w:pPr>
              <w:pStyle w:val="Tabletext1"/>
              <w:rPr>
                <w:rFonts w:cs="Arial"/>
                <w:sz w:val="18"/>
                <w:szCs w:val="18"/>
                <w:vertAlign w:val="superscript"/>
              </w:rPr>
            </w:pPr>
            <w:r>
              <w:t>Patient tolerance</w:t>
            </w:r>
          </w:p>
        </w:tc>
        <w:tc>
          <w:tcPr>
            <w:tcW w:w="847" w:type="pct"/>
            <w:tcBorders>
              <w:top w:val="single" w:sz="4" w:space="0" w:color="auto"/>
              <w:left w:val="single" w:sz="4" w:space="0" w:color="auto"/>
              <w:bottom w:val="single" w:sz="4" w:space="0" w:color="auto"/>
              <w:right w:val="single" w:sz="4" w:space="0" w:color="auto"/>
            </w:tcBorders>
          </w:tcPr>
          <w:p w14:paraId="0B15F731" w14:textId="77777777" w:rsidR="00B56F4C" w:rsidRPr="00615407" w:rsidRDefault="00B56F4C" w:rsidP="00A913F6">
            <w:pPr>
              <w:pStyle w:val="Tabletext1"/>
            </w:pPr>
            <w:r>
              <w:t>194 participants (2 studies)*</w:t>
            </w:r>
          </w:p>
        </w:tc>
        <w:tc>
          <w:tcPr>
            <w:tcW w:w="629" w:type="pct"/>
            <w:tcBorders>
              <w:top w:val="single" w:sz="4" w:space="0" w:color="auto"/>
              <w:left w:val="single" w:sz="4" w:space="0" w:color="auto"/>
              <w:bottom w:val="single" w:sz="4" w:space="0" w:color="auto"/>
              <w:right w:val="single" w:sz="4" w:space="0" w:color="auto"/>
            </w:tcBorders>
          </w:tcPr>
          <w:p w14:paraId="64B8D662" w14:textId="77777777" w:rsidR="00B56F4C" w:rsidRDefault="00B56F4C" w:rsidP="00A913F6">
            <w:pPr>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220567A9" w14:textId="77777777" w:rsidR="00B56F4C" w:rsidRPr="00D235AA" w:rsidRDefault="00B56F4C" w:rsidP="00A913F6">
            <w:pPr>
              <w:pStyle w:val="Tabletext1"/>
            </w:pPr>
            <w:r>
              <w:t>In the two studies, 65% and 89/150 (80%) of patients treated with MR-IGRT reported at least some degree of potential MR-IGRT related complaints, respectively.</w:t>
            </w:r>
          </w:p>
        </w:tc>
      </w:tr>
      <w:tr w:rsidR="00B56F4C" w14:paraId="2EF294B3" w14:textId="77777777" w:rsidTr="00DB0E4A">
        <w:trPr>
          <w:cantSplit/>
        </w:trPr>
        <w:tc>
          <w:tcPr>
            <w:tcW w:w="565" w:type="pct"/>
            <w:tcBorders>
              <w:top w:val="single" w:sz="4" w:space="0" w:color="auto"/>
              <w:left w:val="single" w:sz="4" w:space="0" w:color="auto"/>
              <w:bottom w:val="single" w:sz="4" w:space="0" w:color="auto"/>
              <w:right w:val="single" w:sz="4" w:space="0" w:color="auto"/>
            </w:tcBorders>
          </w:tcPr>
          <w:p w14:paraId="2E4CEE95" w14:textId="77777777" w:rsidR="00B56F4C" w:rsidRDefault="00B56F4C" w:rsidP="00A913F6">
            <w:pPr>
              <w:pStyle w:val="Tabletext1"/>
              <w:rPr>
                <w:rFonts w:cs="Arial"/>
                <w:sz w:val="18"/>
                <w:szCs w:val="18"/>
                <w:vertAlign w:val="superscript"/>
              </w:rPr>
            </w:pPr>
            <w:r>
              <w:lastRenderedPageBreak/>
              <w:t xml:space="preserve">Survival </w:t>
            </w:r>
          </w:p>
        </w:tc>
        <w:tc>
          <w:tcPr>
            <w:tcW w:w="847" w:type="pct"/>
            <w:tcBorders>
              <w:top w:val="single" w:sz="4" w:space="0" w:color="auto"/>
              <w:left w:val="single" w:sz="4" w:space="0" w:color="auto"/>
              <w:bottom w:val="single" w:sz="4" w:space="0" w:color="auto"/>
              <w:right w:val="single" w:sz="4" w:space="0" w:color="auto"/>
            </w:tcBorders>
          </w:tcPr>
          <w:p w14:paraId="58699FFF" w14:textId="77777777" w:rsidR="00B56F4C" w:rsidRPr="009A2B17" w:rsidRDefault="00B56F4C" w:rsidP="00A913F6">
            <w:pPr>
              <w:pStyle w:val="Tabletext1"/>
            </w:pPr>
            <w:r>
              <w:t>114 participants (4 studies)</w:t>
            </w:r>
          </w:p>
        </w:tc>
        <w:tc>
          <w:tcPr>
            <w:tcW w:w="629" w:type="pct"/>
            <w:tcBorders>
              <w:top w:val="single" w:sz="4" w:space="0" w:color="auto"/>
              <w:left w:val="single" w:sz="4" w:space="0" w:color="auto"/>
              <w:bottom w:val="single" w:sz="4" w:space="0" w:color="auto"/>
              <w:right w:val="single" w:sz="4" w:space="0" w:color="auto"/>
            </w:tcBorders>
          </w:tcPr>
          <w:p w14:paraId="672BD99E" w14:textId="77777777" w:rsidR="00B56F4C" w:rsidRDefault="00B56F4C" w:rsidP="00A913F6">
            <w:pPr>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18487664" w14:textId="11579EE8" w:rsidR="00B56F4C" w:rsidRPr="00D235AA" w:rsidRDefault="001A721A" w:rsidP="00A913F6">
            <w:pPr>
              <w:pStyle w:val="Tabletext1"/>
            </w:pPr>
            <w:r>
              <w:t>One year</w:t>
            </w:r>
            <w:r w:rsidR="00B56F4C">
              <w:t xml:space="preserve"> OS for patients treated with MR-IGRT: 88% </w:t>
            </w:r>
            <w:r w:rsidR="00F757D1">
              <w:t>(</w:t>
            </w:r>
            <w:r w:rsidR="00B56F4C">
              <w:t xml:space="preserve">95%CI </w:t>
            </w:r>
            <w:r w:rsidR="00B56F4C" w:rsidRPr="0003573E">
              <w:rPr>
                <w:snapToGrid w:val="0"/>
              </w:rPr>
              <w:t>70.1-97.7</w:t>
            </w:r>
            <w:r w:rsidR="00B56F4C">
              <w:rPr>
                <w:snapToGrid w:val="0"/>
              </w:rPr>
              <w:t>%</w:t>
            </w:r>
            <w:r w:rsidR="00B56F4C" w:rsidRPr="0003573E">
              <w:rPr>
                <w:snapToGrid w:val="0"/>
              </w:rPr>
              <w:t>)</w:t>
            </w:r>
            <w:r w:rsidR="00B56F4C">
              <w:rPr>
                <w:snapToGrid w:val="0"/>
              </w:rPr>
              <w:t xml:space="preserve"> for </w:t>
            </w:r>
            <w:r w:rsidR="00B56F4C">
              <w:t>patients</w:t>
            </w:r>
            <w:r w:rsidR="002A5A21">
              <w:t xml:space="preserve"> with</w:t>
            </w:r>
            <w:r w:rsidR="00B56F4C" w:rsidDel="002A5A21">
              <w:t xml:space="preserve"> </w:t>
            </w:r>
            <w:r w:rsidR="002A5A21">
              <w:t xml:space="preserve">lung cancer </w:t>
            </w:r>
            <w:r w:rsidR="00B56F4C">
              <w:t>(one CS); 69% for patients</w:t>
            </w:r>
            <w:r w:rsidR="002A5A21">
              <w:t xml:space="preserve"> with </w:t>
            </w:r>
            <w:r w:rsidR="00B56F4C">
              <w:t xml:space="preserve"> </w:t>
            </w:r>
            <w:r w:rsidR="00AE1F7B">
              <w:t>HCC</w:t>
            </w:r>
            <w:r w:rsidR="002A5A21">
              <w:t xml:space="preserve"> </w:t>
            </w:r>
            <w:r w:rsidR="00B56F4C">
              <w:t xml:space="preserve">(one CS); </w:t>
            </w:r>
            <w:r w:rsidR="00B517B6">
              <w:t xml:space="preserve">75% in unresectable abdominal cancer (one CS); </w:t>
            </w:r>
            <w:r w:rsidR="00B56F4C">
              <w:t xml:space="preserve">96% for </w:t>
            </w:r>
            <w:r w:rsidR="002A5A21">
              <w:t xml:space="preserve">patients with </w:t>
            </w:r>
            <w:r w:rsidR="00B56F4C">
              <w:t>head and neck cancer (one CS).</w:t>
            </w:r>
          </w:p>
        </w:tc>
      </w:tr>
      <w:tr w:rsidR="00B56F4C" w14:paraId="28D0902F" w14:textId="77777777" w:rsidTr="00DB0E4A">
        <w:trPr>
          <w:cantSplit/>
        </w:trPr>
        <w:tc>
          <w:tcPr>
            <w:tcW w:w="565" w:type="pct"/>
            <w:tcBorders>
              <w:top w:val="single" w:sz="4" w:space="0" w:color="auto"/>
              <w:left w:val="single" w:sz="4" w:space="0" w:color="auto"/>
              <w:bottom w:val="single" w:sz="4" w:space="0" w:color="auto"/>
              <w:right w:val="single" w:sz="4" w:space="0" w:color="auto"/>
            </w:tcBorders>
          </w:tcPr>
          <w:p w14:paraId="2B3F5D9D" w14:textId="77777777" w:rsidR="00B56F4C" w:rsidRDefault="00B56F4C" w:rsidP="00A913F6">
            <w:pPr>
              <w:pStyle w:val="Tabletext1"/>
              <w:rPr>
                <w:rFonts w:cs="Arial"/>
                <w:sz w:val="18"/>
                <w:szCs w:val="18"/>
                <w:vertAlign w:val="superscript"/>
              </w:rPr>
            </w:pPr>
            <w:r>
              <w:t>Quality of life</w:t>
            </w:r>
          </w:p>
        </w:tc>
        <w:tc>
          <w:tcPr>
            <w:tcW w:w="847" w:type="pct"/>
            <w:tcBorders>
              <w:top w:val="single" w:sz="4" w:space="0" w:color="auto"/>
              <w:left w:val="single" w:sz="4" w:space="0" w:color="auto"/>
              <w:bottom w:val="single" w:sz="4" w:space="0" w:color="auto"/>
              <w:right w:val="single" w:sz="4" w:space="0" w:color="auto"/>
            </w:tcBorders>
          </w:tcPr>
          <w:p w14:paraId="38F7078F" w14:textId="77777777" w:rsidR="00B56F4C" w:rsidRPr="009A2B17" w:rsidRDefault="00B56F4C" w:rsidP="00A913F6">
            <w:pPr>
              <w:pStyle w:val="Tabletext1"/>
            </w:pPr>
            <w:r>
              <w:t>63 participants (3 studies)</w:t>
            </w:r>
          </w:p>
        </w:tc>
        <w:tc>
          <w:tcPr>
            <w:tcW w:w="629" w:type="pct"/>
            <w:tcBorders>
              <w:top w:val="single" w:sz="4" w:space="0" w:color="auto"/>
              <w:left w:val="single" w:sz="4" w:space="0" w:color="auto"/>
              <w:bottom w:val="single" w:sz="4" w:space="0" w:color="auto"/>
              <w:right w:val="single" w:sz="4" w:space="0" w:color="auto"/>
            </w:tcBorders>
          </w:tcPr>
          <w:p w14:paraId="77E9C346" w14:textId="77777777" w:rsidR="00B56F4C" w:rsidRDefault="00B56F4C" w:rsidP="00A913F6">
            <w:pPr>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5DF55BD3" w14:textId="7B678AEC" w:rsidR="00B56F4C" w:rsidRPr="00D235AA" w:rsidRDefault="00B56F4C" w:rsidP="00A913F6">
            <w:pPr>
              <w:pStyle w:val="Tabletext1"/>
            </w:pPr>
            <w:r>
              <w:t>Two studies o</w:t>
            </w:r>
            <w:r w:rsidR="00B517B6">
              <w:t>f</w:t>
            </w:r>
            <w:r>
              <w:t xml:space="preserve"> patients treated with MR-IGRT</w:t>
            </w:r>
            <w:r w:rsidR="002A5A21">
              <w:t xml:space="preserve"> </w:t>
            </w:r>
            <w:r>
              <w:t>(unresectable abdominal cancer and prostate cancer) used the same questionnaire (EORTC QLQ-C30) and both reported no differences in QoL scores over the course of radiotherapy treatment.</w:t>
            </w:r>
          </w:p>
        </w:tc>
      </w:tr>
      <w:tr w:rsidR="00B56F4C" w14:paraId="2DE43DCD" w14:textId="77777777" w:rsidTr="00DB0E4A">
        <w:trPr>
          <w:cantSplit/>
        </w:trPr>
        <w:tc>
          <w:tcPr>
            <w:tcW w:w="565" w:type="pct"/>
            <w:tcBorders>
              <w:top w:val="single" w:sz="4" w:space="0" w:color="auto"/>
              <w:left w:val="single" w:sz="4" w:space="0" w:color="auto"/>
              <w:bottom w:val="single" w:sz="4" w:space="0" w:color="auto"/>
              <w:right w:val="single" w:sz="4" w:space="0" w:color="auto"/>
            </w:tcBorders>
          </w:tcPr>
          <w:p w14:paraId="64382F71" w14:textId="77777777" w:rsidR="00B56F4C" w:rsidRDefault="00B56F4C" w:rsidP="00A913F6">
            <w:pPr>
              <w:pStyle w:val="Tabletext1"/>
              <w:rPr>
                <w:rFonts w:cs="Arial"/>
                <w:sz w:val="18"/>
                <w:szCs w:val="18"/>
                <w:vertAlign w:val="superscript"/>
              </w:rPr>
            </w:pPr>
            <w:r>
              <w:t>Dosimetric outcomes</w:t>
            </w:r>
          </w:p>
        </w:tc>
        <w:tc>
          <w:tcPr>
            <w:tcW w:w="847" w:type="pct"/>
            <w:tcBorders>
              <w:top w:val="single" w:sz="4" w:space="0" w:color="auto"/>
              <w:left w:val="single" w:sz="4" w:space="0" w:color="auto"/>
              <w:bottom w:val="single" w:sz="4" w:space="0" w:color="auto"/>
              <w:right w:val="single" w:sz="4" w:space="0" w:color="auto"/>
            </w:tcBorders>
          </w:tcPr>
          <w:p w14:paraId="5A80F01F" w14:textId="77777777" w:rsidR="00B56F4C" w:rsidRDefault="00B56F4C" w:rsidP="00A913F6">
            <w:pPr>
              <w:pStyle w:val="Tabletext1"/>
              <w:rPr>
                <w:rFonts w:cs="Arial"/>
                <w:sz w:val="18"/>
                <w:szCs w:val="18"/>
                <w:vertAlign w:val="superscript"/>
              </w:rPr>
            </w:pPr>
            <w:r>
              <w:t>37 participants (3 studies)</w:t>
            </w:r>
          </w:p>
        </w:tc>
        <w:tc>
          <w:tcPr>
            <w:tcW w:w="629" w:type="pct"/>
            <w:tcBorders>
              <w:top w:val="single" w:sz="4" w:space="0" w:color="auto"/>
              <w:left w:val="single" w:sz="4" w:space="0" w:color="auto"/>
              <w:bottom w:val="single" w:sz="4" w:space="0" w:color="auto"/>
              <w:right w:val="single" w:sz="4" w:space="0" w:color="auto"/>
            </w:tcBorders>
          </w:tcPr>
          <w:p w14:paraId="1F88A896" w14:textId="77777777" w:rsidR="00B56F4C" w:rsidRDefault="00B56F4C" w:rsidP="00A913F6">
            <w:pPr>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58B8355E" w14:textId="77777777" w:rsidR="00B56F4C" w:rsidRPr="00D235AA" w:rsidRDefault="00B56F4C" w:rsidP="00A913F6">
            <w:pPr>
              <w:pStyle w:val="Tabletext1"/>
            </w:pPr>
            <w:r>
              <w:t>Dosimetric parameters for MR-IGRT plans were better than dosimetric parameters for CBCT-IGRT in two studies and worse than the CBCT-IGRT plans in one study.</w:t>
            </w:r>
          </w:p>
        </w:tc>
      </w:tr>
    </w:tbl>
    <w:p w14:paraId="283C188E" w14:textId="2BFF4861" w:rsidR="008156B7" w:rsidRDefault="008156B7" w:rsidP="00DB0E4A">
      <w:pPr>
        <w:pStyle w:val="TFAbbrevs0"/>
        <w:spacing w:before="0"/>
      </w:pPr>
      <w:r w:rsidRPr="00E10B76">
        <w:rPr>
          <w:vertAlign w:val="superscript"/>
        </w:rPr>
        <w:t xml:space="preserve">a </w:t>
      </w:r>
      <w:r w:rsidRPr="00E10B76">
        <w:rPr>
          <w:rFonts w:cs="Arial"/>
        </w:rPr>
        <w:t>GRADE Working Group grades of evidence</w:t>
      </w:r>
      <w:r>
        <w:rPr>
          <w:rFonts w:cs="Arial"/>
        </w:rPr>
        <w:t xml:space="preserve"> (Guyatt et al., 2013)</w:t>
      </w:r>
      <w:r>
        <w:br/>
      </w:r>
      <w:r>
        <w:rPr>
          <w:vertAlign w:val="superscript"/>
        </w:rPr>
        <w:t>b</w:t>
      </w:r>
      <w:r w:rsidRPr="001471C0">
        <w:t xml:space="preserve"> </w:t>
      </w:r>
      <w:r>
        <w:t xml:space="preserve">For case series, the GRADE rating commenced at </w:t>
      </w:r>
      <w:r w:rsidRPr="001471C0">
        <w:rPr>
          <w:b/>
          <w:bCs/>
        </w:rPr>
        <w:t>very low</w:t>
      </w:r>
      <w:r>
        <w:t xml:space="preserve"> certainty evidence</w:t>
      </w:r>
      <w:r w:rsidR="00DB0E4A">
        <w:br/>
      </w:r>
      <w:r w:rsidR="004A189C">
        <w:rPr>
          <w:vertAlign w:val="superscript"/>
        </w:rPr>
        <w:t xml:space="preserve">c </w:t>
      </w:r>
      <w:r w:rsidR="004A189C">
        <w:rPr>
          <w:rFonts w:cs="Arial"/>
        </w:rPr>
        <w:t xml:space="preserve">The interpretation is limited by the lack of comparative evidence for MR-IGRT </w:t>
      </w:r>
      <w:r w:rsidR="004A189C" w:rsidRPr="004A189C">
        <w:rPr>
          <w:rFonts w:cs="Arial"/>
          <w:i/>
        </w:rPr>
        <w:t>vs.</w:t>
      </w:r>
      <w:r w:rsidR="004A189C">
        <w:rPr>
          <w:rFonts w:cs="Arial"/>
        </w:rPr>
        <w:t xml:space="preserve"> CBCT-IGRT</w:t>
      </w:r>
      <w:r>
        <w:rPr>
          <w:rFonts w:cs="Arial"/>
        </w:rPr>
        <w:br/>
      </w:r>
      <w:r w:rsidRPr="00A05ECE">
        <w:rPr>
          <w:rStyle w:val="TablenotesChar0"/>
        </w:rPr>
        <w:t>*</w:t>
      </w:r>
      <w:r w:rsidR="009D21EE" w:rsidRPr="00A05ECE">
        <w:rPr>
          <w:rStyle w:val="TablenotesChar0"/>
        </w:rPr>
        <w:t>*</w:t>
      </w:r>
      <w:hyperlink w:anchor="_ENREF_71" w:tooltip="Tetar, 2019 #23" w:history="1">
        <w:r w:rsidR="008F0151">
          <w:rPr>
            <w:rStyle w:val="TablenotesChar0"/>
          </w:rPr>
          <w:fldChar w:fldCharType="begin"/>
        </w:r>
        <w:r w:rsidR="008F0151">
          <w:rPr>
            <w:rStyle w:val="TablenotesChar0"/>
          </w:rPr>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8F0151">
          <w:rPr>
            <w:rStyle w:val="TablenotesChar0"/>
          </w:rPr>
          <w:fldChar w:fldCharType="separate"/>
        </w:r>
        <w:r w:rsidR="008F0151">
          <w:rPr>
            <w:rStyle w:val="TablenotesChar0"/>
            <w:noProof/>
          </w:rPr>
          <w:t>S. U. Tetar et al. (2019)</w:t>
        </w:r>
        <w:r w:rsidR="008F0151">
          <w:rPr>
            <w:rStyle w:val="TablenotesChar0"/>
          </w:rPr>
          <w:fldChar w:fldCharType="end"/>
        </w:r>
      </w:hyperlink>
      <w:r w:rsidR="009D21EE">
        <w:rPr>
          <w:rStyle w:val="TablenotesChar0"/>
        </w:rPr>
        <w:t xml:space="preserve"> </w:t>
      </w:r>
      <w:r w:rsidRPr="00A05ECE">
        <w:rPr>
          <w:rStyle w:val="TablenotesChar0"/>
        </w:rPr>
        <w:t xml:space="preserve">and </w:t>
      </w:r>
      <w:hyperlink w:anchor="_ENREF_70" w:tooltip="Tetar, 2018 #26" w:history="1">
        <w:r w:rsidR="008F0151">
          <w:rPr>
            <w:rStyle w:val="TablenotesChar0"/>
          </w:rPr>
          <w:fldChar w:fldCharType="begin"/>
        </w:r>
        <w:r w:rsidR="008F0151">
          <w:rPr>
            <w:rStyle w:val="TablenotesChar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8F0151">
          <w:rPr>
            <w:rStyle w:val="TablenotesChar0"/>
          </w:rPr>
          <w:fldChar w:fldCharType="separate"/>
        </w:r>
        <w:r w:rsidR="008F0151">
          <w:rPr>
            <w:rStyle w:val="TablenotesChar0"/>
            <w:noProof/>
          </w:rPr>
          <w:t>S. Tetar et al. (2018)</w:t>
        </w:r>
        <w:r w:rsidR="008F0151">
          <w:rPr>
            <w:rStyle w:val="TablenotesChar0"/>
          </w:rPr>
          <w:fldChar w:fldCharType="end"/>
        </w:r>
      </w:hyperlink>
      <w:r w:rsidR="004A189C">
        <w:rPr>
          <w:rFonts w:cs="Arial"/>
        </w:rPr>
        <w:t>CBCT-IGRT</w:t>
      </w:r>
      <w:r>
        <w:rPr>
          <w:rFonts w:cs="Arial"/>
        </w:rPr>
        <w:br/>
      </w:r>
      <w:r w:rsidRPr="00A05ECE">
        <w:rPr>
          <w:rStyle w:val="TablenotesChar0"/>
        </w:rPr>
        <w:t>*</w:t>
      </w:r>
      <w:r w:rsidR="009D21EE" w:rsidRPr="00A05ECE">
        <w:rPr>
          <w:rStyle w:val="TablenotesChar0"/>
        </w:rPr>
        <w:t>*</w:t>
      </w:r>
      <w:hyperlink w:anchor="_ENREF_71" w:tooltip="Tetar, 2019 #23" w:history="1">
        <w:r w:rsidR="008F0151">
          <w:rPr>
            <w:rStyle w:val="TablenotesChar0"/>
          </w:rPr>
          <w:fldChar w:fldCharType="begin"/>
        </w:r>
        <w:r w:rsidR="008F0151">
          <w:rPr>
            <w:rStyle w:val="TablenotesChar0"/>
          </w:rPr>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8F0151">
          <w:rPr>
            <w:rStyle w:val="TablenotesChar0"/>
          </w:rPr>
          <w:fldChar w:fldCharType="separate"/>
        </w:r>
        <w:r w:rsidR="008F0151">
          <w:rPr>
            <w:rStyle w:val="TablenotesChar0"/>
            <w:noProof/>
          </w:rPr>
          <w:t>S. U. Tetar et al. (2019)</w:t>
        </w:r>
        <w:r w:rsidR="008F0151">
          <w:rPr>
            <w:rStyle w:val="TablenotesChar0"/>
          </w:rPr>
          <w:fldChar w:fldCharType="end"/>
        </w:r>
      </w:hyperlink>
      <w:r w:rsidR="009D21EE">
        <w:rPr>
          <w:rStyle w:val="TablenotesChar0"/>
        </w:rPr>
        <w:t xml:space="preserve"> </w:t>
      </w:r>
      <w:r w:rsidRPr="00A05ECE">
        <w:rPr>
          <w:rStyle w:val="TablenotesChar0"/>
        </w:rPr>
        <w:t xml:space="preserve">and </w:t>
      </w:r>
      <w:hyperlink w:anchor="_ENREF_70" w:tooltip="Tetar, 2018 #26" w:history="1">
        <w:r w:rsidR="008F0151">
          <w:rPr>
            <w:rStyle w:val="TablenotesChar0"/>
          </w:rPr>
          <w:fldChar w:fldCharType="begin"/>
        </w:r>
        <w:r w:rsidR="008F0151">
          <w:rPr>
            <w:rStyle w:val="TablenotesChar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8F0151">
          <w:rPr>
            <w:rStyle w:val="TablenotesChar0"/>
          </w:rPr>
          <w:fldChar w:fldCharType="separate"/>
        </w:r>
        <w:r w:rsidR="008F0151">
          <w:rPr>
            <w:rStyle w:val="TablenotesChar0"/>
            <w:noProof/>
          </w:rPr>
          <w:t>S. Tetar et al. (2018)</w:t>
        </w:r>
        <w:r w:rsidR="008F0151">
          <w:rPr>
            <w:rStyle w:val="TablenotesChar0"/>
          </w:rPr>
          <w:fldChar w:fldCharType="end"/>
        </w:r>
      </w:hyperlink>
      <w:r w:rsidR="009D21EE">
        <w:rPr>
          <w:rStyle w:val="TablenotesChar0"/>
        </w:rPr>
        <w:t xml:space="preserve"> </w:t>
      </w:r>
      <w:r w:rsidRPr="00A05ECE">
        <w:rPr>
          <w:rStyle w:val="TablenotesChar0"/>
        </w:rPr>
        <w:t xml:space="preserve">likely included overlapping populations. </w:t>
      </w:r>
      <w:r w:rsidR="00900473">
        <w:rPr>
          <w:rStyle w:val="TablenotesChar0"/>
        </w:rPr>
        <w:t xml:space="preserve">Only </w:t>
      </w:r>
      <w:hyperlink w:anchor="_ENREF_70" w:tooltip="Tetar, 2018 #26" w:history="1">
        <w:r w:rsidR="008F0151">
          <w:rPr>
            <w:rStyle w:val="TablenotesChar0"/>
          </w:rPr>
          <w:fldChar w:fldCharType="begin"/>
        </w:r>
        <w:r w:rsidR="008F0151">
          <w:rPr>
            <w:rStyle w:val="TablenotesChar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8F0151">
          <w:rPr>
            <w:rStyle w:val="TablenotesChar0"/>
          </w:rPr>
          <w:fldChar w:fldCharType="separate"/>
        </w:r>
        <w:r w:rsidR="008F0151">
          <w:rPr>
            <w:rStyle w:val="TablenotesChar0"/>
            <w:noProof/>
          </w:rPr>
          <w:t>S. Tetar et al. (2018)</w:t>
        </w:r>
        <w:r w:rsidR="008F0151">
          <w:rPr>
            <w:rStyle w:val="TablenotesChar0"/>
          </w:rPr>
          <w:fldChar w:fldCharType="end"/>
        </w:r>
      </w:hyperlink>
      <w:r w:rsidR="00900473">
        <w:rPr>
          <w:rStyle w:val="TablenotesChar0"/>
        </w:rPr>
        <w:t xml:space="preserve">Only </w:t>
      </w:r>
      <w:hyperlink w:anchor="_ENREF_70" w:tooltip="Tetar, 2018 #26" w:history="1">
        <w:r w:rsidR="008F0151">
          <w:rPr>
            <w:rStyle w:val="TablenotesChar0"/>
          </w:rPr>
          <w:fldChar w:fldCharType="begin"/>
        </w:r>
        <w:r w:rsidR="008F0151">
          <w:rPr>
            <w:rStyle w:val="TablenotesChar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8F0151">
          <w:rPr>
            <w:rStyle w:val="TablenotesChar0"/>
          </w:rPr>
          <w:fldChar w:fldCharType="separate"/>
        </w:r>
        <w:r w:rsidR="008F0151">
          <w:rPr>
            <w:rStyle w:val="TablenotesChar0"/>
            <w:noProof/>
          </w:rPr>
          <w:t>S. Tetar et al. (2018)</w:t>
        </w:r>
        <w:r w:rsidR="008F0151">
          <w:rPr>
            <w:rStyle w:val="TablenotesChar0"/>
          </w:rPr>
          <w:fldChar w:fldCharType="end"/>
        </w:r>
      </w:hyperlink>
      <w:r w:rsidRPr="00A05ECE">
        <w:rPr>
          <w:rStyle w:val="TablenotesChar0"/>
        </w:rPr>
        <w:t xml:space="preserve"> </w:t>
      </w:r>
      <w:r w:rsidR="00900473">
        <w:rPr>
          <w:rStyle w:val="TablenotesChar0"/>
        </w:rPr>
        <w:t>is</w:t>
      </w:r>
      <w:r w:rsidRPr="00A05ECE">
        <w:rPr>
          <w:rStyle w:val="TablenotesChar0"/>
        </w:rPr>
        <w:t xml:space="preserve"> included in the summary table</w:t>
      </w:r>
      <w:r w:rsidRPr="00E10B76">
        <w:rPr>
          <w:rFonts w:cs="Arial"/>
        </w:rPr>
        <w:br/>
      </w:r>
      <w:r w:rsidRPr="00D4733A">
        <w:rPr>
          <w:rFonts w:ascii="Cambria Math" w:hAnsi="Cambria Math"/>
          <w:color w:val="00B050"/>
        </w:rPr>
        <w:t>⨁⨁⨁⨁</w:t>
      </w:r>
      <w:r>
        <w:rPr>
          <w:rFonts w:ascii="Cambria Math" w:hAnsi="Cambria Math"/>
          <w:color w:val="00B050"/>
        </w:rPr>
        <w:t xml:space="preserve"> </w:t>
      </w:r>
      <w:r w:rsidRPr="00E10B76">
        <w:rPr>
          <w:rFonts w:cs="Arial"/>
          <w:b/>
        </w:rPr>
        <w:t>High quality:</w:t>
      </w:r>
      <w:r w:rsidRPr="00E10B76">
        <w:rPr>
          <w:rFonts w:cs="Arial"/>
        </w:rPr>
        <w:t xml:space="preserve"> </w:t>
      </w:r>
      <w:r>
        <w:rPr>
          <w:rFonts w:cs="Arial"/>
        </w:rPr>
        <w:t>We are very confident that the true effect lies close to that of the estimate of effect.</w:t>
      </w:r>
      <w:r w:rsidRPr="00E10B76">
        <w:rPr>
          <w:rFonts w:cs="Arial"/>
        </w:rPr>
        <w:t xml:space="preserve"> </w:t>
      </w:r>
      <w:r w:rsidRPr="00E10B76">
        <w:rPr>
          <w:rFonts w:cs="Arial"/>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rFonts w:cs="Arial"/>
          <w:b/>
        </w:rPr>
        <w:t>Moderate quality:</w:t>
      </w:r>
      <w:r w:rsidRPr="00E10B76">
        <w:rPr>
          <w:rFonts w:cs="Arial"/>
        </w:rPr>
        <w:t xml:space="preserve"> </w:t>
      </w:r>
      <w:r>
        <w:rPr>
          <w:rFonts w:cs="Arial"/>
        </w:rPr>
        <w:t xml:space="preserve">We are moderately confident in the effect estimate: The true effect is likely to be close to the estimate of the effect, but there is a possibility that it is substantially different. </w:t>
      </w:r>
      <w:r w:rsidRPr="00E10B76">
        <w:rPr>
          <w:rFonts w:cs="Arial"/>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rFonts w:cs="Arial"/>
          <w:b/>
        </w:rPr>
        <w:t>Low quality:</w:t>
      </w:r>
      <w:r w:rsidRPr="00E10B76">
        <w:rPr>
          <w:rFonts w:cs="Arial"/>
        </w:rPr>
        <w:t xml:space="preserve"> </w:t>
      </w:r>
      <w:r>
        <w:rPr>
          <w:rFonts w:cs="Arial"/>
        </w:rPr>
        <w:t>Our confidence in the effect estimate is limited: The true effect may be substantially different from the estimate of the effect.</w:t>
      </w:r>
      <w:r w:rsidRPr="00E10B76">
        <w:rPr>
          <w:rFonts w:cs="Arial"/>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rFonts w:cs="Arial"/>
          <w:b/>
        </w:rPr>
        <w:t>Very low quality:</w:t>
      </w:r>
      <w:r w:rsidRPr="00E10B76">
        <w:rPr>
          <w:rFonts w:cs="Arial"/>
        </w:rPr>
        <w:t xml:space="preserve"> </w:t>
      </w:r>
      <w:r>
        <w:rPr>
          <w:rFonts w:cs="Arial"/>
        </w:rPr>
        <w:t>We have very little confidence in the effect estimate: The true effect is likely to be substantially different from the estimate of effect</w:t>
      </w:r>
      <w:r w:rsidR="00DB0E4A">
        <w:rPr>
          <w:rFonts w:cs="Arial"/>
        </w:rPr>
        <w:br/>
      </w:r>
      <w:r>
        <w:t>CBCT</w:t>
      </w:r>
      <w:r w:rsidR="006364F9">
        <w:t>=</w:t>
      </w:r>
      <w:r w:rsidR="000B2B19">
        <w:t>cone beam computed tomography</w:t>
      </w:r>
      <w:r w:rsidR="006364F9">
        <w:t>;</w:t>
      </w:r>
      <w:r>
        <w:t xml:space="preserve"> CT</w:t>
      </w:r>
      <w:r w:rsidR="006364F9">
        <w:t>=</w:t>
      </w:r>
      <w:r>
        <w:t>computed tomography; CS</w:t>
      </w:r>
      <w:r w:rsidR="006364F9">
        <w:t>=</w:t>
      </w:r>
      <w:r>
        <w:t>case series</w:t>
      </w:r>
      <w:r w:rsidR="006364F9">
        <w:t>;</w:t>
      </w:r>
      <w:r>
        <w:t xml:space="preserve"> GI</w:t>
      </w:r>
      <w:r w:rsidR="006364F9">
        <w:t>=</w:t>
      </w:r>
      <w:r>
        <w:t>gastrointestinal; GU</w:t>
      </w:r>
      <w:r w:rsidR="006364F9">
        <w:t>=</w:t>
      </w:r>
      <w:r>
        <w:t xml:space="preserve">genitourinary; </w:t>
      </w:r>
      <w:r w:rsidR="00AE1F7B">
        <w:t xml:space="preserve">HCC=hepatocellular carcinoma; </w:t>
      </w:r>
      <w:r>
        <w:t>IGRT</w:t>
      </w:r>
      <w:r w:rsidR="006364F9">
        <w:t>=</w:t>
      </w:r>
      <w:r>
        <w:t>image guided radiation therapy; MR</w:t>
      </w:r>
      <w:r w:rsidR="006364F9">
        <w:t>=</w:t>
      </w:r>
      <w:r>
        <w:t>magnetic resonance</w:t>
      </w:r>
      <w:r w:rsidR="006364F9">
        <w:t>;</w:t>
      </w:r>
      <w:r>
        <w:t xml:space="preserve"> OS</w:t>
      </w:r>
      <w:r w:rsidR="006364F9">
        <w:t>=</w:t>
      </w:r>
      <w:r>
        <w:t>overall survival</w:t>
      </w:r>
      <w:r w:rsidR="006364F9">
        <w:t>;</w:t>
      </w:r>
      <w:r>
        <w:t xml:space="preserve"> QoL</w:t>
      </w:r>
      <w:r w:rsidR="006364F9">
        <w:t>=</w:t>
      </w:r>
      <w:r>
        <w:t>quality of life</w:t>
      </w:r>
    </w:p>
    <w:p w14:paraId="450FD711" w14:textId="10871588" w:rsidR="000E455E" w:rsidRPr="000C5BC6" w:rsidRDefault="000E455E" w:rsidP="00DD2AF8">
      <w:pPr>
        <w:rPr>
          <w:bCs/>
        </w:rPr>
      </w:pPr>
      <w:r>
        <w:t xml:space="preserve">On the basis of the benefits and harms reported in the evidence base (summarised above), </w:t>
      </w:r>
      <w:r>
        <w:rPr>
          <w:b/>
        </w:rPr>
        <w:t>i</w:t>
      </w:r>
      <w:r w:rsidRPr="008B6EBE">
        <w:rPr>
          <w:b/>
        </w:rPr>
        <w:t xml:space="preserve">t is suggested that, relative to </w:t>
      </w:r>
      <w:r w:rsidR="002C0072">
        <w:rPr>
          <w:b/>
        </w:rPr>
        <w:t>CBCT-</w:t>
      </w:r>
      <w:r w:rsidR="002C0072" w:rsidRPr="004478E9">
        <w:rPr>
          <w:b/>
        </w:rPr>
        <w:t>IGRT, the MR-IGRT</w:t>
      </w:r>
      <w:r w:rsidRPr="008B6EBE">
        <w:rPr>
          <w:b/>
        </w:rPr>
        <w:t xml:space="preserve"> has </w:t>
      </w:r>
      <w:r w:rsidR="002C0072" w:rsidRPr="004478E9">
        <w:rPr>
          <w:b/>
        </w:rPr>
        <w:t>uncertain</w:t>
      </w:r>
      <w:r w:rsidRPr="008B6EBE">
        <w:rPr>
          <w:b/>
        </w:rPr>
        <w:t xml:space="preserve"> safety and </w:t>
      </w:r>
      <w:r w:rsidR="002C0072" w:rsidRPr="004478E9">
        <w:rPr>
          <w:b/>
        </w:rPr>
        <w:t>uncertain</w:t>
      </w:r>
      <w:r w:rsidRPr="008B6EBE">
        <w:rPr>
          <w:b/>
        </w:rPr>
        <w:t xml:space="preserve"> effectiveness.</w:t>
      </w:r>
      <w:r w:rsidR="000C5BC6">
        <w:rPr>
          <w:b/>
        </w:rPr>
        <w:t xml:space="preserve"> </w:t>
      </w:r>
      <w:r w:rsidR="000C5BC6">
        <w:rPr>
          <w:bCs/>
        </w:rPr>
        <w:t xml:space="preserve">The statement of uncertain safety relates to the absence of evidence. Safety concerns were not detected in the available evidence.  </w:t>
      </w:r>
    </w:p>
    <w:p w14:paraId="0BBA739B" w14:textId="77777777" w:rsidR="000A2C9E" w:rsidRPr="00183E4D" w:rsidRDefault="000A2C9E" w:rsidP="00DF343F">
      <w:pPr>
        <w:pStyle w:val="Heading3"/>
        <w:jc w:val="both"/>
      </w:pPr>
      <w:bookmarkStart w:id="123" w:name="_Toc395200751"/>
      <w:bookmarkStart w:id="124" w:name="_Toc59018750"/>
      <w:bookmarkStart w:id="125" w:name="_Toc59020294"/>
      <w:bookmarkStart w:id="126" w:name="_Toc59439516"/>
      <w:bookmarkStart w:id="127" w:name="_Toc89857788"/>
      <w:r w:rsidRPr="00183E4D">
        <w:t>Translation Issues</w:t>
      </w:r>
      <w:bookmarkStart w:id="128" w:name="_Toc379118059"/>
      <w:bookmarkStart w:id="129" w:name="_Toc379118251"/>
      <w:bookmarkStart w:id="130" w:name="_Toc381796435"/>
      <w:bookmarkEnd w:id="123"/>
      <w:bookmarkEnd w:id="124"/>
      <w:bookmarkEnd w:id="125"/>
      <w:bookmarkEnd w:id="126"/>
      <w:bookmarkEnd w:id="127"/>
    </w:p>
    <w:p w14:paraId="168F096C" w14:textId="77777777" w:rsidR="00F77A31" w:rsidRDefault="00F77A31" w:rsidP="00F77A31">
      <w:pPr>
        <w:pStyle w:val="Heading4"/>
      </w:pPr>
      <w:r>
        <w:t>Applicability issues</w:t>
      </w:r>
    </w:p>
    <w:p w14:paraId="0869276A" w14:textId="61AA14DC" w:rsidR="00F77A31" w:rsidRDefault="00175E93" w:rsidP="00F77A31">
      <w:r>
        <w:t>The DCAR</w:t>
      </w:r>
      <w:r w:rsidR="00F77A31">
        <w:t xml:space="preserve"> have used the estimates from the two US based studies (Schumacher et al and Parikh et al) to conduct the economic evaluation. This is a potential applicability issue considering the estimates in these two studies reflect the clinical practice within the US, however, due to paucity of the evidence in the Australian setting, it was decided to use the evidence from these two studies.</w:t>
      </w:r>
    </w:p>
    <w:p w14:paraId="02F0DC9F" w14:textId="3F945837" w:rsidR="001F781A" w:rsidRDefault="00211285" w:rsidP="00F77A31">
      <w:hyperlink w:anchor="_ENREF_62" w:tooltip="Schumacher, 2020 #93" w:history="1">
        <w:r w:rsidR="001F781A">
          <w:fldChar w:fldCharType="begin"/>
        </w:r>
        <w:r w:rsidR="001F781A">
          <w:instrText xml:space="preserve"> ADDIN EN.CITE &lt;EndNote&gt;&lt;Cite AuthorYear="1"&gt;&lt;Author&gt;Schumacher&lt;/Author&gt;&lt;Year&gt;2020&lt;/Year&gt;&lt;RecNum&gt;93&lt;/RecNum&gt;&lt;DisplayText&gt;Schumacher, Dal Pra, Hoffe, and Mellon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1F781A">
          <w:fldChar w:fldCharType="separate"/>
        </w:r>
        <w:r w:rsidR="001F781A">
          <w:rPr>
            <w:noProof/>
          </w:rPr>
          <w:t>Schumacher, Dal Pra, Hoffe, and Mellon (2020)</w:t>
        </w:r>
        <w:r w:rsidR="001F781A">
          <w:fldChar w:fldCharType="end"/>
        </w:r>
      </w:hyperlink>
      <w:r w:rsidR="001F781A">
        <w:t xml:space="preserve"> presented toxicity reduction required for MR-IGRT radiotherapy to be cost-effective in the treatment of localized prostate cancer compared with CBCT-guided radiation therapy conducted in the United States population.</w:t>
      </w:r>
      <w:r w:rsidR="00D92590">
        <w:t xml:space="preserve"> In this study, two treatment regiments were modelled, conventional fractionation with 39 daily fractions and </w:t>
      </w:r>
      <w:r w:rsidR="004301D0">
        <w:t>SBRT</w:t>
      </w:r>
      <w:r w:rsidR="008F0151">
        <w:t xml:space="preserve"> </w:t>
      </w:r>
      <w:r w:rsidR="005F5DF6">
        <w:t>with 5 fractions.</w:t>
      </w:r>
      <w:r w:rsidR="00C25152">
        <w:t xml:space="preserve"> </w:t>
      </w:r>
      <w:r w:rsidR="009D3D49">
        <w:t xml:space="preserve">The study by </w:t>
      </w:r>
      <w:hyperlink w:anchor="_ENREF_57" w:tooltip="Parikh, 2020 #92" w:history="1">
        <w:r w:rsidR="009D3D49">
          <w:fldChar w:fldCharType="begin"/>
        </w:r>
        <w:r w:rsidR="009D3D49">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9D3D49">
          <w:fldChar w:fldCharType="separate"/>
        </w:r>
        <w:r w:rsidR="009D3D49">
          <w:rPr>
            <w:noProof/>
          </w:rPr>
          <w:t>Parikh et al. (2020)</w:t>
        </w:r>
        <w:r w:rsidR="009D3D49">
          <w:fldChar w:fldCharType="end"/>
        </w:r>
      </w:hyperlink>
      <w:r w:rsidR="009D3D49">
        <w:t xml:space="preserve"> presented time-driven activity-based costing comparison of CBCT-IGRT versus MR-IGRT for patients with unresectable hepatocellular carcinoma as an example in the United States.</w:t>
      </w:r>
      <w:r w:rsidR="004301D0">
        <w:t xml:space="preserve"> In this study, CT-guided SBRT </w:t>
      </w:r>
      <w:r w:rsidR="00E27A9E">
        <w:t xml:space="preserve">and MR-guided SBRT </w:t>
      </w:r>
      <w:r w:rsidR="0012767B">
        <w:t xml:space="preserve">were delivered </w:t>
      </w:r>
      <w:r w:rsidR="0012767B">
        <w:lastRenderedPageBreak/>
        <w:t xml:space="preserve">with 50 Gy over 5 fractions in patients with localized unresectable hepatocellular </w:t>
      </w:r>
      <w:r w:rsidR="00C25152">
        <w:t xml:space="preserve">carcinoma. </w:t>
      </w:r>
      <w:r w:rsidR="00307E02">
        <w:t>In the assessment, the assumption was made that radiation therapy will be delivered using 5 fractions SBRT</w:t>
      </w:r>
      <w:r w:rsidR="008737C4">
        <w:t xml:space="preserve"> </w:t>
      </w:r>
      <w:r w:rsidR="001D7055">
        <w:t xml:space="preserve">to reflect the radiation therapy </w:t>
      </w:r>
      <w:r w:rsidR="00F629FF">
        <w:t>used in both studies and to main consistency</w:t>
      </w:r>
      <w:r w:rsidR="00D94D03">
        <w:t xml:space="preserve"> in estimating the cost of MR-IGRT and CBCT-IGRT</w:t>
      </w:r>
      <w:r w:rsidR="00F629FF">
        <w:t xml:space="preserve">. </w:t>
      </w:r>
    </w:p>
    <w:p w14:paraId="4519C34E" w14:textId="6F8E5FCA" w:rsidR="00F77A31" w:rsidRDefault="001325A6" w:rsidP="00F77A31">
      <w:r w:rsidRPr="00470AEB">
        <w:rPr>
          <w:rFonts w:asciiTheme="minorHAnsi" w:hAnsiTheme="minorHAnsi" w:cstheme="minorHAnsi"/>
        </w:rPr>
        <w:t xml:space="preserve">However, in the Australian </w:t>
      </w:r>
      <w:r w:rsidRPr="001325A6">
        <w:rPr>
          <w:rFonts w:asciiTheme="minorHAnsi" w:hAnsiTheme="minorHAnsi" w:cstheme="minorHAnsi"/>
        </w:rPr>
        <w:t>setting, underlyi</w:t>
      </w:r>
      <w:r w:rsidRPr="00357507">
        <w:rPr>
          <w:rFonts w:asciiTheme="minorHAnsi" w:hAnsiTheme="minorHAnsi" w:cstheme="minorHAnsi"/>
        </w:rPr>
        <w:t xml:space="preserve">ng radiation therapy could be delivered using different treatment such as Intensity Modulated Radiation Therapy (IMRT). </w:t>
      </w:r>
      <w:r w:rsidR="004A4E07">
        <w:rPr>
          <w:rFonts w:asciiTheme="minorHAnsi" w:hAnsiTheme="minorHAnsi" w:cstheme="minorHAnsi"/>
        </w:rPr>
        <w:t>As such t</w:t>
      </w:r>
      <w:r w:rsidRPr="00357507">
        <w:rPr>
          <w:rFonts w:asciiTheme="minorHAnsi" w:hAnsiTheme="minorHAnsi" w:cstheme="minorHAnsi"/>
        </w:rPr>
        <w:t xml:space="preserve">he radiation dose, number of fractions, and healthcare resources utilisation is likely to differ based on the radiation treatment and </w:t>
      </w:r>
      <w:r w:rsidR="00B921FE">
        <w:rPr>
          <w:rFonts w:asciiTheme="minorHAnsi" w:hAnsiTheme="minorHAnsi" w:cstheme="minorHAnsi"/>
        </w:rPr>
        <w:t>can</w:t>
      </w:r>
      <w:r w:rsidRPr="00357507">
        <w:rPr>
          <w:rFonts w:asciiTheme="minorHAnsi" w:hAnsiTheme="minorHAnsi" w:cstheme="minorHAnsi"/>
        </w:rPr>
        <w:t xml:space="preserve"> impact the cost. </w:t>
      </w:r>
      <w:r>
        <w:rPr>
          <w:rFonts w:asciiTheme="minorHAnsi" w:hAnsiTheme="minorHAnsi" w:cstheme="minorHAnsi"/>
        </w:rPr>
        <w:t xml:space="preserve">Furthermore, depending on the type of cancer and stage, the requirements are likely to differ and impact the overall cost. </w:t>
      </w:r>
      <w:r w:rsidR="0032720B">
        <w:rPr>
          <w:rFonts w:asciiTheme="minorHAnsi" w:hAnsiTheme="minorHAnsi" w:cstheme="minorHAnsi"/>
        </w:rPr>
        <w:t xml:space="preserve">This is a potential applicability issue, however, due to paucity in the evidence, it was decided to use the evidence available from the literature identified. </w:t>
      </w:r>
    </w:p>
    <w:p w14:paraId="08667137" w14:textId="577A8D1A" w:rsidR="00F77A31" w:rsidRDefault="00F77A31" w:rsidP="00F77A31">
      <w:r>
        <w:t xml:space="preserve">The rates of different grades of toxicity related to prostate cancer were based on naïve comparison across different studies presented in </w:t>
      </w:r>
      <w:r>
        <w:fldChar w:fldCharType="begin"/>
      </w:r>
      <w:r>
        <w:instrText xml:space="preserve"> REF _Ref55823918 \h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fldChar w:fldCharType="separate"/>
      </w:r>
      <w:r w:rsidR="00451350" w:rsidRPr="00E86441">
        <w:t xml:space="preserve">Table </w:t>
      </w:r>
      <w:r w:rsidR="00451350">
        <w:rPr>
          <w:noProof/>
        </w:rPr>
        <w:t>21</w:t>
      </w:r>
      <w:r>
        <w:fldChar w:fldCharType="end"/>
      </w:r>
      <w:r>
        <w:t xml:space="preserve">. Relevant treatment costs were applied to the toxicity rates provided to calculate the cost of toxicity associated with MR-IGRT and CBCT-IGRT. This is a potential applicability issue since these studies were conducted internationally, </w:t>
      </w:r>
      <w:r w:rsidR="002C3E2C">
        <w:t xml:space="preserve">had methodological weaknesses, heterogeneity in the patient population included. </w:t>
      </w:r>
      <w:r w:rsidR="001253D0">
        <w:t>H</w:t>
      </w:r>
      <w:r>
        <w:t>owever, for the economic evaluation, they were the best source of available evidence on prostate cancer related toxicities post MR-IGRT and CBCT-IGRT.</w:t>
      </w:r>
    </w:p>
    <w:p w14:paraId="2D45A66A" w14:textId="77777777" w:rsidR="009A4F87" w:rsidRDefault="009A4F87" w:rsidP="009A4F87">
      <w:pPr>
        <w:pStyle w:val="Heading4"/>
      </w:pPr>
      <w:bookmarkStart w:id="131" w:name="_Toc259437725"/>
      <w:bookmarkStart w:id="132" w:name="_Toc395200753"/>
      <w:bookmarkStart w:id="133" w:name="_Toc379118060"/>
      <w:bookmarkStart w:id="134" w:name="_Toc379118252"/>
      <w:bookmarkEnd w:id="128"/>
      <w:bookmarkEnd w:id="129"/>
      <w:bookmarkEnd w:id="130"/>
      <w:r>
        <w:t>Any other translation issues</w:t>
      </w:r>
    </w:p>
    <w:p w14:paraId="640E0733" w14:textId="77777777" w:rsidR="009A4F87" w:rsidRPr="005C7403" w:rsidRDefault="009A4F87" w:rsidP="009A4F87">
      <w:r>
        <w:t>No other translation issues were identified.</w:t>
      </w:r>
    </w:p>
    <w:p w14:paraId="09370F70" w14:textId="77777777" w:rsidR="009A4F87" w:rsidRPr="00183E4D" w:rsidRDefault="009A4F87" w:rsidP="009A4F87">
      <w:pPr>
        <w:pStyle w:val="Heading3"/>
        <w:jc w:val="both"/>
      </w:pPr>
      <w:bookmarkStart w:id="135" w:name="_Toc395200752"/>
      <w:bookmarkStart w:id="136" w:name="_Toc59018751"/>
      <w:bookmarkStart w:id="137" w:name="_Toc59020295"/>
      <w:bookmarkStart w:id="138" w:name="_Toc59439517"/>
      <w:bookmarkStart w:id="139" w:name="_Toc89857789"/>
      <w:r w:rsidRPr="00183E4D">
        <w:t>Economic Evaluation</w:t>
      </w:r>
      <w:bookmarkEnd w:id="135"/>
      <w:bookmarkEnd w:id="136"/>
      <w:bookmarkEnd w:id="137"/>
      <w:bookmarkEnd w:id="138"/>
      <w:bookmarkEnd w:id="139"/>
    </w:p>
    <w:p w14:paraId="7F4F5403" w14:textId="1D97E4AD" w:rsidR="003A4801" w:rsidRDefault="009A4F87" w:rsidP="003A4801">
      <w:bookmarkStart w:id="140" w:name="_Ref379404328"/>
      <w:r>
        <w:t xml:space="preserve">The clinical claim of uncertain safety and uncertain effectiveness impacts the choice of the economic model and based on the ratified PICO, it was decided that a cost-minimisation analysis (CMA) was appropriate. The base case of the economic evaluation is generated by a modelled economic evaluation using the evidence derived from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t xml:space="preserve"> and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t xml:space="preserve"> on the healthcare resource utilisation, time spent on each activity, along with relevant capital costs, and relevant healthcare costs in the Australian healthcare setting, and where available, other Australian parameters. Furthermore, the economic model included the costs of the treatment related to acute and late gastrointestinal (GI) and genitourinary (GU) toxicity in prostate cancer from the studies reported in </w:t>
      </w:r>
      <w:r>
        <w:fldChar w:fldCharType="begin"/>
      </w:r>
      <w:r>
        <w:instrText xml:space="preserve"> REF _Ref55823918 \h </w:instrText>
      </w:r>
      <w:r w:rsidR="003A4801">
        <w:instrText xml:space="preserve"> \* MERGEFORMAT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rsidR="003A4801">
        <w:instrText xml:space="preserve"> \* MERGEFORMAT </w:instrText>
      </w:r>
      <w:r>
        <w:fldChar w:fldCharType="separate"/>
      </w:r>
      <w:r w:rsidR="00451350" w:rsidRPr="00E86441">
        <w:t xml:space="preserve">Table </w:t>
      </w:r>
      <w:r w:rsidR="00451350">
        <w:rPr>
          <w:noProof/>
        </w:rPr>
        <w:t>21</w:t>
      </w:r>
      <w:r>
        <w:fldChar w:fldCharType="end"/>
      </w:r>
      <w:r>
        <w:t>.</w:t>
      </w:r>
      <w:bookmarkStart w:id="141" w:name="_Ref379483368"/>
      <w:bookmarkStart w:id="142" w:name="_Ref394419656"/>
    </w:p>
    <w:p w14:paraId="6B5ECED2" w14:textId="1B4B9D47" w:rsidR="009A4F87" w:rsidRPr="00183E4D" w:rsidRDefault="009A4F87" w:rsidP="00001444">
      <w:pPr>
        <w:pStyle w:val="Caption"/>
        <w:keepNext/>
        <w:tabs>
          <w:tab w:val="left" w:pos="1134"/>
        </w:tabs>
        <w:ind w:left="1134" w:hanging="1134"/>
        <w:jc w:val="both"/>
      </w:pPr>
      <w:bookmarkStart w:id="143" w:name="_Toc89857874"/>
      <w:r w:rsidRPr="00454633">
        <w:lastRenderedPageBreak/>
        <w:t xml:space="preserve">Table </w:t>
      </w:r>
      <w:r w:rsidR="00211285">
        <w:fldChar w:fldCharType="begin"/>
      </w:r>
      <w:r w:rsidR="00211285">
        <w:instrText xml:space="preserve"> SEQ Table \* ARABIC </w:instrText>
      </w:r>
      <w:r w:rsidR="00211285">
        <w:fldChar w:fldCharType="separate"/>
      </w:r>
      <w:r w:rsidR="00451350">
        <w:rPr>
          <w:noProof/>
        </w:rPr>
        <w:t>3</w:t>
      </w:r>
      <w:r w:rsidR="00211285">
        <w:rPr>
          <w:noProof/>
        </w:rPr>
        <w:fldChar w:fldCharType="end"/>
      </w:r>
      <w:bookmarkEnd w:id="140"/>
      <w:bookmarkEnd w:id="141"/>
      <w:r w:rsidRPr="00183E4D">
        <w:tab/>
        <w:t>Summary of the economic evaluation</w:t>
      </w:r>
      <w:bookmarkEnd w:id="142"/>
      <w:bookmarkEnd w:id="143"/>
      <w:r w:rsidRPr="00183E4D">
        <w:t xml:space="preserve"> </w:t>
      </w:r>
    </w:p>
    <w:tbl>
      <w:tblPr>
        <w:tblStyle w:val="TableGrid1"/>
        <w:tblW w:w="5000" w:type="pct"/>
        <w:tblLook w:val="01E0" w:firstRow="1" w:lastRow="1" w:firstColumn="1" w:lastColumn="1" w:noHBand="0" w:noVBand="0"/>
        <w:tblCaption w:val="Table 3 Summary of the economic evaluation "/>
        <w:tblDescription w:val="This table describes the key constructs of the economic evaluation that is provided in the assessment report."/>
      </w:tblPr>
      <w:tblGrid>
        <w:gridCol w:w="3107"/>
        <w:gridCol w:w="5909"/>
      </w:tblGrid>
      <w:tr w:rsidR="009A4F87" w:rsidRPr="00183E4D" w14:paraId="7472B451" w14:textId="77777777" w:rsidTr="00556AB6">
        <w:trPr>
          <w:cnfStyle w:val="100000000000" w:firstRow="1" w:lastRow="0" w:firstColumn="0" w:lastColumn="0" w:oddVBand="0" w:evenVBand="0" w:oddHBand="0" w:evenHBand="0" w:firstRowFirstColumn="0" w:firstRowLastColumn="0" w:lastRowFirstColumn="0" w:lastRowLastColumn="0"/>
          <w:trHeight w:val="20"/>
        </w:trPr>
        <w:tc>
          <w:tcPr>
            <w:tcW w:w="1723" w:type="pct"/>
            <w:tcBorders>
              <w:top w:val="single" w:sz="4" w:space="0" w:color="auto"/>
              <w:left w:val="single" w:sz="4" w:space="0" w:color="auto"/>
              <w:bottom w:val="single" w:sz="4" w:space="0" w:color="auto"/>
              <w:right w:val="single" w:sz="4" w:space="0" w:color="auto"/>
            </w:tcBorders>
          </w:tcPr>
          <w:p w14:paraId="2F313ADD" w14:textId="77777777" w:rsidR="009A4F87" w:rsidRPr="00183E4D" w:rsidRDefault="009A4F87" w:rsidP="00001444">
            <w:pPr>
              <w:pStyle w:val="Tabletext1"/>
              <w:keepNext/>
              <w:rPr>
                <w:b/>
              </w:rPr>
            </w:pPr>
            <w:r w:rsidRPr="00183E4D">
              <w:rPr>
                <w:b/>
              </w:rPr>
              <w:t>Perspective</w:t>
            </w:r>
          </w:p>
        </w:tc>
        <w:tc>
          <w:tcPr>
            <w:tcW w:w="3277" w:type="pct"/>
            <w:tcBorders>
              <w:top w:val="single" w:sz="4" w:space="0" w:color="auto"/>
              <w:left w:val="single" w:sz="4" w:space="0" w:color="auto"/>
              <w:bottom w:val="single" w:sz="4" w:space="0" w:color="auto"/>
              <w:right w:val="single" w:sz="4" w:space="0" w:color="auto"/>
            </w:tcBorders>
          </w:tcPr>
          <w:p w14:paraId="0EABEB68" w14:textId="77777777" w:rsidR="009A4F87" w:rsidRPr="00685195" w:rsidRDefault="009A4F87" w:rsidP="00001444">
            <w:pPr>
              <w:pStyle w:val="Tabletext1"/>
              <w:keepNext/>
            </w:pPr>
            <w:r w:rsidRPr="004C2F0F">
              <w:t>Australian healthcare system</w:t>
            </w:r>
          </w:p>
        </w:tc>
      </w:tr>
      <w:tr w:rsidR="009A4F87" w:rsidRPr="00183E4D" w14:paraId="0945657C" w14:textId="77777777" w:rsidTr="00556AB6">
        <w:trPr>
          <w:trHeight w:val="20"/>
        </w:trPr>
        <w:tc>
          <w:tcPr>
            <w:tcW w:w="1723" w:type="pct"/>
            <w:tcBorders>
              <w:top w:val="single" w:sz="4" w:space="0" w:color="auto"/>
              <w:left w:val="single" w:sz="4" w:space="0" w:color="auto"/>
              <w:bottom w:val="single" w:sz="4" w:space="0" w:color="auto"/>
              <w:right w:val="single" w:sz="4" w:space="0" w:color="auto"/>
            </w:tcBorders>
          </w:tcPr>
          <w:p w14:paraId="6F7C88D3" w14:textId="77777777" w:rsidR="009A4F87" w:rsidRPr="00183E4D" w:rsidRDefault="009A4F87" w:rsidP="00001444">
            <w:pPr>
              <w:pStyle w:val="Tabletext1"/>
              <w:keepNext/>
              <w:rPr>
                <w:b/>
              </w:rPr>
            </w:pPr>
            <w:r w:rsidRPr="00183E4D">
              <w:rPr>
                <w:b/>
              </w:rPr>
              <w:t>Comparator</w:t>
            </w:r>
          </w:p>
        </w:tc>
        <w:tc>
          <w:tcPr>
            <w:tcW w:w="3277" w:type="pct"/>
            <w:tcBorders>
              <w:top w:val="single" w:sz="4" w:space="0" w:color="auto"/>
              <w:left w:val="single" w:sz="4" w:space="0" w:color="auto"/>
              <w:bottom w:val="single" w:sz="4" w:space="0" w:color="auto"/>
              <w:right w:val="single" w:sz="4" w:space="0" w:color="auto"/>
            </w:tcBorders>
          </w:tcPr>
          <w:p w14:paraId="1799FB2B" w14:textId="77777777" w:rsidR="009A4F87" w:rsidRPr="00685195" w:rsidRDefault="009A4F87" w:rsidP="00001444">
            <w:pPr>
              <w:pStyle w:val="Tabletext1"/>
              <w:keepNext/>
            </w:pPr>
            <w:r>
              <w:t xml:space="preserve">Cone-beam computed tomography (CBCT) guided radiation therapy </w:t>
            </w:r>
          </w:p>
        </w:tc>
      </w:tr>
      <w:tr w:rsidR="009A4F87" w:rsidRPr="00183E4D" w14:paraId="27FF1722" w14:textId="77777777" w:rsidTr="00556AB6">
        <w:trPr>
          <w:trHeight w:val="20"/>
        </w:trPr>
        <w:tc>
          <w:tcPr>
            <w:tcW w:w="1723" w:type="pct"/>
            <w:tcBorders>
              <w:top w:val="single" w:sz="4" w:space="0" w:color="auto"/>
              <w:left w:val="single" w:sz="4" w:space="0" w:color="auto"/>
              <w:bottom w:val="single" w:sz="4" w:space="0" w:color="auto"/>
              <w:right w:val="single" w:sz="4" w:space="0" w:color="auto"/>
            </w:tcBorders>
          </w:tcPr>
          <w:p w14:paraId="4652F6C0" w14:textId="77777777" w:rsidR="009A4F87" w:rsidRPr="00183E4D" w:rsidRDefault="009A4F87" w:rsidP="00001444">
            <w:pPr>
              <w:pStyle w:val="Tabletext1"/>
              <w:keepNext/>
              <w:rPr>
                <w:b/>
              </w:rPr>
            </w:pPr>
            <w:r w:rsidRPr="00183E4D">
              <w:rPr>
                <w:b/>
              </w:rPr>
              <w:t>Type of economic evaluation</w:t>
            </w:r>
          </w:p>
        </w:tc>
        <w:tc>
          <w:tcPr>
            <w:tcW w:w="3277" w:type="pct"/>
            <w:tcBorders>
              <w:top w:val="single" w:sz="4" w:space="0" w:color="auto"/>
              <w:left w:val="single" w:sz="4" w:space="0" w:color="auto"/>
              <w:bottom w:val="single" w:sz="4" w:space="0" w:color="auto"/>
              <w:right w:val="single" w:sz="4" w:space="0" w:color="auto"/>
            </w:tcBorders>
          </w:tcPr>
          <w:p w14:paraId="77D10022" w14:textId="10A67149" w:rsidR="009A4F87" w:rsidRPr="005F2963" w:rsidRDefault="009A4F87" w:rsidP="00001444">
            <w:pPr>
              <w:pStyle w:val="Tabletext1"/>
              <w:keepNext/>
            </w:pPr>
            <w:r w:rsidRPr="005F2963">
              <w:t>Cost-minimisation analysis (CMA)</w:t>
            </w:r>
            <w:r w:rsidR="0088085A">
              <w:t>/Cost comparison</w:t>
            </w:r>
          </w:p>
        </w:tc>
      </w:tr>
      <w:tr w:rsidR="009A4F87" w:rsidRPr="00183E4D" w14:paraId="0FB7B287" w14:textId="77777777" w:rsidTr="00556AB6">
        <w:trPr>
          <w:trHeight w:val="20"/>
        </w:trPr>
        <w:tc>
          <w:tcPr>
            <w:tcW w:w="1723" w:type="pct"/>
            <w:tcBorders>
              <w:top w:val="single" w:sz="4" w:space="0" w:color="auto"/>
              <w:left w:val="single" w:sz="4" w:space="0" w:color="auto"/>
              <w:bottom w:val="single" w:sz="4" w:space="0" w:color="auto"/>
              <w:right w:val="single" w:sz="4" w:space="0" w:color="auto"/>
            </w:tcBorders>
          </w:tcPr>
          <w:p w14:paraId="002733B8" w14:textId="77777777" w:rsidR="009A4F87" w:rsidRPr="00183E4D" w:rsidRDefault="009A4F87" w:rsidP="00001444">
            <w:pPr>
              <w:pStyle w:val="Tabletext1"/>
              <w:keepNext/>
              <w:rPr>
                <w:b/>
              </w:rPr>
            </w:pPr>
            <w:r w:rsidRPr="00183E4D">
              <w:rPr>
                <w:b/>
              </w:rPr>
              <w:t>Sources of evidence</w:t>
            </w:r>
          </w:p>
        </w:tc>
        <w:tc>
          <w:tcPr>
            <w:tcW w:w="3277" w:type="pct"/>
            <w:tcBorders>
              <w:top w:val="single" w:sz="4" w:space="0" w:color="auto"/>
              <w:left w:val="single" w:sz="4" w:space="0" w:color="auto"/>
              <w:bottom w:val="single" w:sz="4" w:space="0" w:color="auto"/>
              <w:right w:val="single" w:sz="4" w:space="0" w:color="auto"/>
            </w:tcBorders>
          </w:tcPr>
          <w:p w14:paraId="7AF7CE71" w14:textId="77777777" w:rsidR="009A4F87" w:rsidRPr="004F5A6B" w:rsidRDefault="009A4F87" w:rsidP="00001444">
            <w:pPr>
              <w:pStyle w:val="Tabletext1"/>
              <w:keepNext/>
            </w:pPr>
            <w:r>
              <w:t>Systematic review</w:t>
            </w:r>
          </w:p>
        </w:tc>
      </w:tr>
      <w:tr w:rsidR="009A4F87" w:rsidRPr="00183E4D" w14:paraId="42016014" w14:textId="77777777" w:rsidTr="00556AB6">
        <w:trPr>
          <w:trHeight w:val="20"/>
        </w:trPr>
        <w:tc>
          <w:tcPr>
            <w:tcW w:w="1723" w:type="pct"/>
            <w:tcBorders>
              <w:top w:val="single" w:sz="4" w:space="0" w:color="auto"/>
              <w:left w:val="single" w:sz="4" w:space="0" w:color="auto"/>
              <w:bottom w:val="single" w:sz="4" w:space="0" w:color="auto"/>
              <w:right w:val="single" w:sz="4" w:space="0" w:color="auto"/>
            </w:tcBorders>
            <w:hideMark/>
          </w:tcPr>
          <w:p w14:paraId="15488F15" w14:textId="77777777" w:rsidR="009A4F87" w:rsidRPr="00183E4D" w:rsidRDefault="009A4F87" w:rsidP="00001444">
            <w:pPr>
              <w:pStyle w:val="Tabletext1"/>
              <w:keepNext/>
              <w:rPr>
                <w:b/>
              </w:rPr>
            </w:pPr>
            <w:r w:rsidRPr="00183E4D">
              <w:rPr>
                <w:b/>
              </w:rPr>
              <w:t>Time horizon</w:t>
            </w:r>
          </w:p>
        </w:tc>
        <w:tc>
          <w:tcPr>
            <w:tcW w:w="3277" w:type="pct"/>
            <w:tcBorders>
              <w:top w:val="single" w:sz="4" w:space="0" w:color="auto"/>
              <w:left w:val="single" w:sz="4" w:space="0" w:color="auto"/>
              <w:bottom w:val="single" w:sz="4" w:space="0" w:color="auto"/>
              <w:right w:val="single" w:sz="4" w:space="0" w:color="auto"/>
            </w:tcBorders>
            <w:hideMark/>
          </w:tcPr>
          <w:p w14:paraId="1BA5C849" w14:textId="77777777" w:rsidR="009A4F87" w:rsidRPr="004806B5" w:rsidRDefault="009A4F87" w:rsidP="00001444">
            <w:pPr>
              <w:pStyle w:val="Tabletext1"/>
              <w:keepNext/>
            </w:pPr>
            <w:r>
              <w:t>NA</w:t>
            </w:r>
          </w:p>
        </w:tc>
      </w:tr>
      <w:tr w:rsidR="009A4F87" w:rsidRPr="00183E4D" w14:paraId="2EA3E5EC" w14:textId="77777777" w:rsidTr="00556AB6">
        <w:trPr>
          <w:trHeight w:val="20"/>
        </w:trPr>
        <w:tc>
          <w:tcPr>
            <w:tcW w:w="1723" w:type="pct"/>
            <w:tcBorders>
              <w:top w:val="single" w:sz="4" w:space="0" w:color="auto"/>
              <w:left w:val="single" w:sz="4" w:space="0" w:color="auto"/>
              <w:bottom w:val="single" w:sz="4" w:space="0" w:color="auto"/>
              <w:right w:val="single" w:sz="4" w:space="0" w:color="auto"/>
            </w:tcBorders>
            <w:hideMark/>
          </w:tcPr>
          <w:p w14:paraId="49CFA4A6" w14:textId="77777777" w:rsidR="009A4F87" w:rsidRPr="00183E4D" w:rsidRDefault="009A4F87" w:rsidP="00001444">
            <w:pPr>
              <w:pStyle w:val="Tabletext1"/>
              <w:keepNext/>
              <w:rPr>
                <w:b/>
              </w:rPr>
            </w:pPr>
            <w:r w:rsidRPr="00183E4D">
              <w:rPr>
                <w:b/>
              </w:rPr>
              <w:t>Outcomes</w:t>
            </w:r>
          </w:p>
        </w:tc>
        <w:tc>
          <w:tcPr>
            <w:tcW w:w="3277" w:type="pct"/>
            <w:tcBorders>
              <w:top w:val="single" w:sz="4" w:space="0" w:color="auto"/>
              <w:left w:val="single" w:sz="4" w:space="0" w:color="auto"/>
              <w:bottom w:val="single" w:sz="4" w:space="0" w:color="auto"/>
              <w:right w:val="single" w:sz="4" w:space="0" w:color="auto"/>
            </w:tcBorders>
          </w:tcPr>
          <w:p w14:paraId="3DEC55C9" w14:textId="77777777" w:rsidR="009A4F87" w:rsidRPr="00183E4D" w:rsidRDefault="009A4F87" w:rsidP="00001444">
            <w:pPr>
              <w:pStyle w:val="Tabletext1"/>
              <w:keepNext/>
            </w:pPr>
            <w:r>
              <w:t>Cost of MR-guided radiation therapy and CBCT-guided radiation therapy, cost of treatment related to adverse events in prostate cancer patients</w:t>
            </w:r>
          </w:p>
        </w:tc>
      </w:tr>
      <w:tr w:rsidR="009A4F87" w:rsidRPr="00183E4D" w14:paraId="34E6CD8B" w14:textId="77777777" w:rsidTr="00556AB6">
        <w:trPr>
          <w:trHeight w:val="20"/>
        </w:trPr>
        <w:tc>
          <w:tcPr>
            <w:tcW w:w="1723" w:type="pct"/>
            <w:tcBorders>
              <w:top w:val="single" w:sz="4" w:space="0" w:color="auto"/>
              <w:left w:val="single" w:sz="4" w:space="0" w:color="auto"/>
              <w:bottom w:val="single" w:sz="4" w:space="0" w:color="auto"/>
              <w:right w:val="single" w:sz="4" w:space="0" w:color="auto"/>
            </w:tcBorders>
            <w:hideMark/>
          </w:tcPr>
          <w:p w14:paraId="60B869C5" w14:textId="77777777" w:rsidR="009A4F87" w:rsidRPr="00183E4D" w:rsidRDefault="009A4F87" w:rsidP="00001444">
            <w:pPr>
              <w:pStyle w:val="Tabletext1"/>
              <w:keepNext/>
              <w:rPr>
                <w:b/>
              </w:rPr>
            </w:pPr>
            <w:r w:rsidRPr="00183E4D">
              <w:rPr>
                <w:b/>
              </w:rPr>
              <w:t>Methods used to generate results</w:t>
            </w:r>
          </w:p>
        </w:tc>
        <w:tc>
          <w:tcPr>
            <w:tcW w:w="3277" w:type="pct"/>
            <w:tcBorders>
              <w:top w:val="single" w:sz="4" w:space="0" w:color="auto"/>
              <w:left w:val="single" w:sz="4" w:space="0" w:color="auto"/>
              <w:bottom w:val="single" w:sz="4" w:space="0" w:color="auto"/>
              <w:right w:val="single" w:sz="4" w:space="0" w:color="auto"/>
            </w:tcBorders>
          </w:tcPr>
          <w:p w14:paraId="1DBE9F02" w14:textId="77777777" w:rsidR="009A4F87" w:rsidRPr="00A533B1" w:rsidRDefault="009A4F87" w:rsidP="00001444">
            <w:pPr>
              <w:pStyle w:val="Tabletext1"/>
              <w:keepNext/>
            </w:pPr>
            <w:r w:rsidRPr="00A533B1">
              <w:t>Cost-minimisation model</w:t>
            </w:r>
          </w:p>
        </w:tc>
      </w:tr>
      <w:tr w:rsidR="009A4F87" w:rsidRPr="00183E4D" w14:paraId="422EE799" w14:textId="77777777" w:rsidTr="00556AB6">
        <w:trPr>
          <w:trHeight w:val="20"/>
        </w:trPr>
        <w:tc>
          <w:tcPr>
            <w:tcW w:w="1723" w:type="pct"/>
            <w:tcBorders>
              <w:top w:val="single" w:sz="4" w:space="0" w:color="auto"/>
              <w:left w:val="single" w:sz="4" w:space="0" w:color="auto"/>
              <w:bottom w:val="single" w:sz="4" w:space="0" w:color="auto"/>
              <w:right w:val="single" w:sz="4" w:space="0" w:color="auto"/>
            </w:tcBorders>
          </w:tcPr>
          <w:p w14:paraId="156821B8" w14:textId="77777777" w:rsidR="009A4F87" w:rsidRPr="00183E4D" w:rsidRDefault="009A4F87" w:rsidP="00001444">
            <w:pPr>
              <w:pStyle w:val="Tabletext1"/>
              <w:keepNext/>
              <w:rPr>
                <w:b/>
              </w:rPr>
            </w:pPr>
            <w:r w:rsidRPr="00183E4D">
              <w:rPr>
                <w:b/>
              </w:rPr>
              <w:t>Discount rate</w:t>
            </w:r>
          </w:p>
        </w:tc>
        <w:tc>
          <w:tcPr>
            <w:tcW w:w="3277" w:type="pct"/>
            <w:tcBorders>
              <w:top w:val="single" w:sz="4" w:space="0" w:color="auto"/>
              <w:left w:val="single" w:sz="4" w:space="0" w:color="auto"/>
              <w:bottom w:val="single" w:sz="4" w:space="0" w:color="auto"/>
              <w:right w:val="single" w:sz="4" w:space="0" w:color="auto"/>
            </w:tcBorders>
          </w:tcPr>
          <w:p w14:paraId="56E2499D" w14:textId="77777777" w:rsidR="009A4F87" w:rsidRPr="00183E4D" w:rsidRDefault="009A4F87" w:rsidP="00001444">
            <w:pPr>
              <w:pStyle w:val="Tabletext1"/>
              <w:keepNext/>
              <w:rPr>
                <w:vanish/>
                <w:color w:val="C00000"/>
              </w:rPr>
            </w:pPr>
            <w:r>
              <w:t>NA</w:t>
            </w:r>
          </w:p>
        </w:tc>
      </w:tr>
      <w:tr w:rsidR="009A4F87" w:rsidRPr="00183E4D" w14:paraId="0829EDA4" w14:textId="77777777" w:rsidTr="00556AB6">
        <w:trPr>
          <w:trHeight w:val="20"/>
        </w:trPr>
        <w:tc>
          <w:tcPr>
            <w:tcW w:w="1723" w:type="pct"/>
            <w:tcBorders>
              <w:top w:val="single" w:sz="4" w:space="0" w:color="auto"/>
              <w:left w:val="single" w:sz="4" w:space="0" w:color="auto"/>
              <w:bottom w:val="single" w:sz="4" w:space="0" w:color="auto"/>
              <w:right w:val="single" w:sz="4" w:space="0" w:color="auto"/>
            </w:tcBorders>
            <w:hideMark/>
          </w:tcPr>
          <w:p w14:paraId="1C77B113" w14:textId="77777777" w:rsidR="009A4F87" w:rsidRPr="00183E4D" w:rsidRDefault="009A4F87" w:rsidP="00001444">
            <w:pPr>
              <w:pStyle w:val="Tabletext1"/>
              <w:keepNext/>
              <w:rPr>
                <w:b/>
              </w:rPr>
            </w:pPr>
            <w:r w:rsidRPr="00183E4D">
              <w:rPr>
                <w:b/>
              </w:rPr>
              <w:t>Software packages used</w:t>
            </w:r>
          </w:p>
        </w:tc>
        <w:tc>
          <w:tcPr>
            <w:tcW w:w="3277" w:type="pct"/>
            <w:tcBorders>
              <w:top w:val="single" w:sz="4" w:space="0" w:color="auto"/>
              <w:left w:val="single" w:sz="4" w:space="0" w:color="auto"/>
              <w:bottom w:val="single" w:sz="4" w:space="0" w:color="auto"/>
              <w:right w:val="single" w:sz="4" w:space="0" w:color="auto"/>
            </w:tcBorders>
          </w:tcPr>
          <w:p w14:paraId="36D0ED3C" w14:textId="77777777" w:rsidR="009A4F87" w:rsidRPr="00183E4D" w:rsidRDefault="009A4F87" w:rsidP="00001444">
            <w:pPr>
              <w:pStyle w:val="Tabletext1"/>
              <w:keepNext/>
              <w:rPr>
                <w:vanish/>
                <w:color w:val="C00000"/>
              </w:rPr>
            </w:pPr>
            <w:r>
              <w:t>Microsoft Excel 2016 MSO (16.0.8431.2110) 64-bit</w:t>
            </w:r>
          </w:p>
        </w:tc>
      </w:tr>
    </w:tbl>
    <w:p w14:paraId="4B8E740F" w14:textId="77777777" w:rsidR="009A4F87" w:rsidRDefault="009A4F87" w:rsidP="00DB0E4A">
      <w:pPr>
        <w:pStyle w:val="Tablenotes0"/>
      </w:pPr>
      <w:r>
        <w:t>NA=Not applicable; MSO=Microsoft Office</w:t>
      </w:r>
    </w:p>
    <w:p w14:paraId="3307483B" w14:textId="77777777" w:rsidR="009A4F87" w:rsidRDefault="009A4F87" w:rsidP="00DB0E4A">
      <w:pPr>
        <w:keepNext/>
        <w:jc w:val="both"/>
      </w:pPr>
      <w:r w:rsidRPr="00183E4D">
        <w:t xml:space="preserve">Key assumptions of the </w:t>
      </w:r>
      <w:r>
        <w:t>economic evaluation</w:t>
      </w:r>
      <w:r w:rsidRPr="00183E4D">
        <w:t xml:space="preserve"> are:</w:t>
      </w:r>
    </w:p>
    <w:p w14:paraId="396ABEAC" w14:textId="3C741D45" w:rsidR="009A4F87" w:rsidRDefault="00D81F16" w:rsidP="00DB0E4A">
      <w:pPr>
        <w:pStyle w:val="ListParagraph"/>
        <w:keepNext/>
        <w:numPr>
          <w:ilvl w:val="0"/>
          <w:numId w:val="27"/>
        </w:numPr>
        <w:jc w:val="both"/>
      </w:pPr>
      <w:r>
        <w:t xml:space="preserve">As explained in the translational issues, </w:t>
      </w:r>
      <w:r w:rsidR="006564E0">
        <w:t xml:space="preserve">the assumption was made that radiation therapy will be delivered using 5 fractions SBRT to reflect the radiation therapy used in </w:t>
      </w:r>
      <w:r w:rsidR="00730057">
        <w:t>the literature</w:t>
      </w:r>
      <w:r w:rsidR="006564E0">
        <w:t xml:space="preserve"> and to main consistency in estimating the cost of MR-IGRT and CBCT-IGRT. </w:t>
      </w:r>
    </w:p>
    <w:p w14:paraId="4F21B203" w14:textId="1C955D46" w:rsidR="009A4F87" w:rsidRDefault="00635B17" w:rsidP="009A4F87">
      <w:pPr>
        <w:pStyle w:val="ListParagraph"/>
        <w:numPr>
          <w:ilvl w:val="0"/>
          <w:numId w:val="27"/>
        </w:numPr>
        <w:jc w:val="both"/>
      </w:pPr>
      <w:r>
        <w:t>The assumption that</w:t>
      </w:r>
      <w:r w:rsidR="009C42CD">
        <w:t xml:space="preserve"> the</w:t>
      </w:r>
      <w:r w:rsidR="009A4F87">
        <w:t xml:space="preserve"> lifetime of the equipment to be 10-years</w:t>
      </w:r>
      <w:r w:rsidR="009C42CD">
        <w:t xml:space="preserve"> was used in the model</w:t>
      </w:r>
      <w:r w:rsidR="009A4F87">
        <w:t xml:space="preserve">, however, this is likely to vary and will impact the overall cost. </w:t>
      </w:r>
    </w:p>
    <w:p w14:paraId="5AB6FBA6" w14:textId="4CC72FDD" w:rsidR="009A4F87" w:rsidRDefault="009C42CD" w:rsidP="009A4F87">
      <w:pPr>
        <w:pStyle w:val="ListParagraph"/>
        <w:numPr>
          <w:ilvl w:val="0"/>
          <w:numId w:val="27"/>
        </w:numPr>
        <w:jc w:val="both"/>
      </w:pPr>
      <w:r>
        <w:t>F</w:t>
      </w:r>
      <w:r w:rsidR="009A4F87">
        <w:t>iducial marker placement</w:t>
      </w:r>
      <w:r>
        <w:t xml:space="preserve"> was included</w:t>
      </w:r>
      <w:r w:rsidR="009A4F87">
        <w:t xml:space="preserve"> as a prior step to simulation for all the patients, however, for certain kinds of cancer, it might not require and likely to overestimate the cost.</w:t>
      </w:r>
    </w:p>
    <w:p w14:paraId="38E0F1FC" w14:textId="3EDD7ED7" w:rsidR="009A4F87" w:rsidRDefault="009C42CD" w:rsidP="009A4F87">
      <w:pPr>
        <w:pStyle w:val="ListParagraph"/>
        <w:numPr>
          <w:ilvl w:val="0"/>
          <w:numId w:val="27"/>
        </w:numPr>
        <w:jc w:val="both"/>
      </w:pPr>
      <w:r>
        <w:t>T</w:t>
      </w:r>
      <w:r w:rsidR="009A4F87">
        <w:t>he number of treatment course</w:t>
      </w:r>
      <w:r w:rsidR="00633B1C">
        <w:t>s</w:t>
      </w:r>
      <w:r w:rsidR="009A4F87">
        <w:t xml:space="preserve"> (volume of patients treated over lifetime) delivered using MR-guided SBRT and CBCT-guided SBRT</w:t>
      </w:r>
      <w:r w:rsidR="00633B1C">
        <w:t xml:space="preserve"> was adopted</w:t>
      </w:r>
      <w:r w:rsidR="009A4F87">
        <w:t xml:space="preserve"> from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rsidR="009A4F87">
        <w:t xml:space="preserve">. The estimates provided in the paper were for 15 years, however, </w:t>
      </w:r>
      <w:r w:rsidR="00764E22">
        <w:t>the DCAR</w:t>
      </w:r>
      <w:r w:rsidR="009A4F87">
        <w:t xml:space="preserve"> derived number of treatment course to be delivered using MR-guided SBRT and CBCT-guided SBRT for 10 years (lifetime of the equipment assumed in the economic evaluation). </w:t>
      </w:r>
    </w:p>
    <w:p w14:paraId="0A9BBB07" w14:textId="40EB70D9" w:rsidR="009A4F87" w:rsidRPr="00183E4D" w:rsidRDefault="009A4F87" w:rsidP="009A4F87">
      <w:pPr>
        <w:jc w:val="both"/>
      </w:pPr>
      <w:r>
        <w:t>The overall costs</w:t>
      </w:r>
      <w:r w:rsidRPr="00183E4D">
        <w:t xml:space="preserve">, and incremental costs as calculated for the intervention and comparator in </w:t>
      </w:r>
      <w:r>
        <w:t>the</w:t>
      </w:r>
      <w:r w:rsidRPr="00183E4D">
        <w:t xml:space="preserve"> model, with the base case ass</w:t>
      </w:r>
      <w:r>
        <w:t xml:space="preserve">umptions, are shown in the </w:t>
      </w:r>
      <w:r>
        <w:fldChar w:fldCharType="begin"/>
      </w:r>
      <w:r>
        <w:instrText xml:space="preserve"> REF _Ref58586057 \h </w:instrText>
      </w:r>
      <w:r>
        <w:fldChar w:fldCharType="separate"/>
      </w:r>
      <w:r w:rsidR="00451350" w:rsidRPr="00DC12F6">
        <w:t xml:space="preserve">Table </w:t>
      </w:r>
      <w:r w:rsidR="00451350">
        <w:rPr>
          <w:noProof/>
        </w:rPr>
        <w:t>4</w:t>
      </w:r>
      <w:r>
        <w:fldChar w:fldCharType="end"/>
      </w:r>
      <w:r w:rsidRPr="00183E4D">
        <w:t>.</w:t>
      </w:r>
      <w:r w:rsidR="00234551">
        <w:t xml:space="preserve"> </w:t>
      </w:r>
    </w:p>
    <w:p w14:paraId="1362A941" w14:textId="3842E895" w:rsidR="009A4F87" w:rsidRPr="00183E4D" w:rsidRDefault="009A4F87" w:rsidP="00001444">
      <w:pPr>
        <w:pStyle w:val="Caption"/>
        <w:keepNext/>
        <w:jc w:val="both"/>
      </w:pPr>
      <w:bookmarkStart w:id="144" w:name="_Ref58586057"/>
      <w:bookmarkStart w:id="145" w:name="_Toc89857875"/>
      <w:r w:rsidRPr="00DC12F6">
        <w:t xml:space="preserve">Table </w:t>
      </w:r>
      <w:r w:rsidR="00211285">
        <w:fldChar w:fldCharType="begin"/>
      </w:r>
      <w:r w:rsidR="00211285">
        <w:instrText xml:space="preserve"> SEQ Table \* ARABIC </w:instrText>
      </w:r>
      <w:r w:rsidR="00211285">
        <w:fldChar w:fldCharType="separate"/>
      </w:r>
      <w:r w:rsidR="00451350">
        <w:rPr>
          <w:noProof/>
        </w:rPr>
        <w:t>4</w:t>
      </w:r>
      <w:r w:rsidR="00211285">
        <w:rPr>
          <w:noProof/>
        </w:rPr>
        <w:fldChar w:fldCharType="end"/>
      </w:r>
      <w:bookmarkEnd w:id="144"/>
      <w:r w:rsidRPr="00DC12F6">
        <w:t xml:space="preserve"> </w:t>
      </w:r>
      <w:r w:rsidRPr="00DC12F6">
        <w:tab/>
      </w:r>
      <w:r>
        <w:t>Overall and incremental costs</w:t>
      </w:r>
      <w:r w:rsidRPr="00183E4D">
        <w:t xml:space="preserve"> </w:t>
      </w:r>
      <w:r>
        <w:t>of MRI-guided radiation therapy and CBCT-guided radiation therapy</w:t>
      </w:r>
      <w:bookmarkEnd w:id="145"/>
    </w:p>
    <w:tbl>
      <w:tblPr>
        <w:tblStyle w:val="TableGrid2"/>
        <w:tblW w:w="5000" w:type="pct"/>
        <w:tblLook w:val="04A0" w:firstRow="1" w:lastRow="0" w:firstColumn="1" w:lastColumn="0" w:noHBand="0" w:noVBand="1"/>
        <w:tblCaption w:val="Table 4 Overall and incremental costs of MRI-guided radiation therapy and CBCT-guided radiation therapy"/>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2521"/>
        <w:gridCol w:w="1293"/>
        <w:gridCol w:w="1291"/>
        <w:gridCol w:w="1291"/>
        <w:gridCol w:w="1293"/>
        <w:gridCol w:w="1327"/>
      </w:tblGrid>
      <w:tr w:rsidR="009A4F87" w:rsidRPr="00183E4D" w14:paraId="242060F1" w14:textId="77777777" w:rsidTr="00556AB6">
        <w:trPr>
          <w:cnfStyle w:val="100000000000" w:firstRow="1" w:lastRow="0" w:firstColumn="0" w:lastColumn="0" w:oddVBand="0" w:evenVBand="0" w:oddHBand="0" w:evenHBand="0" w:firstRowFirstColumn="0" w:firstRowLastColumn="0" w:lastRowFirstColumn="0" w:lastRowLastColumn="0"/>
          <w:tblHeader/>
        </w:trPr>
        <w:tc>
          <w:tcPr>
            <w:tcW w:w="1398" w:type="pct"/>
            <w:tcBorders>
              <w:bottom w:val="single" w:sz="4" w:space="0" w:color="auto"/>
            </w:tcBorders>
          </w:tcPr>
          <w:p w14:paraId="4B03CE72" w14:textId="77777777" w:rsidR="009A4F87" w:rsidRPr="00EB75E1" w:rsidRDefault="009A4F87" w:rsidP="00EB75E1">
            <w:pPr>
              <w:pStyle w:val="Tabletext1"/>
              <w:rPr>
                <w:b/>
                <w:bCs/>
              </w:rPr>
            </w:pPr>
          </w:p>
        </w:tc>
        <w:tc>
          <w:tcPr>
            <w:tcW w:w="717" w:type="pct"/>
            <w:tcBorders>
              <w:bottom w:val="single" w:sz="4" w:space="0" w:color="auto"/>
            </w:tcBorders>
          </w:tcPr>
          <w:p w14:paraId="6C13CF37" w14:textId="77777777" w:rsidR="009A4F87" w:rsidRPr="00EB75E1" w:rsidRDefault="009A4F87" w:rsidP="00EB75E1">
            <w:pPr>
              <w:pStyle w:val="Tabletext1"/>
              <w:rPr>
                <w:b/>
                <w:bCs/>
              </w:rPr>
            </w:pPr>
            <w:r w:rsidRPr="00EB75E1">
              <w:rPr>
                <w:b/>
                <w:bCs/>
              </w:rPr>
              <w:t>Cost</w:t>
            </w:r>
          </w:p>
        </w:tc>
        <w:tc>
          <w:tcPr>
            <w:tcW w:w="716" w:type="pct"/>
            <w:tcBorders>
              <w:bottom w:val="single" w:sz="4" w:space="0" w:color="auto"/>
            </w:tcBorders>
          </w:tcPr>
          <w:p w14:paraId="4F016F16" w14:textId="77777777" w:rsidR="009A4F87" w:rsidRPr="00EB75E1" w:rsidRDefault="009A4F87" w:rsidP="00EB75E1">
            <w:pPr>
              <w:pStyle w:val="Tabletext1"/>
              <w:rPr>
                <w:b/>
                <w:bCs/>
              </w:rPr>
            </w:pPr>
            <w:r w:rsidRPr="00EB75E1">
              <w:rPr>
                <w:b/>
                <w:bCs/>
              </w:rPr>
              <w:t>Incremental cost</w:t>
            </w:r>
          </w:p>
        </w:tc>
        <w:tc>
          <w:tcPr>
            <w:tcW w:w="716" w:type="pct"/>
            <w:tcBorders>
              <w:bottom w:val="single" w:sz="4" w:space="0" w:color="auto"/>
            </w:tcBorders>
          </w:tcPr>
          <w:p w14:paraId="050F6D72" w14:textId="77777777" w:rsidR="009A4F87" w:rsidRPr="00EB75E1" w:rsidRDefault="009A4F87" w:rsidP="00EB75E1">
            <w:pPr>
              <w:pStyle w:val="Tabletext1"/>
              <w:rPr>
                <w:b/>
                <w:bCs/>
              </w:rPr>
            </w:pPr>
            <w:r w:rsidRPr="00EB75E1">
              <w:rPr>
                <w:b/>
                <w:bCs/>
              </w:rPr>
              <w:t>Effectiveness (QALYs)</w:t>
            </w:r>
          </w:p>
        </w:tc>
        <w:tc>
          <w:tcPr>
            <w:tcW w:w="717" w:type="pct"/>
            <w:tcBorders>
              <w:bottom w:val="single" w:sz="4" w:space="0" w:color="auto"/>
            </w:tcBorders>
          </w:tcPr>
          <w:p w14:paraId="3BE668B5" w14:textId="77777777" w:rsidR="009A4F87" w:rsidRPr="00EB75E1" w:rsidRDefault="009A4F87" w:rsidP="00EB75E1">
            <w:pPr>
              <w:pStyle w:val="Tabletext1"/>
              <w:rPr>
                <w:b/>
                <w:bCs/>
              </w:rPr>
            </w:pPr>
            <w:r w:rsidRPr="00EB75E1">
              <w:rPr>
                <w:b/>
                <w:bCs/>
              </w:rPr>
              <w:t>Incremental effectiveness</w:t>
            </w:r>
          </w:p>
        </w:tc>
        <w:tc>
          <w:tcPr>
            <w:tcW w:w="736" w:type="pct"/>
            <w:tcBorders>
              <w:bottom w:val="single" w:sz="4" w:space="0" w:color="auto"/>
            </w:tcBorders>
          </w:tcPr>
          <w:p w14:paraId="114BCDBC" w14:textId="77777777" w:rsidR="009A4F87" w:rsidRPr="00EB75E1" w:rsidRDefault="009A4F87" w:rsidP="00EB75E1">
            <w:pPr>
              <w:pStyle w:val="Tabletext1"/>
              <w:rPr>
                <w:b/>
                <w:bCs/>
              </w:rPr>
            </w:pPr>
            <w:r w:rsidRPr="00EB75E1">
              <w:rPr>
                <w:b/>
                <w:bCs/>
              </w:rPr>
              <w:t>ICER</w:t>
            </w:r>
          </w:p>
        </w:tc>
      </w:tr>
      <w:tr w:rsidR="009A4F87" w:rsidRPr="00183E4D" w14:paraId="5AA93BC4" w14:textId="77777777" w:rsidTr="00556AB6">
        <w:tc>
          <w:tcPr>
            <w:tcW w:w="1398" w:type="pct"/>
          </w:tcPr>
          <w:p w14:paraId="0933C782" w14:textId="77777777" w:rsidR="009A4F87" w:rsidRPr="00DC12F6" w:rsidRDefault="009A4F87" w:rsidP="00EB75E1">
            <w:pPr>
              <w:pStyle w:val="Tabletext1"/>
            </w:pPr>
            <w:r w:rsidRPr="00DC12F6">
              <w:t>MRI-guided radiation therapy</w:t>
            </w:r>
          </w:p>
        </w:tc>
        <w:tc>
          <w:tcPr>
            <w:tcW w:w="717" w:type="pct"/>
          </w:tcPr>
          <w:p w14:paraId="2279846B" w14:textId="77777777" w:rsidR="009A4F87" w:rsidRPr="00183E4D" w:rsidRDefault="009A4F87" w:rsidP="00EB75E1">
            <w:pPr>
              <w:pStyle w:val="Tabletext1"/>
            </w:pPr>
            <w:r>
              <w:t>$6,056.67</w:t>
            </w:r>
          </w:p>
        </w:tc>
        <w:tc>
          <w:tcPr>
            <w:tcW w:w="716" w:type="pct"/>
          </w:tcPr>
          <w:p w14:paraId="2AD9CD92" w14:textId="77777777" w:rsidR="009A4F87" w:rsidRPr="00183E4D" w:rsidRDefault="009A4F87" w:rsidP="00EB75E1">
            <w:pPr>
              <w:pStyle w:val="Tabletext1"/>
            </w:pPr>
            <w:r>
              <w:t>$1,930.39</w:t>
            </w:r>
          </w:p>
        </w:tc>
        <w:tc>
          <w:tcPr>
            <w:tcW w:w="716" w:type="pct"/>
          </w:tcPr>
          <w:p w14:paraId="00B02592" w14:textId="77777777" w:rsidR="009A4F87" w:rsidRPr="00183E4D" w:rsidRDefault="009A4F87" w:rsidP="00EB75E1">
            <w:pPr>
              <w:pStyle w:val="Tabletext1"/>
            </w:pPr>
            <w:r>
              <w:t>NA</w:t>
            </w:r>
          </w:p>
        </w:tc>
        <w:tc>
          <w:tcPr>
            <w:tcW w:w="717" w:type="pct"/>
          </w:tcPr>
          <w:p w14:paraId="009E091E" w14:textId="77777777" w:rsidR="009A4F87" w:rsidRPr="00183E4D" w:rsidRDefault="009A4F87" w:rsidP="00EB75E1">
            <w:pPr>
              <w:pStyle w:val="Tabletext1"/>
            </w:pPr>
            <w:r>
              <w:t>NA</w:t>
            </w:r>
          </w:p>
        </w:tc>
        <w:tc>
          <w:tcPr>
            <w:tcW w:w="736" w:type="pct"/>
          </w:tcPr>
          <w:p w14:paraId="49D0646B" w14:textId="77777777" w:rsidR="009A4F87" w:rsidRPr="00183E4D" w:rsidRDefault="009A4F87" w:rsidP="00EB75E1">
            <w:pPr>
              <w:pStyle w:val="Tabletext1"/>
            </w:pPr>
            <w:r>
              <w:t>NA</w:t>
            </w:r>
          </w:p>
        </w:tc>
      </w:tr>
      <w:tr w:rsidR="009A4F87" w:rsidRPr="00183E4D" w14:paraId="30FDDD4E" w14:textId="77777777" w:rsidTr="00556AB6">
        <w:tc>
          <w:tcPr>
            <w:tcW w:w="1398" w:type="pct"/>
          </w:tcPr>
          <w:p w14:paraId="2966A619" w14:textId="77777777" w:rsidR="009A4F87" w:rsidRPr="00DC12F6" w:rsidRDefault="009A4F87" w:rsidP="00EB75E1">
            <w:pPr>
              <w:pStyle w:val="Tabletext1"/>
            </w:pPr>
            <w:r w:rsidRPr="00DC12F6">
              <w:t>CBCT-guided radiation therapy</w:t>
            </w:r>
          </w:p>
        </w:tc>
        <w:tc>
          <w:tcPr>
            <w:tcW w:w="717" w:type="pct"/>
          </w:tcPr>
          <w:p w14:paraId="61FEC307" w14:textId="77777777" w:rsidR="009A4F87" w:rsidRPr="00183E4D" w:rsidRDefault="009A4F87" w:rsidP="00EB75E1">
            <w:pPr>
              <w:pStyle w:val="Tabletext1"/>
            </w:pPr>
            <w:r>
              <w:t>$4,126.29</w:t>
            </w:r>
          </w:p>
        </w:tc>
        <w:tc>
          <w:tcPr>
            <w:tcW w:w="716" w:type="pct"/>
          </w:tcPr>
          <w:p w14:paraId="058CDB5B" w14:textId="77777777" w:rsidR="009A4F87" w:rsidRPr="00183E4D" w:rsidRDefault="009A4F87" w:rsidP="00EB75E1">
            <w:pPr>
              <w:pStyle w:val="Tabletext1"/>
            </w:pPr>
            <w:r>
              <w:t>-</w:t>
            </w:r>
          </w:p>
        </w:tc>
        <w:tc>
          <w:tcPr>
            <w:tcW w:w="716" w:type="pct"/>
          </w:tcPr>
          <w:p w14:paraId="07C7F68C" w14:textId="77777777" w:rsidR="009A4F87" w:rsidRPr="00183E4D" w:rsidRDefault="009A4F87" w:rsidP="00EB75E1">
            <w:pPr>
              <w:pStyle w:val="Tabletext1"/>
            </w:pPr>
            <w:r>
              <w:t>NA</w:t>
            </w:r>
          </w:p>
        </w:tc>
        <w:tc>
          <w:tcPr>
            <w:tcW w:w="717" w:type="pct"/>
          </w:tcPr>
          <w:p w14:paraId="1D4A0D16" w14:textId="77777777" w:rsidR="009A4F87" w:rsidRPr="00183E4D" w:rsidRDefault="009A4F87" w:rsidP="00EB75E1">
            <w:pPr>
              <w:pStyle w:val="Tabletext1"/>
            </w:pPr>
            <w:r>
              <w:t>NA</w:t>
            </w:r>
          </w:p>
        </w:tc>
        <w:tc>
          <w:tcPr>
            <w:tcW w:w="736" w:type="pct"/>
          </w:tcPr>
          <w:p w14:paraId="3CE4CF9F" w14:textId="77777777" w:rsidR="009A4F87" w:rsidRPr="00183E4D" w:rsidRDefault="009A4F87" w:rsidP="00EB75E1">
            <w:pPr>
              <w:pStyle w:val="Tabletext1"/>
            </w:pPr>
            <w:r>
              <w:t>NA</w:t>
            </w:r>
          </w:p>
        </w:tc>
      </w:tr>
    </w:tbl>
    <w:p w14:paraId="161FCB4F" w14:textId="77777777" w:rsidR="009A4F87" w:rsidRDefault="009A4F87" w:rsidP="007A091F">
      <w:pPr>
        <w:pStyle w:val="Tablenotes0"/>
        <w:keepNext/>
        <w:spacing w:after="240" w:line="312" w:lineRule="auto"/>
      </w:pPr>
      <w:r>
        <w:t>MRI=Magnetic resonance imaging; CBCT=Cone beam computed tomography</w:t>
      </w:r>
    </w:p>
    <w:p w14:paraId="6BEBECAF" w14:textId="4A70CED5" w:rsidR="00730057" w:rsidRDefault="00730057" w:rsidP="009A4F87">
      <w:r>
        <w:t xml:space="preserve">Assuming the same </w:t>
      </w:r>
      <w:r w:rsidR="00182304">
        <w:t xml:space="preserve">hypofractionation schedule </w:t>
      </w:r>
      <w:r w:rsidR="002514D0">
        <w:t>(5 fractions)</w:t>
      </w:r>
      <w:r w:rsidR="00182304">
        <w:t xml:space="preserve"> of MR-guided SBRT and CBCT-guided SBRT in prostate cancer patients, the intervention </w:t>
      </w:r>
      <w:r w:rsidR="006B52E3">
        <w:t>has</w:t>
      </w:r>
      <w:r w:rsidR="00DB4AE4">
        <w:t xml:space="preserve"> an incremental cost of $1</w:t>
      </w:r>
      <w:r w:rsidR="006B52E3">
        <w:t>,</w:t>
      </w:r>
      <w:r w:rsidR="00DB4AE4">
        <w:t>930</w:t>
      </w:r>
      <w:r w:rsidR="006B52E3">
        <w:t xml:space="preserve"> and is not cost saving. </w:t>
      </w:r>
      <w:r w:rsidR="00704E68">
        <w:t xml:space="preserve">However, </w:t>
      </w:r>
      <w:r w:rsidR="005E4788">
        <w:t xml:space="preserve">this finding </w:t>
      </w:r>
      <w:r w:rsidR="00A11F62">
        <w:t xml:space="preserve">might </w:t>
      </w:r>
      <w:r w:rsidR="005E4788">
        <w:t xml:space="preserve">not extrapolate to </w:t>
      </w:r>
      <w:r w:rsidR="00AE5583">
        <w:t xml:space="preserve">all cancers as the underlying radiation </w:t>
      </w:r>
      <w:r w:rsidR="00AE5583">
        <w:lastRenderedPageBreak/>
        <w:t>treatment, radiation dose, fractionation schedule</w:t>
      </w:r>
      <w:r w:rsidR="00A11F62">
        <w:t>, healthcare resource utilisation</w:t>
      </w:r>
      <w:r w:rsidR="003A54D7">
        <w:t xml:space="preserve">, and </w:t>
      </w:r>
      <w:r w:rsidR="002A3239">
        <w:t xml:space="preserve">cost </w:t>
      </w:r>
      <w:r w:rsidR="00301FF5">
        <w:t>of</w:t>
      </w:r>
      <w:r w:rsidR="003A54D7">
        <w:t xml:space="preserve"> toxicities </w:t>
      </w:r>
      <w:r w:rsidR="00301FF5">
        <w:t xml:space="preserve">is likely to differ and impact the </w:t>
      </w:r>
      <w:r w:rsidR="002514D0">
        <w:t xml:space="preserve">overall costs. </w:t>
      </w:r>
      <w:r w:rsidR="00AE5583">
        <w:t xml:space="preserve"> </w:t>
      </w:r>
    </w:p>
    <w:p w14:paraId="686B25AF" w14:textId="188F83A1" w:rsidR="00514228" w:rsidRPr="00514228" w:rsidRDefault="00994D8A" w:rsidP="00796F7E">
      <w:r>
        <w:t>From one-way sensitivity analyses, s</w:t>
      </w:r>
      <w:r w:rsidR="009A4F87">
        <w:t xml:space="preserve">ix parameters were found to have </w:t>
      </w:r>
      <w:r w:rsidR="00465350">
        <w:t xml:space="preserve">highest </w:t>
      </w:r>
      <w:r w:rsidR="009A4F87">
        <w:t>impact on the incremental cost as provided in</w:t>
      </w:r>
      <w:r w:rsidR="00796F7E">
        <w:t xml:space="preserve"> </w:t>
      </w:r>
      <w:r w:rsidR="00796F7E">
        <w:fldChar w:fldCharType="begin"/>
      </w:r>
      <w:r w:rsidR="00796F7E">
        <w:instrText xml:space="preserve"> REF _Ref59528220 \h </w:instrText>
      </w:r>
      <w:r w:rsidR="00796F7E">
        <w:fldChar w:fldCharType="separate"/>
      </w:r>
      <w:r w:rsidR="00451350">
        <w:t xml:space="preserve">Figure </w:t>
      </w:r>
      <w:r w:rsidR="00451350">
        <w:rPr>
          <w:noProof/>
        </w:rPr>
        <w:t>1</w:t>
      </w:r>
      <w:r w:rsidR="00796F7E">
        <w:fldChar w:fldCharType="end"/>
      </w:r>
      <w:r w:rsidR="009A4F87">
        <w:t>. The sensitivity analysis demonstrate</w:t>
      </w:r>
      <w:r w:rsidR="00EF4092">
        <w:t>s</w:t>
      </w:r>
      <w:r w:rsidR="009A4F87">
        <w:t xml:space="preserve"> that number of patients treated over lifetime by MR-IGRT has the largest uncertainty. Cost of MR-IGRT equipment is likely to have low uncertainty given the price of the equipment is fixed by the </w:t>
      </w:r>
      <w:r w:rsidR="008F4472">
        <w:t>Applicant</w:t>
      </w:r>
      <w:r w:rsidR="009A4F87">
        <w:t>. All the other parameters did not have any substantial impact on the incremental cost on varying their values by 20%.</w:t>
      </w:r>
    </w:p>
    <w:p w14:paraId="4D767795" w14:textId="77777777" w:rsidR="00796F7E" w:rsidRPr="00796F7E" w:rsidRDefault="00EB0F71" w:rsidP="006D02CB">
      <w:pPr>
        <w:pStyle w:val="Caption"/>
      </w:pPr>
      <w:r>
        <w:rPr>
          <w:noProof/>
        </w:rPr>
        <w:drawing>
          <wp:inline distT="0" distB="0" distL="0" distR="0" wp14:anchorId="1645C8BD" wp14:editId="594B2137">
            <wp:extent cx="5731510" cy="2614930"/>
            <wp:effectExtent l="0" t="0" r="2540" b="0"/>
            <wp:docPr id="5" name="Picture 5" descr="Tornado diagram of main drivers within the economic evaluatio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731510" cy="2614930"/>
                    </a:xfrm>
                    <a:prstGeom prst="rect">
                      <a:avLst/>
                    </a:prstGeom>
                  </pic:spPr>
                </pic:pic>
              </a:graphicData>
            </a:graphic>
          </wp:inline>
        </w:drawing>
      </w:r>
      <w:bookmarkStart w:id="146" w:name="_Ref59185634"/>
    </w:p>
    <w:p w14:paraId="01B98A8A" w14:textId="1E4F9584" w:rsidR="00FD6B5B" w:rsidRPr="00FD6B5B" w:rsidRDefault="006D02CB" w:rsidP="006D02CB">
      <w:pPr>
        <w:pStyle w:val="Caption"/>
      </w:pPr>
      <w:bookmarkStart w:id="147" w:name="_Ref59528220"/>
      <w:bookmarkStart w:id="148" w:name="_Toc89857960"/>
      <w:r>
        <w:t xml:space="preserve">Figure </w:t>
      </w:r>
      <w:r w:rsidR="00211285">
        <w:fldChar w:fldCharType="begin"/>
      </w:r>
      <w:r w:rsidR="00211285">
        <w:instrText xml:space="preserve"> SEQ Figure \* ARABIC </w:instrText>
      </w:r>
      <w:r w:rsidR="00211285">
        <w:fldChar w:fldCharType="separate"/>
      </w:r>
      <w:r w:rsidR="00451350">
        <w:rPr>
          <w:noProof/>
        </w:rPr>
        <w:t>1</w:t>
      </w:r>
      <w:r w:rsidR="00211285">
        <w:rPr>
          <w:noProof/>
        </w:rPr>
        <w:fldChar w:fldCharType="end"/>
      </w:r>
      <w:bookmarkEnd w:id="146"/>
      <w:bookmarkEnd w:id="147"/>
      <w:r>
        <w:tab/>
        <w:t>Tornado diagram of main drivers within the economic evaluation (± 20%)</w:t>
      </w:r>
      <w:bookmarkEnd w:id="148"/>
    </w:p>
    <w:p w14:paraId="6590AC52" w14:textId="0530F0CA" w:rsidR="001F241A" w:rsidRPr="001F241A" w:rsidRDefault="009A4F87" w:rsidP="001F241A">
      <w:r>
        <w:t xml:space="preserve">In the base case analysis, the number of fractions administered by both treatment is 5, however, in the </w:t>
      </w:r>
      <w:r w:rsidR="005D171D">
        <w:t xml:space="preserve">scenario </w:t>
      </w:r>
      <w:r>
        <w:t xml:space="preserve">analysis, the number of fractions delivered by CBCT-IGRT </w:t>
      </w:r>
      <w:r w:rsidR="00CE7D3D">
        <w:t xml:space="preserve">were </w:t>
      </w:r>
      <w:r w:rsidR="00F12AE6">
        <w:t xml:space="preserve">changed </w:t>
      </w:r>
      <w:r w:rsidR="006E3E58">
        <w:t xml:space="preserve">in the increment of 10 fractions </w:t>
      </w:r>
      <w:r>
        <w:t>up to 30 fractions per treatment course</w:t>
      </w:r>
      <w:r w:rsidR="00FD4DA3">
        <w:t xml:space="preserve"> </w:t>
      </w:r>
      <w:r w:rsidR="003A2775">
        <w:t xml:space="preserve">as shown in </w:t>
      </w:r>
      <w:r w:rsidR="003A2775">
        <w:fldChar w:fldCharType="begin"/>
      </w:r>
      <w:r w:rsidR="003A2775">
        <w:instrText xml:space="preserve"> REF _Ref59188335 \h </w:instrText>
      </w:r>
      <w:r w:rsidR="003A2775">
        <w:fldChar w:fldCharType="separate"/>
      </w:r>
      <w:r w:rsidR="00451350">
        <w:t xml:space="preserve">Table </w:t>
      </w:r>
      <w:r w:rsidR="00451350">
        <w:rPr>
          <w:noProof/>
        </w:rPr>
        <w:t>5</w:t>
      </w:r>
      <w:r w:rsidR="003A2775">
        <w:fldChar w:fldCharType="end"/>
      </w:r>
      <w:r w:rsidR="00E547E5">
        <w:t>.</w:t>
      </w:r>
      <w:r>
        <w:t xml:space="preserve"> </w:t>
      </w:r>
      <w:r w:rsidR="0049759D">
        <w:rPr>
          <w:rFonts w:asciiTheme="minorHAnsi" w:hAnsiTheme="minorHAnsi" w:cstheme="minorHAnsi"/>
        </w:rPr>
        <w:t xml:space="preserve">Expert clinical advice estimates that with CBCT-IGRT, prostate and breast cancer patients currently need between 16 to 20 fractions per treatment course in Australian clinical settings. </w:t>
      </w:r>
      <w:r w:rsidR="0049759D">
        <w:t xml:space="preserve">This broadly concords with MBS utilisation data for MBS items 15565 (dosimetry planning) and 15275 (single episode of radiation oncology treatment, or fraction). </w:t>
      </w:r>
      <w:r w:rsidR="004605F7">
        <w:t>T</w:t>
      </w:r>
      <w:r w:rsidR="00A9449D">
        <w:t xml:space="preserve">he MBS 2019-20 utilisation data </w:t>
      </w:r>
      <w:r w:rsidR="003517B2">
        <w:t xml:space="preserve">approximately </w:t>
      </w:r>
      <w:r w:rsidR="00527497">
        <w:t>equated to</w:t>
      </w:r>
      <w:r w:rsidR="003517B2">
        <w:t xml:space="preserve"> 19.5 fractions per patient undertaking dosimetry planning</w:t>
      </w:r>
      <w:r w:rsidR="002F0235">
        <w:t xml:space="preserve"> for CBCT-IGRT</w:t>
      </w:r>
      <w:r w:rsidR="003517B2">
        <w:t xml:space="preserve">. </w:t>
      </w:r>
      <w:r w:rsidR="00890431">
        <w:t>Based on this</w:t>
      </w:r>
      <w:r w:rsidR="00265C57">
        <w:t>, the</w:t>
      </w:r>
      <w:r>
        <w:t xml:space="preserve"> </w:t>
      </w:r>
      <w:r w:rsidR="00823C2E">
        <w:t xml:space="preserve">base case </w:t>
      </w:r>
      <w:r>
        <w:t>incremental cost reduce</w:t>
      </w:r>
      <w:r w:rsidR="00AE6EAB">
        <w:t>d</w:t>
      </w:r>
      <w:r>
        <w:t xml:space="preserve"> by </w:t>
      </w:r>
      <w:r w:rsidR="006B6B55">
        <w:t xml:space="preserve">105% and </w:t>
      </w:r>
      <w:r>
        <w:t xml:space="preserve">176% when CBCT-IGRT is delivered with </w:t>
      </w:r>
      <w:r w:rsidR="006B6B55">
        <w:t xml:space="preserve">20 and </w:t>
      </w:r>
      <w:r>
        <w:t xml:space="preserve">30 fractions </w:t>
      </w:r>
      <w:r w:rsidR="006B6B55">
        <w:t xml:space="preserve">respectively </w:t>
      </w:r>
      <w:r>
        <w:t xml:space="preserve">and MR-IGRT is delivered with 5 fractions. </w:t>
      </w:r>
      <w:r w:rsidR="00B66C27">
        <w:t>Unlike the base case</w:t>
      </w:r>
      <w:r w:rsidR="007B0DA2">
        <w:t xml:space="preserve"> result, </w:t>
      </w:r>
      <w:r w:rsidR="00133868">
        <w:t>increasing</w:t>
      </w:r>
      <w:r w:rsidR="004E65F8">
        <w:t xml:space="preserve"> fractions </w:t>
      </w:r>
      <w:r w:rsidR="00133868">
        <w:t>for</w:t>
      </w:r>
      <w:r w:rsidR="004E65F8">
        <w:t xml:space="preserve"> CBCT-IGRT</w:t>
      </w:r>
      <w:r w:rsidR="007B0DA2">
        <w:t xml:space="preserve"> is likely to </w:t>
      </w:r>
      <w:r w:rsidR="0046566D">
        <w:t xml:space="preserve">favour </w:t>
      </w:r>
      <w:r w:rsidR="00841AC8">
        <w:t>MR-IGRT</w:t>
      </w:r>
      <w:r w:rsidR="0046566D">
        <w:t xml:space="preserve"> and result in cost-savings. </w:t>
      </w:r>
    </w:p>
    <w:p w14:paraId="61513407" w14:textId="6A7B56CB" w:rsidR="00984584" w:rsidRDefault="00984584" w:rsidP="00796F7E">
      <w:pPr>
        <w:pStyle w:val="Caption"/>
        <w:keepNext/>
      </w:pPr>
      <w:bookmarkStart w:id="149" w:name="_Ref59188335"/>
      <w:bookmarkStart w:id="150" w:name="_Toc89857876"/>
      <w:r>
        <w:lastRenderedPageBreak/>
        <w:t xml:space="preserve">Table </w:t>
      </w:r>
      <w:r w:rsidR="00211285">
        <w:fldChar w:fldCharType="begin"/>
      </w:r>
      <w:r w:rsidR="00211285">
        <w:instrText xml:space="preserve"> SEQ Table \* ARABIC </w:instrText>
      </w:r>
      <w:r w:rsidR="00211285">
        <w:fldChar w:fldCharType="separate"/>
      </w:r>
      <w:r w:rsidR="00451350">
        <w:rPr>
          <w:noProof/>
        </w:rPr>
        <w:t>5</w:t>
      </w:r>
      <w:r w:rsidR="00211285">
        <w:rPr>
          <w:noProof/>
        </w:rPr>
        <w:fldChar w:fldCharType="end"/>
      </w:r>
      <w:bookmarkEnd w:id="149"/>
      <w:r>
        <w:rPr>
          <w:noProof/>
        </w:rPr>
        <w:tab/>
      </w:r>
      <w:r>
        <w:tab/>
        <w:t>Changing fractions for CBCT-IGRT and impact on the incremental cost</w:t>
      </w:r>
      <w:bookmarkEnd w:id="150"/>
    </w:p>
    <w:tbl>
      <w:tblPr>
        <w:tblStyle w:val="TableGrid"/>
        <w:tblW w:w="5000" w:type="pct"/>
        <w:tblLook w:val="04A0" w:firstRow="1" w:lastRow="0" w:firstColumn="1" w:lastColumn="0" w:noHBand="0" w:noVBand="1"/>
        <w:tblCaption w:val="Table 45a"/>
        <w:tblDescription w:val="Key drivers of economic model – ABPM v HBPM and ABPM v CBPM"/>
      </w:tblPr>
      <w:tblGrid>
        <w:gridCol w:w="2076"/>
        <w:gridCol w:w="1787"/>
        <w:gridCol w:w="1733"/>
        <w:gridCol w:w="2167"/>
        <w:gridCol w:w="1253"/>
      </w:tblGrid>
      <w:tr w:rsidR="00984584" w14:paraId="4BA79D34" w14:textId="77777777" w:rsidTr="003154A7">
        <w:trPr>
          <w:cantSplit/>
          <w:tblHeader/>
        </w:trPr>
        <w:tc>
          <w:tcPr>
            <w:tcW w:w="1151" w:type="pct"/>
            <w:tcBorders>
              <w:bottom w:val="single" w:sz="4" w:space="0" w:color="auto"/>
            </w:tcBorders>
            <w:vAlign w:val="center"/>
          </w:tcPr>
          <w:p w14:paraId="013C212D" w14:textId="77777777" w:rsidR="00984584" w:rsidRPr="00724054" w:rsidRDefault="00984584" w:rsidP="00796F7E">
            <w:pPr>
              <w:pStyle w:val="Tabletext1"/>
              <w:keepNext/>
              <w:ind w:left="0"/>
              <w:rPr>
                <w:b/>
              </w:rPr>
            </w:pPr>
            <w:r>
              <w:rPr>
                <w:b/>
              </w:rPr>
              <w:t>MR-IGRT v CBCT-IGRT</w:t>
            </w:r>
          </w:p>
        </w:tc>
        <w:tc>
          <w:tcPr>
            <w:tcW w:w="991" w:type="pct"/>
            <w:tcBorders>
              <w:bottom w:val="single" w:sz="4" w:space="0" w:color="auto"/>
            </w:tcBorders>
            <w:vAlign w:val="center"/>
          </w:tcPr>
          <w:p w14:paraId="7AD15E30" w14:textId="77777777" w:rsidR="00984584" w:rsidRPr="00724054" w:rsidRDefault="00984584" w:rsidP="00796F7E">
            <w:pPr>
              <w:pStyle w:val="Tabletext1"/>
              <w:keepNext/>
              <w:ind w:left="0"/>
              <w:jc w:val="center"/>
              <w:rPr>
                <w:b/>
              </w:rPr>
            </w:pPr>
            <w:r w:rsidRPr="00724054">
              <w:rPr>
                <w:b/>
              </w:rPr>
              <w:t>Intervention ($)</w:t>
            </w:r>
          </w:p>
        </w:tc>
        <w:tc>
          <w:tcPr>
            <w:tcW w:w="961" w:type="pct"/>
            <w:tcBorders>
              <w:bottom w:val="single" w:sz="4" w:space="0" w:color="auto"/>
            </w:tcBorders>
            <w:vAlign w:val="center"/>
          </w:tcPr>
          <w:p w14:paraId="4D174309" w14:textId="77777777" w:rsidR="00984584" w:rsidRPr="00724054" w:rsidRDefault="00984584" w:rsidP="00796F7E">
            <w:pPr>
              <w:pStyle w:val="Tabletext1"/>
              <w:keepNext/>
              <w:ind w:left="0"/>
              <w:jc w:val="center"/>
              <w:rPr>
                <w:b/>
              </w:rPr>
            </w:pPr>
            <w:r w:rsidRPr="00724054">
              <w:rPr>
                <w:b/>
              </w:rPr>
              <w:t>Comparator ($)</w:t>
            </w:r>
          </w:p>
        </w:tc>
        <w:tc>
          <w:tcPr>
            <w:tcW w:w="1202" w:type="pct"/>
            <w:tcBorders>
              <w:bottom w:val="single" w:sz="4" w:space="0" w:color="auto"/>
            </w:tcBorders>
            <w:vAlign w:val="center"/>
          </w:tcPr>
          <w:p w14:paraId="10738F5B" w14:textId="77777777" w:rsidR="00984584" w:rsidRPr="00724054" w:rsidRDefault="00984584" w:rsidP="00796F7E">
            <w:pPr>
              <w:pStyle w:val="Tabletext1"/>
              <w:keepNext/>
              <w:ind w:left="0"/>
              <w:jc w:val="center"/>
              <w:rPr>
                <w:b/>
              </w:rPr>
            </w:pPr>
            <w:r w:rsidRPr="00724054">
              <w:rPr>
                <w:b/>
              </w:rPr>
              <w:t>Incremental cost ($)</w:t>
            </w:r>
          </w:p>
        </w:tc>
        <w:tc>
          <w:tcPr>
            <w:tcW w:w="695" w:type="pct"/>
            <w:tcBorders>
              <w:bottom w:val="single" w:sz="4" w:space="0" w:color="auto"/>
            </w:tcBorders>
            <w:vAlign w:val="center"/>
          </w:tcPr>
          <w:p w14:paraId="3C4F5CCB" w14:textId="77777777" w:rsidR="00984584" w:rsidRPr="00724054" w:rsidRDefault="00984584" w:rsidP="00796F7E">
            <w:pPr>
              <w:pStyle w:val="Tabletext1"/>
              <w:keepNext/>
              <w:ind w:left="0"/>
              <w:jc w:val="center"/>
              <w:rPr>
                <w:b/>
              </w:rPr>
            </w:pPr>
            <w:r w:rsidRPr="00724054">
              <w:rPr>
                <w:b/>
              </w:rPr>
              <w:t>% change</w:t>
            </w:r>
          </w:p>
        </w:tc>
      </w:tr>
      <w:tr w:rsidR="003154A7" w14:paraId="3399AAA2" w14:textId="77777777" w:rsidTr="003154A7">
        <w:trPr>
          <w:cantSplit/>
        </w:trPr>
        <w:tc>
          <w:tcPr>
            <w:tcW w:w="1151" w:type="pct"/>
            <w:vAlign w:val="center"/>
          </w:tcPr>
          <w:p w14:paraId="11958F66" w14:textId="1E39F0F3" w:rsidR="003154A7" w:rsidRPr="00724054" w:rsidRDefault="003154A7" w:rsidP="003154A7">
            <w:pPr>
              <w:pStyle w:val="Tabletext1"/>
              <w:keepNext/>
              <w:ind w:left="0"/>
              <w:rPr>
                <w:b/>
              </w:rPr>
            </w:pPr>
            <w:r w:rsidRPr="00724054">
              <w:rPr>
                <w:b/>
              </w:rPr>
              <w:t>Base case: MR-IGRT v CBCT-IGRT</w:t>
            </w:r>
          </w:p>
        </w:tc>
        <w:tc>
          <w:tcPr>
            <w:tcW w:w="991" w:type="pct"/>
            <w:vAlign w:val="center"/>
          </w:tcPr>
          <w:p w14:paraId="31AAE7B4" w14:textId="401DFF66" w:rsidR="003154A7" w:rsidRPr="00724054" w:rsidRDefault="003154A7" w:rsidP="003154A7">
            <w:pPr>
              <w:pStyle w:val="Tabletext1"/>
              <w:keepNext/>
              <w:ind w:left="0"/>
              <w:jc w:val="center"/>
            </w:pPr>
            <w:r>
              <w:t>$6,056.67</w:t>
            </w:r>
          </w:p>
        </w:tc>
        <w:tc>
          <w:tcPr>
            <w:tcW w:w="961" w:type="pct"/>
            <w:vAlign w:val="center"/>
          </w:tcPr>
          <w:p w14:paraId="0487A399" w14:textId="0FE8C795" w:rsidR="003154A7" w:rsidRPr="00724054" w:rsidRDefault="003154A7" w:rsidP="003154A7">
            <w:pPr>
              <w:pStyle w:val="Tabletext1"/>
              <w:keepNext/>
              <w:ind w:left="0"/>
              <w:jc w:val="center"/>
            </w:pPr>
            <w:r>
              <w:t>$4,126.29</w:t>
            </w:r>
          </w:p>
        </w:tc>
        <w:tc>
          <w:tcPr>
            <w:tcW w:w="1202" w:type="pct"/>
            <w:vAlign w:val="center"/>
          </w:tcPr>
          <w:p w14:paraId="629BCD14" w14:textId="113DAB4E" w:rsidR="003154A7" w:rsidRPr="00724054" w:rsidRDefault="003154A7" w:rsidP="003154A7">
            <w:pPr>
              <w:pStyle w:val="Tabletext1"/>
              <w:keepNext/>
            </w:pPr>
            <w:r w:rsidRPr="00724054">
              <w:t>$1,930</w:t>
            </w:r>
          </w:p>
        </w:tc>
        <w:tc>
          <w:tcPr>
            <w:tcW w:w="695" w:type="pct"/>
            <w:vAlign w:val="center"/>
          </w:tcPr>
          <w:p w14:paraId="0E176C12" w14:textId="7D086F43" w:rsidR="003154A7" w:rsidRPr="00724054" w:rsidRDefault="003154A7" w:rsidP="00207D12">
            <w:pPr>
              <w:pStyle w:val="Tabletext1"/>
              <w:keepNext/>
              <w:ind w:left="0"/>
              <w:jc w:val="center"/>
            </w:pPr>
            <w:r>
              <w:t>-</w:t>
            </w:r>
          </w:p>
        </w:tc>
      </w:tr>
      <w:tr w:rsidR="00984584" w14:paraId="57AB6615" w14:textId="77777777" w:rsidTr="003154A7">
        <w:trPr>
          <w:cantSplit/>
        </w:trPr>
        <w:tc>
          <w:tcPr>
            <w:tcW w:w="1151" w:type="pct"/>
            <w:vAlign w:val="center"/>
          </w:tcPr>
          <w:p w14:paraId="7846BC56" w14:textId="77777777" w:rsidR="00984584" w:rsidRPr="00724054" w:rsidRDefault="00984584" w:rsidP="00796F7E">
            <w:pPr>
              <w:pStyle w:val="Tabletext1"/>
              <w:keepNext/>
              <w:ind w:left="0"/>
              <w:rPr>
                <w:b/>
              </w:rPr>
            </w:pPr>
            <w:r w:rsidRPr="00724054">
              <w:rPr>
                <w:b/>
              </w:rPr>
              <w:t>No. of fractions for CBCT-IGRT = 10</w:t>
            </w:r>
          </w:p>
        </w:tc>
        <w:tc>
          <w:tcPr>
            <w:tcW w:w="991" w:type="pct"/>
            <w:vAlign w:val="center"/>
          </w:tcPr>
          <w:p w14:paraId="4CB43763" w14:textId="77777777" w:rsidR="00984584" w:rsidRPr="00724054" w:rsidRDefault="00984584" w:rsidP="00796F7E">
            <w:pPr>
              <w:pStyle w:val="Tabletext1"/>
              <w:keepNext/>
              <w:ind w:left="0"/>
              <w:jc w:val="center"/>
            </w:pPr>
            <w:r w:rsidRPr="00724054">
              <w:t>$6,056</w:t>
            </w:r>
          </w:p>
        </w:tc>
        <w:tc>
          <w:tcPr>
            <w:tcW w:w="961" w:type="pct"/>
            <w:vAlign w:val="center"/>
          </w:tcPr>
          <w:p w14:paraId="38BDAC74" w14:textId="77777777" w:rsidR="00984584" w:rsidRPr="00724054" w:rsidRDefault="00984584" w:rsidP="00796F7E">
            <w:pPr>
              <w:pStyle w:val="Tabletext1"/>
              <w:keepNext/>
              <w:ind w:left="0"/>
              <w:jc w:val="center"/>
            </w:pPr>
            <w:r w:rsidRPr="00724054">
              <w:t>$4,804</w:t>
            </w:r>
          </w:p>
        </w:tc>
        <w:tc>
          <w:tcPr>
            <w:tcW w:w="1202" w:type="pct"/>
            <w:vAlign w:val="center"/>
          </w:tcPr>
          <w:p w14:paraId="5F8DAFA9" w14:textId="77777777" w:rsidR="00984584" w:rsidRPr="00724054" w:rsidRDefault="00984584" w:rsidP="00796F7E">
            <w:pPr>
              <w:pStyle w:val="Tabletext1"/>
              <w:keepNext/>
              <w:ind w:left="0"/>
              <w:jc w:val="center"/>
            </w:pPr>
            <w:r w:rsidRPr="00724054">
              <w:t>$1,252</w:t>
            </w:r>
          </w:p>
        </w:tc>
        <w:tc>
          <w:tcPr>
            <w:tcW w:w="695" w:type="pct"/>
            <w:vAlign w:val="center"/>
          </w:tcPr>
          <w:p w14:paraId="5998D836" w14:textId="77777777" w:rsidR="00984584" w:rsidRPr="00724054" w:rsidRDefault="00984584" w:rsidP="00796F7E">
            <w:pPr>
              <w:pStyle w:val="Tabletext1"/>
              <w:keepNext/>
              <w:ind w:left="0"/>
              <w:jc w:val="center"/>
            </w:pPr>
            <w:r w:rsidRPr="00724054">
              <w:t>-35%</w:t>
            </w:r>
          </w:p>
        </w:tc>
      </w:tr>
      <w:tr w:rsidR="00984584" w14:paraId="64629DB8" w14:textId="77777777" w:rsidTr="003154A7">
        <w:trPr>
          <w:cantSplit/>
        </w:trPr>
        <w:tc>
          <w:tcPr>
            <w:tcW w:w="1151" w:type="pct"/>
            <w:vAlign w:val="center"/>
          </w:tcPr>
          <w:p w14:paraId="657824FE" w14:textId="77777777" w:rsidR="00984584" w:rsidRPr="00724054" w:rsidRDefault="00984584" w:rsidP="00DB375E">
            <w:pPr>
              <w:pStyle w:val="Tabletext1"/>
              <w:ind w:left="0"/>
              <w:rPr>
                <w:b/>
              </w:rPr>
            </w:pPr>
            <w:r w:rsidRPr="00724054">
              <w:rPr>
                <w:b/>
              </w:rPr>
              <w:t>No. of fractions for CBCT-IGRT = 20</w:t>
            </w:r>
          </w:p>
        </w:tc>
        <w:tc>
          <w:tcPr>
            <w:tcW w:w="991" w:type="pct"/>
            <w:vAlign w:val="center"/>
          </w:tcPr>
          <w:p w14:paraId="4D301DA8" w14:textId="77777777" w:rsidR="00984584" w:rsidRPr="00724054" w:rsidRDefault="00984584" w:rsidP="00DB375E">
            <w:pPr>
              <w:pStyle w:val="Tabletext1"/>
              <w:ind w:left="0"/>
              <w:jc w:val="center"/>
            </w:pPr>
            <w:r w:rsidRPr="00724054">
              <w:t>$6,056</w:t>
            </w:r>
          </w:p>
        </w:tc>
        <w:tc>
          <w:tcPr>
            <w:tcW w:w="961" w:type="pct"/>
            <w:vAlign w:val="center"/>
          </w:tcPr>
          <w:p w14:paraId="49EE99C3" w14:textId="77777777" w:rsidR="00984584" w:rsidRPr="00724054" w:rsidRDefault="00984584" w:rsidP="00DB375E">
            <w:pPr>
              <w:pStyle w:val="Tabletext1"/>
              <w:ind w:left="0"/>
              <w:jc w:val="center"/>
            </w:pPr>
            <w:r w:rsidRPr="00724054">
              <w:t>$6,159</w:t>
            </w:r>
          </w:p>
        </w:tc>
        <w:tc>
          <w:tcPr>
            <w:tcW w:w="1202" w:type="pct"/>
            <w:vAlign w:val="center"/>
          </w:tcPr>
          <w:p w14:paraId="618D9E9C" w14:textId="77777777" w:rsidR="00984584" w:rsidRPr="00724054" w:rsidRDefault="00984584" w:rsidP="00DB375E">
            <w:pPr>
              <w:pStyle w:val="Tabletext1"/>
              <w:ind w:left="0"/>
              <w:jc w:val="center"/>
            </w:pPr>
            <w:r w:rsidRPr="00724054">
              <w:t>-$103</w:t>
            </w:r>
          </w:p>
        </w:tc>
        <w:tc>
          <w:tcPr>
            <w:tcW w:w="695" w:type="pct"/>
            <w:vAlign w:val="center"/>
          </w:tcPr>
          <w:p w14:paraId="110ABF89" w14:textId="77777777" w:rsidR="00984584" w:rsidRPr="00724054" w:rsidRDefault="00984584" w:rsidP="00DB375E">
            <w:pPr>
              <w:pStyle w:val="Tabletext1"/>
              <w:ind w:left="0"/>
              <w:jc w:val="center"/>
            </w:pPr>
            <w:r w:rsidRPr="00724054">
              <w:t>-105%</w:t>
            </w:r>
          </w:p>
        </w:tc>
      </w:tr>
      <w:tr w:rsidR="00984584" w14:paraId="27316B52" w14:textId="77777777" w:rsidTr="003154A7">
        <w:trPr>
          <w:cantSplit/>
        </w:trPr>
        <w:tc>
          <w:tcPr>
            <w:tcW w:w="1151" w:type="pct"/>
            <w:vAlign w:val="center"/>
          </w:tcPr>
          <w:p w14:paraId="36498977" w14:textId="77777777" w:rsidR="00984584" w:rsidRPr="00724054" w:rsidRDefault="00984584" w:rsidP="00DB375E">
            <w:pPr>
              <w:pStyle w:val="Tabletext1"/>
              <w:ind w:left="0"/>
              <w:rPr>
                <w:b/>
              </w:rPr>
            </w:pPr>
            <w:r w:rsidRPr="00724054">
              <w:rPr>
                <w:b/>
              </w:rPr>
              <w:t>No. of fractions for CBCT-IGRT = 30</w:t>
            </w:r>
          </w:p>
        </w:tc>
        <w:tc>
          <w:tcPr>
            <w:tcW w:w="991" w:type="pct"/>
            <w:vAlign w:val="center"/>
          </w:tcPr>
          <w:p w14:paraId="3E2B6A1B" w14:textId="77777777" w:rsidR="00984584" w:rsidRPr="00724054" w:rsidRDefault="00984584" w:rsidP="00DB375E">
            <w:pPr>
              <w:pStyle w:val="Tabletext1"/>
              <w:ind w:left="0"/>
              <w:jc w:val="center"/>
            </w:pPr>
            <w:r w:rsidRPr="00724054">
              <w:t>$6,056</w:t>
            </w:r>
          </w:p>
        </w:tc>
        <w:tc>
          <w:tcPr>
            <w:tcW w:w="961" w:type="pct"/>
            <w:vAlign w:val="center"/>
          </w:tcPr>
          <w:p w14:paraId="2292596A" w14:textId="77777777" w:rsidR="00984584" w:rsidRPr="00724054" w:rsidRDefault="00984584" w:rsidP="00DB375E">
            <w:pPr>
              <w:pStyle w:val="Tabletext1"/>
              <w:ind w:left="0"/>
              <w:jc w:val="center"/>
            </w:pPr>
            <w:r w:rsidRPr="00724054">
              <w:t>$7,515</w:t>
            </w:r>
          </w:p>
        </w:tc>
        <w:tc>
          <w:tcPr>
            <w:tcW w:w="1202" w:type="pct"/>
            <w:vAlign w:val="center"/>
          </w:tcPr>
          <w:p w14:paraId="637CF58C" w14:textId="77777777" w:rsidR="00984584" w:rsidRPr="00724054" w:rsidRDefault="00984584" w:rsidP="00DB375E">
            <w:pPr>
              <w:pStyle w:val="Tabletext1"/>
              <w:ind w:left="0"/>
              <w:jc w:val="center"/>
            </w:pPr>
            <w:r w:rsidRPr="00724054">
              <w:t>-$1,459</w:t>
            </w:r>
          </w:p>
        </w:tc>
        <w:tc>
          <w:tcPr>
            <w:tcW w:w="695" w:type="pct"/>
            <w:vAlign w:val="center"/>
          </w:tcPr>
          <w:p w14:paraId="4BE4E4FC" w14:textId="77777777" w:rsidR="00984584" w:rsidRPr="00724054" w:rsidRDefault="00984584" w:rsidP="00DB375E">
            <w:pPr>
              <w:pStyle w:val="Tabletext1"/>
              <w:ind w:left="0"/>
              <w:jc w:val="center"/>
            </w:pPr>
            <w:r w:rsidRPr="00724054">
              <w:t>-176%</w:t>
            </w:r>
          </w:p>
        </w:tc>
      </w:tr>
    </w:tbl>
    <w:p w14:paraId="2DEEDF1D" w14:textId="77777777" w:rsidR="00984584" w:rsidRDefault="00984584" w:rsidP="00984584">
      <w:pPr>
        <w:pStyle w:val="Tablenotes0"/>
        <w:spacing w:after="240" w:line="312" w:lineRule="auto"/>
      </w:pPr>
      <w:r>
        <w:t>MR-IGRT=Magnetic resonance image guided radiation therapy; CBCT-IGRT=Cone beam computed tomography image guided radiation therapy</w:t>
      </w:r>
    </w:p>
    <w:p w14:paraId="7A2FA8D7" w14:textId="49A34AAB" w:rsidR="009A4F87" w:rsidRDefault="009A4F87" w:rsidP="009A4F87">
      <w:r>
        <w:t xml:space="preserve">In the base case analysis, fiducial marker placement </w:t>
      </w:r>
      <w:r w:rsidR="00841ECE">
        <w:t>was</w:t>
      </w:r>
      <w:r w:rsidR="00F12AE6">
        <w:t xml:space="preserve"> included </w:t>
      </w:r>
      <w:r>
        <w:t xml:space="preserve">as a prior step to simulation for all the patients, however, for certain kinds of cancer, it might not require and likely to overestimate the cost. </w:t>
      </w:r>
      <w:r w:rsidR="00F12AE6">
        <w:t>The DCAR</w:t>
      </w:r>
      <w:r>
        <w:t xml:space="preserve"> conducted </w:t>
      </w:r>
      <w:r w:rsidR="00006115">
        <w:t xml:space="preserve">a scenario </w:t>
      </w:r>
      <w:r>
        <w:t xml:space="preserve">analysis by removing cost of fiducial marker placement from the cost of CBCT-IGRT. Based on this, the incremental cost </w:t>
      </w:r>
      <w:r w:rsidR="004C313F">
        <w:t xml:space="preserve">of MR-IGRT vs. CBCT-IGRT </w:t>
      </w:r>
      <w:r>
        <w:t xml:space="preserve">increased by 11% as the overall cost of CBCT-IGRT reduced. </w:t>
      </w:r>
    </w:p>
    <w:p w14:paraId="325B3B20" w14:textId="77777777" w:rsidR="005278E7" w:rsidRPr="00183E4D" w:rsidRDefault="000B7A2F" w:rsidP="000B7A2F">
      <w:pPr>
        <w:pStyle w:val="Heading3"/>
      </w:pPr>
      <w:bookmarkStart w:id="151" w:name="_Toc59018752"/>
      <w:bookmarkStart w:id="152" w:name="_Toc59020296"/>
      <w:bookmarkStart w:id="153" w:name="_Toc59439518"/>
      <w:bookmarkStart w:id="154" w:name="_Toc89857790"/>
      <w:r w:rsidRPr="00183E4D">
        <w:t>Estimated Extent of Use and Financial I</w:t>
      </w:r>
      <w:r w:rsidR="005278E7" w:rsidRPr="00183E4D">
        <w:t>m</w:t>
      </w:r>
      <w:bookmarkEnd w:id="131"/>
      <w:r w:rsidR="005278E7" w:rsidRPr="00183E4D">
        <w:t>plications</w:t>
      </w:r>
      <w:bookmarkEnd w:id="132"/>
      <w:bookmarkEnd w:id="151"/>
      <w:bookmarkEnd w:id="152"/>
      <w:bookmarkEnd w:id="153"/>
      <w:bookmarkEnd w:id="154"/>
    </w:p>
    <w:p w14:paraId="704FEAE6" w14:textId="77777777" w:rsidR="00944174" w:rsidRPr="005C061E" w:rsidRDefault="00944174" w:rsidP="00944174">
      <w:pPr>
        <w:jc w:val="both"/>
      </w:pPr>
      <w:r>
        <w:t xml:space="preserve">A pragmatic ‘mixed methods’ approach was used to estimate the </w:t>
      </w:r>
      <w:r w:rsidRPr="005C061E">
        <w:t>financial implications of the introduction of</w:t>
      </w:r>
      <w:r>
        <w:t xml:space="preserve"> MR-IGRT.</w:t>
      </w:r>
      <w:r w:rsidRPr="005C061E">
        <w:t xml:space="preserve"> </w:t>
      </w:r>
    </w:p>
    <w:p w14:paraId="2D36B289" w14:textId="15D7FF07" w:rsidR="0078714D" w:rsidRDefault="00944174" w:rsidP="00661343">
      <w:pPr>
        <w:jc w:val="both"/>
        <w:rPr>
          <w:rFonts w:asciiTheme="minorHAnsi" w:hAnsiTheme="minorHAnsi" w:cstheme="minorHAnsi"/>
          <w:szCs w:val="28"/>
          <w:lang w:eastAsia="en-US"/>
        </w:rPr>
      </w:pPr>
      <w:r w:rsidRPr="005C061E">
        <w:t xml:space="preserve">The financial implications to the MBS resulting from the proposed listing of </w:t>
      </w:r>
      <w:r>
        <w:t>MR-IGRT</w:t>
      </w:r>
      <w:r w:rsidRPr="005C061E">
        <w:t xml:space="preserve"> are summarised in</w:t>
      </w:r>
      <w:r w:rsidR="00796F7E">
        <w:t xml:space="preserve"> </w:t>
      </w:r>
      <w:r w:rsidR="00796F7E">
        <w:fldChar w:fldCharType="begin"/>
      </w:r>
      <w:r w:rsidR="00796F7E">
        <w:instrText xml:space="preserve"> REF _Ref59014567 \h </w:instrText>
      </w:r>
      <w:r w:rsidR="00796F7E">
        <w:fldChar w:fldCharType="separate"/>
      </w:r>
      <w:r w:rsidR="00451350">
        <w:t xml:space="preserve">Table </w:t>
      </w:r>
      <w:r w:rsidR="00451350">
        <w:rPr>
          <w:noProof/>
        </w:rPr>
        <w:t>6</w:t>
      </w:r>
      <w:r w:rsidR="00796F7E">
        <w:fldChar w:fldCharType="end"/>
      </w:r>
      <w:r w:rsidR="00796F7E">
        <w:t>.</w:t>
      </w:r>
      <w:r>
        <w:t xml:space="preserve">  </w:t>
      </w:r>
      <w:r w:rsidR="00661343">
        <w:rPr>
          <w:rFonts w:asciiTheme="minorHAnsi" w:hAnsiTheme="minorHAnsi" w:cstheme="minorHAnsi"/>
          <w:szCs w:val="28"/>
          <w:lang w:eastAsia="en-US"/>
        </w:rPr>
        <w:t xml:space="preserve">The </w:t>
      </w:r>
      <w:r w:rsidR="008E07B0">
        <w:rPr>
          <w:rFonts w:asciiTheme="minorHAnsi" w:hAnsiTheme="minorHAnsi" w:cstheme="minorHAnsi"/>
          <w:szCs w:val="28"/>
          <w:lang w:eastAsia="en-US"/>
        </w:rPr>
        <w:t>financial analysis</w:t>
      </w:r>
      <w:r w:rsidR="003F02A7">
        <w:rPr>
          <w:rFonts w:asciiTheme="minorHAnsi" w:hAnsiTheme="minorHAnsi" w:cstheme="minorHAnsi"/>
          <w:szCs w:val="28"/>
          <w:lang w:eastAsia="en-US"/>
        </w:rPr>
        <w:t xml:space="preserve"> assume</w:t>
      </w:r>
      <w:r w:rsidR="000859ED">
        <w:rPr>
          <w:rFonts w:asciiTheme="minorHAnsi" w:hAnsiTheme="minorHAnsi" w:cstheme="minorHAnsi"/>
          <w:szCs w:val="28"/>
          <w:lang w:eastAsia="en-US"/>
        </w:rPr>
        <w:t>s</w:t>
      </w:r>
      <w:r w:rsidR="003F02A7">
        <w:rPr>
          <w:rFonts w:asciiTheme="minorHAnsi" w:hAnsiTheme="minorHAnsi" w:cstheme="minorHAnsi"/>
          <w:szCs w:val="28"/>
          <w:lang w:eastAsia="en-US"/>
        </w:rPr>
        <w:t xml:space="preserve"> initial MR-IGRT use for </w:t>
      </w:r>
      <w:r w:rsidR="008920F1">
        <w:rPr>
          <w:rFonts w:asciiTheme="minorHAnsi" w:hAnsiTheme="minorHAnsi" w:cstheme="minorHAnsi"/>
          <w:szCs w:val="28"/>
          <w:lang w:eastAsia="en-US"/>
        </w:rPr>
        <w:t>cancer indications</w:t>
      </w:r>
      <w:r w:rsidR="006F005D">
        <w:rPr>
          <w:rFonts w:asciiTheme="minorHAnsi" w:hAnsiTheme="minorHAnsi" w:cstheme="minorHAnsi"/>
          <w:szCs w:val="28"/>
          <w:lang w:eastAsia="en-US"/>
        </w:rPr>
        <w:t xml:space="preserve"> (</w:t>
      </w:r>
      <w:r w:rsidR="00347DC4">
        <w:rPr>
          <w:rFonts w:asciiTheme="minorHAnsi" w:hAnsiTheme="minorHAnsi" w:cstheme="minorHAnsi"/>
          <w:szCs w:val="28"/>
          <w:lang w:eastAsia="en-US"/>
        </w:rPr>
        <w:t xml:space="preserve">including </w:t>
      </w:r>
      <w:r w:rsidR="006F005D">
        <w:rPr>
          <w:rFonts w:asciiTheme="minorHAnsi" w:hAnsiTheme="minorHAnsi" w:cstheme="minorHAnsi"/>
          <w:szCs w:val="28"/>
          <w:lang w:eastAsia="en-US"/>
        </w:rPr>
        <w:t>breast and prostate cancer)</w:t>
      </w:r>
      <w:r w:rsidR="008920F1">
        <w:rPr>
          <w:rFonts w:asciiTheme="minorHAnsi" w:hAnsiTheme="minorHAnsi" w:cstheme="minorHAnsi"/>
          <w:szCs w:val="28"/>
          <w:lang w:eastAsia="en-US"/>
        </w:rPr>
        <w:t xml:space="preserve"> where the Applicant and clinical advice ha</w:t>
      </w:r>
      <w:r w:rsidR="00347DC4">
        <w:rPr>
          <w:rFonts w:asciiTheme="minorHAnsi" w:hAnsiTheme="minorHAnsi" w:cstheme="minorHAnsi"/>
          <w:szCs w:val="28"/>
          <w:lang w:eastAsia="en-US"/>
        </w:rPr>
        <w:t>s</w:t>
      </w:r>
      <w:r w:rsidR="008920F1">
        <w:rPr>
          <w:rFonts w:asciiTheme="minorHAnsi" w:hAnsiTheme="minorHAnsi" w:cstheme="minorHAnsi"/>
          <w:szCs w:val="28"/>
          <w:lang w:eastAsia="en-US"/>
        </w:rPr>
        <w:t xml:space="preserve"> indicated</w:t>
      </w:r>
      <w:r w:rsidR="00C506BD">
        <w:rPr>
          <w:rFonts w:asciiTheme="minorHAnsi" w:hAnsiTheme="minorHAnsi" w:cstheme="minorHAnsi"/>
          <w:szCs w:val="28"/>
          <w:lang w:eastAsia="en-US"/>
        </w:rPr>
        <w:t xml:space="preserve"> there is</w:t>
      </w:r>
      <w:r w:rsidR="008920F1">
        <w:rPr>
          <w:rFonts w:asciiTheme="minorHAnsi" w:hAnsiTheme="minorHAnsi" w:cstheme="minorHAnsi"/>
          <w:szCs w:val="28"/>
          <w:lang w:eastAsia="en-US"/>
        </w:rPr>
        <w:t xml:space="preserve"> </w:t>
      </w:r>
      <w:r w:rsidR="00C506BD">
        <w:rPr>
          <w:rFonts w:asciiTheme="minorHAnsi" w:hAnsiTheme="minorHAnsi" w:cstheme="minorHAnsi"/>
          <w:szCs w:val="28"/>
          <w:lang w:eastAsia="en-US"/>
        </w:rPr>
        <w:t>emerging evidence</w:t>
      </w:r>
      <w:r w:rsidR="008920F1">
        <w:rPr>
          <w:rFonts w:asciiTheme="minorHAnsi" w:hAnsiTheme="minorHAnsi" w:cstheme="minorHAnsi"/>
          <w:szCs w:val="28"/>
          <w:lang w:eastAsia="en-US"/>
        </w:rPr>
        <w:t xml:space="preserve"> for material fraction reductions compared to</w:t>
      </w:r>
      <w:r w:rsidR="00A62767">
        <w:rPr>
          <w:rFonts w:asciiTheme="minorHAnsi" w:hAnsiTheme="minorHAnsi" w:cstheme="minorHAnsi"/>
          <w:szCs w:val="28"/>
          <w:lang w:eastAsia="en-US"/>
        </w:rPr>
        <w:t xml:space="preserve"> current</w:t>
      </w:r>
      <w:r w:rsidR="008920F1">
        <w:rPr>
          <w:rFonts w:asciiTheme="minorHAnsi" w:hAnsiTheme="minorHAnsi" w:cstheme="minorHAnsi"/>
          <w:szCs w:val="28"/>
          <w:lang w:eastAsia="en-US"/>
        </w:rPr>
        <w:t xml:space="preserve"> </w:t>
      </w:r>
      <w:r w:rsidR="006F005D">
        <w:rPr>
          <w:rFonts w:asciiTheme="minorHAnsi" w:hAnsiTheme="minorHAnsi" w:cstheme="minorHAnsi"/>
          <w:szCs w:val="28"/>
          <w:lang w:eastAsia="en-US"/>
        </w:rPr>
        <w:t>CBCT-IGRT</w:t>
      </w:r>
      <w:r w:rsidR="00A62767">
        <w:rPr>
          <w:rFonts w:asciiTheme="minorHAnsi" w:hAnsiTheme="minorHAnsi" w:cstheme="minorHAnsi"/>
          <w:szCs w:val="28"/>
          <w:lang w:eastAsia="en-US"/>
        </w:rPr>
        <w:t xml:space="preserve"> fraction </w:t>
      </w:r>
      <w:r w:rsidR="001F1FB4">
        <w:rPr>
          <w:rFonts w:asciiTheme="minorHAnsi" w:hAnsiTheme="minorHAnsi" w:cstheme="minorHAnsi"/>
          <w:szCs w:val="28"/>
          <w:lang w:eastAsia="en-US"/>
        </w:rPr>
        <w:t>rate estimates.  The Applicant</w:t>
      </w:r>
      <w:r w:rsidR="001F241A">
        <w:rPr>
          <w:rFonts w:asciiTheme="minorHAnsi" w:hAnsiTheme="minorHAnsi" w:cstheme="minorHAnsi"/>
          <w:szCs w:val="28"/>
          <w:lang w:eastAsia="en-US"/>
        </w:rPr>
        <w:t xml:space="preserve"> has indicated </w:t>
      </w:r>
      <w:r w:rsidR="00B25C17">
        <w:rPr>
          <w:rFonts w:asciiTheme="minorHAnsi" w:hAnsiTheme="minorHAnsi" w:cstheme="minorHAnsi"/>
          <w:szCs w:val="28"/>
          <w:lang w:eastAsia="en-US"/>
        </w:rPr>
        <w:t>MR-IGRT is</w:t>
      </w:r>
      <w:r w:rsidR="001F241A">
        <w:rPr>
          <w:rFonts w:asciiTheme="minorHAnsi" w:hAnsiTheme="minorHAnsi" w:cstheme="minorHAnsi"/>
          <w:szCs w:val="28"/>
          <w:lang w:eastAsia="en-US"/>
        </w:rPr>
        <w:t xml:space="preserve"> currently being used </w:t>
      </w:r>
      <w:r w:rsidR="00B25C17">
        <w:rPr>
          <w:rFonts w:asciiTheme="minorHAnsi" w:hAnsiTheme="minorHAnsi" w:cstheme="minorHAnsi"/>
          <w:szCs w:val="28"/>
          <w:lang w:eastAsia="en-US"/>
        </w:rPr>
        <w:t>in</w:t>
      </w:r>
      <w:r w:rsidR="001F241A">
        <w:rPr>
          <w:rFonts w:asciiTheme="minorHAnsi" w:hAnsiTheme="minorHAnsi" w:cstheme="minorHAnsi"/>
          <w:szCs w:val="28"/>
          <w:lang w:eastAsia="en-US"/>
        </w:rPr>
        <w:t xml:space="preserve"> Australia</w:t>
      </w:r>
      <w:r w:rsidR="00B25C17">
        <w:rPr>
          <w:rFonts w:asciiTheme="minorHAnsi" w:hAnsiTheme="minorHAnsi" w:cstheme="minorHAnsi"/>
          <w:szCs w:val="28"/>
          <w:lang w:eastAsia="en-US"/>
        </w:rPr>
        <w:t xml:space="preserve"> for these indications</w:t>
      </w:r>
      <w:r w:rsidR="001F241A">
        <w:rPr>
          <w:rFonts w:asciiTheme="minorHAnsi" w:hAnsiTheme="minorHAnsi" w:cstheme="minorHAnsi"/>
          <w:szCs w:val="28"/>
          <w:lang w:eastAsia="en-US"/>
        </w:rPr>
        <w:t xml:space="preserve"> and is likely to do so upon any MBS listing</w:t>
      </w:r>
      <w:r w:rsidR="00A62767">
        <w:rPr>
          <w:rFonts w:asciiTheme="minorHAnsi" w:hAnsiTheme="minorHAnsi" w:cstheme="minorHAnsi"/>
          <w:szCs w:val="28"/>
          <w:lang w:eastAsia="en-US"/>
        </w:rPr>
        <w:t>.</w:t>
      </w:r>
      <w:r w:rsidR="006F005D">
        <w:rPr>
          <w:rFonts w:asciiTheme="minorHAnsi" w:hAnsiTheme="minorHAnsi" w:cstheme="minorHAnsi"/>
          <w:szCs w:val="28"/>
          <w:lang w:eastAsia="en-US"/>
        </w:rPr>
        <w:t xml:space="preserve"> </w:t>
      </w:r>
      <w:r w:rsidR="00661343">
        <w:rPr>
          <w:rFonts w:asciiTheme="minorHAnsi" w:hAnsiTheme="minorHAnsi" w:cstheme="minorHAnsi"/>
          <w:szCs w:val="28"/>
          <w:lang w:eastAsia="en-US"/>
        </w:rPr>
        <w:t xml:space="preserve"> </w:t>
      </w:r>
      <w:r w:rsidR="000552F0">
        <w:rPr>
          <w:rFonts w:asciiTheme="minorHAnsi" w:hAnsiTheme="minorHAnsi" w:cstheme="minorHAnsi"/>
          <w:szCs w:val="28"/>
          <w:lang w:eastAsia="en-US"/>
        </w:rPr>
        <w:t xml:space="preserve">The financial implications results </w:t>
      </w:r>
      <w:r w:rsidR="00E1375C">
        <w:rPr>
          <w:rFonts w:asciiTheme="minorHAnsi" w:hAnsiTheme="minorHAnsi" w:cstheme="minorHAnsi"/>
          <w:szCs w:val="28"/>
          <w:lang w:eastAsia="en-US"/>
        </w:rPr>
        <w:t>therefore reflect</w:t>
      </w:r>
      <w:r w:rsidR="00661343">
        <w:rPr>
          <w:rFonts w:asciiTheme="minorHAnsi" w:hAnsiTheme="minorHAnsi" w:cstheme="minorHAnsi"/>
          <w:szCs w:val="28"/>
          <w:lang w:eastAsia="en-US"/>
        </w:rPr>
        <w:t xml:space="preserve"> assumption</w:t>
      </w:r>
      <w:r w:rsidR="00E1375C">
        <w:rPr>
          <w:rFonts w:asciiTheme="minorHAnsi" w:hAnsiTheme="minorHAnsi" w:cstheme="minorHAnsi"/>
          <w:szCs w:val="28"/>
          <w:lang w:eastAsia="en-US"/>
        </w:rPr>
        <w:t>s</w:t>
      </w:r>
      <w:r w:rsidR="00661343">
        <w:rPr>
          <w:rFonts w:asciiTheme="minorHAnsi" w:hAnsiTheme="minorHAnsi" w:cstheme="minorHAnsi"/>
          <w:szCs w:val="28"/>
          <w:lang w:eastAsia="en-US"/>
        </w:rPr>
        <w:t xml:space="preserve"> of </w:t>
      </w:r>
      <w:r w:rsidR="00E1375C">
        <w:rPr>
          <w:rFonts w:asciiTheme="minorHAnsi" w:hAnsiTheme="minorHAnsi" w:cstheme="minorHAnsi"/>
          <w:szCs w:val="28"/>
          <w:lang w:eastAsia="en-US"/>
        </w:rPr>
        <w:t>‘optimal’ fraction</w:t>
      </w:r>
      <w:r w:rsidR="003D7F27">
        <w:rPr>
          <w:rFonts w:asciiTheme="minorHAnsi" w:hAnsiTheme="minorHAnsi" w:cstheme="minorHAnsi"/>
          <w:szCs w:val="28"/>
          <w:lang w:eastAsia="en-US"/>
        </w:rPr>
        <w:t>ation</w:t>
      </w:r>
      <w:r w:rsidR="001F241A">
        <w:rPr>
          <w:rFonts w:asciiTheme="minorHAnsi" w:hAnsiTheme="minorHAnsi" w:cstheme="minorHAnsi"/>
          <w:szCs w:val="28"/>
          <w:lang w:eastAsia="en-US"/>
        </w:rPr>
        <w:t>.</w:t>
      </w:r>
    </w:p>
    <w:p w14:paraId="653A44CE" w14:textId="0E9F2A4D" w:rsidR="00661343" w:rsidRDefault="00661343" w:rsidP="00F74ABF">
      <w:pPr>
        <w:jc w:val="both"/>
        <w:rPr>
          <w:rFonts w:asciiTheme="minorHAnsi" w:hAnsiTheme="minorHAnsi" w:cstheme="minorHAnsi"/>
          <w:szCs w:val="28"/>
          <w:lang w:eastAsia="en-US"/>
        </w:rPr>
      </w:pPr>
      <w:r>
        <w:rPr>
          <w:rFonts w:asciiTheme="minorHAnsi" w:hAnsiTheme="minorHAnsi" w:cstheme="minorHAnsi"/>
          <w:szCs w:val="28"/>
          <w:lang w:eastAsia="en-US"/>
        </w:rPr>
        <w:t>However,</w:t>
      </w:r>
      <w:r w:rsidR="00017B8E">
        <w:rPr>
          <w:rFonts w:asciiTheme="minorHAnsi" w:hAnsiTheme="minorHAnsi" w:cstheme="minorHAnsi"/>
          <w:szCs w:val="28"/>
          <w:lang w:eastAsia="en-US"/>
        </w:rPr>
        <w:t xml:space="preserve"> financial </w:t>
      </w:r>
      <w:r w:rsidR="005D2829">
        <w:rPr>
          <w:rFonts w:asciiTheme="minorHAnsi" w:hAnsiTheme="minorHAnsi" w:cstheme="minorHAnsi"/>
          <w:szCs w:val="28"/>
          <w:lang w:eastAsia="en-US"/>
        </w:rPr>
        <w:t>implications</w:t>
      </w:r>
      <w:r w:rsidR="00017B8E">
        <w:rPr>
          <w:rFonts w:asciiTheme="minorHAnsi" w:hAnsiTheme="minorHAnsi" w:cstheme="minorHAnsi"/>
          <w:szCs w:val="28"/>
          <w:lang w:eastAsia="en-US"/>
        </w:rPr>
        <w:t xml:space="preserve"> </w:t>
      </w:r>
      <w:r>
        <w:rPr>
          <w:rFonts w:asciiTheme="minorHAnsi" w:hAnsiTheme="minorHAnsi" w:cstheme="minorHAnsi"/>
          <w:szCs w:val="28"/>
          <w:lang w:eastAsia="en-US"/>
        </w:rPr>
        <w:t xml:space="preserve">are considered uncertain </w:t>
      </w:r>
      <w:r w:rsidR="007F7B49">
        <w:rPr>
          <w:rFonts w:asciiTheme="minorHAnsi" w:hAnsiTheme="minorHAnsi" w:cstheme="minorHAnsi"/>
          <w:szCs w:val="28"/>
          <w:lang w:eastAsia="en-US"/>
        </w:rPr>
        <w:t xml:space="preserve">given </w:t>
      </w:r>
      <w:r w:rsidR="003D7F27">
        <w:rPr>
          <w:rFonts w:asciiTheme="minorHAnsi" w:hAnsiTheme="minorHAnsi" w:cstheme="minorHAnsi"/>
          <w:szCs w:val="28"/>
          <w:lang w:eastAsia="en-US"/>
        </w:rPr>
        <w:t>identified uncertainties</w:t>
      </w:r>
      <w:r w:rsidR="005D2829">
        <w:rPr>
          <w:rFonts w:asciiTheme="minorHAnsi" w:hAnsiTheme="minorHAnsi" w:cstheme="minorHAnsi"/>
          <w:szCs w:val="28"/>
          <w:lang w:eastAsia="en-US"/>
        </w:rPr>
        <w:t xml:space="preserve"> for the MR-IGRT treatment market</w:t>
      </w:r>
      <w:r>
        <w:rPr>
          <w:rFonts w:asciiTheme="minorHAnsi" w:hAnsiTheme="minorHAnsi" w:cstheme="minorHAnsi"/>
          <w:szCs w:val="28"/>
          <w:lang w:eastAsia="en-US"/>
        </w:rPr>
        <w:t xml:space="preserve"> including MR-linac deployment</w:t>
      </w:r>
      <w:r w:rsidR="00800AB7">
        <w:rPr>
          <w:rFonts w:asciiTheme="minorHAnsi" w:hAnsiTheme="minorHAnsi" w:cstheme="minorHAnsi"/>
          <w:szCs w:val="28"/>
          <w:lang w:eastAsia="en-US"/>
        </w:rPr>
        <w:t xml:space="preserve"> and facility capacity</w:t>
      </w:r>
      <w:r>
        <w:rPr>
          <w:rFonts w:asciiTheme="minorHAnsi" w:hAnsiTheme="minorHAnsi" w:cstheme="minorHAnsi"/>
          <w:szCs w:val="28"/>
          <w:lang w:eastAsia="en-US"/>
        </w:rPr>
        <w:t>, treatment uptake, the patient population receiving treatment</w:t>
      </w:r>
      <w:r w:rsidR="00800AB7">
        <w:rPr>
          <w:rFonts w:asciiTheme="minorHAnsi" w:hAnsiTheme="minorHAnsi" w:cstheme="minorHAnsi"/>
          <w:szCs w:val="28"/>
          <w:lang w:eastAsia="en-US"/>
        </w:rPr>
        <w:t xml:space="preserve"> and</w:t>
      </w:r>
      <w:r>
        <w:rPr>
          <w:rFonts w:asciiTheme="minorHAnsi" w:hAnsiTheme="minorHAnsi" w:cstheme="minorHAnsi"/>
          <w:szCs w:val="28"/>
          <w:lang w:eastAsia="en-US"/>
        </w:rPr>
        <w:t xml:space="preserve"> the rate of technology improvement.</w:t>
      </w:r>
    </w:p>
    <w:p w14:paraId="3E1C8314" w14:textId="6D654FCC" w:rsidR="00234B7E" w:rsidRPr="006E1D40" w:rsidRDefault="004C1421" w:rsidP="00234B7E">
      <w:pPr>
        <w:jc w:val="both"/>
        <w:rPr>
          <w:rFonts w:cs="Calibri"/>
        </w:rPr>
      </w:pPr>
      <w:r>
        <w:rPr>
          <w:rFonts w:asciiTheme="minorHAnsi" w:hAnsiTheme="minorHAnsi" w:cstheme="minorHAnsi"/>
          <w:szCs w:val="28"/>
          <w:lang w:eastAsia="en-US"/>
        </w:rPr>
        <w:t xml:space="preserve">The economic evaluation notes </w:t>
      </w:r>
      <w:r w:rsidR="00A003A5">
        <w:rPr>
          <w:rFonts w:asciiTheme="minorHAnsi" w:hAnsiTheme="minorHAnsi" w:cstheme="minorHAnsi"/>
          <w:szCs w:val="28"/>
          <w:lang w:eastAsia="en-US"/>
        </w:rPr>
        <w:t>MR-IGRT is more costly to deliver than CBCT-IGRT</w:t>
      </w:r>
      <w:r w:rsidR="0084607A">
        <w:rPr>
          <w:rFonts w:asciiTheme="minorHAnsi" w:hAnsiTheme="minorHAnsi" w:cstheme="minorHAnsi"/>
          <w:szCs w:val="28"/>
          <w:lang w:eastAsia="en-US"/>
        </w:rPr>
        <w:t xml:space="preserve">.  </w:t>
      </w:r>
      <w:r w:rsidR="00FC080D">
        <w:t xml:space="preserve">However, the Applicant is not requesting a higher MBS fee.  </w:t>
      </w:r>
      <w:r w:rsidR="007D503E" w:rsidRPr="007D503E">
        <w:t xml:space="preserve">The Applicant considered that no net impact to out-of-pocket costs would be expected and </w:t>
      </w:r>
      <w:r w:rsidR="00C91B2F">
        <w:t xml:space="preserve">any impact </w:t>
      </w:r>
      <w:r w:rsidR="007D503E" w:rsidRPr="007D503E">
        <w:t xml:space="preserve">would be dependent on the individual </w:t>
      </w:r>
      <w:r w:rsidR="00B56F9C">
        <w:t xml:space="preserve">MR-IGRT treatment </w:t>
      </w:r>
      <w:r w:rsidR="007D503E" w:rsidRPr="007D503E">
        <w:t>provider</w:t>
      </w:r>
      <w:r w:rsidR="00B56F9C">
        <w:t>.</w:t>
      </w:r>
      <w:r w:rsidR="00234B7E">
        <w:t xml:space="preserve">  The analysis therefore assumes that any additional costs of MR-IGRT treatment above the MBS fee would be required to be paid by the patient out-of-pocket.  However, whether this would happen is uncertain.</w:t>
      </w:r>
    </w:p>
    <w:p w14:paraId="44F36706" w14:textId="02EFCB28" w:rsidR="00944174" w:rsidRDefault="00944174" w:rsidP="00944174">
      <w:pPr>
        <w:jc w:val="both"/>
      </w:pPr>
    </w:p>
    <w:p w14:paraId="48C4398E" w14:textId="0DB32B33" w:rsidR="00944174" w:rsidRDefault="00944174" w:rsidP="003A4801">
      <w:pPr>
        <w:pStyle w:val="Caption"/>
        <w:keepNext/>
      </w:pPr>
      <w:bookmarkStart w:id="155" w:name="_Ref59014567"/>
      <w:bookmarkStart w:id="156" w:name="_Toc89857877"/>
      <w:r>
        <w:lastRenderedPageBreak/>
        <w:t xml:space="preserve">Table </w:t>
      </w:r>
      <w:r w:rsidR="00211285">
        <w:fldChar w:fldCharType="begin"/>
      </w:r>
      <w:r w:rsidR="00211285">
        <w:instrText xml:space="preserve"> SEQ Table \* ARABIC </w:instrText>
      </w:r>
      <w:r w:rsidR="00211285">
        <w:fldChar w:fldCharType="separate"/>
      </w:r>
      <w:r w:rsidR="00451350">
        <w:rPr>
          <w:noProof/>
        </w:rPr>
        <w:t>6</w:t>
      </w:r>
      <w:r w:rsidR="00211285">
        <w:rPr>
          <w:noProof/>
        </w:rPr>
        <w:fldChar w:fldCharType="end"/>
      </w:r>
      <w:bookmarkEnd w:id="155"/>
      <w:r>
        <w:tab/>
      </w:r>
      <w:r>
        <w:tab/>
      </w:r>
      <w:r>
        <w:rPr>
          <w:noProof/>
        </w:rPr>
        <w:t>Net MBS financial impact of MR-IGRT listing</w:t>
      </w:r>
      <w:bookmarkEnd w:id="156"/>
    </w:p>
    <w:tbl>
      <w:tblPr>
        <w:tblStyle w:val="TableGrid1"/>
        <w:tblW w:w="5000" w:type="pct"/>
        <w:tblLook w:val="04A0" w:firstRow="1" w:lastRow="0" w:firstColumn="1" w:lastColumn="0" w:noHBand="0" w:noVBand="1"/>
        <w:tblCaption w:val="Table 6 Net MBS financial impact of MR-IGRT listing"/>
        <w:tblDescription w:val="This table describes the net MBS financial impact of MR-IGRT listing."/>
      </w:tblPr>
      <w:tblGrid>
        <w:gridCol w:w="2760"/>
        <w:gridCol w:w="1125"/>
        <w:gridCol w:w="1250"/>
        <w:gridCol w:w="1183"/>
        <w:gridCol w:w="1183"/>
        <w:gridCol w:w="1515"/>
      </w:tblGrid>
      <w:tr w:rsidR="00944174" w:rsidRPr="004C2C35" w14:paraId="0CAF4AE7" w14:textId="77777777" w:rsidTr="007661DC">
        <w:trPr>
          <w:cnfStyle w:val="100000000000" w:firstRow="1" w:lastRow="0" w:firstColumn="0" w:lastColumn="0" w:oddVBand="0" w:evenVBand="0" w:oddHBand="0" w:evenHBand="0" w:firstRowFirstColumn="0" w:firstRowLastColumn="0" w:lastRowFirstColumn="0" w:lastRowLastColumn="0"/>
          <w:trHeight w:val="290"/>
          <w:tblHeader/>
        </w:trPr>
        <w:tc>
          <w:tcPr>
            <w:tcW w:w="1531" w:type="pct"/>
            <w:tcBorders>
              <w:bottom w:val="single" w:sz="4" w:space="0" w:color="auto"/>
            </w:tcBorders>
            <w:shd w:val="clear" w:color="auto" w:fill="auto"/>
            <w:vAlign w:val="center"/>
            <w:hideMark/>
          </w:tcPr>
          <w:p w14:paraId="2AE0D767" w14:textId="77777777" w:rsidR="00944174" w:rsidRPr="00EB75E1" w:rsidRDefault="00944174" w:rsidP="003A4801">
            <w:pPr>
              <w:pStyle w:val="Tabletext1"/>
              <w:keepNext/>
              <w:rPr>
                <w:b/>
                <w:bCs/>
              </w:rPr>
            </w:pPr>
            <w:r w:rsidRPr="00EB75E1">
              <w:rPr>
                <w:b/>
                <w:bCs/>
              </w:rPr>
              <w:t>Item</w:t>
            </w:r>
          </w:p>
        </w:tc>
        <w:tc>
          <w:tcPr>
            <w:tcW w:w="624" w:type="pct"/>
            <w:tcBorders>
              <w:bottom w:val="single" w:sz="4" w:space="0" w:color="auto"/>
            </w:tcBorders>
            <w:shd w:val="clear" w:color="auto" w:fill="auto"/>
            <w:vAlign w:val="center"/>
            <w:hideMark/>
          </w:tcPr>
          <w:p w14:paraId="0EB44397" w14:textId="77777777" w:rsidR="00944174" w:rsidRPr="00EB75E1" w:rsidRDefault="00944174" w:rsidP="003A4801">
            <w:pPr>
              <w:pStyle w:val="Tabletext1"/>
              <w:keepNext/>
              <w:jc w:val="center"/>
              <w:rPr>
                <w:b/>
                <w:bCs/>
              </w:rPr>
            </w:pPr>
            <w:r w:rsidRPr="00EB75E1">
              <w:rPr>
                <w:b/>
                <w:bCs/>
              </w:rPr>
              <w:t>2021</w:t>
            </w:r>
          </w:p>
        </w:tc>
        <w:tc>
          <w:tcPr>
            <w:tcW w:w="693" w:type="pct"/>
            <w:tcBorders>
              <w:bottom w:val="single" w:sz="4" w:space="0" w:color="auto"/>
            </w:tcBorders>
            <w:shd w:val="clear" w:color="auto" w:fill="auto"/>
            <w:vAlign w:val="center"/>
            <w:hideMark/>
          </w:tcPr>
          <w:p w14:paraId="3491C209" w14:textId="77777777" w:rsidR="00944174" w:rsidRPr="00EB75E1" w:rsidRDefault="00944174" w:rsidP="003A4801">
            <w:pPr>
              <w:pStyle w:val="Tabletext1"/>
              <w:keepNext/>
              <w:jc w:val="center"/>
              <w:rPr>
                <w:b/>
                <w:bCs/>
              </w:rPr>
            </w:pPr>
            <w:r w:rsidRPr="00EB75E1">
              <w:rPr>
                <w:b/>
                <w:bCs/>
              </w:rPr>
              <w:t>2022</w:t>
            </w:r>
          </w:p>
        </w:tc>
        <w:tc>
          <w:tcPr>
            <w:tcW w:w="656" w:type="pct"/>
            <w:tcBorders>
              <w:bottom w:val="single" w:sz="4" w:space="0" w:color="auto"/>
            </w:tcBorders>
            <w:shd w:val="clear" w:color="auto" w:fill="auto"/>
            <w:vAlign w:val="center"/>
            <w:hideMark/>
          </w:tcPr>
          <w:p w14:paraId="56CDA65D" w14:textId="77777777" w:rsidR="00944174" w:rsidRPr="00EB75E1" w:rsidRDefault="00944174" w:rsidP="003A4801">
            <w:pPr>
              <w:pStyle w:val="Tabletext1"/>
              <w:keepNext/>
              <w:jc w:val="center"/>
              <w:rPr>
                <w:b/>
                <w:bCs/>
              </w:rPr>
            </w:pPr>
            <w:r w:rsidRPr="00EB75E1">
              <w:rPr>
                <w:b/>
                <w:bCs/>
              </w:rPr>
              <w:t>2023</w:t>
            </w:r>
          </w:p>
        </w:tc>
        <w:tc>
          <w:tcPr>
            <w:tcW w:w="656" w:type="pct"/>
            <w:tcBorders>
              <w:bottom w:val="single" w:sz="4" w:space="0" w:color="auto"/>
            </w:tcBorders>
            <w:shd w:val="clear" w:color="auto" w:fill="auto"/>
            <w:vAlign w:val="center"/>
            <w:hideMark/>
          </w:tcPr>
          <w:p w14:paraId="2A74287C" w14:textId="77777777" w:rsidR="00944174" w:rsidRPr="00EB75E1" w:rsidRDefault="00944174" w:rsidP="003A4801">
            <w:pPr>
              <w:pStyle w:val="Tabletext1"/>
              <w:keepNext/>
              <w:jc w:val="center"/>
              <w:rPr>
                <w:b/>
                <w:bCs/>
              </w:rPr>
            </w:pPr>
            <w:r w:rsidRPr="00EB75E1">
              <w:rPr>
                <w:b/>
                <w:bCs/>
              </w:rPr>
              <w:t>2024</w:t>
            </w:r>
          </w:p>
        </w:tc>
        <w:tc>
          <w:tcPr>
            <w:tcW w:w="840" w:type="pct"/>
            <w:tcBorders>
              <w:bottom w:val="single" w:sz="4" w:space="0" w:color="auto"/>
            </w:tcBorders>
            <w:shd w:val="clear" w:color="auto" w:fill="auto"/>
            <w:vAlign w:val="center"/>
            <w:hideMark/>
          </w:tcPr>
          <w:p w14:paraId="4541E9B3" w14:textId="77777777" w:rsidR="00944174" w:rsidRPr="00EB75E1" w:rsidRDefault="00944174" w:rsidP="003A4801">
            <w:pPr>
              <w:pStyle w:val="Tabletext1"/>
              <w:keepNext/>
              <w:jc w:val="center"/>
              <w:rPr>
                <w:b/>
                <w:bCs/>
              </w:rPr>
            </w:pPr>
            <w:r w:rsidRPr="00EB75E1">
              <w:rPr>
                <w:b/>
                <w:bCs/>
              </w:rPr>
              <w:t>2025</w:t>
            </w:r>
          </w:p>
        </w:tc>
      </w:tr>
      <w:tr w:rsidR="00944174" w:rsidRPr="004C2C35" w14:paraId="36E394C5" w14:textId="77777777" w:rsidTr="007661DC">
        <w:trPr>
          <w:trHeight w:val="290"/>
        </w:trPr>
        <w:tc>
          <w:tcPr>
            <w:tcW w:w="1531" w:type="pct"/>
            <w:tcBorders>
              <w:top w:val="single" w:sz="4" w:space="0" w:color="auto"/>
              <w:left w:val="single" w:sz="4" w:space="0" w:color="auto"/>
              <w:bottom w:val="single" w:sz="4" w:space="0" w:color="auto"/>
              <w:right w:val="nil"/>
            </w:tcBorders>
            <w:shd w:val="clear" w:color="auto" w:fill="auto"/>
            <w:noWrap/>
            <w:vAlign w:val="center"/>
            <w:hideMark/>
          </w:tcPr>
          <w:p w14:paraId="3BD92F59" w14:textId="77777777" w:rsidR="00944174" w:rsidRPr="004C2C35" w:rsidRDefault="00944174" w:rsidP="003A4801">
            <w:pPr>
              <w:pStyle w:val="Tabletext1"/>
              <w:keepNext/>
            </w:pPr>
            <w:r w:rsidRPr="004C2C35">
              <w:t>Estimated utilisation impact</w:t>
            </w:r>
          </w:p>
        </w:tc>
        <w:tc>
          <w:tcPr>
            <w:tcW w:w="624" w:type="pct"/>
            <w:tcBorders>
              <w:top w:val="single" w:sz="4" w:space="0" w:color="auto"/>
              <w:left w:val="nil"/>
              <w:bottom w:val="single" w:sz="4" w:space="0" w:color="auto"/>
              <w:right w:val="nil"/>
            </w:tcBorders>
            <w:shd w:val="clear" w:color="auto" w:fill="auto"/>
            <w:noWrap/>
            <w:vAlign w:val="center"/>
            <w:hideMark/>
          </w:tcPr>
          <w:p w14:paraId="15FA425A" w14:textId="442DE425" w:rsidR="00944174" w:rsidRPr="004C2C35" w:rsidRDefault="00944174" w:rsidP="003A4801">
            <w:pPr>
              <w:pStyle w:val="Tabletext1"/>
              <w:keepNext/>
              <w:jc w:val="center"/>
            </w:pPr>
          </w:p>
        </w:tc>
        <w:tc>
          <w:tcPr>
            <w:tcW w:w="693" w:type="pct"/>
            <w:tcBorders>
              <w:top w:val="single" w:sz="4" w:space="0" w:color="auto"/>
              <w:left w:val="nil"/>
              <w:bottom w:val="single" w:sz="4" w:space="0" w:color="auto"/>
              <w:right w:val="nil"/>
            </w:tcBorders>
            <w:shd w:val="clear" w:color="auto" w:fill="auto"/>
            <w:vAlign w:val="center"/>
            <w:hideMark/>
          </w:tcPr>
          <w:p w14:paraId="3CD02214" w14:textId="2F963BE8" w:rsidR="00944174" w:rsidRPr="004C2C35" w:rsidRDefault="00944174" w:rsidP="003A4801">
            <w:pPr>
              <w:pStyle w:val="Tabletext1"/>
              <w:keepNext/>
              <w:jc w:val="center"/>
            </w:pPr>
          </w:p>
        </w:tc>
        <w:tc>
          <w:tcPr>
            <w:tcW w:w="656" w:type="pct"/>
            <w:tcBorders>
              <w:top w:val="single" w:sz="4" w:space="0" w:color="auto"/>
              <w:left w:val="nil"/>
              <w:bottom w:val="single" w:sz="4" w:space="0" w:color="auto"/>
              <w:right w:val="nil"/>
            </w:tcBorders>
            <w:shd w:val="clear" w:color="auto" w:fill="auto"/>
            <w:vAlign w:val="center"/>
            <w:hideMark/>
          </w:tcPr>
          <w:p w14:paraId="17B839A0" w14:textId="3185034E" w:rsidR="00944174" w:rsidRPr="004C2C35" w:rsidRDefault="00944174" w:rsidP="003A4801">
            <w:pPr>
              <w:pStyle w:val="Tabletext1"/>
              <w:keepNext/>
              <w:jc w:val="center"/>
            </w:pPr>
          </w:p>
        </w:tc>
        <w:tc>
          <w:tcPr>
            <w:tcW w:w="656" w:type="pct"/>
            <w:tcBorders>
              <w:top w:val="single" w:sz="4" w:space="0" w:color="auto"/>
              <w:left w:val="nil"/>
              <w:bottom w:val="single" w:sz="4" w:space="0" w:color="auto"/>
              <w:right w:val="nil"/>
            </w:tcBorders>
            <w:shd w:val="clear" w:color="auto" w:fill="auto"/>
            <w:vAlign w:val="center"/>
            <w:hideMark/>
          </w:tcPr>
          <w:p w14:paraId="1187793B" w14:textId="56DCA0E0" w:rsidR="00944174" w:rsidRPr="004C2C35" w:rsidRDefault="00944174" w:rsidP="003A4801">
            <w:pPr>
              <w:pStyle w:val="Tabletext1"/>
              <w:keepNext/>
              <w:jc w:val="center"/>
            </w:pP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15429890" w14:textId="69148D89" w:rsidR="00944174" w:rsidRPr="004C2C35" w:rsidRDefault="00944174" w:rsidP="003A4801">
            <w:pPr>
              <w:pStyle w:val="Tabletext1"/>
              <w:keepNext/>
              <w:jc w:val="center"/>
            </w:pPr>
          </w:p>
        </w:tc>
      </w:tr>
      <w:tr w:rsidR="00044A47" w:rsidRPr="004C2C35" w14:paraId="672E2171" w14:textId="77777777" w:rsidTr="007661DC">
        <w:trPr>
          <w:trHeight w:val="290"/>
        </w:trPr>
        <w:tc>
          <w:tcPr>
            <w:tcW w:w="1531" w:type="pct"/>
            <w:tcBorders>
              <w:top w:val="single" w:sz="4" w:space="0" w:color="auto"/>
            </w:tcBorders>
            <w:shd w:val="clear" w:color="auto" w:fill="auto"/>
            <w:vAlign w:val="center"/>
            <w:hideMark/>
          </w:tcPr>
          <w:p w14:paraId="53CF15D8" w14:textId="44515C7A" w:rsidR="00044A47" w:rsidRPr="00183330" w:rsidRDefault="001651C3" w:rsidP="003A4801">
            <w:pPr>
              <w:pStyle w:val="Tabletext1"/>
              <w:keepNext/>
              <w:rPr>
                <w:vertAlign w:val="superscript"/>
              </w:rPr>
            </w:pPr>
            <w:r>
              <w:t>Incremental n</w:t>
            </w:r>
            <w:r w:rsidR="00044A47" w:rsidRPr="00183E4D">
              <w:t>umber of services</w:t>
            </w:r>
            <w:r w:rsidR="00044A47">
              <w:t xml:space="preserve"> (courses of therapy)</w:t>
            </w:r>
            <w:r w:rsidR="00B74074">
              <w:rPr>
                <w:vertAlign w:val="superscript"/>
              </w:rPr>
              <w:t>1</w:t>
            </w:r>
          </w:p>
        </w:tc>
        <w:tc>
          <w:tcPr>
            <w:tcW w:w="624" w:type="pct"/>
            <w:tcBorders>
              <w:top w:val="single" w:sz="4" w:space="0" w:color="auto"/>
            </w:tcBorders>
            <w:shd w:val="clear" w:color="auto" w:fill="auto"/>
            <w:vAlign w:val="center"/>
            <w:hideMark/>
          </w:tcPr>
          <w:p w14:paraId="4A85D5DC" w14:textId="7C06DD28" w:rsidR="00044A47" w:rsidRPr="004C2C35" w:rsidRDefault="00044A47" w:rsidP="003A4801">
            <w:pPr>
              <w:pStyle w:val="Tabletext1"/>
              <w:keepNext/>
              <w:jc w:val="center"/>
            </w:pPr>
            <w:r>
              <w:t>0</w:t>
            </w:r>
          </w:p>
        </w:tc>
        <w:tc>
          <w:tcPr>
            <w:tcW w:w="693" w:type="pct"/>
            <w:tcBorders>
              <w:top w:val="single" w:sz="4" w:space="0" w:color="auto"/>
            </w:tcBorders>
            <w:shd w:val="clear" w:color="auto" w:fill="auto"/>
            <w:vAlign w:val="center"/>
            <w:hideMark/>
          </w:tcPr>
          <w:p w14:paraId="0B6A4353" w14:textId="15AC475D" w:rsidR="00044A47" w:rsidRPr="004C2C35" w:rsidRDefault="00044A47" w:rsidP="003A4801">
            <w:pPr>
              <w:pStyle w:val="Tabletext1"/>
              <w:keepNext/>
              <w:jc w:val="center"/>
            </w:pPr>
            <w:r>
              <w:t>0</w:t>
            </w:r>
          </w:p>
        </w:tc>
        <w:tc>
          <w:tcPr>
            <w:tcW w:w="656" w:type="pct"/>
            <w:tcBorders>
              <w:top w:val="single" w:sz="4" w:space="0" w:color="auto"/>
            </w:tcBorders>
            <w:shd w:val="clear" w:color="auto" w:fill="auto"/>
            <w:vAlign w:val="center"/>
            <w:hideMark/>
          </w:tcPr>
          <w:p w14:paraId="06A577EF" w14:textId="16FAE2A0" w:rsidR="00044A47" w:rsidRPr="004C2C35" w:rsidRDefault="00044A47" w:rsidP="003A4801">
            <w:pPr>
              <w:pStyle w:val="Tabletext1"/>
              <w:keepNext/>
              <w:jc w:val="center"/>
            </w:pPr>
            <w:r>
              <w:t>0</w:t>
            </w:r>
          </w:p>
        </w:tc>
        <w:tc>
          <w:tcPr>
            <w:tcW w:w="656" w:type="pct"/>
            <w:tcBorders>
              <w:top w:val="single" w:sz="4" w:space="0" w:color="auto"/>
            </w:tcBorders>
            <w:shd w:val="clear" w:color="auto" w:fill="auto"/>
            <w:vAlign w:val="center"/>
            <w:hideMark/>
          </w:tcPr>
          <w:p w14:paraId="14F6C8D2" w14:textId="4C28030A" w:rsidR="00044A47" w:rsidRPr="004C2C35" w:rsidRDefault="00044A47" w:rsidP="003A4801">
            <w:pPr>
              <w:pStyle w:val="Tabletext1"/>
              <w:keepNext/>
              <w:jc w:val="center"/>
            </w:pPr>
            <w:r>
              <w:t>0</w:t>
            </w:r>
          </w:p>
        </w:tc>
        <w:tc>
          <w:tcPr>
            <w:tcW w:w="840" w:type="pct"/>
            <w:tcBorders>
              <w:top w:val="single" w:sz="4" w:space="0" w:color="auto"/>
            </w:tcBorders>
            <w:shd w:val="clear" w:color="auto" w:fill="auto"/>
            <w:vAlign w:val="center"/>
            <w:hideMark/>
          </w:tcPr>
          <w:p w14:paraId="5A82CE38" w14:textId="218056E7" w:rsidR="00044A47" w:rsidRPr="004C2C35" w:rsidRDefault="00044A47" w:rsidP="003A4801">
            <w:pPr>
              <w:pStyle w:val="Tabletext1"/>
              <w:keepNext/>
              <w:jc w:val="center"/>
            </w:pPr>
            <w:r>
              <w:t>0</w:t>
            </w:r>
          </w:p>
        </w:tc>
      </w:tr>
      <w:tr w:rsidR="007661DC" w:rsidRPr="004C2C35" w14:paraId="25F8E2CC" w14:textId="77777777" w:rsidTr="007661DC">
        <w:trPr>
          <w:trHeight w:val="290"/>
        </w:trPr>
        <w:tc>
          <w:tcPr>
            <w:tcW w:w="1531" w:type="pct"/>
            <w:shd w:val="clear" w:color="auto" w:fill="auto"/>
            <w:vAlign w:val="center"/>
          </w:tcPr>
          <w:p w14:paraId="5E869C8C" w14:textId="267D7CA5" w:rsidR="007661DC" w:rsidRPr="00183330" w:rsidRDefault="007661DC" w:rsidP="007661DC">
            <w:pPr>
              <w:pStyle w:val="Tabletext1"/>
              <w:rPr>
                <w:vertAlign w:val="superscript"/>
              </w:rPr>
            </w:pPr>
            <w:r>
              <w:t>Number of services (courses of therapy substituted)</w:t>
            </w:r>
            <w:r>
              <w:rPr>
                <w:vertAlign w:val="superscript"/>
              </w:rPr>
              <w:t>1</w:t>
            </w:r>
          </w:p>
        </w:tc>
        <w:tc>
          <w:tcPr>
            <w:tcW w:w="624" w:type="pct"/>
            <w:shd w:val="clear" w:color="auto" w:fill="auto"/>
            <w:vAlign w:val="center"/>
          </w:tcPr>
          <w:p w14:paraId="6D308651" w14:textId="0B9A5707" w:rsidR="007661DC" w:rsidRDefault="007661DC" w:rsidP="007661DC">
            <w:pPr>
              <w:pStyle w:val="Tabletext1"/>
              <w:jc w:val="center"/>
            </w:pPr>
            <w:r>
              <w:rPr>
                <w:rFonts w:cs="Calibri"/>
                <w:color w:val="000000"/>
              </w:rPr>
              <w:t>1,656</w:t>
            </w:r>
          </w:p>
        </w:tc>
        <w:tc>
          <w:tcPr>
            <w:tcW w:w="693" w:type="pct"/>
            <w:shd w:val="clear" w:color="auto" w:fill="auto"/>
            <w:vAlign w:val="center"/>
          </w:tcPr>
          <w:p w14:paraId="799DBAFF" w14:textId="3B094D62" w:rsidR="007661DC" w:rsidRDefault="007661DC" w:rsidP="007661DC">
            <w:pPr>
              <w:pStyle w:val="Tabletext1"/>
              <w:jc w:val="center"/>
            </w:pPr>
            <w:r>
              <w:rPr>
                <w:rFonts w:cs="Calibri"/>
                <w:color w:val="000000"/>
              </w:rPr>
              <w:t>3,312</w:t>
            </w:r>
          </w:p>
        </w:tc>
        <w:tc>
          <w:tcPr>
            <w:tcW w:w="656" w:type="pct"/>
            <w:shd w:val="clear" w:color="auto" w:fill="auto"/>
            <w:vAlign w:val="center"/>
          </w:tcPr>
          <w:p w14:paraId="331BC64B" w14:textId="6EEA7806" w:rsidR="007661DC" w:rsidRDefault="007661DC" w:rsidP="007661DC">
            <w:pPr>
              <w:pStyle w:val="Tabletext1"/>
              <w:jc w:val="center"/>
            </w:pPr>
            <w:r>
              <w:rPr>
                <w:rFonts w:cs="Calibri"/>
                <w:color w:val="000000"/>
              </w:rPr>
              <w:t>10,120</w:t>
            </w:r>
          </w:p>
        </w:tc>
        <w:tc>
          <w:tcPr>
            <w:tcW w:w="656" w:type="pct"/>
            <w:shd w:val="clear" w:color="auto" w:fill="auto"/>
            <w:vAlign w:val="center"/>
          </w:tcPr>
          <w:p w14:paraId="4B92F640" w14:textId="340B6CB3" w:rsidR="007661DC" w:rsidRDefault="007661DC" w:rsidP="007661DC">
            <w:pPr>
              <w:pStyle w:val="Tabletext1"/>
              <w:jc w:val="center"/>
            </w:pPr>
            <w:r>
              <w:rPr>
                <w:rFonts w:cs="Calibri"/>
                <w:color w:val="000000"/>
              </w:rPr>
              <w:t>10,120</w:t>
            </w:r>
          </w:p>
        </w:tc>
        <w:tc>
          <w:tcPr>
            <w:tcW w:w="840" w:type="pct"/>
            <w:shd w:val="clear" w:color="auto" w:fill="auto"/>
            <w:vAlign w:val="center"/>
          </w:tcPr>
          <w:p w14:paraId="5FFDC845" w14:textId="3555E5DF" w:rsidR="007661DC" w:rsidRDefault="007661DC" w:rsidP="007661DC">
            <w:pPr>
              <w:pStyle w:val="Tabletext1"/>
              <w:jc w:val="center"/>
            </w:pPr>
            <w:r>
              <w:rPr>
                <w:rFonts w:cs="Calibri"/>
                <w:color w:val="000000"/>
              </w:rPr>
              <w:t>10,120</w:t>
            </w:r>
          </w:p>
        </w:tc>
      </w:tr>
      <w:tr w:rsidR="00044A47" w:rsidRPr="004C2C35" w14:paraId="77177F2B" w14:textId="77777777" w:rsidTr="007661DC">
        <w:trPr>
          <w:trHeight w:val="290"/>
        </w:trPr>
        <w:tc>
          <w:tcPr>
            <w:tcW w:w="1531" w:type="pct"/>
            <w:shd w:val="clear" w:color="auto" w:fill="auto"/>
            <w:vAlign w:val="center"/>
            <w:hideMark/>
          </w:tcPr>
          <w:p w14:paraId="6FC5E9DA" w14:textId="5C3B3EAD" w:rsidR="00044A47" w:rsidRPr="00183330" w:rsidRDefault="00044A47" w:rsidP="00EB75E1">
            <w:pPr>
              <w:pStyle w:val="Tabletext1"/>
              <w:rPr>
                <w:vertAlign w:val="superscript"/>
              </w:rPr>
            </w:pPr>
            <w:r w:rsidRPr="004C2C35">
              <w:t>MBS item 15565</w:t>
            </w:r>
            <w:r>
              <w:t xml:space="preserve"> (planning)</w:t>
            </w:r>
            <w:r w:rsidR="00B74074">
              <w:rPr>
                <w:vertAlign w:val="superscript"/>
              </w:rPr>
              <w:t>1</w:t>
            </w:r>
          </w:p>
        </w:tc>
        <w:tc>
          <w:tcPr>
            <w:tcW w:w="624" w:type="pct"/>
            <w:shd w:val="clear" w:color="auto" w:fill="auto"/>
            <w:vAlign w:val="center"/>
            <w:hideMark/>
          </w:tcPr>
          <w:p w14:paraId="16A94F6D" w14:textId="388B47C1" w:rsidR="00044A47" w:rsidRPr="004C2C35" w:rsidRDefault="00044A47" w:rsidP="00EB75E1">
            <w:pPr>
              <w:pStyle w:val="Tabletext1"/>
              <w:jc w:val="center"/>
            </w:pPr>
            <w:r>
              <w:t>0</w:t>
            </w:r>
          </w:p>
        </w:tc>
        <w:tc>
          <w:tcPr>
            <w:tcW w:w="693" w:type="pct"/>
            <w:shd w:val="clear" w:color="auto" w:fill="auto"/>
            <w:vAlign w:val="center"/>
            <w:hideMark/>
          </w:tcPr>
          <w:p w14:paraId="7858CC8E" w14:textId="5A6AFFF7" w:rsidR="00044A47" w:rsidRPr="004C2C35" w:rsidRDefault="00044A47" w:rsidP="00EB75E1">
            <w:pPr>
              <w:pStyle w:val="Tabletext1"/>
              <w:jc w:val="center"/>
            </w:pPr>
            <w:r>
              <w:t>0</w:t>
            </w:r>
          </w:p>
        </w:tc>
        <w:tc>
          <w:tcPr>
            <w:tcW w:w="656" w:type="pct"/>
            <w:shd w:val="clear" w:color="auto" w:fill="auto"/>
            <w:vAlign w:val="center"/>
            <w:hideMark/>
          </w:tcPr>
          <w:p w14:paraId="01AC5A20" w14:textId="1FCC18CB" w:rsidR="00044A47" w:rsidRPr="004C2C35" w:rsidRDefault="00044A47" w:rsidP="00EB75E1">
            <w:pPr>
              <w:pStyle w:val="Tabletext1"/>
              <w:jc w:val="center"/>
            </w:pPr>
            <w:r>
              <w:t>0</w:t>
            </w:r>
          </w:p>
        </w:tc>
        <w:tc>
          <w:tcPr>
            <w:tcW w:w="656" w:type="pct"/>
            <w:shd w:val="clear" w:color="auto" w:fill="auto"/>
            <w:vAlign w:val="center"/>
            <w:hideMark/>
          </w:tcPr>
          <w:p w14:paraId="4C0A3EE3" w14:textId="6D8714EB" w:rsidR="00044A47" w:rsidRPr="004C2C35" w:rsidRDefault="00044A47" w:rsidP="00EB75E1">
            <w:pPr>
              <w:pStyle w:val="Tabletext1"/>
              <w:jc w:val="center"/>
            </w:pPr>
            <w:r>
              <w:t>0</w:t>
            </w:r>
          </w:p>
        </w:tc>
        <w:tc>
          <w:tcPr>
            <w:tcW w:w="840" w:type="pct"/>
            <w:shd w:val="clear" w:color="auto" w:fill="auto"/>
            <w:vAlign w:val="center"/>
            <w:hideMark/>
          </w:tcPr>
          <w:p w14:paraId="401B6C53" w14:textId="4858CB83" w:rsidR="00044A47" w:rsidRPr="004C2C35" w:rsidRDefault="00044A47" w:rsidP="00EB75E1">
            <w:pPr>
              <w:pStyle w:val="Tabletext1"/>
              <w:jc w:val="center"/>
            </w:pPr>
            <w:r>
              <w:t>0</w:t>
            </w:r>
          </w:p>
        </w:tc>
      </w:tr>
      <w:tr w:rsidR="00044A47" w:rsidRPr="004C2C35" w14:paraId="2EA9B84B" w14:textId="77777777" w:rsidTr="007661DC">
        <w:trPr>
          <w:trHeight w:val="290"/>
        </w:trPr>
        <w:tc>
          <w:tcPr>
            <w:tcW w:w="1531" w:type="pct"/>
            <w:shd w:val="clear" w:color="auto" w:fill="auto"/>
            <w:vAlign w:val="center"/>
            <w:hideMark/>
          </w:tcPr>
          <w:p w14:paraId="5B769EB6" w14:textId="67E048CA" w:rsidR="00044A47" w:rsidRPr="00183330" w:rsidRDefault="00044A47" w:rsidP="00EB75E1">
            <w:pPr>
              <w:pStyle w:val="Tabletext1"/>
              <w:rPr>
                <w:vertAlign w:val="superscript"/>
              </w:rPr>
            </w:pPr>
            <w:r w:rsidRPr="004C2C35">
              <w:t>MBS item 15555 (simulation)</w:t>
            </w:r>
            <w:r w:rsidR="00B74074">
              <w:rPr>
                <w:vertAlign w:val="superscript"/>
              </w:rPr>
              <w:t>1</w:t>
            </w:r>
          </w:p>
        </w:tc>
        <w:tc>
          <w:tcPr>
            <w:tcW w:w="624" w:type="pct"/>
            <w:shd w:val="clear" w:color="auto" w:fill="auto"/>
            <w:vAlign w:val="center"/>
            <w:hideMark/>
          </w:tcPr>
          <w:p w14:paraId="70B3A353" w14:textId="188EA1F7" w:rsidR="00044A47" w:rsidRPr="004C2C35" w:rsidRDefault="00044A47" w:rsidP="00EB75E1">
            <w:pPr>
              <w:pStyle w:val="Tabletext1"/>
              <w:jc w:val="center"/>
            </w:pPr>
            <w:r>
              <w:t>0</w:t>
            </w:r>
          </w:p>
        </w:tc>
        <w:tc>
          <w:tcPr>
            <w:tcW w:w="693" w:type="pct"/>
            <w:shd w:val="clear" w:color="auto" w:fill="auto"/>
            <w:vAlign w:val="center"/>
            <w:hideMark/>
          </w:tcPr>
          <w:p w14:paraId="368DA6FB" w14:textId="10B4AC1A" w:rsidR="00044A47" w:rsidRPr="004C2C35" w:rsidRDefault="00044A47" w:rsidP="00EB75E1">
            <w:pPr>
              <w:pStyle w:val="Tabletext1"/>
              <w:jc w:val="center"/>
            </w:pPr>
            <w:r>
              <w:t>0</w:t>
            </w:r>
          </w:p>
        </w:tc>
        <w:tc>
          <w:tcPr>
            <w:tcW w:w="656" w:type="pct"/>
            <w:shd w:val="clear" w:color="auto" w:fill="auto"/>
            <w:vAlign w:val="center"/>
            <w:hideMark/>
          </w:tcPr>
          <w:p w14:paraId="734BC086" w14:textId="3D422086" w:rsidR="00044A47" w:rsidRPr="004C2C35" w:rsidRDefault="00044A47" w:rsidP="00EB75E1">
            <w:pPr>
              <w:pStyle w:val="Tabletext1"/>
              <w:jc w:val="center"/>
            </w:pPr>
            <w:r>
              <w:t>0</w:t>
            </w:r>
          </w:p>
        </w:tc>
        <w:tc>
          <w:tcPr>
            <w:tcW w:w="656" w:type="pct"/>
            <w:shd w:val="clear" w:color="auto" w:fill="auto"/>
            <w:vAlign w:val="center"/>
            <w:hideMark/>
          </w:tcPr>
          <w:p w14:paraId="3C25D09D" w14:textId="25B6C1D1" w:rsidR="00044A47" w:rsidRPr="004C2C35" w:rsidRDefault="00044A47" w:rsidP="00EB75E1">
            <w:pPr>
              <w:pStyle w:val="Tabletext1"/>
              <w:jc w:val="center"/>
            </w:pPr>
            <w:r>
              <w:t>0</w:t>
            </w:r>
          </w:p>
        </w:tc>
        <w:tc>
          <w:tcPr>
            <w:tcW w:w="840" w:type="pct"/>
            <w:shd w:val="clear" w:color="auto" w:fill="auto"/>
            <w:vAlign w:val="center"/>
            <w:hideMark/>
          </w:tcPr>
          <w:p w14:paraId="11C0DB4C" w14:textId="0C25CBD5" w:rsidR="00044A47" w:rsidRPr="004C2C35" w:rsidRDefault="00044A47" w:rsidP="00EB75E1">
            <w:pPr>
              <w:pStyle w:val="Tabletext1"/>
              <w:jc w:val="center"/>
            </w:pPr>
            <w:r>
              <w:t>0</w:t>
            </w:r>
          </w:p>
        </w:tc>
      </w:tr>
      <w:tr w:rsidR="00044A47" w:rsidRPr="004C2C35" w14:paraId="58FCBB86" w14:textId="77777777" w:rsidTr="007661DC">
        <w:trPr>
          <w:trHeight w:val="290"/>
        </w:trPr>
        <w:tc>
          <w:tcPr>
            <w:tcW w:w="1531" w:type="pct"/>
            <w:tcBorders>
              <w:bottom w:val="single" w:sz="4" w:space="0" w:color="auto"/>
            </w:tcBorders>
            <w:shd w:val="clear" w:color="auto" w:fill="auto"/>
            <w:vAlign w:val="center"/>
            <w:hideMark/>
          </w:tcPr>
          <w:p w14:paraId="400FEC3D" w14:textId="59CB7BB7" w:rsidR="00044A47" w:rsidRPr="00183330" w:rsidRDefault="00044A47" w:rsidP="00EB75E1">
            <w:pPr>
              <w:pStyle w:val="Tabletext1"/>
              <w:rPr>
                <w:vertAlign w:val="superscript"/>
              </w:rPr>
            </w:pPr>
            <w:r w:rsidRPr="004C2C35">
              <w:t>MBS item 15275 (fraction)</w:t>
            </w:r>
            <w:r w:rsidR="0099320F">
              <w:rPr>
                <w:vertAlign w:val="superscript"/>
              </w:rPr>
              <w:t>2</w:t>
            </w:r>
          </w:p>
        </w:tc>
        <w:tc>
          <w:tcPr>
            <w:tcW w:w="624" w:type="pct"/>
            <w:tcBorders>
              <w:bottom w:val="single" w:sz="4" w:space="0" w:color="auto"/>
            </w:tcBorders>
            <w:shd w:val="clear" w:color="auto" w:fill="auto"/>
            <w:vAlign w:val="center"/>
            <w:hideMark/>
          </w:tcPr>
          <w:p w14:paraId="3DE6B594" w14:textId="012E578B" w:rsidR="00044A47" w:rsidRPr="004C2C35" w:rsidRDefault="00044A47" w:rsidP="00EB75E1">
            <w:pPr>
              <w:pStyle w:val="Tabletext1"/>
              <w:jc w:val="center"/>
            </w:pPr>
            <w:r>
              <w:t>-21,528</w:t>
            </w:r>
          </w:p>
        </w:tc>
        <w:tc>
          <w:tcPr>
            <w:tcW w:w="693" w:type="pct"/>
            <w:tcBorders>
              <w:bottom w:val="single" w:sz="4" w:space="0" w:color="auto"/>
            </w:tcBorders>
            <w:shd w:val="clear" w:color="auto" w:fill="auto"/>
            <w:vAlign w:val="center"/>
            <w:hideMark/>
          </w:tcPr>
          <w:p w14:paraId="56D0CB4D" w14:textId="7BE24951" w:rsidR="00044A47" w:rsidRPr="004C2C35" w:rsidRDefault="00044A47" w:rsidP="00EB75E1">
            <w:pPr>
              <w:pStyle w:val="Tabletext1"/>
              <w:jc w:val="center"/>
            </w:pPr>
            <w:r>
              <w:t>-43,056</w:t>
            </w:r>
          </w:p>
        </w:tc>
        <w:tc>
          <w:tcPr>
            <w:tcW w:w="656" w:type="pct"/>
            <w:tcBorders>
              <w:bottom w:val="single" w:sz="4" w:space="0" w:color="auto"/>
            </w:tcBorders>
            <w:shd w:val="clear" w:color="auto" w:fill="auto"/>
            <w:vAlign w:val="center"/>
            <w:hideMark/>
          </w:tcPr>
          <w:p w14:paraId="23142F54" w14:textId="7B7049FE" w:rsidR="00044A47" w:rsidRPr="004C2C35" w:rsidRDefault="00044A47" w:rsidP="00EB75E1">
            <w:pPr>
              <w:pStyle w:val="Tabletext1"/>
              <w:jc w:val="center"/>
            </w:pPr>
            <w:r>
              <w:t>-131,560</w:t>
            </w:r>
          </w:p>
        </w:tc>
        <w:tc>
          <w:tcPr>
            <w:tcW w:w="656" w:type="pct"/>
            <w:tcBorders>
              <w:bottom w:val="single" w:sz="4" w:space="0" w:color="auto"/>
            </w:tcBorders>
            <w:shd w:val="clear" w:color="auto" w:fill="auto"/>
            <w:vAlign w:val="center"/>
            <w:hideMark/>
          </w:tcPr>
          <w:p w14:paraId="586861A3" w14:textId="5693783D" w:rsidR="00044A47" w:rsidRPr="004C2C35" w:rsidRDefault="00044A47" w:rsidP="00EB75E1">
            <w:pPr>
              <w:pStyle w:val="Tabletext1"/>
              <w:jc w:val="center"/>
            </w:pPr>
            <w:r>
              <w:t>-131,560</w:t>
            </w:r>
          </w:p>
        </w:tc>
        <w:tc>
          <w:tcPr>
            <w:tcW w:w="840" w:type="pct"/>
            <w:tcBorders>
              <w:bottom w:val="single" w:sz="4" w:space="0" w:color="auto"/>
            </w:tcBorders>
            <w:shd w:val="clear" w:color="auto" w:fill="auto"/>
            <w:vAlign w:val="center"/>
            <w:hideMark/>
          </w:tcPr>
          <w:p w14:paraId="377685EE" w14:textId="1A1ECD25" w:rsidR="00044A47" w:rsidRPr="004C2C35" w:rsidRDefault="00044A47" w:rsidP="00EB75E1">
            <w:pPr>
              <w:pStyle w:val="Tabletext1"/>
              <w:jc w:val="center"/>
            </w:pPr>
            <w:r>
              <w:t>-131,560</w:t>
            </w:r>
          </w:p>
        </w:tc>
      </w:tr>
      <w:tr w:rsidR="00944174" w:rsidRPr="004C2C35" w14:paraId="5190E98B" w14:textId="77777777" w:rsidTr="007661DC">
        <w:trPr>
          <w:trHeight w:val="290"/>
        </w:trPr>
        <w:tc>
          <w:tcPr>
            <w:tcW w:w="1531" w:type="pct"/>
            <w:tcBorders>
              <w:top w:val="single" w:sz="4" w:space="0" w:color="auto"/>
              <w:left w:val="single" w:sz="4" w:space="0" w:color="auto"/>
              <w:bottom w:val="single" w:sz="4" w:space="0" w:color="auto"/>
              <w:right w:val="nil"/>
            </w:tcBorders>
            <w:shd w:val="clear" w:color="auto" w:fill="auto"/>
            <w:vAlign w:val="center"/>
            <w:hideMark/>
          </w:tcPr>
          <w:p w14:paraId="72B2E921" w14:textId="77777777" w:rsidR="00944174" w:rsidRPr="004C2C35" w:rsidRDefault="00944174" w:rsidP="00EB75E1">
            <w:pPr>
              <w:pStyle w:val="Tabletext1"/>
            </w:pPr>
            <w:r w:rsidRPr="004C2C35">
              <w:t>Estimated financial impact</w:t>
            </w:r>
          </w:p>
        </w:tc>
        <w:tc>
          <w:tcPr>
            <w:tcW w:w="624" w:type="pct"/>
            <w:tcBorders>
              <w:top w:val="single" w:sz="4" w:space="0" w:color="auto"/>
              <w:left w:val="nil"/>
              <w:bottom w:val="single" w:sz="4" w:space="0" w:color="auto"/>
              <w:right w:val="nil"/>
            </w:tcBorders>
            <w:shd w:val="clear" w:color="auto" w:fill="auto"/>
            <w:vAlign w:val="center"/>
            <w:hideMark/>
          </w:tcPr>
          <w:p w14:paraId="54A694F1" w14:textId="5486AAA4" w:rsidR="00944174" w:rsidRPr="004C2C35" w:rsidRDefault="00944174" w:rsidP="00EB75E1">
            <w:pPr>
              <w:pStyle w:val="Tabletext1"/>
              <w:jc w:val="center"/>
            </w:pPr>
          </w:p>
        </w:tc>
        <w:tc>
          <w:tcPr>
            <w:tcW w:w="693" w:type="pct"/>
            <w:tcBorders>
              <w:top w:val="single" w:sz="4" w:space="0" w:color="auto"/>
              <w:left w:val="nil"/>
              <w:bottom w:val="single" w:sz="4" w:space="0" w:color="auto"/>
              <w:right w:val="nil"/>
            </w:tcBorders>
            <w:shd w:val="clear" w:color="auto" w:fill="auto"/>
            <w:vAlign w:val="center"/>
            <w:hideMark/>
          </w:tcPr>
          <w:p w14:paraId="15ACC86E" w14:textId="4D4D48AB" w:rsidR="00944174" w:rsidRPr="004C2C35" w:rsidRDefault="00944174" w:rsidP="00EB75E1">
            <w:pPr>
              <w:pStyle w:val="Tabletext1"/>
              <w:jc w:val="center"/>
            </w:pPr>
          </w:p>
        </w:tc>
        <w:tc>
          <w:tcPr>
            <w:tcW w:w="656" w:type="pct"/>
            <w:tcBorders>
              <w:top w:val="single" w:sz="4" w:space="0" w:color="auto"/>
              <w:left w:val="nil"/>
              <w:bottom w:val="single" w:sz="4" w:space="0" w:color="auto"/>
              <w:right w:val="nil"/>
            </w:tcBorders>
            <w:shd w:val="clear" w:color="auto" w:fill="auto"/>
            <w:vAlign w:val="center"/>
            <w:hideMark/>
          </w:tcPr>
          <w:p w14:paraId="2091E680" w14:textId="28E9A1F6" w:rsidR="00944174" w:rsidRPr="004C2C35" w:rsidRDefault="00944174" w:rsidP="00EB75E1">
            <w:pPr>
              <w:pStyle w:val="Tabletext1"/>
              <w:jc w:val="center"/>
            </w:pPr>
          </w:p>
        </w:tc>
        <w:tc>
          <w:tcPr>
            <w:tcW w:w="656" w:type="pct"/>
            <w:tcBorders>
              <w:top w:val="single" w:sz="4" w:space="0" w:color="auto"/>
              <w:left w:val="nil"/>
              <w:bottom w:val="single" w:sz="4" w:space="0" w:color="auto"/>
              <w:right w:val="nil"/>
            </w:tcBorders>
            <w:shd w:val="clear" w:color="auto" w:fill="auto"/>
            <w:vAlign w:val="center"/>
            <w:hideMark/>
          </w:tcPr>
          <w:p w14:paraId="18447B5E" w14:textId="25F72C0A" w:rsidR="00944174" w:rsidRPr="004C2C35" w:rsidRDefault="00944174" w:rsidP="00EB75E1">
            <w:pPr>
              <w:pStyle w:val="Tabletext1"/>
              <w:jc w:val="center"/>
            </w:pP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163D87D6" w14:textId="16615506" w:rsidR="00944174" w:rsidRPr="004C2C35" w:rsidRDefault="00944174" w:rsidP="00EB75E1">
            <w:pPr>
              <w:pStyle w:val="Tabletext1"/>
              <w:jc w:val="center"/>
            </w:pPr>
          </w:p>
        </w:tc>
      </w:tr>
      <w:tr w:rsidR="00A3517F" w:rsidRPr="004C2C35" w14:paraId="69C4DA02" w14:textId="77777777" w:rsidTr="007661DC">
        <w:trPr>
          <w:trHeight w:val="290"/>
        </w:trPr>
        <w:tc>
          <w:tcPr>
            <w:tcW w:w="1531" w:type="pct"/>
            <w:tcBorders>
              <w:top w:val="single" w:sz="4" w:space="0" w:color="auto"/>
            </w:tcBorders>
            <w:shd w:val="clear" w:color="auto" w:fill="auto"/>
            <w:vAlign w:val="center"/>
          </w:tcPr>
          <w:p w14:paraId="3F5C5A4E" w14:textId="77777777" w:rsidR="00A3517F" w:rsidRPr="004C2C35" w:rsidRDefault="00A3517F" w:rsidP="00EB75E1">
            <w:pPr>
              <w:pStyle w:val="Tabletext1"/>
            </w:pPr>
            <w:r>
              <w:t>Fiducial marker placement</w:t>
            </w:r>
          </w:p>
        </w:tc>
        <w:tc>
          <w:tcPr>
            <w:tcW w:w="624" w:type="pct"/>
            <w:tcBorders>
              <w:top w:val="single" w:sz="4" w:space="0" w:color="auto"/>
            </w:tcBorders>
            <w:shd w:val="clear" w:color="auto" w:fill="auto"/>
            <w:noWrap/>
            <w:vAlign w:val="center"/>
          </w:tcPr>
          <w:p w14:paraId="55012FE3" w14:textId="53658ECA" w:rsidR="00A3517F" w:rsidRPr="002A5030" w:rsidRDefault="00F340EB" w:rsidP="00EB75E1">
            <w:pPr>
              <w:pStyle w:val="Tabletext1"/>
              <w:jc w:val="center"/>
            </w:pPr>
            <w:r>
              <w:rPr>
                <w:rFonts w:cs="Calibri"/>
                <w:color w:val="000000"/>
              </w:rPr>
              <w:t>-$626,382</w:t>
            </w:r>
          </w:p>
        </w:tc>
        <w:tc>
          <w:tcPr>
            <w:tcW w:w="693" w:type="pct"/>
            <w:tcBorders>
              <w:top w:val="single" w:sz="4" w:space="0" w:color="auto"/>
            </w:tcBorders>
            <w:shd w:val="clear" w:color="auto" w:fill="auto"/>
            <w:noWrap/>
            <w:vAlign w:val="center"/>
          </w:tcPr>
          <w:p w14:paraId="2996F13B" w14:textId="4770576E" w:rsidR="00A3517F" w:rsidRPr="002A5030" w:rsidRDefault="00A3517F" w:rsidP="00EB75E1">
            <w:pPr>
              <w:pStyle w:val="Tabletext1"/>
              <w:jc w:val="center"/>
            </w:pPr>
            <w:r>
              <w:rPr>
                <w:rFonts w:cs="Calibri"/>
                <w:color w:val="000000"/>
              </w:rPr>
              <w:t>-$1,</w:t>
            </w:r>
            <w:r w:rsidR="00F340EB">
              <w:rPr>
                <w:rFonts w:cs="Calibri"/>
                <w:color w:val="000000"/>
              </w:rPr>
              <w:t>252,764</w:t>
            </w:r>
          </w:p>
        </w:tc>
        <w:tc>
          <w:tcPr>
            <w:tcW w:w="656" w:type="pct"/>
            <w:tcBorders>
              <w:top w:val="single" w:sz="4" w:space="0" w:color="auto"/>
            </w:tcBorders>
            <w:shd w:val="clear" w:color="auto" w:fill="auto"/>
            <w:noWrap/>
            <w:vAlign w:val="center"/>
          </w:tcPr>
          <w:p w14:paraId="1EB12F24" w14:textId="4025B70A" w:rsidR="00A3517F" w:rsidRPr="002A5030" w:rsidRDefault="00F340EB" w:rsidP="00EB75E1">
            <w:pPr>
              <w:pStyle w:val="Tabletext1"/>
              <w:jc w:val="center"/>
            </w:pPr>
            <w:r>
              <w:rPr>
                <w:rFonts w:cs="Calibri"/>
                <w:color w:val="000000"/>
              </w:rPr>
              <w:t>-$3,827,890</w:t>
            </w:r>
          </w:p>
        </w:tc>
        <w:tc>
          <w:tcPr>
            <w:tcW w:w="656" w:type="pct"/>
            <w:tcBorders>
              <w:top w:val="single" w:sz="4" w:space="0" w:color="auto"/>
            </w:tcBorders>
            <w:shd w:val="clear" w:color="auto" w:fill="auto"/>
            <w:noWrap/>
            <w:vAlign w:val="center"/>
          </w:tcPr>
          <w:p w14:paraId="0E6A2F3B" w14:textId="519E9C78" w:rsidR="00A3517F" w:rsidRPr="002A5030" w:rsidRDefault="00F340EB" w:rsidP="00EB75E1">
            <w:pPr>
              <w:pStyle w:val="Tabletext1"/>
              <w:jc w:val="center"/>
            </w:pPr>
            <w:r>
              <w:rPr>
                <w:rFonts w:cs="Calibri"/>
                <w:color w:val="000000"/>
              </w:rPr>
              <w:t>-$3,827,890</w:t>
            </w:r>
          </w:p>
        </w:tc>
        <w:tc>
          <w:tcPr>
            <w:tcW w:w="840" w:type="pct"/>
            <w:tcBorders>
              <w:top w:val="single" w:sz="4" w:space="0" w:color="auto"/>
            </w:tcBorders>
            <w:shd w:val="clear" w:color="auto" w:fill="auto"/>
            <w:noWrap/>
            <w:vAlign w:val="center"/>
          </w:tcPr>
          <w:p w14:paraId="1AA291EC" w14:textId="1E1BCB8D" w:rsidR="00A3517F" w:rsidRPr="002A5030" w:rsidRDefault="00F340EB" w:rsidP="00EB75E1">
            <w:pPr>
              <w:pStyle w:val="Tabletext1"/>
              <w:jc w:val="center"/>
            </w:pPr>
            <w:r>
              <w:rPr>
                <w:rFonts w:cs="Calibri"/>
                <w:color w:val="000000"/>
              </w:rPr>
              <w:t>-$3,827,890</w:t>
            </w:r>
          </w:p>
        </w:tc>
      </w:tr>
      <w:tr w:rsidR="00A3517F" w:rsidRPr="004C2C35" w14:paraId="467E0C4F" w14:textId="77777777" w:rsidTr="007661DC">
        <w:trPr>
          <w:trHeight w:val="290"/>
        </w:trPr>
        <w:tc>
          <w:tcPr>
            <w:tcW w:w="1531" w:type="pct"/>
            <w:shd w:val="clear" w:color="auto" w:fill="auto"/>
            <w:vAlign w:val="center"/>
            <w:hideMark/>
          </w:tcPr>
          <w:p w14:paraId="3FEC5F4F" w14:textId="22555456" w:rsidR="00A3517F" w:rsidRPr="00183330" w:rsidRDefault="00A3517F" w:rsidP="00EB75E1">
            <w:pPr>
              <w:pStyle w:val="Tabletext1"/>
              <w:rPr>
                <w:vertAlign w:val="superscript"/>
              </w:rPr>
            </w:pPr>
            <w:r w:rsidRPr="004C2C35">
              <w:t>MBS item 15565</w:t>
            </w:r>
            <w:r>
              <w:t xml:space="preserve"> (planning)</w:t>
            </w:r>
            <w:r w:rsidR="00B74074">
              <w:rPr>
                <w:vertAlign w:val="superscript"/>
              </w:rPr>
              <w:t>1</w:t>
            </w:r>
          </w:p>
        </w:tc>
        <w:tc>
          <w:tcPr>
            <w:tcW w:w="624" w:type="pct"/>
            <w:shd w:val="clear" w:color="auto" w:fill="auto"/>
            <w:noWrap/>
            <w:vAlign w:val="center"/>
            <w:hideMark/>
          </w:tcPr>
          <w:p w14:paraId="6A1138B5" w14:textId="623CA6D0" w:rsidR="00A3517F" w:rsidRPr="002A5030" w:rsidRDefault="00A3517F" w:rsidP="00EB75E1">
            <w:pPr>
              <w:pStyle w:val="Tabletext1"/>
              <w:jc w:val="center"/>
            </w:pPr>
            <w:r>
              <w:rPr>
                <w:rFonts w:cs="Calibri"/>
                <w:color w:val="000000"/>
              </w:rPr>
              <w:t>$0</w:t>
            </w:r>
          </w:p>
        </w:tc>
        <w:tc>
          <w:tcPr>
            <w:tcW w:w="693" w:type="pct"/>
            <w:shd w:val="clear" w:color="auto" w:fill="auto"/>
            <w:noWrap/>
            <w:vAlign w:val="center"/>
            <w:hideMark/>
          </w:tcPr>
          <w:p w14:paraId="31B95DE2" w14:textId="47600CEE" w:rsidR="00A3517F" w:rsidRPr="002A5030" w:rsidRDefault="00A3517F" w:rsidP="00EB75E1">
            <w:pPr>
              <w:pStyle w:val="Tabletext1"/>
              <w:jc w:val="center"/>
            </w:pPr>
            <w:r>
              <w:rPr>
                <w:rFonts w:cs="Calibri"/>
                <w:color w:val="000000"/>
              </w:rPr>
              <w:t>$0</w:t>
            </w:r>
          </w:p>
        </w:tc>
        <w:tc>
          <w:tcPr>
            <w:tcW w:w="656" w:type="pct"/>
            <w:shd w:val="clear" w:color="auto" w:fill="auto"/>
            <w:noWrap/>
            <w:vAlign w:val="center"/>
            <w:hideMark/>
          </w:tcPr>
          <w:p w14:paraId="2F5370AF" w14:textId="190E1F32" w:rsidR="00A3517F" w:rsidRPr="002A5030" w:rsidRDefault="00A3517F" w:rsidP="00EB75E1">
            <w:pPr>
              <w:pStyle w:val="Tabletext1"/>
              <w:jc w:val="center"/>
            </w:pPr>
            <w:r>
              <w:rPr>
                <w:rFonts w:cs="Calibri"/>
                <w:color w:val="000000"/>
              </w:rPr>
              <w:t>$0</w:t>
            </w:r>
          </w:p>
        </w:tc>
        <w:tc>
          <w:tcPr>
            <w:tcW w:w="656" w:type="pct"/>
            <w:shd w:val="clear" w:color="auto" w:fill="auto"/>
            <w:noWrap/>
            <w:vAlign w:val="center"/>
            <w:hideMark/>
          </w:tcPr>
          <w:p w14:paraId="2F16AB4A" w14:textId="2CC5B1B7" w:rsidR="00A3517F" w:rsidRPr="002A5030" w:rsidRDefault="00A3517F" w:rsidP="00EB75E1">
            <w:pPr>
              <w:pStyle w:val="Tabletext1"/>
              <w:jc w:val="center"/>
            </w:pPr>
            <w:r>
              <w:rPr>
                <w:rFonts w:cs="Calibri"/>
                <w:color w:val="000000"/>
              </w:rPr>
              <w:t>$0</w:t>
            </w:r>
          </w:p>
        </w:tc>
        <w:tc>
          <w:tcPr>
            <w:tcW w:w="840" w:type="pct"/>
            <w:shd w:val="clear" w:color="auto" w:fill="auto"/>
            <w:noWrap/>
            <w:vAlign w:val="center"/>
            <w:hideMark/>
          </w:tcPr>
          <w:p w14:paraId="13B5F4D3" w14:textId="19C7A7B6" w:rsidR="00A3517F" w:rsidRPr="002A5030" w:rsidRDefault="00A3517F" w:rsidP="00EB75E1">
            <w:pPr>
              <w:pStyle w:val="Tabletext1"/>
              <w:jc w:val="center"/>
            </w:pPr>
            <w:r>
              <w:rPr>
                <w:rFonts w:cs="Calibri"/>
                <w:color w:val="000000"/>
              </w:rPr>
              <w:t>$0</w:t>
            </w:r>
          </w:p>
        </w:tc>
      </w:tr>
      <w:tr w:rsidR="00A3517F" w:rsidRPr="004C2C35" w14:paraId="2EC6A600" w14:textId="77777777" w:rsidTr="007661DC">
        <w:trPr>
          <w:trHeight w:val="290"/>
        </w:trPr>
        <w:tc>
          <w:tcPr>
            <w:tcW w:w="1531" w:type="pct"/>
            <w:shd w:val="clear" w:color="auto" w:fill="auto"/>
            <w:vAlign w:val="center"/>
            <w:hideMark/>
          </w:tcPr>
          <w:p w14:paraId="6CAAFB61" w14:textId="3E9130BF" w:rsidR="00A3517F" w:rsidRPr="00183330" w:rsidRDefault="00A3517F" w:rsidP="00EB75E1">
            <w:pPr>
              <w:pStyle w:val="Tabletext1"/>
              <w:rPr>
                <w:vertAlign w:val="superscript"/>
              </w:rPr>
            </w:pPr>
            <w:r w:rsidRPr="004C2C35">
              <w:t>MBS item 15555 (simulation)</w:t>
            </w:r>
            <w:r w:rsidR="00B74074">
              <w:rPr>
                <w:vertAlign w:val="superscript"/>
              </w:rPr>
              <w:t>1</w:t>
            </w:r>
          </w:p>
        </w:tc>
        <w:tc>
          <w:tcPr>
            <w:tcW w:w="624" w:type="pct"/>
            <w:shd w:val="clear" w:color="auto" w:fill="auto"/>
            <w:noWrap/>
            <w:vAlign w:val="center"/>
            <w:hideMark/>
          </w:tcPr>
          <w:p w14:paraId="767A996B" w14:textId="243EF1CF" w:rsidR="00A3517F" w:rsidRPr="00497D69" w:rsidRDefault="00A3517F" w:rsidP="00EB75E1">
            <w:pPr>
              <w:pStyle w:val="Tabletext1"/>
              <w:jc w:val="center"/>
            </w:pPr>
            <w:r>
              <w:rPr>
                <w:rFonts w:cs="Calibri"/>
                <w:color w:val="000000"/>
              </w:rPr>
              <w:t>$0</w:t>
            </w:r>
          </w:p>
        </w:tc>
        <w:tc>
          <w:tcPr>
            <w:tcW w:w="693" w:type="pct"/>
            <w:shd w:val="clear" w:color="auto" w:fill="auto"/>
            <w:noWrap/>
            <w:vAlign w:val="center"/>
            <w:hideMark/>
          </w:tcPr>
          <w:p w14:paraId="585C8E56" w14:textId="34184ADD" w:rsidR="00A3517F" w:rsidRPr="00497D69" w:rsidRDefault="00A3517F" w:rsidP="00EB75E1">
            <w:pPr>
              <w:pStyle w:val="Tabletext1"/>
              <w:jc w:val="center"/>
            </w:pPr>
            <w:r>
              <w:rPr>
                <w:rFonts w:cs="Calibri"/>
                <w:color w:val="000000"/>
              </w:rPr>
              <w:t>$0</w:t>
            </w:r>
          </w:p>
        </w:tc>
        <w:tc>
          <w:tcPr>
            <w:tcW w:w="656" w:type="pct"/>
            <w:shd w:val="clear" w:color="auto" w:fill="auto"/>
            <w:noWrap/>
            <w:vAlign w:val="center"/>
            <w:hideMark/>
          </w:tcPr>
          <w:p w14:paraId="71CD6BCE" w14:textId="59FB0747" w:rsidR="00A3517F" w:rsidRPr="00497D69" w:rsidRDefault="00A3517F" w:rsidP="00EB75E1">
            <w:pPr>
              <w:pStyle w:val="Tabletext1"/>
              <w:jc w:val="center"/>
            </w:pPr>
            <w:r>
              <w:rPr>
                <w:rFonts w:cs="Calibri"/>
                <w:color w:val="000000"/>
              </w:rPr>
              <w:t>$0</w:t>
            </w:r>
          </w:p>
        </w:tc>
        <w:tc>
          <w:tcPr>
            <w:tcW w:w="656" w:type="pct"/>
            <w:shd w:val="clear" w:color="auto" w:fill="auto"/>
            <w:noWrap/>
            <w:vAlign w:val="center"/>
            <w:hideMark/>
          </w:tcPr>
          <w:p w14:paraId="70ADB39F" w14:textId="2461EACC" w:rsidR="00A3517F" w:rsidRPr="00497D69" w:rsidRDefault="00A3517F" w:rsidP="00EB75E1">
            <w:pPr>
              <w:pStyle w:val="Tabletext1"/>
              <w:jc w:val="center"/>
            </w:pPr>
            <w:r>
              <w:rPr>
                <w:rFonts w:cs="Calibri"/>
                <w:color w:val="000000"/>
              </w:rPr>
              <w:t>$0</w:t>
            </w:r>
          </w:p>
        </w:tc>
        <w:tc>
          <w:tcPr>
            <w:tcW w:w="840" w:type="pct"/>
            <w:shd w:val="clear" w:color="auto" w:fill="auto"/>
            <w:noWrap/>
            <w:vAlign w:val="center"/>
            <w:hideMark/>
          </w:tcPr>
          <w:p w14:paraId="52D0C948" w14:textId="5C2598D4" w:rsidR="00A3517F" w:rsidRPr="00497D69" w:rsidRDefault="00A3517F" w:rsidP="00EB75E1">
            <w:pPr>
              <w:pStyle w:val="Tabletext1"/>
              <w:jc w:val="center"/>
            </w:pPr>
            <w:r>
              <w:rPr>
                <w:rFonts w:cs="Calibri"/>
                <w:color w:val="000000"/>
              </w:rPr>
              <w:t>$0</w:t>
            </w:r>
          </w:p>
        </w:tc>
      </w:tr>
      <w:tr w:rsidR="00A3517F" w:rsidRPr="004C2C35" w14:paraId="1A6FB667" w14:textId="77777777" w:rsidTr="007661DC">
        <w:trPr>
          <w:trHeight w:val="290"/>
        </w:trPr>
        <w:tc>
          <w:tcPr>
            <w:tcW w:w="1531" w:type="pct"/>
            <w:shd w:val="clear" w:color="auto" w:fill="auto"/>
            <w:vAlign w:val="center"/>
            <w:hideMark/>
          </w:tcPr>
          <w:p w14:paraId="15DB157C" w14:textId="1BBDC216" w:rsidR="00A3517F" w:rsidRPr="00183330" w:rsidRDefault="00A3517F" w:rsidP="00EB75E1">
            <w:pPr>
              <w:pStyle w:val="Tabletext1"/>
              <w:rPr>
                <w:vertAlign w:val="superscript"/>
              </w:rPr>
            </w:pPr>
            <w:r w:rsidRPr="004C2C35">
              <w:t>MBS item 15275 (fraction)</w:t>
            </w:r>
            <w:r w:rsidR="0099320F">
              <w:rPr>
                <w:vertAlign w:val="superscript"/>
              </w:rPr>
              <w:t>2</w:t>
            </w:r>
          </w:p>
        </w:tc>
        <w:tc>
          <w:tcPr>
            <w:tcW w:w="624" w:type="pct"/>
            <w:shd w:val="clear" w:color="auto" w:fill="auto"/>
            <w:noWrap/>
            <w:vAlign w:val="center"/>
            <w:hideMark/>
          </w:tcPr>
          <w:p w14:paraId="10D3F477" w14:textId="1DC9D344" w:rsidR="00A3517F" w:rsidRPr="00497D69" w:rsidRDefault="00A3517F" w:rsidP="00EB75E1">
            <w:pPr>
              <w:pStyle w:val="Tabletext1"/>
              <w:jc w:val="center"/>
            </w:pPr>
            <w:r>
              <w:rPr>
                <w:rFonts w:cs="Calibri"/>
                <w:color w:val="000000"/>
              </w:rPr>
              <w:t>-$3,453,091</w:t>
            </w:r>
          </w:p>
        </w:tc>
        <w:tc>
          <w:tcPr>
            <w:tcW w:w="693" w:type="pct"/>
            <w:shd w:val="clear" w:color="auto" w:fill="auto"/>
            <w:noWrap/>
            <w:vAlign w:val="center"/>
            <w:hideMark/>
          </w:tcPr>
          <w:p w14:paraId="2E563879" w14:textId="2BB35BC7" w:rsidR="00A3517F" w:rsidRPr="00497D69" w:rsidRDefault="00A3517F" w:rsidP="00EB75E1">
            <w:pPr>
              <w:pStyle w:val="Tabletext1"/>
              <w:jc w:val="center"/>
            </w:pPr>
            <w:r>
              <w:rPr>
                <w:rFonts w:cs="Calibri"/>
                <w:color w:val="000000"/>
              </w:rPr>
              <w:t>-$6,906,182</w:t>
            </w:r>
          </w:p>
        </w:tc>
        <w:tc>
          <w:tcPr>
            <w:tcW w:w="656" w:type="pct"/>
            <w:shd w:val="clear" w:color="auto" w:fill="auto"/>
            <w:noWrap/>
            <w:vAlign w:val="center"/>
            <w:hideMark/>
          </w:tcPr>
          <w:p w14:paraId="3CC1391F" w14:textId="6C7DEBA5" w:rsidR="00A3517F" w:rsidRPr="00497D69" w:rsidRDefault="00A3517F" w:rsidP="00EB75E1">
            <w:pPr>
              <w:pStyle w:val="Tabletext1"/>
              <w:jc w:val="center"/>
            </w:pPr>
            <w:r>
              <w:rPr>
                <w:rFonts w:cs="Calibri"/>
                <w:color w:val="000000"/>
              </w:rPr>
              <w:t>-$21,102,224</w:t>
            </w:r>
          </w:p>
        </w:tc>
        <w:tc>
          <w:tcPr>
            <w:tcW w:w="656" w:type="pct"/>
            <w:shd w:val="clear" w:color="auto" w:fill="auto"/>
            <w:noWrap/>
            <w:vAlign w:val="center"/>
            <w:hideMark/>
          </w:tcPr>
          <w:p w14:paraId="5BB938D2" w14:textId="08A05625" w:rsidR="00A3517F" w:rsidRPr="00497D69" w:rsidRDefault="00A3517F" w:rsidP="00EB75E1">
            <w:pPr>
              <w:pStyle w:val="Tabletext1"/>
              <w:jc w:val="center"/>
            </w:pPr>
            <w:r>
              <w:rPr>
                <w:rFonts w:cs="Calibri"/>
                <w:color w:val="000000"/>
              </w:rPr>
              <w:t>-$21,102,224</w:t>
            </w:r>
          </w:p>
        </w:tc>
        <w:tc>
          <w:tcPr>
            <w:tcW w:w="840" w:type="pct"/>
            <w:shd w:val="clear" w:color="auto" w:fill="auto"/>
            <w:noWrap/>
            <w:vAlign w:val="center"/>
            <w:hideMark/>
          </w:tcPr>
          <w:p w14:paraId="6BC5B2F8" w14:textId="7596F2D7" w:rsidR="00A3517F" w:rsidRPr="00497D69" w:rsidRDefault="00A3517F" w:rsidP="00EB75E1">
            <w:pPr>
              <w:pStyle w:val="Tabletext1"/>
              <w:jc w:val="center"/>
            </w:pPr>
            <w:r>
              <w:rPr>
                <w:rFonts w:cs="Calibri"/>
                <w:color w:val="000000"/>
              </w:rPr>
              <w:t>-$21,102,224</w:t>
            </w:r>
          </w:p>
        </w:tc>
      </w:tr>
      <w:tr w:rsidR="00A3517F" w:rsidRPr="004C2C35" w14:paraId="5C318752" w14:textId="77777777" w:rsidTr="007661DC">
        <w:trPr>
          <w:trHeight w:val="290"/>
        </w:trPr>
        <w:tc>
          <w:tcPr>
            <w:tcW w:w="1531" w:type="pct"/>
            <w:shd w:val="clear" w:color="auto" w:fill="auto"/>
            <w:noWrap/>
            <w:vAlign w:val="center"/>
            <w:hideMark/>
          </w:tcPr>
          <w:p w14:paraId="4AB54CE2" w14:textId="77777777" w:rsidR="00A3517F" w:rsidRPr="004C2C35" w:rsidRDefault="00A3517F" w:rsidP="00EB75E1">
            <w:pPr>
              <w:pStyle w:val="Tabletext1"/>
            </w:pPr>
            <w:r w:rsidRPr="004C2C35">
              <w:t>Total cost of MR-IGRT to the MBS</w:t>
            </w:r>
          </w:p>
        </w:tc>
        <w:tc>
          <w:tcPr>
            <w:tcW w:w="624" w:type="pct"/>
            <w:shd w:val="clear" w:color="auto" w:fill="auto"/>
            <w:noWrap/>
            <w:vAlign w:val="center"/>
            <w:hideMark/>
          </w:tcPr>
          <w:p w14:paraId="28534E2C" w14:textId="4F678A7C" w:rsidR="00A3517F" w:rsidRPr="007546A9" w:rsidRDefault="00A3517F" w:rsidP="00EB75E1">
            <w:pPr>
              <w:pStyle w:val="Tabletext1"/>
              <w:jc w:val="center"/>
            </w:pPr>
            <w:r>
              <w:rPr>
                <w:rFonts w:cs="Calibri"/>
                <w:b/>
                <w:color w:val="000000"/>
              </w:rPr>
              <w:t>-$4,</w:t>
            </w:r>
            <w:r w:rsidR="00F340EB">
              <w:rPr>
                <w:rFonts w:cs="Calibri"/>
                <w:b/>
                <w:bCs/>
                <w:color w:val="000000"/>
              </w:rPr>
              <w:t>079,473</w:t>
            </w:r>
          </w:p>
        </w:tc>
        <w:tc>
          <w:tcPr>
            <w:tcW w:w="693" w:type="pct"/>
            <w:shd w:val="clear" w:color="auto" w:fill="auto"/>
            <w:noWrap/>
            <w:vAlign w:val="center"/>
            <w:hideMark/>
          </w:tcPr>
          <w:p w14:paraId="1EEAC02F" w14:textId="609C54CE" w:rsidR="00A3517F" w:rsidRPr="007546A9" w:rsidRDefault="00A3517F" w:rsidP="00EB75E1">
            <w:pPr>
              <w:pStyle w:val="Tabletext1"/>
              <w:jc w:val="center"/>
            </w:pPr>
            <w:r>
              <w:rPr>
                <w:rFonts w:cs="Calibri"/>
                <w:b/>
                <w:color w:val="000000"/>
              </w:rPr>
              <w:t>-$8,</w:t>
            </w:r>
            <w:r w:rsidR="00F340EB">
              <w:rPr>
                <w:rFonts w:cs="Calibri"/>
                <w:b/>
                <w:bCs/>
                <w:color w:val="000000"/>
              </w:rPr>
              <w:t>158,946</w:t>
            </w:r>
          </w:p>
        </w:tc>
        <w:tc>
          <w:tcPr>
            <w:tcW w:w="656" w:type="pct"/>
            <w:shd w:val="clear" w:color="auto" w:fill="auto"/>
            <w:noWrap/>
            <w:vAlign w:val="center"/>
            <w:hideMark/>
          </w:tcPr>
          <w:p w14:paraId="2EDB8884" w14:textId="6B846334" w:rsidR="00A3517F" w:rsidRPr="007546A9" w:rsidRDefault="00F340EB" w:rsidP="00EB75E1">
            <w:pPr>
              <w:pStyle w:val="Tabletext1"/>
              <w:jc w:val="center"/>
            </w:pPr>
            <w:r>
              <w:rPr>
                <w:rFonts w:cs="Calibri"/>
                <w:b/>
                <w:bCs/>
                <w:color w:val="000000"/>
              </w:rPr>
              <w:t>-$24,930,114</w:t>
            </w:r>
          </w:p>
        </w:tc>
        <w:tc>
          <w:tcPr>
            <w:tcW w:w="656" w:type="pct"/>
            <w:shd w:val="clear" w:color="auto" w:fill="auto"/>
            <w:noWrap/>
            <w:vAlign w:val="center"/>
            <w:hideMark/>
          </w:tcPr>
          <w:p w14:paraId="371107B2" w14:textId="08F1D0B3" w:rsidR="00A3517F" w:rsidRPr="007546A9" w:rsidRDefault="00F340EB" w:rsidP="00EB75E1">
            <w:pPr>
              <w:pStyle w:val="Tabletext1"/>
              <w:jc w:val="center"/>
            </w:pPr>
            <w:r>
              <w:rPr>
                <w:rFonts w:cs="Calibri"/>
                <w:b/>
                <w:bCs/>
                <w:color w:val="000000"/>
              </w:rPr>
              <w:t>-$24,930,114</w:t>
            </w:r>
          </w:p>
        </w:tc>
        <w:tc>
          <w:tcPr>
            <w:tcW w:w="840" w:type="pct"/>
            <w:shd w:val="clear" w:color="auto" w:fill="auto"/>
            <w:noWrap/>
            <w:vAlign w:val="center"/>
            <w:hideMark/>
          </w:tcPr>
          <w:p w14:paraId="2361060B" w14:textId="12450A9E" w:rsidR="00A3517F" w:rsidRPr="007546A9" w:rsidRDefault="00F340EB" w:rsidP="00EB75E1">
            <w:pPr>
              <w:pStyle w:val="Tabletext1"/>
              <w:jc w:val="center"/>
            </w:pPr>
            <w:r>
              <w:rPr>
                <w:rFonts w:cs="Calibri"/>
                <w:b/>
                <w:bCs/>
                <w:color w:val="000000"/>
              </w:rPr>
              <w:t>-$24,930,114</w:t>
            </w:r>
          </w:p>
        </w:tc>
      </w:tr>
    </w:tbl>
    <w:p w14:paraId="19C3A835" w14:textId="3CE2A05B" w:rsidR="007F7B49" w:rsidRPr="00796F7E" w:rsidRDefault="00944174" w:rsidP="00796F7E">
      <w:pPr>
        <w:pStyle w:val="Tablenotes0"/>
        <w:jc w:val="left"/>
      </w:pPr>
      <w:r w:rsidRPr="00796F7E">
        <w:t>Abbreviations: “MBS”=Medical Benefits Schedule, “MR-IGRT”=magnetic resonance image-guide radiation therapy</w:t>
      </w:r>
      <w:r w:rsidR="00EB75E1" w:rsidRPr="00796F7E">
        <w:br/>
      </w:r>
      <w:r w:rsidRPr="00796F7E">
        <w:t>Note:</w:t>
      </w:r>
      <w:r w:rsidR="00796F7E">
        <w:t xml:space="preserve"> </w:t>
      </w:r>
      <w:r w:rsidR="00E2162F" w:rsidRPr="00796F7E">
        <w:t>No</w:t>
      </w:r>
      <w:r w:rsidRPr="00796F7E">
        <w:t xml:space="preserve"> </w:t>
      </w:r>
      <w:r w:rsidR="00E2162F" w:rsidRPr="00796F7E">
        <w:t>c</w:t>
      </w:r>
      <w:r w:rsidRPr="00796F7E">
        <w:t>hanges to course numbers, planning episodes or simulation would be anticipated assuming patient substitution of CBCT-IGRT for MR-IGRT</w:t>
      </w:r>
      <w:r w:rsidR="00E2162F" w:rsidRPr="00796F7E">
        <w:t>, as analysis assumes substitution of CBCT-IGRT</w:t>
      </w:r>
      <w:r w:rsidR="008E70E7" w:rsidRPr="00796F7E">
        <w:t xml:space="preserve"> for MR-IGRT only and planning episodes and simulation are assumed to occur only once per patient treatment course,</w:t>
      </w:r>
      <w:r w:rsidR="00E2162F" w:rsidRPr="00796F7E">
        <w:t xml:space="preserve">  regardless of radiation therapy technology used</w:t>
      </w:r>
      <w:r w:rsidR="008E70E7" w:rsidRPr="00796F7E">
        <w:t>.</w:t>
      </w:r>
      <w:r w:rsidR="00796F7E">
        <w:br/>
      </w:r>
      <w:r w:rsidR="008E70E7" w:rsidRPr="00796F7E">
        <w:t xml:space="preserve">Financial implications analysis is based on </w:t>
      </w:r>
      <w:r w:rsidR="00C418A3" w:rsidRPr="00796F7E">
        <w:t>assumptions regarding potential achievable fraction reductions per treatment course specifically for the prost</w:t>
      </w:r>
      <w:r w:rsidR="00806652" w:rsidRPr="00796F7E">
        <w:t>ate</w:t>
      </w:r>
      <w:r w:rsidR="00C418A3" w:rsidRPr="00796F7E">
        <w:t xml:space="preserve"> and breast cancer indications.  </w:t>
      </w:r>
      <w:r w:rsidR="00B076FA" w:rsidRPr="00796F7E">
        <w:t>Based on Applicant and clinical advice, a</w:t>
      </w:r>
      <w:r w:rsidR="00C5517B" w:rsidRPr="00796F7E">
        <w:t>nalysis assumes</w:t>
      </w:r>
      <w:r w:rsidR="00C418A3" w:rsidRPr="00796F7E">
        <w:t xml:space="preserve"> an average of five treatment fractions per course</w:t>
      </w:r>
      <w:r w:rsidR="00B25C17" w:rsidRPr="00796F7E">
        <w:t xml:space="preserve"> for MR-IGRT versus an average of 18 treatment fraction per course for CBCT-IGRT</w:t>
      </w:r>
      <w:r w:rsidR="00806652" w:rsidRPr="00796F7E">
        <w:t>.</w:t>
      </w:r>
    </w:p>
    <w:p w14:paraId="48A6C89E" w14:textId="5F6BF1FF" w:rsidR="00944174" w:rsidRDefault="00F05E6E" w:rsidP="00944174">
      <w:pPr>
        <w:jc w:val="both"/>
      </w:pPr>
      <w:r>
        <w:t xml:space="preserve">The financial model </w:t>
      </w:r>
      <w:r w:rsidR="00944174">
        <w:t xml:space="preserve">estimates the MBS </w:t>
      </w:r>
      <w:r w:rsidR="00B3256E">
        <w:t xml:space="preserve">per patient </w:t>
      </w:r>
      <w:r w:rsidR="00944174">
        <w:t>cost</w:t>
      </w:r>
      <w:r w:rsidR="00332C79">
        <w:t xml:space="preserve"> (assumed at an 85</w:t>
      </w:r>
      <w:r w:rsidR="004A283B">
        <w:t>%</w:t>
      </w:r>
      <w:r w:rsidR="003A246E">
        <w:t xml:space="preserve"> rebate rate)</w:t>
      </w:r>
      <w:r w:rsidR="00944174">
        <w:t xml:space="preserve"> of MR-IGRT treatment to be $4,783 compared to $7,</w:t>
      </w:r>
      <w:r w:rsidR="00A379B4">
        <w:t>246</w:t>
      </w:r>
      <w:r w:rsidR="00944174">
        <w:t xml:space="preserve"> with CBCT-IGRT</w:t>
      </w:r>
      <w:r w:rsidR="00806652">
        <w:t xml:space="preserve">. </w:t>
      </w:r>
      <w:r w:rsidR="00944174">
        <w:t>Key assumptions underlying analysis include:</w:t>
      </w:r>
    </w:p>
    <w:p w14:paraId="416B201A" w14:textId="77777777" w:rsidR="00944174" w:rsidRDefault="00944174" w:rsidP="00944174">
      <w:pPr>
        <w:pStyle w:val="ListParagraph"/>
        <w:numPr>
          <w:ilvl w:val="0"/>
          <w:numId w:val="35"/>
        </w:numPr>
        <w:jc w:val="both"/>
      </w:pPr>
      <w:r>
        <w:t>Substitution of CBCT-IGRT treatment for MR-IGRT (i.e., no patients from alternative treatments e.g. surgery or chemotherapy are assumed);</w:t>
      </w:r>
    </w:p>
    <w:p w14:paraId="45BB62F5" w14:textId="77777777" w:rsidR="00944174" w:rsidRDefault="00944174" w:rsidP="00944174">
      <w:pPr>
        <w:pStyle w:val="ListParagraph"/>
        <w:numPr>
          <w:ilvl w:val="0"/>
          <w:numId w:val="35"/>
        </w:numPr>
        <w:jc w:val="both"/>
      </w:pPr>
      <w:r>
        <w:t>Three MR-linac facilities in operation from year one, increasing to ten by year three and remaining at that level thereafter;</w:t>
      </w:r>
    </w:p>
    <w:p w14:paraId="40D01EDB" w14:textId="77777777" w:rsidR="00944174" w:rsidRDefault="00944174" w:rsidP="00944174">
      <w:pPr>
        <w:pStyle w:val="ListParagraph"/>
        <w:numPr>
          <w:ilvl w:val="0"/>
          <w:numId w:val="35"/>
        </w:numPr>
        <w:jc w:val="both"/>
      </w:pPr>
      <w:r>
        <w:t>The locations of MR-linacs deployed in Australia provides for CBCT-IGRT and MR-IGRT to be equally feasible patient treatment options;</w:t>
      </w:r>
    </w:p>
    <w:p w14:paraId="0B3C86D6" w14:textId="7FF7DD9D" w:rsidR="00944174" w:rsidRDefault="00FC721F" w:rsidP="00944174">
      <w:pPr>
        <w:pStyle w:val="ListParagraph"/>
        <w:numPr>
          <w:ilvl w:val="0"/>
          <w:numId w:val="35"/>
        </w:numPr>
        <w:jc w:val="both"/>
      </w:pPr>
      <w:r>
        <w:t>As above, i</w:t>
      </w:r>
      <w:r w:rsidR="00944174">
        <w:t>nitial utilisation</w:t>
      </w:r>
      <w:r w:rsidR="00006E62">
        <w:t xml:space="preserve"> of MR-IGRT</w:t>
      </w:r>
      <w:r w:rsidR="00944174">
        <w:t xml:space="preserve"> for cancer indications it has already been used for to date in Australia, including indications where the Applicant and clinical advice indicate significant fraction reductions have already occurred (e.g. breast and prostate cancer); and</w:t>
      </w:r>
    </w:p>
    <w:p w14:paraId="2C0D79F7" w14:textId="62FDCE10" w:rsidR="00944174" w:rsidRDefault="00944174" w:rsidP="00944174">
      <w:pPr>
        <w:pStyle w:val="ListParagraph"/>
        <w:numPr>
          <w:ilvl w:val="0"/>
          <w:numId w:val="35"/>
        </w:numPr>
        <w:jc w:val="both"/>
      </w:pPr>
      <w:r>
        <w:t>Reduction in average treatment time from 45 minutes to 25 minutes by year three.</w:t>
      </w:r>
    </w:p>
    <w:p w14:paraId="1C0CB161" w14:textId="3DD729BC" w:rsidR="00944174" w:rsidRDefault="00944174" w:rsidP="00944174">
      <w:pPr>
        <w:jc w:val="both"/>
      </w:pPr>
      <w:r>
        <w:lastRenderedPageBreak/>
        <w:t>As there is no anticipated change to the number of radiation therapy courses there would be no expected changes to use of MBS items 15565 (dosimetry planning) and 15555 (simulation).</w:t>
      </w:r>
    </w:p>
    <w:p w14:paraId="11B9FAB3" w14:textId="77777777" w:rsidR="00830800" w:rsidRDefault="00830800" w:rsidP="00830800">
      <w:pPr>
        <w:widowControl w:val="0"/>
        <w:jc w:val="both"/>
      </w:pPr>
      <w:r>
        <w:t>Referencing the economic evaluation, indicative analysis estimates reduced per person adverse event related costs for MR-IGRT patients relative to CBCT-IGRT patients with prostate cancer.  It should be noted this analysis assumes a five fractions treatment for both MR-IGRT and CBCT-IGRT.  As such it may not be applicable to other cancer indications or current CBCT-IGRT practice, with clinical advice indicating current CBCT-IGRT treatment fractions used being higher.  The analysis estimates MBS savings of $778 per patient and PBS savings of $641 per patient.</w:t>
      </w:r>
    </w:p>
    <w:p w14:paraId="4BB3B46F" w14:textId="4764BAEC" w:rsidR="00CA1AB2" w:rsidRDefault="00215ED5" w:rsidP="004368ED">
      <w:pPr>
        <w:widowControl w:val="0"/>
        <w:jc w:val="both"/>
        <w:rPr>
          <w:rFonts w:asciiTheme="minorHAnsi" w:hAnsiTheme="minorHAnsi" w:cstheme="minorHAnsi"/>
          <w:szCs w:val="28"/>
          <w:lang w:eastAsia="en-US"/>
        </w:rPr>
      </w:pPr>
      <w:r>
        <w:t xml:space="preserve">Analysis indicates that should </w:t>
      </w:r>
      <w:r w:rsidR="00FC721F">
        <w:t xml:space="preserve">MR-IGRT market </w:t>
      </w:r>
      <w:r>
        <w:t>parameters and</w:t>
      </w:r>
      <w:r w:rsidR="00246B9A">
        <w:t xml:space="preserve"> treatment</w:t>
      </w:r>
      <w:r>
        <w:t xml:space="preserve"> input</w:t>
      </w:r>
      <w:r w:rsidR="00246B9A">
        <w:t xml:space="preserve"> assumptions</w:t>
      </w:r>
      <w:r>
        <w:t xml:space="preserve"> progress as estimated by the Applicant, there would be potentially significant MBS cost savings.  However, it should be noted  t</w:t>
      </w:r>
      <w:r w:rsidR="00944174">
        <w:rPr>
          <w:rFonts w:asciiTheme="minorHAnsi" w:hAnsiTheme="minorHAnsi" w:cstheme="minorHAnsi"/>
          <w:szCs w:val="28"/>
          <w:lang w:eastAsia="en-US"/>
        </w:rPr>
        <w:t>hese financial implications</w:t>
      </w:r>
      <w:r w:rsidR="001F1FB4">
        <w:rPr>
          <w:rFonts w:asciiTheme="minorHAnsi" w:hAnsiTheme="minorHAnsi" w:cstheme="minorHAnsi"/>
          <w:szCs w:val="28"/>
          <w:lang w:eastAsia="en-US"/>
        </w:rPr>
        <w:t xml:space="preserve"> estimates</w:t>
      </w:r>
      <w:r w:rsidR="00944174">
        <w:rPr>
          <w:rFonts w:asciiTheme="minorHAnsi" w:hAnsiTheme="minorHAnsi" w:cstheme="minorHAnsi"/>
          <w:szCs w:val="28"/>
          <w:lang w:eastAsia="en-US"/>
        </w:rPr>
        <w:t xml:space="preserve"> do not necessarily reflect the potential </w:t>
      </w:r>
      <w:r w:rsidR="00BA43A0">
        <w:rPr>
          <w:rFonts w:asciiTheme="minorHAnsi" w:hAnsiTheme="minorHAnsi" w:cstheme="minorHAnsi"/>
          <w:szCs w:val="28"/>
          <w:lang w:eastAsia="en-US"/>
        </w:rPr>
        <w:t>outcomes that may</w:t>
      </w:r>
      <w:r w:rsidR="00944174">
        <w:rPr>
          <w:rFonts w:asciiTheme="minorHAnsi" w:hAnsiTheme="minorHAnsi" w:cstheme="minorHAnsi"/>
          <w:szCs w:val="28"/>
          <w:lang w:eastAsia="en-US"/>
        </w:rPr>
        <w:t xml:space="preserve"> occur should </w:t>
      </w:r>
      <w:r w:rsidR="00FC721F">
        <w:rPr>
          <w:rFonts w:asciiTheme="minorHAnsi" w:hAnsiTheme="minorHAnsi" w:cstheme="minorHAnsi"/>
          <w:szCs w:val="28"/>
          <w:lang w:eastAsia="en-US"/>
        </w:rPr>
        <w:t xml:space="preserve">any resulting </w:t>
      </w:r>
      <w:r w:rsidR="00944174">
        <w:rPr>
          <w:rFonts w:asciiTheme="minorHAnsi" w:hAnsiTheme="minorHAnsi" w:cstheme="minorHAnsi"/>
          <w:szCs w:val="28"/>
          <w:lang w:eastAsia="en-US"/>
        </w:rPr>
        <w:t xml:space="preserve">MR-IGRT </w:t>
      </w:r>
      <w:r w:rsidR="00FC721F">
        <w:rPr>
          <w:rFonts w:asciiTheme="minorHAnsi" w:hAnsiTheme="minorHAnsi" w:cstheme="minorHAnsi"/>
          <w:szCs w:val="28"/>
          <w:lang w:eastAsia="en-US"/>
        </w:rPr>
        <w:t>use upon MBS listing be under different circumstances</w:t>
      </w:r>
      <w:r w:rsidR="004B1CEF">
        <w:rPr>
          <w:rFonts w:asciiTheme="minorHAnsi" w:hAnsiTheme="minorHAnsi" w:cstheme="minorHAnsi"/>
          <w:szCs w:val="28"/>
          <w:lang w:eastAsia="en-US"/>
        </w:rPr>
        <w:t>.  This includes in particular treatment fraction reductions achieved for the treated patient populations and MR-linac treatment facility capacity</w:t>
      </w:r>
      <w:r w:rsidR="004B1CEF" w:rsidDel="00087AE3">
        <w:rPr>
          <w:rFonts w:asciiTheme="minorHAnsi" w:hAnsiTheme="minorHAnsi" w:cstheme="minorHAnsi"/>
          <w:szCs w:val="28"/>
          <w:lang w:eastAsia="en-US"/>
        </w:rPr>
        <w:t xml:space="preserve"> </w:t>
      </w:r>
    </w:p>
    <w:p w14:paraId="2E2C4DDF" w14:textId="1290510D" w:rsidR="00A60DF4" w:rsidRDefault="00A60DF4" w:rsidP="00A60DF4">
      <w:pPr>
        <w:pStyle w:val="Heading3"/>
      </w:pPr>
      <w:bookmarkStart w:id="157" w:name="_Toc426968112"/>
      <w:bookmarkStart w:id="158" w:name="_Toc59018753"/>
      <w:bookmarkStart w:id="159" w:name="_Toc59020297"/>
      <w:bookmarkStart w:id="160" w:name="_Toc59439519"/>
      <w:bookmarkStart w:id="161" w:name="_Toc395200754"/>
      <w:bookmarkStart w:id="162" w:name="_Toc89857791"/>
      <w:r>
        <w:t>Consumer impact summary</w:t>
      </w:r>
      <w:bookmarkEnd w:id="157"/>
      <w:bookmarkEnd w:id="158"/>
      <w:bookmarkEnd w:id="159"/>
      <w:bookmarkEnd w:id="160"/>
      <w:bookmarkEnd w:id="162"/>
    </w:p>
    <w:p w14:paraId="4745C4F4" w14:textId="5F985A91" w:rsidR="00AA5F67" w:rsidRDefault="00AA5F67" w:rsidP="00AA5F67">
      <w:r>
        <w:t>Feedback on the application requesting MBS listing of MR-IGRT for cancer treatment delivery was received from three professional societies (The Faculty of Radiation Oncology of the RANZCR, Australian Society of Medical Imaging and Radiation Therapy (ASMIRT), and Australasian College of Physical Scientists and Engineers in Medicine (ACPSEM)), one charity (Lung Foundation Australia), one field expert (Prof. Paul Keall, PhD), and a Public Consultation Survey has been received from Device Technologies Australia (DTA) and Viewray. Additionally, the ACPSEM and the Australian Radiation Protection and Nuclear Safety Agency (ARPANSA) offered further comments on the Ratified PICO and on the safety of the technology.</w:t>
      </w:r>
      <w:r w:rsidR="00411682">
        <w:t xml:space="preserve"> The general conclusion was in favour of listing MR-IGRT </w:t>
      </w:r>
      <w:r w:rsidR="0086651F">
        <w:t>on the MBS</w:t>
      </w:r>
      <w:r w:rsidR="006C4F60">
        <w:t>.</w:t>
      </w:r>
      <w:r w:rsidR="009630E0" w:rsidRPr="009630E0">
        <w:t xml:space="preserve"> </w:t>
      </w:r>
      <w:r w:rsidR="006C5E74">
        <w:t>Of note, n</w:t>
      </w:r>
      <w:r w:rsidR="009630E0">
        <w:t>o specific concerns about MR-IGRT safety were raised.</w:t>
      </w:r>
    </w:p>
    <w:p w14:paraId="72A81AA8" w14:textId="611B695E" w:rsidR="00AA5F67" w:rsidRDefault="00AA5F67" w:rsidP="00AA5F67">
      <w:r>
        <w:t xml:space="preserve">The ACPSEM has also noted the potential of MR-IGRT to change the method of treatment for current high-volume indications, such as prostate and breast cancer. </w:t>
      </w:r>
    </w:p>
    <w:bookmarkEnd w:id="133"/>
    <w:bookmarkEnd w:id="134"/>
    <w:bookmarkEnd w:id="161"/>
    <w:p w14:paraId="66C5A300" w14:textId="77777777" w:rsidR="008F59A8" w:rsidRPr="00183E4D" w:rsidRDefault="008F59A8" w:rsidP="00DF343F">
      <w:pPr>
        <w:jc w:val="both"/>
      </w:pPr>
    </w:p>
    <w:p w14:paraId="470B1FE6" w14:textId="77777777" w:rsidR="008F59A8" w:rsidRPr="00183E4D" w:rsidRDefault="008F59A8" w:rsidP="00DF343F">
      <w:pPr>
        <w:jc w:val="both"/>
        <w:sectPr w:rsidR="008F59A8" w:rsidRPr="00183E4D" w:rsidSect="0032309D">
          <w:headerReference w:type="even" r:id="rId20"/>
          <w:headerReference w:type="default" r:id="rId21"/>
          <w:headerReference w:type="first" r:id="rId22"/>
          <w:type w:val="oddPage"/>
          <w:pgSz w:w="11906" w:h="16838"/>
          <w:pgMar w:top="1440" w:right="1440" w:bottom="1440" w:left="1440" w:header="720" w:footer="720" w:gutter="0"/>
          <w:paperSrc w:first="2" w:other="2"/>
          <w:pgNumType w:fmt="lowerRoman"/>
          <w:cols w:space="720"/>
        </w:sectPr>
      </w:pPr>
    </w:p>
    <w:p w14:paraId="10D39FC9" w14:textId="77777777" w:rsidR="00553518" w:rsidRDefault="002106B9" w:rsidP="00DF343F">
      <w:pPr>
        <w:pStyle w:val="Heading1"/>
        <w:jc w:val="both"/>
      </w:pPr>
      <w:bookmarkStart w:id="163" w:name="_Toc355274699"/>
      <w:bookmarkStart w:id="164" w:name="_Ref363826811"/>
      <w:bookmarkStart w:id="165" w:name="_Toc379118061"/>
      <w:bookmarkStart w:id="166" w:name="_Toc381796437"/>
      <w:bookmarkStart w:id="167" w:name="_Toc59018754"/>
      <w:bookmarkStart w:id="168" w:name="_Toc59020298"/>
      <w:bookmarkStart w:id="169" w:name="_Toc59439520"/>
      <w:bookmarkStart w:id="170" w:name="_Toc89857792"/>
      <w:r>
        <w:lastRenderedPageBreak/>
        <w:t xml:space="preserve">Acronyms </w:t>
      </w:r>
      <w:r w:rsidR="003346E0">
        <w:t>and A</w:t>
      </w:r>
      <w:r w:rsidR="00553518" w:rsidRPr="00183E4D">
        <w:t>bbreviations</w:t>
      </w:r>
      <w:bookmarkStart w:id="171" w:name="_Toc451749499"/>
      <w:bookmarkEnd w:id="163"/>
      <w:bookmarkEnd w:id="164"/>
      <w:bookmarkEnd w:id="165"/>
      <w:bookmarkEnd w:id="166"/>
      <w:bookmarkEnd w:id="167"/>
      <w:bookmarkEnd w:id="168"/>
      <w:bookmarkEnd w:id="169"/>
      <w:bookmarkEnd w:id="170"/>
      <w:r w:rsidR="00553518" w:rsidRPr="00183E4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w:tblDescription w:val="acronyms and abbreviations"/>
      </w:tblPr>
      <w:tblGrid>
        <w:gridCol w:w="2917"/>
        <w:gridCol w:w="6112"/>
      </w:tblGrid>
      <w:tr w:rsidR="00E335E2" w:rsidRPr="00183E4D" w14:paraId="2464F83F" w14:textId="77777777" w:rsidTr="00EB75E1">
        <w:trPr>
          <w:tblHeader/>
        </w:trPr>
        <w:tc>
          <w:tcPr>
            <w:tcW w:w="2917" w:type="dxa"/>
            <w:tcBorders>
              <w:top w:val="single" w:sz="4" w:space="0" w:color="auto"/>
              <w:bottom w:val="single" w:sz="4" w:space="0" w:color="auto"/>
            </w:tcBorders>
          </w:tcPr>
          <w:p w14:paraId="6AAC808E" w14:textId="0A3BB8AA" w:rsidR="00E335E2" w:rsidRDefault="00E335E2" w:rsidP="00EB75E1">
            <w:pPr>
              <w:pStyle w:val="Heading4"/>
              <w:spacing w:before="40" w:after="40"/>
              <w:outlineLvl w:val="3"/>
            </w:pPr>
            <w:r>
              <w:t>Acronym/</w:t>
            </w:r>
            <w:r w:rsidR="00C31186">
              <w:t>Abbreviation</w:t>
            </w:r>
          </w:p>
        </w:tc>
        <w:tc>
          <w:tcPr>
            <w:tcW w:w="6112" w:type="dxa"/>
            <w:tcBorders>
              <w:top w:val="single" w:sz="4" w:space="0" w:color="auto"/>
              <w:bottom w:val="single" w:sz="4" w:space="0" w:color="auto"/>
            </w:tcBorders>
          </w:tcPr>
          <w:p w14:paraId="76CCA864" w14:textId="77777777" w:rsidR="00E335E2" w:rsidRDefault="00E335E2" w:rsidP="00EB75E1">
            <w:pPr>
              <w:pStyle w:val="Heading4"/>
              <w:spacing w:before="40" w:after="40"/>
              <w:outlineLvl w:val="3"/>
              <w:rPr>
                <w:rFonts w:asciiTheme="minorHAnsi" w:hAnsiTheme="minorHAnsi"/>
                <w:color w:val="000000"/>
              </w:rPr>
            </w:pPr>
            <w:r>
              <w:rPr>
                <w:rFonts w:asciiTheme="minorHAnsi" w:hAnsiTheme="minorHAnsi"/>
                <w:color w:val="000000"/>
              </w:rPr>
              <w:t>Meaning</w:t>
            </w:r>
          </w:p>
        </w:tc>
      </w:tr>
      <w:tr w:rsidR="004335C1" w:rsidRPr="00183E4D" w14:paraId="041B3C8A" w14:textId="77777777" w:rsidTr="00EB75E1">
        <w:tc>
          <w:tcPr>
            <w:tcW w:w="2917" w:type="dxa"/>
            <w:tcBorders>
              <w:top w:val="single" w:sz="4" w:space="0" w:color="auto"/>
            </w:tcBorders>
          </w:tcPr>
          <w:p w14:paraId="39F46649" w14:textId="577D9CA4" w:rsidR="004335C1" w:rsidRDefault="004335C1" w:rsidP="00EB75E1">
            <w:pPr>
              <w:spacing w:before="40"/>
              <w:ind w:left="0"/>
              <w:jc w:val="both"/>
            </w:pPr>
            <w:r>
              <w:t>3D-CRT</w:t>
            </w:r>
          </w:p>
        </w:tc>
        <w:tc>
          <w:tcPr>
            <w:tcW w:w="6112" w:type="dxa"/>
            <w:tcBorders>
              <w:top w:val="single" w:sz="4" w:space="0" w:color="auto"/>
            </w:tcBorders>
          </w:tcPr>
          <w:p w14:paraId="7004D2E3" w14:textId="41D91747" w:rsidR="004335C1" w:rsidRDefault="00D814F0" w:rsidP="00EB75E1">
            <w:pPr>
              <w:spacing w:before="40"/>
              <w:ind w:left="0"/>
              <w:jc w:val="both"/>
              <w:rPr>
                <w:rFonts w:asciiTheme="minorHAnsi" w:hAnsiTheme="minorHAnsi"/>
                <w:color w:val="000000"/>
                <w:szCs w:val="24"/>
              </w:rPr>
            </w:pPr>
            <w:r>
              <w:rPr>
                <w:rFonts w:asciiTheme="minorHAnsi" w:hAnsiTheme="minorHAnsi"/>
                <w:color w:val="000000"/>
                <w:szCs w:val="24"/>
              </w:rPr>
              <w:t>t</w:t>
            </w:r>
            <w:r w:rsidR="004335C1">
              <w:rPr>
                <w:rFonts w:asciiTheme="minorHAnsi" w:hAnsiTheme="minorHAnsi"/>
                <w:color w:val="000000"/>
                <w:szCs w:val="24"/>
              </w:rPr>
              <w:t>hree</w:t>
            </w:r>
            <w:r w:rsidR="00C31186">
              <w:rPr>
                <w:rFonts w:asciiTheme="minorHAnsi" w:hAnsiTheme="minorHAnsi"/>
                <w:color w:val="000000"/>
                <w:szCs w:val="24"/>
              </w:rPr>
              <w:t>-</w:t>
            </w:r>
            <w:r>
              <w:rPr>
                <w:rFonts w:asciiTheme="minorHAnsi" w:hAnsiTheme="minorHAnsi"/>
                <w:color w:val="000000"/>
                <w:szCs w:val="24"/>
              </w:rPr>
              <w:t>d</w:t>
            </w:r>
            <w:r w:rsidR="00C31186">
              <w:rPr>
                <w:rFonts w:asciiTheme="minorHAnsi" w:hAnsiTheme="minorHAnsi"/>
                <w:color w:val="000000"/>
                <w:szCs w:val="24"/>
              </w:rPr>
              <w:t xml:space="preserve">imensional </w:t>
            </w:r>
            <w:r>
              <w:rPr>
                <w:rFonts w:asciiTheme="minorHAnsi" w:hAnsiTheme="minorHAnsi"/>
                <w:color w:val="000000"/>
                <w:szCs w:val="24"/>
              </w:rPr>
              <w:t>c</w:t>
            </w:r>
            <w:r w:rsidR="00C31186">
              <w:rPr>
                <w:rFonts w:asciiTheme="minorHAnsi" w:hAnsiTheme="minorHAnsi"/>
                <w:color w:val="000000"/>
                <w:szCs w:val="24"/>
              </w:rPr>
              <w:t xml:space="preserve">onformal </w:t>
            </w:r>
            <w:r>
              <w:rPr>
                <w:rFonts w:asciiTheme="minorHAnsi" w:hAnsiTheme="minorHAnsi"/>
                <w:color w:val="000000"/>
                <w:szCs w:val="24"/>
              </w:rPr>
              <w:t>r</w:t>
            </w:r>
            <w:r w:rsidR="00C31186">
              <w:rPr>
                <w:rFonts w:asciiTheme="minorHAnsi" w:hAnsiTheme="minorHAnsi"/>
                <w:color w:val="000000"/>
                <w:szCs w:val="24"/>
              </w:rPr>
              <w:t>adi</w:t>
            </w:r>
            <w:r>
              <w:rPr>
                <w:rFonts w:asciiTheme="minorHAnsi" w:hAnsiTheme="minorHAnsi"/>
                <w:color w:val="000000"/>
                <w:szCs w:val="24"/>
              </w:rPr>
              <w:t>ati</w:t>
            </w:r>
            <w:r w:rsidR="00C31186">
              <w:rPr>
                <w:rFonts w:asciiTheme="minorHAnsi" w:hAnsiTheme="minorHAnsi"/>
                <w:color w:val="000000"/>
                <w:szCs w:val="24"/>
              </w:rPr>
              <w:t>o</w:t>
            </w:r>
            <w:r>
              <w:rPr>
                <w:rFonts w:asciiTheme="minorHAnsi" w:hAnsiTheme="minorHAnsi"/>
                <w:color w:val="000000"/>
                <w:szCs w:val="24"/>
              </w:rPr>
              <w:t xml:space="preserve">n </w:t>
            </w:r>
            <w:r w:rsidR="00C31186">
              <w:rPr>
                <w:rFonts w:asciiTheme="minorHAnsi" w:hAnsiTheme="minorHAnsi"/>
                <w:color w:val="000000"/>
                <w:szCs w:val="24"/>
              </w:rPr>
              <w:t>therapy</w:t>
            </w:r>
          </w:p>
        </w:tc>
      </w:tr>
      <w:tr w:rsidR="002E2985" w:rsidRPr="00183E4D" w14:paraId="77FE959F" w14:textId="77777777" w:rsidTr="004335C1">
        <w:tc>
          <w:tcPr>
            <w:tcW w:w="2917" w:type="dxa"/>
          </w:tcPr>
          <w:p w14:paraId="232785CE" w14:textId="4423D5BE" w:rsidR="002E2985" w:rsidRDefault="002E2985" w:rsidP="00EB75E1">
            <w:pPr>
              <w:spacing w:before="40"/>
              <w:ind w:left="0"/>
              <w:jc w:val="both"/>
            </w:pPr>
            <w:r>
              <w:t>ACPSEM</w:t>
            </w:r>
          </w:p>
        </w:tc>
        <w:tc>
          <w:tcPr>
            <w:tcW w:w="6112" w:type="dxa"/>
          </w:tcPr>
          <w:p w14:paraId="3E44FF2F" w14:textId="71F6325E" w:rsidR="002E2985" w:rsidRDefault="002E2985" w:rsidP="00EB75E1">
            <w:pPr>
              <w:spacing w:before="40"/>
              <w:ind w:left="0"/>
              <w:jc w:val="both"/>
              <w:rPr>
                <w:rFonts w:asciiTheme="minorHAnsi" w:hAnsiTheme="minorHAnsi"/>
                <w:color w:val="000000"/>
                <w:szCs w:val="24"/>
              </w:rPr>
            </w:pPr>
            <w:r>
              <w:rPr>
                <w:rFonts w:asciiTheme="minorHAnsi" w:hAnsiTheme="minorHAnsi"/>
                <w:color w:val="000000"/>
                <w:szCs w:val="24"/>
              </w:rPr>
              <w:t xml:space="preserve">Australasian College </w:t>
            </w:r>
            <w:r w:rsidR="008E3A98">
              <w:rPr>
                <w:rFonts w:asciiTheme="minorHAnsi" w:hAnsiTheme="minorHAnsi"/>
                <w:color w:val="000000"/>
                <w:szCs w:val="24"/>
              </w:rPr>
              <w:t>of</w:t>
            </w:r>
            <w:r>
              <w:rPr>
                <w:rFonts w:asciiTheme="minorHAnsi" w:hAnsiTheme="minorHAnsi"/>
                <w:color w:val="000000"/>
                <w:szCs w:val="24"/>
              </w:rPr>
              <w:t xml:space="preserve"> Physical Scientists &amp; Engineers </w:t>
            </w:r>
            <w:r w:rsidR="008E3A98">
              <w:rPr>
                <w:rFonts w:asciiTheme="minorHAnsi" w:hAnsiTheme="minorHAnsi"/>
                <w:color w:val="000000"/>
                <w:szCs w:val="24"/>
              </w:rPr>
              <w:t>in</w:t>
            </w:r>
            <w:r>
              <w:rPr>
                <w:rFonts w:asciiTheme="minorHAnsi" w:hAnsiTheme="minorHAnsi"/>
                <w:color w:val="000000"/>
                <w:szCs w:val="24"/>
              </w:rPr>
              <w:t xml:space="preserve"> Medicine</w:t>
            </w:r>
          </w:p>
        </w:tc>
      </w:tr>
      <w:tr w:rsidR="00D814F0" w:rsidRPr="00183E4D" w14:paraId="6161A496" w14:textId="77777777" w:rsidTr="004335C1">
        <w:tc>
          <w:tcPr>
            <w:tcW w:w="2917" w:type="dxa"/>
          </w:tcPr>
          <w:p w14:paraId="654E95EC" w14:textId="1D58943A" w:rsidR="00D814F0" w:rsidRDefault="00D814F0" w:rsidP="00EB75E1">
            <w:pPr>
              <w:spacing w:before="40"/>
              <w:ind w:left="0"/>
              <w:jc w:val="both"/>
            </w:pPr>
            <w:r>
              <w:t>AE</w:t>
            </w:r>
          </w:p>
        </w:tc>
        <w:tc>
          <w:tcPr>
            <w:tcW w:w="6112" w:type="dxa"/>
          </w:tcPr>
          <w:p w14:paraId="12DA725A" w14:textId="6BF18A4B" w:rsidR="00D814F0" w:rsidRDefault="00D814F0" w:rsidP="00EB75E1">
            <w:pPr>
              <w:spacing w:before="40"/>
              <w:ind w:left="0"/>
              <w:jc w:val="both"/>
              <w:rPr>
                <w:rFonts w:asciiTheme="minorHAnsi" w:hAnsiTheme="minorHAnsi"/>
                <w:color w:val="000000"/>
                <w:szCs w:val="24"/>
              </w:rPr>
            </w:pPr>
            <w:r>
              <w:rPr>
                <w:rFonts w:asciiTheme="minorHAnsi" w:hAnsiTheme="minorHAnsi"/>
                <w:color w:val="000000"/>
                <w:szCs w:val="24"/>
              </w:rPr>
              <w:t>adverse event</w:t>
            </w:r>
          </w:p>
        </w:tc>
      </w:tr>
      <w:tr w:rsidR="00ED2E3E" w:rsidRPr="00183E4D" w14:paraId="391ADBD9" w14:textId="77777777" w:rsidTr="004335C1">
        <w:tc>
          <w:tcPr>
            <w:tcW w:w="2917" w:type="dxa"/>
          </w:tcPr>
          <w:p w14:paraId="3ED2F439" w14:textId="5C933B0E" w:rsidR="00ED2E3E" w:rsidRDefault="00ED2E3E" w:rsidP="00EB75E1">
            <w:pPr>
              <w:spacing w:before="40"/>
              <w:ind w:left="0"/>
              <w:jc w:val="both"/>
            </w:pPr>
            <w:r>
              <w:t>AHRQ</w:t>
            </w:r>
          </w:p>
        </w:tc>
        <w:tc>
          <w:tcPr>
            <w:tcW w:w="6112" w:type="dxa"/>
          </w:tcPr>
          <w:p w14:paraId="3DEFF1C5" w14:textId="3DCC6CF5" w:rsidR="00ED2E3E" w:rsidRDefault="00ED2E3E" w:rsidP="00EB75E1">
            <w:pPr>
              <w:spacing w:before="40"/>
              <w:ind w:left="0"/>
              <w:jc w:val="both"/>
              <w:rPr>
                <w:rFonts w:asciiTheme="minorHAnsi" w:hAnsiTheme="minorHAnsi"/>
                <w:color w:val="000000"/>
                <w:szCs w:val="24"/>
              </w:rPr>
            </w:pPr>
            <w:r>
              <w:rPr>
                <w:rFonts w:asciiTheme="minorHAnsi" w:hAnsiTheme="minorHAnsi"/>
                <w:color w:val="000000"/>
                <w:szCs w:val="24"/>
              </w:rPr>
              <w:t>Agency for Healthcare Research and Quality</w:t>
            </w:r>
          </w:p>
        </w:tc>
      </w:tr>
      <w:tr w:rsidR="002E2985" w:rsidRPr="00183E4D" w14:paraId="652B9AE4" w14:textId="77777777" w:rsidTr="004335C1">
        <w:tc>
          <w:tcPr>
            <w:tcW w:w="2917" w:type="dxa"/>
          </w:tcPr>
          <w:p w14:paraId="50943C5D" w14:textId="77777777" w:rsidR="002E2985" w:rsidRPr="00183E4D" w:rsidRDefault="002E2985" w:rsidP="00EB75E1">
            <w:pPr>
              <w:spacing w:before="40"/>
              <w:ind w:left="0"/>
              <w:jc w:val="both"/>
            </w:pPr>
            <w:r>
              <w:t>AIHW</w:t>
            </w:r>
          </w:p>
        </w:tc>
        <w:tc>
          <w:tcPr>
            <w:tcW w:w="6112" w:type="dxa"/>
          </w:tcPr>
          <w:p w14:paraId="61DC8D75" w14:textId="59DDBD51" w:rsidR="002E2985" w:rsidRPr="00183E4D" w:rsidRDefault="002E2985" w:rsidP="00EB75E1">
            <w:pPr>
              <w:spacing w:before="40"/>
              <w:ind w:left="0"/>
              <w:jc w:val="both"/>
            </w:pPr>
            <w:r>
              <w:rPr>
                <w:rFonts w:asciiTheme="minorHAnsi" w:hAnsiTheme="minorHAnsi"/>
                <w:color w:val="000000"/>
                <w:szCs w:val="24"/>
              </w:rPr>
              <w:t xml:space="preserve">Australian Institute </w:t>
            </w:r>
            <w:r w:rsidR="008E3A98">
              <w:rPr>
                <w:rFonts w:asciiTheme="minorHAnsi" w:hAnsiTheme="minorHAnsi"/>
                <w:color w:val="000000"/>
                <w:szCs w:val="24"/>
              </w:rPr>
              <w:t>of</w:t>
            </w:r>
            <w:r>
              <w:rPr>
                <w:rFonts w:asciiTheme="minorHAnsi" w:hAnsiTheme="minorHAnsi"/>
                <w:color w:val="000000"/>
                <w:szCs w:val="24"/>
              </w:rPr>
              <w:t xml:space="preserve"> Health </w:t>
            </w:r>
            <w:r w:rsidR="008E3A98">
              <w:rPr>
                <w:rFonts w:asciiTheme="minorHAnsi" w:hAnsiTheme="minorHAnsi"/>
                <w:color w:val="000000"/>
                <w:szCs w:val="24"/>
              </w:rPr>
              <w:t>a</w:t>
            </w:r>
            <w:r w:rsidR="00C31186">
              <w:rPr>
                <w:rFonts w:asciiTheme="minorHAnsi" w:hAnsiTheme="minorHAnsi"/>
                <w:color w:val="000000"/>
                <w:szCs w:val="24"/>
              </w:rPr>
              <w:t>nd</w:t>
            </w:r>
            <w:r>
              <w:rPr>
                <w:rFonts w:asciiTheme="minorHAnsi" w:hAnsiTheme="minorHAnsi"/>
                <w:color w:val="000000"/>
                <w:szCs w:val="24"/>
              </w:rPr>
              <w:t xml:space="preserve"> Welfare</w:t>
            </w:r>
          </w:p>
        </w:tc>
      </w:tr>
      <w:tr w:rsidR="00674938" w:rsidRPr="00183E4D" w14:paraId="4882A938" w14:textId="77777777" w:rsidTr="004335C1">
        <w:tc>
          <w:tcPr>
            <w:tcW w:w="2917" w:type="dxa"/>
          </w:tcPr>
          <w:p w14:paraId="1E78BA8B" w14:textId="5CB22FA3" w:rsidR="00674938" w:rsidRDefault="00674938" w:rsidP="00EB75E1">
            <w:pPr>
              <w:spacing w:before="40"/>
              <w:ind w:left="0"/>
              <w:jc w:val="both"/>
            </w:pPr>
            <w:r>
              <w:t>ARPANSA</w:t>
            </w:r>
          </w:p>
        </w:tc>
        <w:tc>
          <w:tcPr>
            <w:tcW w:w="6112" w:type="dxa"/>
          </w:tcPr>
          <w:p w14:paraId="18993493" w14:textId="441A112B" w:rsidR="00674938" w:rsidRDefault="00674938" w:rsidP="00EB75E1">
            <w:pPr>
              <w:spacing w:before="40"/>
              <w:ind w:left="0"/>
              <w:jc w:val="both"/>
              <w:rPr>
                <w:rFonts w:asciiTheme="minorHAnsi" w:hAnsiTheme="minorHAnsi"/>
                <w:color w:val="000000"/>
                <w:szCs w:val="24"/>
              </w:rPr>
            </w:pPr>
            <w:r>
              <w:t>Australian Radiation Protection and Nuclear Safety Agency</w:t>
            </w:r>
          </w:p>
        </w:tc>
      </w:tr>
      <w:tr w:rsidR="002E2985" w:rsidRPr="00183E4D" w14:paraId="058DB72B" w14:textId="77777777" w:rsidTr="004335C1">
        <w:tc>
          <w:tcPr>
            <w:tcW w:w="2917" w:type="dxa"/>
          </w:tcPr>
          <w:p w14:paraId="40BCF3CB" w14:textId="18ED5D86" w:rsidR="002E2985" w:rsidRDefault="002E2985" w:rsidP="00EB75E1">
            <w:pPr>
              <w:spacing w:before="40"/>
              <w:ind w:left="0"/>
              <w:jc w:val="both"/>
            </w:pPr>
            <w:r>
              <w:t>ARTG</w:t>
            </w:r>
          </w:p>
        </w:tc>
        <w:tc>
          <w:tcPr>
            <w:tcW w:w="6112" w:type="dxa"/>
          </w:tcPr>
          <w:p w14:paraId="2BE183E5" w14:textId="04CE4A0D" w:rsidR="002E2985" w:rsidRDefault="002E2985" w:rsidP="00EB75E1">
            <w:pPr>
              <w:spacing w:before="40"/>
              <w:ind w:left="0"/>
              <w:jc w:val="both"/>
              <w:rPr>
                <w:rFonts w:asciiTheme="minorHAnsi" w:hAnsiTheme="minorHAnsi"/>
                <w:color w:val="000000"/>
                <w:szCs w:val="24"/>
              </w:rPr>
            </w:pPr>
            <w:r>
              <w:rPr>
                <w:rFonts w:asciiTheme="minorHAnsi" w:hAnsiTheme="minorHAnsi"/>
                <w:color w:val="000000"/>
                <w:szCs w:val="24"/>
              </w:rPr>
              <w:t xml:space="preserve">Australian Register </w:t>
            </w:r>
            <w:r w:rsidR="008E3A98">
              <w:rPr>
                <w:rFonts w:asciiTheme="minorHAnsi" w:hAnsiTheme="minorHAnsi"/>
                <w:color w:val="000000"/>
                <w:szCs w:val="24"/>
              </w:rPr>
              <w:t>of</w:t>
            </w:r>
            <w:r>
              <w:rPr>
                <w:rFonts w:asciiTheme="minorHAnsi" w:hAnsiTheme="minorHAnsi"/>
                <w:color w:val="000000"/>
                <w:szCs w:val="24"/>
              </w:rPr>
              <w:t xml:space="preserve"> Therapeutic Goods</w:t>
            </w:r>
          </w:p>
        </w:tc>
      </w:tr>
      <w:tr w:rsidR="002E2985" w:rsidRPr="00183E4D" w14:paraId="77222319" w14:textId="77777777" w:rsidTr="004335C1">
        <w:tc>
          <w:tcPr>
            <w:tcW w:w="2917" w:type="dxa"/>
          </w:tcPr>
          <w:p w14:paraId="54E2116A" w14:textId="766F628F" w:rsidR="002E2985" w:rsidRDefault="002E2985" w:rsidP="00EB75E1">
            <w:pPr>
              <w:spacing w:before="40"/>
              <w:ind w:left="0"/>
              <w:jc w:val="both"/>
            </w:pPr>
            <w:r>
              <w:t>ASMIRT</w:t>
            </w:r>
          </w:p>
        </w:tc>
        <w:tc>
          <w:tcPr>
            <w:tcW w:w="6112" w:type="dxa"/>
          </w:tcPr>
          <w:p w14:paraId="7FC3019F" w14:textId="2CE93A63" w:rsidR="002E2985" w:rsidRDefault="002E2985" w:rsidP="00EB75E1">
            <w:pPr>
              <w:spacing w:before="40"/>
              <w:ind w:left="0"/>
              <w:jc w:val="both"/>
              <w:rPr>
                <w:rFonts w:asciiTheme="minorHAnsi" w:hAnsiTheme="minorHAnsi"/>
                <w:color w:val="000000"/>
                <w:szCs w:val="24"/>
              </w:rPr>
            </w:pPr>
            <w:r>
              <w:rPr>
                <w:rFonts w:asciiTheme="minorHAnsi" w:hAnsiTheme="minorHAnsi"/>
                <w:color w:val="000000"/>
                <w:szCs w:val="24"/>
              </w:rPr>
              <w:t xml:space="preserve">Australian Society </w:t>
            </w:r>
            <w:r w:rsidR="008E3A98">
              <w:rPr>
                <w:rFonts w:asciiTheme="minorHAnsi" w:hAnsiTheme="minorHAnsi"/>
                <w:color w:val="000000"/>
                <w:szCs w:val="24"/>
              </w:rPr>
              <w:t>of</w:t>
            </w:r>
            <w:r>
              <w:rPr>
                <w:rFonts w:asciiTheme="minorHAnsi" w:hAnsiTheme="minorHAnsi"/>
                <w:color w:val="000000"/>
                <w:szCs w:val="24"/>
              </w:rPr>
              <w:t xml:space="preserve"> Medical Imaging </w:t>
            </w:r>
            <w:r w:rsidR="008E3A98">
              <w:rPr>
                <w:rFonts w:asciiTheme="minorHAnsi" w:hAnsiTheme="minorHAnsi"/>
                <w:color w:val="000000"/>
                <w:szCs w:val="24"/>
              </w:rPr>
              <w:t>a</w:t>
            </w:r>
            <w:r w:rsidR="00C31186">
              <w:rPr>
                <w:rFonts w:asciiTheme="minorHAnsi" w:hAnsiTheme="minorHAnsi"/>
                <w:color w:val="000000"/>
                <w:szCs w:val="24"/>
              </w:rPr>
              <w:t>nd</w:t>
            </w:r>
            <w:r>
              <w:rPr>
                <w:rFonts w:asciiTheme="minorHAnsi" w:hAnsiTheme="minorHAnsi"/>
                <w:color w:val="000000"/>
                <w:szCs w:val="24"/>
              </w:rPr>
              <w:t xml:space="preserve"> Radiation Therapy</w:t>
            </w:r>
          </w:p>
        </w:tc>
      </w:tr>
      <w:tr w:rsidR="002E2985" w:rsidRPr="00183E4D" w14:paraId="5FFF83B2" w14:textId="77777777" w:rsidTr="004335C1">
        <w:tc>
          <w:tcPr>
            <w:tcW w:w="2917" w:type="dxa"/>
          </w:tcPr>
          <w:p w14:paraId="18005066" w14:textId="08308863" w:rsidR="002E2985" w:rsidRDefault="002E2985" w:rsidP="00EB75E1">
            <w:pPr>
              <w:spacing w:before="40"/>
              <w:ind w:left="0"/>
              <w:jc w:val="both"/>
            </w:pPr>
            <w:r>
              <w:t>CBCT</w:t>
            </w:r>
          </w:p>
        </w:tc>
        <w:tc>
          <w:tcPr>
            <w:tcW w:w="6112" w:type="dxa"/>
          </w:tcPr>
          <w:p w14:paraId="5F19131F" w14:textId="323E2FA2" w:rsidR="002E2985" w:rsidRDefault="00D814F0" w:rsidP="00EB75E1">
            <w:pPr>
              <w:tabs>
                <w:tab w:val="left" w:pos="3402"/>
              </w:tabs>
              <w:autoSpaceDE w:val="0"/>
              <w:autoSpaceDN w:val="0"/>
              <w:adjustRightInd w:val="0"/>
              <w:spacing w:before="40"/>
              <w:ind w:left="0"/>
              <w:rPr>
                <w:rFonts w:asciiTheme="minorHAnsi" w:hAnsiTheme="minorHAnsi"/>
                <w:color w:val="000000"/>
                <w:szCs w:val="24"/>
              </w:rPr>
            </w:pPr>
            <w:r>
              <w:rPr>
                <w:rFonts w:asciiTheme="minorHAnsi" w:hAnsiTheme="minorHAnsi"/>
                <w:color w:val="000000"/>
                <w:szCs w:val="24"/>
              </w:rPr>
              <w:t>c</w:t>
            </w:r>
            <w:r w:rsidR="00C31186">
              <w:rPr>
                <w:rFonts w:asciiTheme="minorHAnsi" w:hAnsiTheme="minorHAnsi"/>
                <w:color w:val="000000"/>
                <w:szCs w:val="24"/>
              </w:rPr>
              <w:t>one-</w:t>
            </w:r>
            <w:r>
              <w:rPr>
                <w:rFonts w:asciiTheme="minorHAnsi" w:hAnsiTheme="minorHAnsi"/>
                <w:color w:val="000000"/>
                <w:szCs w:val="24"/>
              </w:rPr>
              <w:t>b</w:t>
            </w:r>
            <w:r w:rsidR="00C31186">
              <w:rPr>
                <w:rFonts w:asciiTheme="minorHAnsi" w:hAnsiTheme="minorHAnsi"/>
                <w:color w:val="000000"/>
                <w:szCs w:val="24"/>
              </w:rPr>
              <w:t xml:space="preserve">eam </w:t>
            </w:r>
            <w:r>
              <w:rPr>
                <w:rFonts w:asciiTheme="minorHAnsi" w:hAnsiTheme="minorHAnsi"/>
                <w:color w:val="000000"/>
                <w:szCs w:val="24"/>
              </w:rPr>
              <w:t>c</w:t>
            </w:r>
            <w:r w:rsidR="00C31186">
              <w:rPr>
                <w:rFonts w:asciiTheme="minorHAnsi" w:hAnsiTheme="minorHAnsi"/>
                <w:color w:val="000000"/>
                <w:szCs w:val="24"/>
              </w:rPr>
              <w:t xml:space="preserve">omputed </w:t>
            </w:r>
            <w:r>
              <w:rPr>
                <w:rFonts w:asciiTheme="minorHAnsi" w:hAnsiTheme="minorHAnsi"/>
                <w:color w:val="000000"/>
                <w:szCs w:val="24"/>
              </w:rPr>
              <w:t>t</w:t>
            </w:r>
            <w:r w:rsidR="00C31186">
              <w:rPr>
                <w:rFonts w:asciiTheme="minorHAnsi" w:hAnsiTheme="minorHAnsi"/>
                <w:color w:val="000000"/>
                <w:szCs w:val="24"/>
              </w:rPr>
              <w:t>omography</w:t>
            </w:r>
          </w:p>
        </w:tc>
      </w:tr>
      <w:tr w:rsidR="000B2B19" w:rsidRPr="00183E4D" w14:paraId="49A96F82" w14:textId="77777777" w:rsidTr="004335C1">
        <w:tc>
          <w:tcPr>
            <w:tcW w:w="2917" w:type="dxa"/>
          </w:tcPr>
          <w:p w14:paraId="31B8B091" w14:textId="6C8090D2" w:rsidR="000B2B19" w:rsidRDefault="000B2B19" w:rsidP="00EB75E1">
            <w:pPr>
              <w:spacing w:before="40"/>
              <w:ind w:left="0"/>
              <w:jc w:val="both"/>
            </w:pPr>
            <w:r>
              <w:t>CBCT-IGRT</w:t>
            </w:r>
          </w:p>
        </w:tc>
        <w:tc>
          <w:tcPr>
            <w:tcW w:w="6112" w:type="dxa"/>
          </w:tcPr>
          <w:p w14:paraId="155A70E3" w14:textId="453C444A" w:rsidR="000B2B19" w:rsidDel="00D814F0" w:rsidRDefault="000B2B19" w:rsidP="00EB75E1">
            <w:pPr>
              <w:tabs>
                <w:tab w:val="left" w:pos="3402"/>
              </w:tabs>
              <w:autoSpaceDE w:val="0"/>
              <w:autoSpaceDN w:val="0"/>
              <w:adjustRightInd w:val="0"/>
              <w:spacing w:before="40"/>
              <w:ind w:left="0"/>
              <w:rPr>
                <w:rFonts w:asciiTheme="minorHAnsi" w:hAnsiTheme="minorHAnsi"/>
                <w:color w:val="000000"/>
                <w:szCs w:val="24"/>
              </w:rPr>
            </w:pPr>
            <w:r>
              <w:rPr>
                <w:rFonts w:asciiTheme="minorHAnsi" w:hAnsiTheme="minorHAnsi"/>
                <w:color w:val="000000"/>
                <w:szCs w:val="24"/>
              </w:rPr>
              <w:t>cone-beam computed tomography-guided radiation therapy</w:t>
            </w:r>
          </w:p>
        </w:tc>
      </w:tr>
      <w:tr w:rsidR="002E2985" w:rsidRPr="00183E4D" w14:paraId="4A17E6A4" w14:textId="77777777" w:rsidTr="004335C1">
        <w:tc>
          <w:tcPr>
            <w:tcW w:w="2917" w:type="dxa"/>
          </w:tcPr>
          <w:p w14:paraId="73A97D7A" w14:textId="77777777" w:rsidR="002E2985" w:rsidRDefault="002E2985" w:rsidP="00EB75E1">
            <w:pPr>
              <w:spacing w:before="40"/>
              <w:ind w:left="0"/>
              <w:jc w:val="both"/>
            </w:pPr>
            <w:r>
              <w:t>CI</w:t>
            </w:r>
          </w:p>
        </w:tc>
        <w:tc>
          <w:tcPr>
            <w:tcW w:w="6112" w:type="dxa"/>
          </w:tcPr>
          <w:p w14:paraId="483F93DA" w14:textId="629730C3" w:rsidR="002E2985" w:rsidRDefault="00D814F0" w:rsidP="00EB75E1">
            <w:pPr>
              <w:tabs>
                <w:tab w:val="left" w:pos="3402"/>
              </w:tabs>
              <w:autoSpaceDE w:val="0"/>
              <w:autoSpaceDN w:val="0"/>
              <w:adjustRightInd w:val="0"/>
              <w:spacing w:before="40"/>
              <w:ind w:left="0"/>
              <w:rPr>
                <w:rFonts w:asciiTheme="minorHAnsi" w:hAnsiTheme="minorHAnsi"/>
                <w:color w:val="000000"/>
                <w:szCs w:val="24"/>
              </w:rPr>
            </w:pPr>
            <w:r>
              <w:rPr>
                <w:rFonts w:asciiTheme="minorHAnsi" w:hAnsiTheme="minorHAnsi"/>
                <w:color w:val="000000"/>
                <w:szCs w:val="24"/>
              </w:rPr>
              <w:t>c</w:t>
            </w:r>
            <w:r w:rsidR="00C31186">
              <w:rPr>
                <w:rFonts w:asciiTheme="minorHAnsi" w:hAnsiTheme="minorHAnsi"/>
                <w:color w:val="000000"/>
                <w:szCs w:val="24"/>
              </w:rPr>
              <w:t xml:space="preserve">onfidence </w:t>
            </w:r>
            <w:r>
              <w:rPr>
                <w:rFonts w:asciiTheme="minorHAnsi" w:hAnsiTheme="minorHAnsi"/>
                <w:color w:val="000000"/>
                <w:szCs w:val="24"/>
              </w:rPr>
              <w:t>i</w:t>
            </w:r>
            <w:r w:rsidR="00C31186">
              <w:rPr>
                <w:rFonts w:asciiTheme="minorHAnsi" w:hAnsiTheme="minorHAnsi"/>
                <w:color w:val="000000"/>
                <w:szCs w:val="24"/>
              </w:rPr>
              <w:t>nterval</w:t>
            </w:r>
          </w:p>
        </w:tc>
      </w:tr>
      <w:tr w:rsidR="0015373A" w:rsidRPr="00183E4D" w14:paraId="1984B8FB" w14:textId="77777777" w:rsidTr="004335C1">
        <w:tc>
          <w:tcPr>
            <w:tcW w:w="2917" w:type="dxa"/>
          </w:tcPr>
          <w:p w14:paraId="06108504" w14:textId="40B8B44F" w:rsidR="0015373A" w:rsidRDefault="0015373A" w:rsidP="00EB75E1">
            <w:pPr>
              <w:spacing w:before="40"/>
              <w:ind w:left="0"/>
              <w:jc w:val="both"/>
            </w:pPr>
            <w:r>
              <w:t>CT</w:t>
            </w:r>
          </w:p>
        </w:tc>
        <w:tc>
          <w:tcPr>
            <w:tcW w:w="6112" w:type="dxa"/>
          </w:tcPr>
          <w:p w14:paraId="42CBA4F9" w14:textId="113CE7FF" w:rsidR="00894C6B" w:rsidRDefault="00D814F0" w:rsidP="00EB75E1">
            <w:pPr>
              <w:tabs>
                <w:tab w:val="left" w:pos="3402"/>
              </w:tabs>
              <w:autoSpaceDE w:val="0"/>
              <w:autoSpaceDN w:val="0"/>
              <w:adjustRightInd w:val="0"/>
              <w:spacing w:before="40"/>
              <w:ind w:left="0"/>
              <w:rPr>
                <w:rFonts w:asciiTheme="minorHAnsi" w:hAnsiTheme="minorHAnsi"/>
                <w:color w:val="000000"/>
                <w:szCs w:val="24"/>
              </w:rPr>
            </w:pPr>
            <w:r>
              <w:rPr>
                <w:rFonts w:asciiTheme="minorHAnsi" w:hAnsiTheme="minorHAnsi"/>
                <w:color w:val="000000"/>
                <w:szCs w:val="24"/>
              </w:rPr>
              <w:t>c</w:t>
            </w:r>
            <w:r w:rsidR="00C31186">
              <w:rPr>
                <w:rFonts w:asciiTheme="minorHAnsi" w:hAnsiTheme="minorHAnsi"/>
                <w:color w:val="000000"/>
                <w:szCs w:val="24"/>
              </w:rPr>
              <w:t xml:space="preserve">omputed </w:t>
            </w:r>
            <w:r>
              <w:rPr>
                <w:rFonts w:asciiTheme="minorHAnsi" w:hAnsiTheme="minorHAnsi"/>
                <w:color w:val="000000"/>
                <w:szCs w:val="24"/>
              </w:rPr>
              <w:t>t</w:t>
            </w:r>
            <w:r w:rsidR="00C31186">
              <w:rPr>
                <w:rFonts w:asciiTheme="minorHAnsi" w:hAnsiTheme="minorHAnsi"/>
                <w:color w:val="000000"/>
                <w:szCs w:val="24"/>
              </w:rPr>
              <w:t>omography</w:t>
            </w:r>
          </w:p>
        </w:tc>
      </w:tr>
      <w:tr w:rsidR="00894C6B" w:rsidRPr="00183E4D" w14:paraId="069354AB" w14:textId="77777777" w:rsidTr="004335C1">
        <w:tc>
          <w:tcPr>
            <w:tcW w:w="2917" w:type="dxa"/>
          </w:tcPr>
          <w:p w14:paraId="7409B431" w14:textId="44F6EEFC" w:rsidR="00894C6B" w:rsidRDefault="00894C6B" w:rsidP="00EB75E1">
            <w:pPr>
              <w:spacing w:before="40"/>
              <w:ind w:left="0"/>
              <w:jc w:val="both"/>
            </w:pPr>
            <w:r>
              <w:t>CTCAE</w:t>
            </w:r>
          </w:p>
        </w:tc>
        <w:tc>
          <w:tcPr>
            <w:tcW w:w="6112" w:type="dxa"/>
          </w:tcPr>
          <w:p w14:paraId="3352B26A" w14:textId="448A4288" w:rsidR="00894C6B" w:rsidRDefault="00894C6B" w:rsidP="00EB75E1">
            <w:pPr>
              <w:tabs>
                <w:tab w:val="left" w:pos="3402"/>
              </w:tabs>
              <w:autoSpaceDE w:val="0"/>
              <w:autoSpaceDN w:val="0"/>
              <w:adjustRightInd w:val="0"/>
              <w:spacing w:before="40"/>
              <w:ind w:left="0"/>
              <w:rPr>
                <w:rFonts w:asciiTheme="minorHAnsi" w:hAnsiTheme="minorHAnsi"/>
                <w:color w:val="000000"/>
                <w:szCs w:val="24"/>
              </w:rPr>
            </w:pPr>
            <w:r>
              <w:t xml:space="preserve">The Common Terminology Criteria </w:t>
            </w:r>
            <w:r w:rsidR="008E3A98">
              <w:t>for</w:t>
            </w:r>
            <w:r>
              <w:t xml:space="preserve"> Adverse Events</w:t>
            </w:r>
          </w:p>
        </w:tc>
      </w:tr>
      <w:tr w:rsidR="002E2985" w:rsidRPr="00183E4D" w14:paraId="025FB42C" w14:textId="77777777" w:rsidTr="004335C1">
        <w:tc>
          <w:tcPr>
            <w:tcW w:w="2917" w:type="dxa"/>
          </w:tcPr>
          <w:p w14:paraId="78656955" w14:textId="08F06181" w:rsidR="002E2985" w:rsidRPr="00183E4D" w:rsidRDefault="002E2985" w:rsidP="00EB75E1">
            <w:pPr>
              <w:spacing w:before="40"/>
              <w:ind w:left="0"/>
              <w:jc w:val="both"/>
            </w:pPr>
            <w:r>
              <w:t>CTV</w:t>
            </w:r>
          </w:p>
        </w:tc>
        <w:tc>
          <w:tcPr>
            <w:tcW w:w="6112" w:type="dxa"/>
          </w:tcPr>
          <w:p w14:paraId="6586E081" w14:textId="3A5DE911" w:rsidR="002E2985" w:rsidRPr="00183E4D" w:rsidRDefault="00D814F0" w:rsidP="00EB75E1">
            <w:pPr>
              <w:spacing w:before="40"/>
              <w:ind w:left="0"/>
              <w:jc w:val="both"/>
            </w:pPr>
            <w:r>
              <w:t>c</w:t>
            </w:r>
            <w:r w:rsidR="00C31186">
              <w:t xml:space="preserve">linical </w:t>
            </w:r>
            <w:r>
              <w:t>t</w:t>
            </w:r>
            <w:r w:rsidR="00C31186">
              <w:t xml:space="preserve">arget </w:t>
            </w:r>
            <w:r>
              <w:t>v</w:t>
            </w:r>
            <w:r w:rsidR="00C31186">
              <w:t>olume</w:t>
            </w:r>
          </w:p>
        </w:tc>
      </w:tr>
      <w:tr w:rsidR="006134E2" w:rsidRPr="00183E4D" w14:paraId="04515CEC" w14:textId="77777777" w:rsidTr="004335C1">
        <w:tc>
          <w:tcPr>
            <w:tcW w:w="2917" w:type="dxa"/>
          </w:tcPr>
          <w:p w14:paraId="462C6DDD" w14:textId="69432D1A" w:rsidR="006134E2" w:rsidRDefault="006134E2" w:rsidP="00EB75E1">
            <w:pPr>
              <w:spacing w:before="40"/>
              <w:ind w:left="0"/>
              <w:jc w:val="both"/>
            </w:pPr>
            <w:r>
              <w:t>DCAR</w:t>
            </w:r>
          </w:p>
        </w:tc>
        <w:tc>
          <w:tcPr>
            <w:tcW w:w="6112" w:type="dxa"/>
          </w:tcPr>
          <w:p w14:paraId="317F8656" w14:textId="6C932711" w:rsidR="006134E2" w:rsidRDefault="006134E2" w:rsidP="00EB75E1">
            <w:pPr>
              <w:tabs>
                <w:tab w:val="left" w:pos="3402"/>
              </w:tabs>
              <w:autoSpaceDE w:val="0"/>
              <w:autoSpaceDN w:val="0"/>
              <w:adjustRightInd w:val="0"/>
              <w:spacing w:before="40"/>
              <w:ind w:left="0"/>
            </w:pPr>
            <w:r w:rsidRPr="006134E2">
              <w:rPr>
                <w:rFonts w:asciiTheme="minorHAnsi" w:hAnsiTheme="minorHAnsi"/>
                <w:color w:val="000000"/>
                <w:szCs w:val="24"/>
              </w:rPr>
              <w:t>Department</w:t>
            </w:r>
            <w:r>
              <w:t xml:space="preserve"> </w:t>
            </w:r>
            <w:r w:rsidR="00D814F0">
              <w:t>c</w:t>
            </w:r>
            <w:r w:rsidR="00C31186">
              <w:t xml:space="preserve">ontracted </w:t>
            </w:r>
            <w:r w:rsidR="00D814F0">
              <w:t>a</w:t>
            </w:r>
            <w:r w:rsidR="00C31186">
              <w:t xml:space="preserve">ssessment </w:t>
            </w:r>
            <w:r w:rsidR="00D814F0">
              <w:t>r</w:t>
            </w:r>
            <w:r w:rsidR="00C31186">
              <w:t>eport</w:t>
            </w:r>
          </w:p>
        </w:tc>
      </w:tr>
      <w:tr w:rsidR="00847946" w:rsidRPr="00183E4D" w14:paraId="3C402F5A" w14:textId="77777777" w:rsidTr="004335C1">
        <w:tc>
          <w:tcPr>
            <w:tcW w:w="2917" w:type="dxa"/>
          </w:tcPr>
          <w:p w14:paraId="6D9A3513" w14:textId="178469A8" w:rsidR="00847946" w:rsidRDefault="00847946" w:rsidP="00EB75E1">
            <w:pPr>
              <w:spacing w:before="40"/>
              <w:ind w:left="0"/>
              <w:jc w:val="both"/>
            </w:pPr>
            <w:r>
              <w:t>DVH</w:t>
            </w:r>
          </w:p>
        </w:tc>
        <w:tc>
          <w:tcPr>
            <w:tcW w:w="6112" w:type="dxa"/>
          </w:tcPr>
          <w:p w14:paraId="4FF31A2E" w14:textId="6EB87F09" w:rsidR="00847946" w:rsidRPr="006134E2" w:rsidRDefault="00847946" w:rsidP="00EB75E1">
            <w:pPr>
              <w:tabs>
                <w:tab w:val="left" w:pos="3402"/>
              </w:tabs>
              <w:autoSpaceDE w:val="0"/>
              <w:autoSpaceDN w:val="0"/>
              <w:adjustRightInd w:val="0"/>
              <w:spacing w:before="40"/>
              <w:ind w:left="0"/>
              <w:rPr>
                <w:rFonts w:asciiTheme="minorHAnsi" w:hAnsiTheme="minorHAnsi"/>
                <w:color w:val="000000"/>
                <w:szCs w:val="24"/>
              </w:rPr>
            </w:pPr>
            <w:r>
              <w:rPr>
                <w:rFonts w:asciiTheme="minorHAnsi" w:hAnsiTheme="minorHAnsi"/>
                <w:color w:val="000000"/>
                <w:szCs w:val="24"/>
              </w:rPr>
              <w:t>dose-volume histogram</w:t>
            </w:r>
          </w:p>
        </w:tc>
      </w:tr>
      <w:tr w:rsidR="0015373A" w:rsidRPr="00183E4D" w14:paraId="2C0FA7F4" w14:textId="77777777" w:rsidTr="004335C1">
        <w:tc>
          <w:tcPr>
            <w:tcW w:w="2917" w:type="dxa"/>
          </w:tcPr>
          <w:p w14:paraId="3AB5B72F" w14:textId="0D85364E" w:rsidR="0015373A" w:rsidRDefault="0015373A" w:rsidP="00EB75E1">
            <w:pPr>
              <w:spacing w:before="40"/>
              <w:ind w:left="0"/>
              <w:jc w:val="both"/>
            </w:pPr>
            <w:r>
              <w:t>EBRT</w:t>
            </w:r>
          </w:p>
        </w:tc>
        <w:tc>
          <w:tcPr>
            <w:tcW w:w="6112" w:type="dxa"/>
          </w:tcPr>
          <w:p w14:paraId="68414C0E" w14:textId="021139A9" w:rsidR="0015373A" w:rsidRPr="00BA03F3" w:rsidRDefault="00D814F0" w:rsidP="00EB75E1">
            <w:pPr>
              <w:spacing w:before="40"/>
              <w:ind w:left="0"/>
              <w:jc w:val="both"/>
            </w:pPr>
            <w:r>
              <w:t>e</w:t>
            </w:r>
            <w:r w:rsidR="00C31186">
              <w:t xml:space="preserve">xternal </w:t>
            </w:r>
            <w:r>
              <w:t>b</w:t>
            </w:r>
            <w:r w:rsidR="00C31186">
              <w:t xml:space="preserve">eam </w:t>
            </w:r>
            <w:r>
              <w:t>r</w:t>
            </w:r>
            <w:r w:rsidR="00C31186">
              <w:t xml:space="preserve">adiation </w:t>
            </w:r>
            <w:r>
              <w:t>t</w:t>
            </w:r>
            <w:r w:rsidR="00C31186">
              <w:t>herapy</w:t>
            </w:r>
          </w:p>
        </w:tc>
      </w:tr>
      <w:tr w:rsidR="00852198" w:rsidRPr="00183E4D" w14:paraId="52B0CC5E" w14:textId="77777777" w:rsidTr="004335C1">
        <w:tc>
          <w:tcPr>
            <w:tcW w:w="2917" w:type="dxa"/>
          </w:tcPr>
          <w:p w14:paraId="4550BAD1" w14:textId="116A999D" w:rsidR="00852198" w:rsidRDefault="00852198" w:rsidP="00EB75E1">
            <w:pPr>
              <w:spacing w:before="40"/>
              <w:ind w:left="0"/>
              <w:jc w:val="both"/>
            </w:pPr>
            <w:r>
              <w:t>EORTC</w:t>
            </w:r>
          </w:p>
        </w:tc>
        <w:tc>
          <w:tcPr>
            <w:tcW w:w="6112" w:type="dxa"/>
          </w:tcPr>
          <w:p w14:paraId="451BB30D" w14:textId="7DF8B2D4" w:rsidR="00852198" w:rsidRDefault="00852198" w:rsidP="00EB75E1">
            <w:pPr>
              <w:spacing w:before="40"/>
              <w:ind w:left="0"/>
              <w:jc w:val="both"/>
            </w:pPr>
            <w:r>
              <w:t xml:space="preserve">European Organisation </w:t>
            </w:r>
            <w:r w:rsidR="008E3A98">
              <w:t>for</w:t>
            </w:r>
            <w:r>
              <w:t xml:space="preserve"> Research </w:t>
            </w:r>
            <w:r w:rsidR="008E3A98">
              <w:t>a</w:t>
            </w:r>
            <w:r w:rsidR="00C31186">
              <w:t>nd</w:t>
            </w:r>
            <w:r>
              <w:t xml:space="preserve"> Treatment </w:t>
            </w:r>
            <w:r w:rsidR="008E3A98">
              <w:t>o</w:t>
            </w:r>
            <w:r w:rsidR="00C31186">
              <w:t>f</w:t>
            </w:r>
            <w:r>
              <w:t xml:space="preserve"> Cancer</w:t>
            </w:r>
          </w:p>
        </w:tc>
      </w:tr>
      <w:tr w:rsidR="00D814F0" w:rsidRPr="00183E4D" w14:paraId="43D35A63" w14:textId="77777777" w:rsidTr="004335C1">
        <w:tc>
          <w:tcPr>
            <w:tcW w:w="2917" w:type="dxa"/>
          </w:tcPr>
          <w:p w14:paraId="2A31A27C" w14:textId="7FDD15E9" w:rsidR="00D814F0" w:rsidRDefault="00D814F0" w:rsidP="00EB75E1">
            <w:pPr>
              <w:spacing w:before="40"/>
              <w:ind w:left="0"/>
              <w:jc w:val="both"/>
            </w:pPr>
            <w:r>
              <w:t>GI</w:t>
            </w:r>
          </w:p>
        </w:tc>
        <w:tc>
          <w:tcPr>
            <w:tcW w:w="6112" w:type="dxa"/>
          </w:tcPr>
          <w:p w14:paraId="4D334B0F" w14:textId="408A7227" w:rsidR="00D814F0" w:rsidRPr="00BA03F3" w:rsidRDefault="00D814F0" w:rsidP="00EB75E1">
            <w:pPr>
              <w:tabs>
                <w:tab w:val="left" w:pos="3402"/>
              </w:tabs>
              <w:autoSpaceDE w:val="0"/>
              <w:autoSpaceDN w:val="0"/>
              <w:adjustRightInd w:val="0"/>
              <w:spacing w:before="40"/>
              <w:ind w:left="0"/>
            </w:pPr>
            <w:r>
              <w:t>gastrointestinal</w:t>
            </w:r>
          </w:p>
        </w:tc>
      </w:tr>
      <w:tr w:rsidR="002E2985" w:rsidRPr="00183E4D" w14:paraId="78DFAAD3" w14:textId="77777777" w:rsidTr="004335C1">
        <w:tc>
          <w:tcPr>
            <w:tcW w:w="2917" w:type="dxa"/>
          </w:tcPr>
          <w:p w14:paraId="6325B1AD" w14:textId="04F85DDE" w:rsidR="002E2985" w:rsidRDefault="002E2985" w:rsidP="00EB75E1">
            <w:pPr>
              <w:spacing w:before="40"/>
              <w:ind w:left="0"/>
              <w:jc w:val="both"/>
            </w:pPr>
            <w:r>
              <w:t>GMDN</w:t>
            </w:r>
          </w:p>
        </w:tc>
        <w:tc>
          <w:tcPr>
            <w:tcW w:w="6112" w:type="dxa"/>
          </w:tcPr>
          <w:p w14:paraId="381E2E36" w14:textId="4E700B62" w:rsidR="002E2985" w:rsidRDefault="002E2985" w:rsidP="00EB75E1">
            <w:pPr>
              <w:tabs>
                <w:tab w:val="left" w:pos="3402"/>
              </w:tabs>
              <w:autoSpaceDE w:val="0"/>
              <w:autoSpaceDN w:val="0"/>
              <w:adjustRightInd w:val="0"/>
              <w:spacing w:before="40"/>
              <w:ind w:left="0"/>
            </w:pPr>
            <w:r w:rsidRPr="00BA03F3">
              <w:t xml:space="preserve">Global </w:t>
            </w:r>
            <w:r w:rsidRPr="002E2985">
              <w:rPr>
                <w:rFonts w:asciiTheme="minorHAnsi" w:hAnsiTheme="minorHAnsi"/>
                <w:color w:val="000000"/>
                <w:szCs w:val="24"/>
              </w:rPr>
              <w:t>Medical</w:t>
            </w:r>
            <w:r w:rsidRPr="00BA03F3">
              <w:t xml:space="preserve"> Device Nomenclature</w:t>
            </w:r>
          </w:p>
        </w:tc>
      </w:tr>
      <w:tr w:rsidR="002E2985" w:rsidRPr="00183E4D" w14:paraId="66E1400D" w14:textId="77777777" w:rsidTr="004335C1">
        <w:tc>
          <w:tcPr>
            <w:tcW w:w="2917" w:type="dxa"/>
          </w:tcPr>
          <w:p w14:paraId="11DC016A" w14:textId="2556D25D" w:rsidR="002E2985" w:rsidRDefault="002E2985" w:rsidP="00EB75E1">
            <w:pPr>
              <w:spacing w:before="40"/>
              <w:ind w:left="0"/>
              <w:jc w:val="both"/>
            </w:pPr>
            <w:r>
              <w:t>GTV</w:t>
            </w:r>
          </w:p>
        </w:tc>
        <w:tc>
          <w:tcPr>
            <w:tcW w:w="6112" w:type="dxa"/>
          </w:tcPr>
          <w:p w14:paraId="402F050B" w14:textId="6E2D740A" w:rsidR="002E2985" w:rsidRDefault="00D814F0" w:rsidP="00EB75E1">
            <w:pPr>
              <w:spacing w:before="40"/>
              <w:ind w:left="0"/>
              <w:jc w:val="both"/>
            </w:pPr>
            <w:r>
              <w:t>g</w:t>
            </w:r>
            <w:r w:rsidR="002E2985">
              <w:t xml:space="preserve">ross </w:t>
            </w:r>
            <w:r>
              <w:t>t</w:t>
            </w:r>
            <w:r w:rsidR="00C31186">
              <w:t xml:space="preserve">umour </w:t>
            </w:r>
            <w:r>
              <w:t>v</w:t>
            </w:r>
            <w:r w:rsidR="00C31186">
              <w:t>olume</w:t>
            </w:r>
          </w:p>
        </w:tc>
      </w:tr>
      <w:tr w:rsidR="00D814F0" w:rsidRPr="00183E4D" w14:paraId="271159D6" w14:textId="77777777" w:rsidTr="004335C1">
        <w:tc>
          <w:tcPr>
            <w:tcW w:w="2917" w:type="dxa"/>
          </w:tcPr>
          <w:p w14:paraId="34AB9A96" w14:textId="06209786" w:rsidR="00D814F0" w:rsidRDefault="00D814F0" w:rsidP="00EB75E1">
            <w:pPr>
              <w:spacing w:before="40"/>
              <w:ind w:left="0"/>
              <w:jc w:val="both"/>
            </w:pPr>
            <w:r>
              <w:t>GU</w:t>
            </w:r>
          </w:p>
        </w:tc>
        <w:tc>
          <w:tcPr>
            <w:tcW w:w="6112" w:type="dxa"/>
          </w:tcPr>
          <w:p w14:paraId="365647E8" w14:textId="73A8B9C3" w:rsidR="00D814F0" w:rsidRDefault="00D814F0" w:rsidP="00EB75E1">
            <w:pPr>
              <w:spacing w:before="40"/>
              <w:ind w:left="0"/>
              <w:jc w:val="both"/>
            </w:pPr>
            <w:r>
              <w:t>genitourinary</w:t>
            </w:r>
          </w:p>
        </w:tc>
      </w:tr>
      <w:tr w:rsidR="002E2985" w:rsidRPr="00183E4D" w14:paraId="0300512E" w14:textId="77777777" w:rsidTr="004335C1">
        <w:tc>
          <w:tcPr>
            <w:tcW w:w="2917" w:type="dxa"/>
          </w:tcPr>
          <w:p w14:paraId="11F7F042" w14:textId="77777777" w:rsidR="002E2985" w:rsidRPr="00183E4D" w:rsidRDefault="002E2985" w:rsidP="00EB75E1">
            <w:pPr>
              <w:spacing w:before="40"/>
              <w:ind w:left="0"/>
              <w:jc w:val="both"/>
            </w:pPr>
            <w:r w:rsidRPr="00183E4D">
              <w:t>HESP</w:t>
            </w:r>
          </w:p>
        </w:tc>
        <w:tc>
          <w:tcPr>
            <w:tcW w:w="6112" w:type="dxa"/>
          </w:tcPr>
          <w:p w14:paraId="6FC8BCCF" w14:textId="77777777" w:rsidR="002E2985" w:rsidRPr="00183E4D" w:rsidRDefault="002E2985" w:rsidP="00EB75E1">
            <w:pPr>
              <w:spacing w:before="40"/>
              <w:ind w:left="0"/>
              <w:jc w:val="both"/>
            </w:pPr>
            <w:r w:rsidRPr="00183E4D">
              <w:t>Health Expert Standing Panel</w:t>
            </w:r>
          </w:p>
        </w:tc>
      </w:tr>
      <w:tr w:rsidR="002E2985" w:rsidRPr="00183E4D" w14:paraId="06C77103" w14:textId="77777777" w:rsidTr="004335C1">
        <w:tc>
          <w:tcPr>
            <w:tcW w:w="2917" w:type="dxa"/>
          </w:tcPr>
          <w:p w14:paraId="3E370E7A" w14:textId="60C9967F" w:rsidR="002E2985" w:rsidRPr="00183E4D" w:rsidRDefault="00ED2E3E" w:rsidP="00EB75E1">
            <w:pPr>
              <w:spacing w:before="40"/>
              <w:ind w:left="0"/>
              <w:jc w:val="both"/>
            </w:pPr>
            <w:r>
              <w:rPr>
                <w:rFonts w:asciiTheme="minorHAnsi" w:hAnsiTheme="minorHAnsi"/>
                <w:color w:val="000000"/>
                <w:szCs w:val="24"/>
              </w:rPr>
              <w:t>HRQoL</w:t>
            </w:r>
          </w:p>
        </w:tc>
        <w:tc>
          <w:tcPr>
            <w:tcW w:w="6112" w:type="dxa"/>
          </w:tcPr>
          <w:p w14:paraId="61334413" w14:textId="2314BB02" w:rsidR="002E2985" w:rsidRPr="00183E4D" w:rsidRDefault="00D814F0" w:rsidP="00EB75E1">
            <w:pPr>
              <w:spacing w:before="40"/>
              <w:ind w:left="0"/>
              <w:jc w:val="both"/>
            </w:pPr>
            <w:r>
              <w:rPr>
                <w:rFonts w:asciiTheme="minorHAnsi" w:hAnsiTheme="minorHAnsi"/>
                <w:color w:val="000000"/>
                <w:szCs w:val="24"/>
              </w:rPr>
              <w:t>h</w:t>
            </w:r>
            <w:r w:rsidR="00C31186">
              <w:rPr>
                <w:rFonts w:asciiTheme="minorHAnsi" w:hAnsiTheme="minorHAnsi"/>
                <w:color w:val="000000"/>
                <w:szCs w:val="24"/>
              </w:rPr>
              <w:t>ealth-</w:t>
            </w:r>
            <w:r>
              <w:rPr>
                <w:rFonts w:asciiTheme="minorHAnsi" w:hAnsiTheme="minorHAnsi"/>
                <w:color w:val="000000"/>
                <w:szCs w:val="24"/>
              </w:rPr>
              <w:t>r</w:t>
            </w:r>
            <w:r w:rsidR="00C31186">
              <w:rPr>
                <w:rFonts w:asciiTheme="minorHAnsi" w:hAnsiTheme="minorHAnsi"/>
                <w:color w:val="000000"/>
                <w:szCs w:val="24"/>
              </w:rPr>
              <w:t xml:space="preserve">elated </w:t>
            </w:r>
            <w:r>
              <w:rPr>
                <w:rFonts w:asciiTheme="minorHAnsi" w:hAnsiTheme="minorHAnsi"/>
                <w:color w:val="000000"/>
                <w:szCs w:val="24"/>
              </w:rPr>
              <w:t>q</w:t>
            </w:r>
            <w:r w:rsidR="00C31186">
              <w:rPr>
                <w:rFonts w:asciiTheme="minorHAnsi" w:hAnsiTheme="minorHAnsi"/>
                <w:color w:val="000000"/>
                <w:szCs w:val="24"/>
              </w:rPr>
              <w:t xml:space="preserve">uality </w:t>
            </w:r>
            <w:r w:rsidR="008E3A98">
              <w:rPr>
                <w:rFonts w:asciiTheme="minorHAnsi" w:hAnsiTheme="minorHAnsi"/>
                <w:color w:val="000000"/>
                <w:szCs w:val="24"/>
              </w:rPr>
              <w:t>o</w:t>
            </w:r>
            <w:r w:rsidR="00C31186">
              <w:rPr>
                <w:rFonts w:asciiTheme="minorHAnsi" w:hAnsiTheme="minorHAnsi"/>
                <w:color w:val="000000"/>
                <w:szCs w:val="24"/>
              </w:rPr>
              <w:t xml:space="preserve">f </w:t>
            </w:r>
            <w:r>
              <w:rPr>
                <w:rFonts w:asciiTheme="minorHAnsi" w:hAnsiTheme="minorHAnsi"/>
                <w:color w:val="000000"/>
                <w:szCs w:val="24"/>
              </w:rPr>
              <w:t>l</w:t>
            </w:r>
            <w:r w:rsidR="00C31186">
              <w:rPr>
                <w:rFonts w:asciiTheme="minorHAnsi" w:hAnsiTheme="minorHAnsi"/>
                <w:color w:val="000000"/>
                <w:szCs w:val="24"/>
              </w:rPr>
              <w:t>ife</w:t>
            </w:r>
          </w:p>
        </w:tc>
      </w:tr>
      <w:tr w:rsidR="002E2985" w:rsidRPr="00183E4D" w14:paraId="1AC79918" w14:textId="77777777" w:rsidTr="004335C1">
        <w:tc>
          <w:tcPr>
            <w:tcW w:w="2917" w:type="dxa"/>
          </w:tcPr>
          <w:p w14:paraId="2C4726FB" w14:textId="77777777" w:rsidR="002E2985" w:rsidRPr="00183E4D" w:rsidRDefault="002E2985" w:rsidP="00EB75E1">
            <w:pPr>
              <w:spacing w:before="40"/>
              <w:ind w:left="0"/>
              <w:jc w:val="both"/>
            </w:pPr>
            <w:r w:rsidRPr="00183E4D">
              <w:t>HTA</w:t>
            </w:r>
          </w:p>
        </w:tc>
        <w:tc>
          <w:tcPr>
            <w:tcW w:w="6112" w:type="dxa"/>
          </w:tcPr>
          <w:p w14:paraId="40AF2913" w14:textId="0AD154E0" w:rsidR="002E2985" w:rsidRPr="00183E4D" w:rsidRDefault="00C31186" w:rsidP="00EB75E1">
            <w:pPr>
              <w:spacing w:before="40"/>
              <w:ind w:left="0"/>
              <w:jc w:val="both"/>
            </w:pPr>
            <w:r w:rsidRPr="00183E4D">
              <w:t>Health Technology Assessment</w:t>
            </w:r>
          </w:p>
        </w:tc>
      </w:tr>
      <w:tr w:rsidR="002E2985" w:rsidRPr="00183E4D" w14:paraId="7F974608" w14:textId="77777777" w:rsidTr="004335C1">
        <w:tc>
          <w:tcPr>
            <w:tcW w:w="2917" w:type="dxa"/>
          </w:tcPr>
          <w:p w14:paraId="7648E35D" w14:textId="77777777" w:rsidR="002E2985" w:rsidRPr="00183E4D" w:rsidRDefault="002E2985" w:rsidP="00EB75E1">
            <w:pPr>
              <w:spacing w:before="40"/>
              <w:ind w:left="0"/>
              <w:jc w:val="both"/>
            </w:pPr>
            <w:r w:rsidRPr="00183E4D">
              <w:t>ICER</w:t>
            </w:r>
          </w:p>
        </w:tc>
        <w:tc>
          <w:tcPr>
            <w:tcW w:w="6112" w:type="dxa"/>
          </w:tcPr>
          <w:p w14:paraId="65476915" w14:textId="23AFA289" w:rsidR="002E2985" w:rsidRPr="00183E4D" w:rsidRDefault="00C31186" w:rsidP="00EB75E1">
            <w:pPr>
              <w:spacing w:before="40"/>
              <w:ind w:left="0"/>
              <w:jc w:val="both"/>
            </w:pPr>
            <w:r w:rsidRPr="00183E4D">
              <w:t>Incremental Cost-Effectiveness Ratio</w:t>
            </w:r>
          </w:p>
        </w:tc>
      </w:tr>
      <w:tr w:rsidR="002E2985" w:rsidRPr="00183E4D" w14:paraId="78C380F4" w14:textId="77777777" w:rsidTr="004335C1">
        <w:tc>
          <w:tcPr>
            <w:tcW w:w="2917" w:type="dxa"/>
          </w:tcPr>
          <w:p w14:paraId="24A578A4" w14:textId="3B8F5979" w:rsidR="002E2985" w:rsidRPr="00183E4D" w:rsidRDefault="002E2985" w:rsidP="00EB75E1">
            <w:pPr>
              <w:spacing w:before="40"/>
              <w:ind w:left="0"/>
              <w:jc w:val="both"/>
            </w:pPr>
            <w:r>
              <w:t>IGRT</w:t>
            </w:r>
          </w:p>
        </w:tc>
        <w:tc>
          <w:tcPr>
            <w:tcW w:w="6112" w:type="dxa"/>
          </w:tcPr>
          <w:p w14:paraId="7B11E678" w14:textId="32E82A3C" w:rsidR="002E2985" w:rsidRPr="00183E4D" w:rsidRDefault="00D814F0" w:rsidP="00EB75E1">
            <w:pPr>
              <w:spacing w:before="40"/>
              <w:ind w:left="0"/>
              <w:jc w:val="both"/>
            </w:pPr>
            <w:r>
              <w:t>i</w:t>
            </w:r>
            <w:r w:rsidR="00C31186">
              <w:t>mage-</w:t>
            </w:r>
            <w:r>
              <w:t>g</w:t>
            </w:r>
            <w:r w:rsidR="00C31186">
              <w:t xml:space="preserve">uided </w:t>
            </w:r>
            <w:r>
              <w:t>r</w:t>
            </w:r>
            <w:r w:rsidR="00C31186">
              <w:t xml:space="preserve">adiation </w:t>
            </w:r>
            <w:r>
              <w:t>t</w:t>
            </w:r>
            <w:r w:rsidR="00C31186">
              <w:t>herapy</w:t>
            </w:r>
          </w:p>
        </w:tc>
      </w:tr>
      <w:tr w:rsidR="002E2985" w:rsidRPr="00183E4D" w14:paraId="514FF13D" w14:textId="77777777" w:rsidTr="004335C1">
        <w:tc>
          <w:tcPr>
            <w:tcW w:w="2917" w:type="dxa"/>
          </w:tcPr>
          <w:p w14:paraId="01E69E80" w14:textId="529F67D9" w:rsidR="002E2985" w:rsidRPr="00183E4D" w:rsidRDefault="002E2985" w:rsidP="00EB75E1">
            <w:pPr>
              <w:spacing w:before="40"/>
              <w:ind w:left="0"/>
              <w:jc w:val="both"/>
            </w:pPr>
            <w:r>
              <w:t>IMRT</w:t>
            </w:r>
          </w:p>
        </w:tc>
        <w:tc>
          <w:tcPr>
            <w:tcW w:w="6112" w:type="dxa"/>
          </w:tcPr>
          <w:p w14:paraId="075B36BF" w14:textId="19D02DAB" w:rsidR="002E2985" w:rsidRPr="00183E4D" w:rsidRDefault="00D814F0" w:rsidP="00EB75E1">
            <w:pPr>
              <w:spacing w:before="40"/>
              <w:ind w:left="0"/>
              <w:jc w:val="both"/>
            </w:pPr>
            <w:r>
              <w:t>i</w:t>
            </w:r>
            <w:r w:rsidR="00C31186">
              <w:t>ntensity-</w:t>
            </w:r>
            <w:r>
              <w:t>m</w:t>
            </w:r>
            <w:r w:rsidR="00C31186">
              <w:t xml:space="preserve">odulated </w:t>
            </w:r>
            <w:r>
              <w:t>r</w:t>
            </w:r>
            <w:r w:rsidR="00C31186">
              <w:t xml:space="preserve">adiation </w:t>
            </w:r>
            <w:r>
              <w:t>t</w:t>
            </w:r>
            <w:r w:rsidR="00C31186">
              <w:t>herapy</w:t>
            </w:r>
          </w:p>
        </w:tc>
      </w:tr>
      <w:tr w:rsidR="002E2985" w:rsidRPr="00183E4D" w14:paraId="5D18CC86" w14:textId="77777777" w:rsidTr="004335C1">
        <w:tc>
          <w:tcPr>
            <w:tcW w:w="2917" w:type="dxa"/>
          </w:tcPr>
          <w:p w14:paraId="6966A753" w14:textId="77777777" w:rsidR="002E2985" w:rsidRPr="00183E4D" w:rsidRDefault="002E2985" w:rsidP="00EB75E1">
            <w:pPr>
              <w:spacing w:before="40"/>
              <w:ind w:left="0"/>
              <w:jc w:val="both"/>
            </w:pPr>
            <w:r w:rsidRPr="00183E4D">
              <w:lastRenderedPageBreak/>
              <w:t>MBS</w:t>
            </w:r>
          </w:p>
        </w:tc>
        <w:tc>
          <w:tcPr>
            <w:tcW w:w="6112" w:type="dxa"/>
          </w:tcPr>
          <w:p w14:paraId="222E1643" w14:textId="77777777" w:rsidR="002E2985" w:rsidRPr="00183E4D" w:rsidRDefault="002E2985" w:rsidP="00EB75E1">
            <w:pPr>
              <w:spacing w:before="40"/>
              <w:ind w:left="0"/>
              <w:jc w:val="both"/>
            </w:pPr>
            <w:r w:rsidRPr="00183E4D">
              <w:t>Medicare Benefits Schedule</w:t>
            </w:r>
          </w:p>
        </w:tc>
      </w:tr>
      <w:tr w:rsidR="002E2985" w:rsidRPr="00183E4D" w14:paraId="73210BE5" w14:textId="77777777" w:rsidTr="004335C1">
        <w:tc>
          <w:tcPr>
            <w:tcW w:w="2917" w:type="dxa"/>
          </w:tcPr>
          <w:p w14:paraId="1B6B15C3" w14:textId="77777777" w:rsidR="002E2985" w:rsidRPr="00183E4D" w:rsidRDefault="002E2985" w:rsidP="00EB75E1">
            <w:pPr>
              <w:spacing w:before="40"/>
              <w:ind w:left="0"/>
              <w:jc w:val="both"/>
            </w:pPr>
            <w:r>
              <w:t>MD</w:t>
            </w:r>
          </w:p>
        </w:tc>
        <w:tc>
          <w:tcPr>
            <w:tcW w:w="6112" w:type="dxa"/>
          </w:tcPr>
          <w:p w14:paraId="762E8E96" w14:textId="306D427F" w:rsidR="002E2985" w:rsidRPr="00183E4D" w:rsidRDefault="00D814F0" w:rsidP="00EB75E1">
            <w:pPr>
              <w:spacing w:before="40"/>
              <w:ind w:left="0"/>
              <w:jc w:val="both"/>
            </w:pPr>
            <w:r>
              <w:t>m</w:t>
            </w:r>
            <w:r w:rsidR="00C31186">
              <w:t xml:space="preserve">ean </w:t>
            </w:r>
            <w:r>
              <w:t>d</w:t>
            </w:r>
            <w:r w:rsidR="00C31186">
              <w:t>ifference</w:t>
            </w:r>
          </w:p>
        </w:tc>
      </w:tr>
      <w:tr w:rsidR="002E2985" w:rsidRPr="00183E4D" w14:paraId="2E110A0E" w14:textId="77777777" w:rsidTr="004335C1">
        <w:tc>
          <w:tcPr>
            <w:tcW w:w="2917" w:type="dxa"/>
          </w:tcPr>
          <w:p w14:paraId="768D34BB" w14:textId="5B44D12D" w:rsidR="002E2985" w:rsidRDefault="002E2985" w:rsidP="00EB75E1">
            <w:pPr>
              <w:spacing w:before="40"/>
              <w:ind w:left="0"/>
              <w:jc w:val="both"/>
            </w:pPr>
            <w:r>
              <w:t>MR</w:t>
            </w:r>
          </w:p>
        </w:tc>
        <w:tc>
          <w:tcPr>
            <w:tcW w:w="6112" w:type="dxa"/>
          </w:tcPr>
          <w:p w14:paraId="222CDC6D" w14:textId="1EB5973C" w:rsidR="002E2985" w:rsidRDefault="00D814F0" w:rsidP="00EB75E1">
            <w:pPr>
              <w:spacing w:before="40"/>
              <w:ind w:left="0"/>
              <w:jc w:val="both"/>
            </w:pPr>
            <w:r>
              <w:t>m</w:t>
            </w:r>
            <w:r w:rsidR="00C31186">
              <w:t xml:space="preserve">agnetic </w:t>
            </w:r>
            <w:r>
              <w:t>r</w:t>
            </w:r>
            <w:r w:rsidR="00C31186">
              <w:t>esonance</w:t>
            </w:r>
          </w:p>
        </w:tc>
      </w:tr>
      <w:tr w:rsidR="002E2985" w:rsidRPr="00183E4D" w14:paraId="05C7F91E" w14:textId="77777777" w:rsidTr="004335C1">
        <w:tc>
          <w:tcPr>
            <w:tcW w:w="2917" w:type="dxa"/>
          </w:tcPr>
          <w:p w14:paraId="271618A9" w14:textId="33BF1DCE" w:rsidR="002E2985" w:rsidRPr="00183E4D" w:rsidRDefault="002E2985" w:rsidP="00EB75E1">
            <w:pPr>
              <w:spacing w:before="40"/>
              <w:ind w:left="0"/>
              <w:jc w:val="both"/>
            </w:pPr>
            <w:r>
              <w:t>MR-IGRT</w:t>
            </w:r>
          </w:p>
        </w:tc>
        <w:tc>
          <w:tcPr>
            <w:tcW w:w="6112" w:type="dxa"/>
          </w:tcPr>
          <w:p w14:paraId="15BCC46B" w14:textId="44EFD865" w:rsidR="002E2985" w:rsidRPr="00183E4D" w:rsidRDefault="00D814F0" w:rsidP="00EB75E1">
            <w:pPr>
              <w:spacing w:before="40"/>
              <w:ind w:left="0"/>
              <w:jc w:val="both"/>
            </w:pPr>
            <w:r>
              <w:t>m</w:t>
            </w:r>
            <w:r w:rsidR="00C31186">
              <w:t xml:space="preserve">agnetic </w:t>
            </w:r>
            <w:r>
              <w:t>r</w:t>
            </w:r>
            <w:r w:rsidR="00C31186">
              <w:t xml:space="preserve">esonance </w:t>
            </w:r>
            <w:r>
              <w:t>i</w:t>
            </w:r>
            <w:r w:rsidR="00C31186">
              <w:t>mage</w:t>
            </w:r>
            <w:r>
              <w:t>-g</w:t>
            </w:r>
            <w:r w:rsidR="00C31186">
              <w:t xml:space="preserve">uided </w:t>
            </w:r>
            <w:r>
              <w:t>r</w:t>
            </w:r>
            <w:r w:rsidR="00C31186">
              <w:t xml:space="preserve">adiation </w:t>
            </w:r>
            <w:r>
              <w:t>t</w:t>
            </w:r>
            <w:r w:rsidR="00C31186">
              <w:t>herapy</w:t>
            </w:r>
          </w:p>
        </w:tc>
      </w:tr>
      <w:tr w:rsidR="002E2985" w:rsidRPr="00183E4D" w14:paraId="20C8DBDD" w14:textId="77777777" w:rsidTr="004335C1">
        <w:tc>
          <w:tcPr>
            <w:tcW w:w="2917" w:type="dxa"/>
          </w:tcPr>
          <w:p w14:paraId="55D256B0" w14:textId="77777777" w:rsidR="002E2985" w:rsidRPr="00183E4D" w:rsidRDefault="002E2985" w:rsidP="00EB75E1">
            <w:pPr>
              <w:spacing w:before="40"/>
              <w:ind w:left="0"/>
              <w:jc w:val="both"/>
            </w:pPr>
            <w:r w:rsidRPr="00183E4D">
              <w:t>MSAC</w:t>
            </w:r>
          </w:p>
        </w:tc>
        <w:tc>
          <w:tcPr>
            <w:tcW w:w="6112" w:type="dxa"/>
          </w:tcPr>
          <w:p w14:paraId="01547994" w14:textId="77777777" w:rsidR="002E2985" w:rsidRPr="00183E4D" w:rsidRDefault="002E2985" w:rsidP="00EB75E1">
            <w:pPr>
              <w:spacing w:before="40"/>
              <w:ind w:left="0"/>
              <w:jc w:val="both"/>
            </w:pPr>
            <w:r w:rsidRPr="00183E4D">
              <w:t>Medical Services Advisory Committee</w:t>
            </w:r>
          </w:p>
        </w:tc>
      </w:tr>
      <w:tr w:rsidR="002E2985" w:rsidRPr="00183E4D" w14:paraId="57A89621" w14:textId="77777777" w:rsidTr="004335C1">
        <w:tc>
          <w:tcPr>
            <w:tcW w:w="2917" w:type="dxa"/>
          </w:tcPr>
          <w:p w14:paraId="54A7707F" w14:textId="77777777" w:rsidR="002E2985" w:rsidRPr="00183E4D" w:rsidRDefault="002E2985" w:rsidP="00EB75E1">
            <w:pPr>
              <w:spacing w:before="40"/>
              <w:ind w:left="0"/>
              <w:jc w:val="both"/>
            </w:pPr>
            <w:r>
              <w:t>NHMRC</w:t>
            </w:r>
          </w:p>
        </w:tc>
        <w:tc>
          <w:tcPr>
            <w:tcW w:w="6112" w:type="dxa"/>
          </w:tcPr>
          <w:p w14:paraId="36939ADB" w14:textId="5FD8EDEF" w:rsidR="002E2985" w:rsidRPr="00183E4D" w:rsidRDefault="002E2985" w:rsidP="00EB75E1">
            <w:pPr>
              <w:spacing w:before="40"/>
              <w:ind w:left="0"/>
              <w:jc w:val="both"/>
            </w:pPr>
            <w:r>
              <w:rPr>
                <w:rFonts w:asciiTheme="minorHAnsi" w:hAnsiTheme="minorHAnsi"/>
                <w:color w:val="000000"/>
                <w:szCs w:val="24"/>
              </w:rPr>
              <w:t xml:space="preserve">National Health </w:t>
            </w:r>
            <w:r w:rsidR="008E3A98">
              <w:rPr>
                <w:rFonts w:asciiTheme="minorHAnsi" w:hAnsiTheme="minorHAnsi"/>
                <w:color w:val="000000"/>
                <w:szCs w:val="24"/>
              </w:rPr>
              <w:t>a</w:t>
            </w:r>
            <w:r w:rsidR="00C31186">
              <w:rPr>
                <w:rFonts w:asciiTheme="minorHAnsi" w:hAnsiTheme="minorHAnsi"/>
                <w:color w:val="000000"/>
                <w:szCs w:val="24"/>
              </w:rPr>
              <w:t>nd</w:t>
            </w:r>
            <w:r>
              <w:rPr>
                <w:rFonts w:asciiTheme="minorHAnsi" w:hAnsiTheme="minorHAnsi"/>
                <w:color w:val="000000"/>
                <w:szCs w:val="24"/>
              </w:rPr>
              <w:t xml:space="preserve"> Medical Research Council</w:t>
            </w:r>
          </w:p>
        </w:tc>
      </w:tr>
      <w:tr w:rsidR="00ED2E3E" w:rsidRPr="00183E4D" w14:paraId="476E7A08" w14:textId="77777777" w:rsidTr="004335C1">
        <w:tc>
          <w:tcPr>
            <w:tcW w:w="2917" w:type="dxa"/>
          </w:tcPr>
          <w:p w14:paraId="1270E62E" w14:textId="41A1BF80" w:rsidR="00ED2E3E" w:rsidRDefault="00ED2E3E" w:rsidP="00EB75E1">
            <w:pPr>
              <w:spacing w:before="40"/>
              <w:ind w:left="0"/>
              <w:jc w:val="both"/>
            </w:pPr>
            <w:r>
              <w:t>NOS</w:t>
            </w:r>
          </w:p>
        </w:tc>
        <w:tc>
          <w:tcPr>
            <w:tcW w:w="6112" w:type="dxa"/>
          </w:tcPr>
          <w:p w14:paraId="103B2105" w14:textId="427762A5" w:rsidR="00ED2E3E" w:rsidRDefault="00ED2E3E" w:rsidP="00EB75E1">
            <w:pPr>
              <w:spacing w:before="40"/>
              <w:ind w:left="0"/>
              <w:jc w:val="both"/>
              <w:rPr>
                <w:rFonts w:asciiTheme="minorHAnsi" w:hAnsiTheme="minorHAnsi"/>
                <w:color w:val="000000"/>
                <w:szCs w:val="24"/>
              </w:rPr>
            </w:pPr>
            <w:r>
              <w:rPr>
                <w:rFonts w:asciiTheme="minorHAnsi" w:hAnsiTheme="minorHAnsi"/>
                <w:color w:val="000000"/>
                <w:szCs w:val="24"/>
              </w:rPr>
              <w:t>Newcastle-Ottawa Scale</w:t>
            </w:r>
          </w:p>
        </w:tc>
      </w:tr>
      <w:tr w:rsidR="002E2985" w:rsidRPr="00183E4D" w14:paraId="0A979AED" w14:textId="77777777" w:rsidTr="004335C1">
        <w:tc>
          <w:tcPr>
            <w:tcW w:w="2917" w:type="dxa"/>
          </w:tcPr>
          <w:p w14:paraId="79945045" w14:textId="77777777" w:rsidR="002E2985" w:rsidRDefault="002E2985" w:rsidP="00EB75E1">
            <w:pPr>
              <w:spacing w:before="40"/>
              <w:ind w:left="0"/>
              <w:jc w:val="both"/>
            </w:pPr>
            <w:r>
              <w:t>PASC</w:t>
            </w:r>
          </w:p>
        </w:tc>
        <w:tc>
          <w:tcPr>
            <w:tcW w:w="6112" w:type="dxa"/>
          </w:tcPr>
          <w:p w14:paraId="49D85091" w14:textId="553C629C" w:rsidR="002E2985" w:rsidRDefault="002E2985" w:rsidP="00EB75E1">
            <w:pPr>
              <w:spacing w:before="40"/>
              <w:ind w:left="0"/>
              <w:jc w:val="both"/>
              <w:rPr>
                <w:rFonts w:asciiTheme="minorHAnsi" w:hAnsiTheme="minorHAnsi"/>
                <w:color w:val="000000"/>
                <w:szCs w:val="24"/>
              </w:rPr>
            </w:pPr>
            <w:r>
              <w:rPr>
                <w:rFonts w:asciiTheme="minorHAnsi" w:hAnsiTheme="minorHAnsi"/>
                <w:color w:val="000000"/>
                <w:szCs w:val="24"/>
              </w:rPr>
              <w:t xml:space="preserve">PICO Confirmation Advisory Sub-Committee </w:t>
            </w:r>
            <w:r w:rsidR="008E3A98">
              <w:rPr>
                <w:rFonts w:asciiTheme="minorHAnsi" w:hAnsiTheme="minorHAnsi"/>
                <w:color w:val="000000"/>
                <w:szCs w:val="24"/>
              </w:rPr>
              <w:t>o</w:t>
            </w:r>
            <w:r w:rsidR="00C31186">
              <w:rPr>
                <w:rFonts w:asciiTheme="minorHAnsi" w:hAnsiTheme="minorHAnsi"/>
                <w:color w:val="000000"/>
                <w:szCs w:val="24"/>
              </w:rPr>
              <w:t xml:space="preserve">f </w:t>
            </w:r>
            <w:r w:rsidR="00FA71DD">
              <w:rPr>
                <w:rFonts w:asciiTheme="minorHAnsi" w:hAnsiTheme="minorHAnsi"/>
                <w:color w:val="000000"/>
                <w:szCs w:val="24"/>
              </w:rPr>
              <w:t>the</w:t>
            </w:r>
            <w:r>
              <w:rPr>
                <w:rFonts w:asciiTheme="minorHAnsi" w:hAnsiTheme="minorHAnsi"/>
                <w:color w:val="000000"/>
                <w:szCs w:val="24"/>
              </w:rPr>
              <w:t xml:space="preserve"> MSAC</w:t>
            </w:r>
          </w:p>
        </w:tc>
      </w:tr>
      <w:tr w:rsidR="001C118D" w:rsidRPr="00183E4D" w14:paraId="2546738D" w14:textId="77777777" w:rsidTr="004335C1">
        <w:tc>
          <w:tcPr>
            <w:tcW w:w="2917" w:type="dxa"/>
          </w:tcPr>
          <w:p w14:paraId="26019933" w14:textId="17A92090" w:rsidR="001C118D" w:rsidRDefault="001C118D" w:rsidP="00EB75E1">
            <w:pPr>
              <w:spacing w:before="40"/>
              <w:ind w:left="0"/>
              <w:jc w:val="both"/>
            </w:pPr>
            <w:r>
              <w:t>PRO-Q</w:t>
            </w:r>
          </w:p>
        </w:tc>
        <w:tc>
          <w:tcPr>
            <w:tcW w:w="6112" w:type="dxa"/>
          </w:tcPr>
          <w:p w14:paraId="265EFE17" w14:textId="23C301A8" w:rsidR="001C118D" w:rsidRDefault="001C118D" w:rsidP="00EB75E1">
            <w:pPr>
              <w:spacing w:before="40"/>
              <w:ind w:left="0"/>
              <w:jc w:val="both"/>
              <w:rPr>
                <w:rFonts w:asciiTheme="minorHAnsi" w:hAnsiTheme="minorHAnsi"/>
                <w:color w:val="000000"/>
                <w:szCs w:val="24"/>
              </w:rPr>
            </w:pPr>
            <w:r>
              <w:rPr>
                <w:rFonts w:asciiTheme="minorHAnsi" w:hAnsiTheme="minorHAnsi"/>
                <w:color w:val="000000"/>
                <w:szCs w:val="24"/>
              </w:rPr>
              <w:t>Patient Reported Outcome Questionnaire</w:t>
            </w:r>
          </w:p>
        </w:tc>
      </w:tr>
      <w:tr w:rsidR="002E2985" w:rsidRPr="00183E4D" w14:paraId="071F4612" w14:textId="77777777" w:rsidTr="004335C1">
        <w:tc>
          <w:tcPr>
            <w:tcW w:w="2917" w:type="dxa"/>
          </w:tcPr>
          <w:p w14:paraId="653D396E" w14:textId="7C448F4B" w:rsidR="002E2985" w:rsidRDefault="002E2985" w:rsidP="00EB75E1">
            <w:pPr>
              <w:spacing w:before="40"/>
              <w:ind w:left="0"/>
              <w:jc w:val="both"/>
            </w:pPr>
            <w:r>
              <w:t>PTV</w:t>
            </w:r>
          </w:p>
        </w:tc>
        <w:tc>
          <w:tcPr>
            <w:tcW w:w="6112" w:type="dxa"/>
          </w:tcPr>
          <w:p w14:paraId="78D10E52" w14:textId="0EE24F87" w:rsidR="002E2985" w:rsidRDefault="003F5E15" w:rsidP="00EB75E1">
            <w:pPr>
              <w:spacing w:before="40"/>
              <w:ind w:left="0"/>
              <w:jc w:val="both"/>
              <w:rPr>
                <w:rFonts w:asciiTheme="minorHAnsi" w:hAnsiTheme="minorHAnsi"/>
                <w:color w:val="000000"/>
                <w:szCs w:val="24"/>
              </w:rPr>
            </w:pPr>
            <w:r>
              <w:rPr>
                <w:rFonts w:asciiTheme="minorHAnsi" w:hAnsiTheme="minorHAnsi"/>
                <w:color w:val="000000"/>
                <w:szCs w:val="24"/>
              </w:rPr>
              <w:t>p</w:t>
            </w:r>
            <w:r w:rsidR="00C31186">
              <w:rPr>
                <w:rFonts w:asciiTheme="minorHAnsi" w:hAnsiTheme="minorHAnsi"/>
                <w:color w:val="000000"/>
                <w:szCs w:val="24"/>
              </w:rPr>
              <w:t xml:space="preserve">lanning </w:t>
            </w:r>
            <w:r>
              <w:rPr>
                <w:rFonts w:asciiTheme="minorHAnsi" w:hAnsiTheme="minorHAnsi"/>
                <w:color w:val="000000"/>
                <w:szCs w:val="24"/>
              </w:rPr>
              <w:t>t</w:t>
            </w:r>
            <w:r w:rsidR="00C31186">
              <w:rPr>
                <w:rFonts w:asciiTheme="minorHAnsi" w:hAnsiTheme="minorHAnsi"/>
                <w:color w:val="000000"/>
                <w:szCs w:val="24"/>
              </w:rPr>
              <w:t xml:space="preserve">arget </w:t>
            </w:r>
            <w:r>
              <w:rPr>
                <w:rFonts w:asciiTheme="minorHAnsi" w:hAnsiTheme="minorHAnsi"/>
                <w:color w:val="000000"/>
                <w:szCs w:val="24"/>
              </w:rPr>
              <w:t>v</w:t>
            </w:r>
            <w:r w:rsidR="00C31186">
              <w:rPr>
                <w:rFonts w:asciiTheme="minorHAnsi" w:hAnsiTheme="minorHAnsi"/>
                <w:color w:val="000000"/>
                <w:szCs w:val="24"/>
              </w:rPr>
              <w:t>olume</w:t>
            </w:r>
          </w:p>
        </w:tc>
      </w:tr>
      <w:tr w:rsidR="002E2985" w:rsidRPr="00183E4D" w14:paraId="264E784D" w14:textId="77777777" w:rsidTr="004335C1">
        <w:tc>
          <w:tcPr>
            <w:tcW w:w="2917" w:type="dxa"/>
          </w:tcPr>
          <w:p w14:paraId="751F3E2D" w14:textId="77777777" w:rsidR="002E2985" w:rsidRPr="00183E4D" w:rsidRDefault="002E2985" w:rsidP="00EB75E1">
            <w:pPr>
              <w:spacing w:before="40"/>
              <w:ind w:left="0"/>
              <w:jc w:val="both"/>
            </w:pPr>
            <w:r>
              <w:t>QALY</w:t>
            </w:r>
          </w:p>
        </w:tc>
        <w:tc>
          <w:tcPr>
            <w:tcW w:w="6112" w:type="dxa"/>
          </w:tcPr>
          <w:p w14:paraId="4AA13A82" w14:textId="037E7612" w:rsidR="002E2985" w:rsidRPr="00183E4D" w:rsidRDefault="00C31186" w:rsidP="00EB75E1">
            <w:pPr>
              <w:spacing w:before="40"/>
              <w:ind w:left="0"/>
              <w:jc w:val="both"/>
            </w:pPr>
            <w:r>
              <w:t>Quality Adjusted Life Year</w:t>
            </w:r>
          </w:p>
        </w:tc>
      </w:tr>
      <w:tr w:rsidR="002E2985" w:rsidRPr="00183E4D" w14:paraId="2D8F6C03" w14:textId="77777777" w:rsidTr="004335C1">
        <w:tc>
          <w:tcPr>
            <w:tcW w:w="2917" w:type="dxa"/>
          </w:tcPr>
          <w:p w14:paraId="0915D013" w14:textId="1D8EAB91" w:rsidR="002E2985" w:rsidRDefault="002E2985" w:rsidP="00EB75E1">
            <w:pPr>
              <w:spacing w:before="40"/>
              <w:ind w:left="0"/>
              <w:jc w:val="both"/>
            </w:pPr>
            <w:r>
              <w:t>RANZCR</w:t>
            </w:r>
          </w:p>
        </w:tc>
        <w:tc>
          <w:tcPr>
            <w:tcW w:w="6112" w:type="dxa"/>
          </w:tcPr>
          <w:p w14:paraId="24DC2BF7" w14:textId="1F0B2C8A" w:rsidR="002E2985" w:rsidRDefault="002E2985" w:rsidP="00EB75E1">
            <w:pPr>
              <w:spacing w:before="40"/>
              <w:ind w:left="0"/>
              <w:jc w:val="both"/>
            </w:pPr>
            <w:r w:rsidRPr="002E2985">
              <w:t>Royal</w:t>
            </w:r>
            <w:r>
              <w:rPr>
                <w:rFonts w:asciiTheme="minorHAnsi" w:hAnsiTheme="minorHAnsi"/>
                <w:color w:val="000000"/>
                <w:szCs w:val="24"/>
              </w:rPr>
              <w:t xml:space="preserve"> </w:t>
            </w:r>
            <w:r w:rsidRPr="002E2985">
              <w:t>Australian</w:t>
            </w:r>
            <w:r>
              <w:rPr>
                <w:rFonts w:asciiTheme="minorHAnsi" w:hAnsiTheme="minorHAnsi"/>
                <w:color w:val="000000"/>
                <w:szCs w:val="24"/>
              </w:rPr>
              <w:t xml:space="preserve"> </w:t>
            </w:r>
            <w:r w:rsidR="00C31186">
              <w:rPr>
                <w:rFonts w:asciiTheme="minorHAnsi" w:hAnsiTheme="minorHAnsi"/>
                <w:color w:val="000000"/>
                <w:szCs w:val="24"/>
              </w:rPr>
              <w:t>And</w:t>
            </w:r>
            <w:r>
              <w:rPr>
                <w:rFonts w:asciiTheme="minorHAnsi" w:hAnsiTheme="minorHAnsi"/>
                <w:color w:val="000000"/>
                <w:szCs w:val="24"/>
              </w:rPr>
              <w:t xml:space="preserve"> New Zealand College </w:t>
            </w:r>
            <w:r w:rsidR="008E3A98">
              <w:rPr>
                <w:rFonts w:asciiTheme="minorHAnsi" w:hAnsiTheme="minorHAnsi"/>
                <w:color w:val="000000"/>
                <w:szCs w:val="24"/>
              </w:rPr>
              <w:t>o</w:t>
            </w:r>
            <w:r w:rsidR="00C31186">
              <w:rPr>
                <w:rFonts w:asciiTheme="minorHAnsi" w:hAnsiTheme="minorHAnsi"/>
                <w:color w:val="000000"/>
                <w:szCs w:val="24"/>
              </w:rPr>
              <w:t>f</w:t>
            </w:r>
            <w:r>
              <w:rPr>
                <w:rFonts w:asciiTheme="minorHAnsi" w:hAnsiTheme="minorHAnsi"/>
                <w:color w:val="000000"/>
                <w:szCs w:val="24"/>
              </w:rPr>
              <w:t xml:space="preserve"> Radiologists</w:t>
            </w:r>
          </w:p>
        </w:tc>
      </w:tr>
      <w:tr w:rsidR="003F5E15" w:rsidRPr="00183E4D" w14:paraId="711C5723" w14:textId="77777777" w:rsidTr="004335C1">
        <w:tc>
          <w:tcPr>
            <w:tcW w:w="2917" w:type="dxa"/>
          </w:tcPr>
          <w:p w14:paraId="68A2642A" w14:textId="4DDAF499" w:rsidR="003F5E15" w:rsidRDefault="003F5E15" w:rsidP="00EB75E1">
            <w:pPr>
              <w:spacing w:before="40"/>
              <w:ind w:left="0"/>
              <w:jc w:val="both"/>
            </w:pPr>
            <w:r w:rsidRPr="00867A38">
              <w:rPr>
                <w:bCs/>
              </w:rPr>
              <w:t>RILD</w:t>
            </w:r>
          </w:p>
        </w:tc>
        <w:tc>
          <w:tcPr>
            <w:tcW w:w="6112" w:type="dxa"/>
          </w:tcPr>
          <w:p w14:paraId="38E98191" w14:textId="5FA22C4C" w:rsidR="003F5E15" w:rsidRPr="002E2985" w:rsidRDefault="003F5E15" w:rsidP="00EB75E1">
            <w:pPr>
              <w:spacing w:before="40"/>
              <w:ind w:left="0"/>
              <w:jc w:val="both"/>
            </w:pPr>
            <w:r w:rsidRPr="00867A38">
              <w:rPr>
                <w:bCs/>
              </w:rPr>
              <w:t>radiation-induced lung damage</w:t>
            </w:r>
          </w:p>
        </w:tc>
      </w:tr>
      <w:tr w:rsidR="00825776" w:rsidRPr="00183E4D" w14:paraId="5DEECAAC" w14:textId="77777777" w:rsidTr="004335C1">
        <w:tc>
          <w:tcPr>
            <w:tcW w:w="2917" w:type="dxa"/>
          </w:tcPr>
          <w:p w14:paraId="71DECB34" w14:textId="7C2BA669" w:rsidR="00825776" w:rsidRDefault="00825776" w:rsidP="00EB75E1">
            <w:pPr>
              <w:spacing w:before="40"/>
              <w:ind w:left="0"/>
              <w:jc w:val="both"/>
            </w:pPr>
            <w:r>
              <w:t>OAR</w:t>
            </w:r>
          </w:p>
        </w:tc>
        <w:tc>
          <w:tcPr>
            <w:tcW w:w="6112" w:type="dxa"/>
          </w:tcPr>
          <w:p w14:paraId="0B2678A3" w14:textId="1B11A2B8" w:rsidR="00825776" w:rsidRPr="002E2985" w:rsidRDefault="003F5E15" w:rsidP="00EB75E1">
            <w:pPr>
              <w:spacing w:before="40"/>
              <w:ind w:left="0"/>
              <w:jc w:val="both"/>
            </w:pPr>
            <w:r>
              <w:t>o</w:t>
            </w:r>
            <w:r w:rsidR="00825776">
              <w:t xml:space="preserve">rgan </w:t>
            </w:r>
            <w:r w:rsidR="008E3A98">
              <w:t>a</w:t>
            </w:r>
            <w:r w:rsidR="00C31186">
              <w:t xml:space="preserve">t </w:t>
            </w:r>
            <w:r w:rsidR="008E3A98">
              <w:t>r</w:t>
            </w:r>
            <w:r w:rsidR="00C31186">
              <w:t>isk</w:t>
            </w:r>
          </w:p>
        </w:tc>
      </w:tr>
      <w:tr w:rsidR="0015373A" w:rsidRPr="00183E4D" w14:paraId="0D645D14" w14:textId="77777777" w:rsidTr="004335C1">
        <w:tc>
          <w:tcPr>
            <w:tcW w:w="2917" w:type="dxa"/>
          </w:tcPr>
          <w:p w14:paraId="3031C612" w14:textId="19803C2F" w:rsidR="0015373A" w:rsidRDefault="0015373A" w:rsidP="00EB75E1">
            <w:pPr>
              <w:spacing w:before="40"/>
              <w:ind w:left="0"/>
              <w:jc w:val="both"/>
            </w:pPr>
            <w:r>
              <w:t>SBRT</w:t>
            </w:r>
          </w:p>
        </w:tc>
        <w:tc>
          <w:tcPr>
            <w:tcW w:w="6112" w:type="dxa"/>
          </w:tcPr>
          <w:p w14:paraId="00887104" w14:textId="26E32530" w:rsidR="0015373A" w:rsidRPr="0015373A" w:rsidRDefault="003F5E15" w:rsidP="00EB75E1">
            <w:pPr>
              <w:spacing w:before="40"/>
              <w:ind w:left="0"/>
              <w:jc w:val="both"/>
              <w:rPr>
                <w:rFonts w:asciiTheme="minorHAnsi" w:hAnsiTheme="minorHAnsi"/>
                <w:color w:val="000000"/>
                <w:szCs w:val="24"/>
              </w:rPr>
            </w:pPr>
            <w:r>
              <w:t>s</w:t>
            </w:r>
            <w:r w:rsidR="00C31186">
              <w:t xml:space="preserve">tereotactic </w:t>
            </w:r>
            <w:r>
              <w:t>b</w:t>
            </w:r>
            <w:r w:rsidR="00C31186">
              <w:t xml:space="preserve">ody </w:t>
            </w:r>
            <w:r>
              <w:t>r</w:t>
            </w:r>
            <w:r w:rsidR="00C31186">
              <w:t xml:space="preserve">adiation </w:t>
            </w:r>
            <w:r>
              <w:t>t</w:t>
            </w:r>
            <w:r w:rsidR="00C31186">
              <w:t>herapy</w:t>
            </w:r>
          </w:p>
        </w:tc>
      </w:tr>
      <w:tr w:rsidR="0015373A" w:rsidRPr="00183E4D" w14:paraId="553E447B" w14:textId="77777777" w:rsidTr="004335C1">
        <w:tc>
          <w:tcPr>
            <w:tcW w:w="2917" w:type="dxa"/>
          </w:tcPr>
          <w:p w14:paraId="52CD51F3" w14:textId="16C6EB0B" w:rsidR="0015373A" w:rsidRDefault="0015373A" w:rsidP="00EB75E1">
            <w:pPr>
              <w:spacing w:before="40"/>
              <w:ind w:left="0"/>
              <w:jc w:val="both"/>
            </w:pPr>
            <w:r>
              <w:t>SRS</w:t>
            </w:r>
          </w:p>
        </w:tc>
        <w:tc>
          <w:tcPr>
            <w:tcW w:w="6112" w:type="dxa"/>
          </w:tcPr>
          <w:p w14:paraId="29CDBFA7" w14:textId="3B2CE0B5" w:rsidR="0015373A" w:rsidRPr="0015373A" w:rsidRDefault="003F5E15" w:rsidP="00EB75E1">
            <w:pPr>
              <w:spacing w:before="40"/>
              <w:ind w:left="0"/>
              <w:jc w:val="both"/>
              <w:rPr>
                <w:rFonts w:asciiTheme="minorHAnsi" w:hAnsiTheme="minorHAnsi"/>
                <w:color w:val="000000"/>
                <w:szCs w:val="24"/>
              </w:rPr>
            </w:pPr>
            <w:r>
              <w:t>s</w:t>
            </w:r>
            <w:r w:rsidR="00C31186">
              <w:t xml:space="preserve">tereotactic </w:t>
            </w:r>
            <w:r>
              <w:t>r</w:t>
            </w:r>
            <w:r w:rsidR="00C31186">
              <w:t>adiosurgery</w:t>
            </w:r>
          </w:p>
        </w:tc>
      </w:tr>
      <w:tr w:rsidR="0015373A" w:rsidRPr="00183E4D" w14:paraId="13215225" w14:textId="77777777" w:rsidTr="004335C1">
        <w:tc>
          <w:tcPr>
            <w:tcW w:w="2917" w:type="dxa"/>
          </w:tcPr>
          <w:p w14:paraId="0C282FC7" w14:textId="5060421C" w:rsidR="0015373A" w:rsidRDefault="0015373A" w:rsidP="00EB75E1">
            <w:pPr>
              <w:spacing w:before="40"/>
              <w:ind w:left="0"/>
              <w:jc w:val="both"/>
            </w:pPr>
            <w:r>
              <w:t>SRT</w:t>
            </w:r>
          </w:p>
        </w:tc>
        <w:tc>
          <w:tcPr>
            <w:tcW w:w="6112" w:type="dxa"/>
          </w:tcPr>
          <w:p w14:paraId="7CBDA9A0" w14:textId="3B1B5C1D" w:rsidR="0015373A" w:rsidRPr="0015373A" w:rsidRDefault="003F5E15" w:rsidP="00EB75E1">
            <w:pPr>
              <w:spacing w:before="40"/>
              <w:ind w:left="0"/>
              <w:jc w:val="both"/>
              <w:rPr>
                <w:rFonts w:asciiTheme="minorHAnsi" w:hAnsiTheme="minorHAnsi"/>
                <w:color w:val="000000"/>
                <w:szCs w:val="24"/>
              </w:rPr>
            </w:pPr>
            <w:r>
              <w:t>s</w:t>
            </w:r>
            <w:r w:rsidR="00C31186">
              <w:t xml:space="preserve">tereotactic </w:t>
            </w:r>
            <w:r>
              <w:t>r</w:t>
            </w:r>
            <w:r w:rsidR="00C31186">
              <w:t xml:space="preserve">adiation </w:t>
            </w:r>
            <w:r>
              <w:t>t</w:t>
            </w:r>
            <w:r w:rsidR="00C31186">
              <w:t>herapy</w:t>
            </w:r>
          </w:p>
        </w:tc>
      </w:tr>
      <w:tr w:rsidR="002E2985" w:rsidRPr="00183E4D" w14:paraId="0BCD9592" w14:textId="77777777" w:rsidTr="004335C1">
        <w:tc>
          <w:tcPr>
            <w:tcW w:w="2917" w:type="dxa"/>
          </w:tcPr>
          <w:p w14:paraId="2B69EB1B" w14:textId="77777777" w:rsidR="002E2985" w:rsidRDefault="002E2985" w:rsidP="00EB75E1">
            <w:pPr>
              <w:spacing w:before="40"/>
              <w:ind w:left="0"/>
              <w:jc w:val="both"/>
            </w:pPr>
            <w:r>
              <w:t>TGA</w:t>
            </w:r>
          </w:p>
        </w:tc>
        <w:tc>
          <w:tcPr>
            <w:tcW w:w="6112" w:type="dxa"/>
          </w:tcPr>
          <w:p w14:paraId="196D2914" w14:textId="77777777" w:rsidR="002E2985" w:rsidRDefault="002E2985" w:rsidP="00EB75E1">
            <w:pPr>
              <w:spacing w:before="40"/>
              <w:ind w:left="0"/>
              <w:jc w:val="both"/>
            </w:pPr>
            <w:r>
              <w:t>Therapeutic Goods Administration</w:t>
            </w:r>
          </w:p>
        </w:tc>
      </w:tr>
      <w:tr w:rsidR="002E2985" w:rsidRPr="00183E4D" w14:paraId="7E007618" w14:textId="77777777" w:rsidTr="004335C1">
        <w:tc>
          <w:tcPr>
            <w:tcW w:w="2917" w:type="dxa"/>
          </w:tcPr>
          <w:p w14:paraId="1AB69963" w14:textId="3BFDAE56" w:rsidR="002E2985" w:rsidRDefault="002E2985" w:rsidP="00EB75E1">
            <w:pPr>
              <w:spacing w:before="40"/>
              <w:ind w:left="0"/>
              <w:jc w:val="both"/>
            </w:pPr>
            <w:r>
              <w:t>TROG</w:t>
            </w:r>
          </w:p>
        </w:tc>
        <w:tc>
          <w:tcPr>
            <w:tcW w:w="6112" w:type="dxa"/>
          </w:tcPr>
          <w:p w14:paraId="6A273A9D" w14:textId="3414D402" w:rsidR="002E2985" w:rsidRDefault="002E2985" w:rsidP="00EB75E1">
            <w:pPr>
              <w:spacing w:before="40"/>
              <w:ind w:left="0"/>
              <w:jc w:val="both"/>
            </w:pPr>
            <w:r>
              <w:t>Trans-Tasman Radiation Oncology Group</w:t>
            </w:r>
          </w:p>
        </w:tc>
      </w:tr>
      <w:tr w:rsidR="00894C6B" w:rsidRPr="00183E4D" w14:paraId="515800EE" w14:textId="77777777" w:rsidTr="00EB75E1">
        <w:tc>
          <w:tcPr>
            <w:tcW w:w="2917" w:type="dxa"/>
          </w:tcPr>
          <w:p w14:paraId="12A68A14" w14:textId="73E11DDC" w:rsidR="00894C6B" w:rsidRDefault="00C31186" w:rsidP="00EB75E1">
            <w:pPr>
              <w:spacing w:before="40"/>
              <w:ind w:left="0"/>
              <w:jc w:val="both"/>
            </w:pPr>
            <w:r>
              <w:t>Qol</w:t>
            </w:r>
          </w:p>
        </w:tc>
        <w:tc>
          <w:tcPr>
            <w:tcW w:w="6112" w:type="dxa"/>
          </w:tcPr>
          <w:p w14:paraId="1A0BCA2E" w14:textId="3EDFA705" w:rsidR="00894C6B" w:rsidRDefault="003F5E15" w:rsidP="00EB75E1">
            <w:pPr>
              <w:spacing w:before="40"/>
              <w:ind w:left="0"/>
              <w:jc w:val="both"/>
            </w:pPr>
            <w:r>
              <w:t>q</w:t>
            </w:r>
            <w:r w:rsidR="00894C6B">
              <w:t xml:space="preserve">uality </w:t>
            </w:r>
            <w:r w:rsidR="00FA71DD">
              <w:t>of</w:t>
            </w:r>
            <w:r w:rsidR="00894C6B">
              <w:t xml:space="preserve"> </w:t>
            </w:r>
            <w:r>
              <w:t>l</w:t>
            </w:r>
            <w:r w:rsidR="00894C6B">
              <w:t>ife</w:t>
            </w:r>
          </w:p>
        </w:tc>
      </w:tr>
      <w:tr w:rsidR="00852198" w:rsidRPr="00183E4D" w14:paraId="0B1E71FC" w14:textId="77777777" w:rsidTr="00EB75E1">
        <w:tc>
          <w:tcPr>
            <w:tcW w:w="2917" w:type="dxa"/>
            <w:tcBorders>
              <w:bottom w:val="single" w:sz="4" w:space="0" w:color="auto"/>
            </w:tcBorders>
          </w:tcPr>
          <w:p w14:paraId="2A6DF61E" w14:textId="7CC0BE59" w:rsidR="00852198" w:rsidRDefault="00852198" w:rsidP="00EB75E1">
            <w:pPr>
              <w:spacing w:before="40"/>
              <w:ind w:left="0"/>
              <w:jc w:val="both"/>
            </w:pPr>
            <w:r>
              <w:t>QLQ</w:t>
            </w:r>
          </w:p>
        </w:tc>
        <w:tc>
          <w:tcPr>
            <w:tcW w:w="6112" w:type="dxa"/>
            <w:tcBorders>
              <w:bottom w:val="single" w:sz="4" w:space="0" w:color="auto"/>
            </w:tcBorders>
          </w:tcPr>
          <w:p w14:paraId="5787ADAC" w14:textId="325959CF" w:rsidR="00852198" w:rsidRDefault="00852198" w:rsidP="00EB75E1">
            <w:pPr>
              <w:spacing w:before="40"/>
              <w:ind w:left="0"/>
              <w:jc w:val="both"/>
            </w:pPr>
            <w:r>
              <w:t xml:space="preserve">Quality </w:t>
            </w:r>
            <w:r w:rsidR="00FA71DD">
              <w:t>of</w:t>
            </w:r>
            <w:r>
              <w:t xml:space="preserve"> Life Questionnaire</w:t>
            </w:r>
          </w:p>
        </w:tc>
      </w:tr>
    </w:tbl>
    <w:p w14:paraId="002AEE4F" w14:textId="77777777" w:rsidR="0032309D" w:rsidRDefault="0032309D" w:rsidP="00DF343F">
      <w:pPr>
        <w:tabs>
          <w:tab w:val="left" w:pos="1418"/>
        </w:tabs>
        <w:jc w:val="both"/>
        <w:sectPr w:rsidR="0032309D" w:rsidSect="0032309D">
          <w:pgSz w:w="11909" w:h="16834" w:code="9"/>
          <w:pgMar w:top="1440" w:right="1440" w:bottom="1440" w:left="1440" w:header="709" w:footer="709" w:gutter="0"/>
          <w:pgNumType w:fmt="lowerRoman"/>
          <w:cols w:space="720"/>
        </w:sectPr>
      </w:pPr>
    </w:p>
    <w:p w14:paraId="520FF839" w14:textId="77777777" w:rsidR="008F59A8" w:rsidRPr="00183E4D" w:rsidRDefault="00913620" w:rsidP="00DF343F">
      <w:pPr>
        <w:pStyle w:val="Heading1"/>
        <w:jc w:val="both"/>
      </w:pPr>
      <w:bookmarkStart w:id="172" w:name="_Toc59018755"/>
      <w:bookmarkStart w:id="173" w:name="_Ref59018668"/>
      <w:bookmarkStart w:id="174" w:name="_Toc59020299"/>
      <w:bookmarkStart w:id="175" w:name="_Toc59439521"/>
      <w:bookmarkStart w:id="176" w:name="_Toc89857793"/>
      <w:bookmarkEnd w:id="171"/>
      <w:r w:rsidRPr="00183E4D">
        <w:lastRenderedPageBreak/>
        <w:t>Section A</w:t>
      </w:r>
      <w:r w:rsidRPr="00183E4D">
        <w:tab/>
        <w:t>Context</w:t>
      </w:r>
      <w:bookmarkEnd w:id="172"/>
      <w:bookmarkEnd w:id="173"/>
      <w:bookmarkEnd w:id="174"/>
      <w:bookmarkEnd w:id="175"/>
      <w:bookmarkEnd w:id="176"/>
    </w:p>
    <w:p w14:paraId="61C23D1D" w14:textId="193BBD19" w:rsidR="00E05186" w:rsidRDefault="00E05186" w:rsidP="00DF343F">
      <w:pPr>
        <w:jc w:val="both"/>
      </w:pPr>
      <w:r w:rsidRPr="00183E4D">
        <w:t xml:space="preserve">This </w:t>
      </w:r>
      <w:r w:rsidR="006134E2">
        <w:t xml:space="preserve">DCAR </w:t>
      </w:r>
      <w:r w:rsidR="00FD31FC" w:rsidRPr="00183E4D">
        <w:t xml:space="preserve">of </w:t>
      </w:r>
      <w:r w:rsidR="00F60D14">
        <w:rPr>
          <w:szCs w:val="44"/>
        </w:rPr>
        <w:t>M</w:t>
      </w:r>
      <w:r w:rsidR="006A2A9E">
        <w:rPr>
          <w:szCs w:val="44"/>
        </w:rPr>
        <w:t xml:space="preserve">agnetic </w:t>
      </w:r>
      <w:r w:rsidR="00F60D14">
        <w:rPr>
          <w:szCs w:val="44"/>
        </w:rPr>
        <w:t>R</w:t>
      </w:r>
      <w:r w:rsidR="006A2A9E">
        <w:rPr>
          <w:szCs w:val="44"/>
        </w:rPr>
        <w:t xml:space="preserve">esonance </w:t>
      </w:r>
      <w:r w:rsidR="00F60D14">
        <w:rPr>
          <w:szCs w:val="44"/>
        </w:rPr>
        <w:t>I</w:t>
      </w:r>
      <w:r w:rsidR="006A2A9E">
        <w:rPr>
          <w:szCs w:val="44"/>
        </w:rPr>
        <w:t>mage</w:t>
      </w:r>
      <w:r w:rsidR="00510C6B">
        <w:rPr>
          <w:szCs w:val="44"/>
        </w:rPr>
        <w:t>-</w:t>
      </w:r>
      <w:r w:rsidR="00F60D14">
        <w:rPr>
          <w:szCs w:val="44"/>
        </w:rPr>
        <w:t>G</w:t>
      </w:r>
      <w:r w:rsidR="006A2A9E">
        <w:rPr>
          <w:szCs w:val="44"/>
        </w:rPr>
        <w:t xml:space="preserve">uided </w:t>
      </w:r>
      <w:r w:rsidR="00F60D14">
        <w:rPr>
          <w:szCs w:val="44"/>
        </w:rPr>
        <w:t>R</w:t>
      </w:r>
      <w:r w:rsidR="006A2A9E">
        <w:rPr>
          <w:szCs w:val="44"/>
        </w:rPr>
        <w:t>adiation</w:t>
      </w:r>
      <w:r w:rsidR="00510C6B">
        <w:rPr>
          <w:szCs w:val="44"/>
        </w:rPr>
        <w:t xml:space="preserve"> </w:t>
      </w:r>
      <w:r w:rsidR="00F60D14">
        <w:rPr>
          <w:szCs w:val="44"/>
        </w:rPr>
        <w:t>T</w:t>
      </w:r>
      <w:r w:rsidR="006A2A9E">
        <w:rPr>
          <w:szCs w:val="44"/>
        </w:rPr>
        <w:t>herapy</w:t>
      </w:r>
      <w:r w:rsidR="00510C6B">
        <w:rPr>
          <w:szCs w:val="44"/>
        </w:rPr>
        <w:t xml:space="preserve"> (MR-IGRT)</w:t>
      </w:r>
      <w:r w:rsidRPr="00183E4D">
        <w:t xml:space="preserve"> </w:t>
      </w:r>
      <w:r w:rsidR="00FD31FC" w:rsidRPr="00183E4D">
        <w:t>for th</w:t>
      </w:r>
      <w:r w:rsidR="006A2A9E">
        <w:t xml:space="preserve">e </w:t>
      </w:r>
      <w:r w:rsidR="00FD31FC" w:rsidRPr="006A2A9E">
        <w:t xml:space="preserve">treatment of </w:t>
      </w:r>
      <w:r w:rsidR="006A2A9E">
        <w:t>cancer</w:t>
      </w:r>
      <w:r w:rsidR="00FD31FC" w:rsidRPr="00183E4D">
        <w:t xml:space="preserve"> </w:t>
      </w:r>
      <w:r w:rsidRPr="00183E4D">
        <w:t>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52E77AC7" w14:textId="4B882DEC" w:rsidR="00EB4DCD" w:rsidRPr="008B5C5B" w:rsidRDefault="006A2A9E" w:rsidP="00C75600">
      <w:pPr>
        <w:jc w:val="both"/>
      </w:pPr>
      <w:r>
        <w:t>The NHMRC C</w:t>
      </w:r>
      <w:r w:rsidR="00080879">
        <w:t xml:space="preserve">linical </w:t>
      </w:r>
      <w:r>
        <w:t>T</w:t>
      </w:r>
      <w:r w:rsidR="00080879">
        <w:t xml:space="preserve">rials </w:t>
      </w:r>
      <w:r>
        <w:t>C</w:t>
      </w:r>
      <w:r w:rsidR="00080879">
        <w:t>entre</w:t>
      </w:r>
      <w:r w:rsidR="00EB4DCD">
        <w:t xml:space="preserve"> </w:t>
      </w:r>
      <w:r w:rsidR="000025BB">
        <w:t xml:space="preserve">of the University of Sydney </w:t>
      </w:r>
      <w:r w:rsidR="00EB4DCD">
        <w:t>has been commissioned by the Australian Government</w:t>
      </w:r>
      <w:r w:rsidR="00EB4DCD" w:rsidRPr="007943BC">
        <w:t xml:space="preserve"> Department of Health to conduct a systematic </w:t>
      </w:r>
      <w:r w:rsidR="00EB4DCD">
        <w:t xml:space="preserve">literature </w:t>
      </w:r>
      <w:r w:rsidR="00EB4DCD" w:rsidRPr="007943BC">
        <w:t xml:space="preserve">review </w:t>
      </w:r>
      <w:r w:rsidR="00EB4DCD">
        <w:t>and economic evaluation of</w:t>
      </w:r>
      <w:r w:rsidR="00EB4DCD" w:rsidRPr="00A12E71">
        <w:t xml:space="preserve"> </w:t>
      </w:r>
      <w:r w:rsidR="00080879">
        <w:rPr>
          <w:szCs w:val="44"/>
        </w:rPr>
        <w:t>MR-IGRT</w:t>
      </w:r>
      <w:r w:rsidR="00EB4DCD">
        <w:t xml:space="preserve">. This assessment has been undertaken </w:t>
      </w:r>
      <w:r w:rsidR="00EB4DCD" w:rsidRPr="007943BC">
        <w:t>in order to inform MSAC’s decision-making r</w:t>
      </w:r>
      <w:r w:rsidR="00EB4DCD">
        <w:t>egarding whether the proposed medical serv</w:t>
      </w:r>
      <w:r w:rsidR="008B5C5B">
        <w:t>ice should be publicly funded.</w:t>
      </w:r>
    </w:p>
    <w:p w14:paraId="155E12AA" w14:textId="2E9F72F3" w:rsidR="008B5C5B" w:rsidRDefault="009D44E4" w:rsidP="00DF343F">
      <w:pPr>
        <w:jc w:val="both"/>
      </w:pPr>
      <w:r w:rsidRPr="000025BB">
        <w:t>Appendix A</w:t>
      </w:r>
      <w:r w:rsidRPr="00183E4D">
        <w:t xml:space="preserve"> provides a list of the people involved in the development of this </w:t>
      </w:r>
      <w:r w:rsidR="006E0349">
        <w:t>DCAR</w:t>
      </w:r>
      <w:r w:rsidRPr="00183E4D">
        <w:t>.</w:t>
      </w:r>
    </w:p>
    <w:p w14:paraId="00B6F991" w14:textId="588E786D" w:rsidR="00BD49CE" w:rsidRPr="00183E4D" w:rsidRDefault="00E05186" w:rsidP="00DF343F">
      <w:pPr>
        <w:jc w:val="both"/>
      </w:pPr>
      <w:r w:rsidRPr="00183E4D">
        <w:t xml:space="preserve">The proposed use </w:t>
      </w:r>
      <w:r w:rsidR="00695731" w:rsidRPr="00183E4D">
        <w:t xml:space="preserve">of </w:t>
      </w:r>
      <w:r w:rsidR="00BA03F3">
        <w:rPr>
          <w:szCs w:val="44"/>
        </w:rPr>
        <w:t>MR-IGRT</w:t>
      </w:r>
      <w:r w:rsidR="00695731" w:rsidRPr="00183E4D">
        <w:t xml:space="preserve"> in Australian clinical practice was outlined in a </w:t>
      </w:r>
      <w:r w:rsidR="0033799C">
        <w:t>PICO Confirmation</w:t>
      </w:r>
      <w:r w:rsidR="009545FC" w:rsidRPr="00183E4D">
        <w:t xml:space="preserve"> </w:t>
      </w:r>
      <w:r w:rsidR="00695731" w:rsidRPr="00183E4D">
        <w:t xml:space="preserve">that </w:t>
      </w:r>
      <w:r w:rsidR="00BD49CE" w:rsidRPr="00183E4D">
        <w:t xml:space="preserve">was </w:t>
      </w:r>
      <w:r w:rsidR="00F458EB">
        <w:t>presented to</w:t>
      </w:r>
      <w:r w:rsidR="00752C99">
        <w:t>, and accepted by,</w:t>
      </w:r>
      <w:r w:rsidR="00F458EB">
        <w:t xml:space="preserve"> the </w:t>
      </w:r>
      <w:r w:rsidR="0088661A">
        <w:t>PICO Confirmation</w:t>
      </w:r>
      <w:r w:rsidR="00F458EB" w:rsidRPr="00183E4D">
        <w:t xml:space="preserve"> Advisory Sub</w:t>
      </w:r>
      <w:r w:rsidR="00F25D87">
        <w:t>-</w:t>
      </w:r>
      <w:r w:rsidR="00F458EB" w:rsidRPr="00183E4D">
        <w:t>Committee (PASC)</w:t>
      </w:r>
      <w:r w:rsidR="00752C99">
        <w:t xml:space="preserve">. The </w:t>
      </w:r>
      <w:r w:rsidR="0088661A">
        <w:t>PICO Confirmation</w:t>
      </w:r>
      <w:r w:rsidR="00752C99">
        <w:t xml:space="preserve"> was </w:t>
      </w:r>
      <w:r w:rsidR="00BD49CE" w:rsidRPr="00183E4D">
        <w:t xml:space="preserve">released for public comment on </w:t>
      </w:r>
      <w:r w:rsidR="00BE7CBB">
        <w:t>17 April 2020</w:t>
      </w:r>
      <w:r w:rsidR="00BD49CE" w:rsidRPr="00183E4D">
        <w:t>.</w:t>
      </w:r>
    </w:p>
    <w:p w14:paraId="0690CEDA" w14:textId="77777777" w:rsidR="003F169D" w:rsidRPr="00183E4D" w:rsidRDefault="009545FC" w:rsidP="000C5BC6">
      <w:pPr>
        <w:pStyle w:val="Heading2"/>
        <w:numPr>
          <w:ilvl w:val="0"/>
          <w:numId w:val="8"/>
        </w:numPr>
      </w:pPr>
      <w:bookmarkStart w:id="177" w:name="_Toc59018756"/>
      <w:bookmarkStart w:id="178" w:name="_Toc59020300"/>
      <w:bookmarkStart w:id="179" w:name="_Toc59439522"/>
      <w:bookmarkStart w:id="180" w:name="_Toc89857794"/>
      <w:r>
        <w:t xml:space="preserve">Items in the agreed </w:t>
      </w:r>
      <w:r w:rsidR="0088661A">
        <w:t>PICO Confirmation</w:t>
      </w:r>
      <w:bookmarkEnd w:id="177"/>
      <w:bookmarkEnd w:id="178"/>
      <w:bookmarkEnd w:id="179"/>
      <w:bookmarkEnd w:id="180"/>
    </w:p>
    <w:p w14:paraId="4ABD7B77" w14:textId="4E1C1B6E" w:rsidR="00916141" w:rsidRDefault="0022247B" w:rsidP="00AA2C7A">
      <w:r w:rsidRPr="00183E4D">
        <w:t xml:space="preserve">This </w:t>
      </w:r>
      <w:r w:rsidR="00E94511">
        <w:t>DCAR</w:t>
      </w:r>
      <w:r w:rsidRPr="00183E4D">
        <w:t xml:space="preserve"> of </w:t>
      </w:r>
      <w:r w:rsidR="00510C6B">
        <w:rPr>
          <w:szCs w:val="44"/>
        </w:rPr>
        <w:t>MR-IGRT</w:t>
      </w:r>
      <w:r w:rsidR="006A2A9E">
        <w:t xml:space="preserve"> addresses </w:t>
      </w:r>
      <w:r w:rsidRPr="008156B7">
        <w:t>some</w:t>
      </w:r>
      <w:r w:rsidR="006A2A9E">
        <w:t xml:space="preserve"> </w:t>
      </w:r>
      <w:r w:rsidRPr="00183E4D">
        <w:t xml:space="preserve">of the PICO elements that were </w:t>
      </w:r>
      <w:r>
        <w:t>pre-</w:t>
      </w:r>
      <w:r w:rsidRPr="00183E4D">
        <w:t xml:space="preserve">specified in the </w:t>
      </w:r>
      <w:r w:rsidR="0088661A">
        <w:t>PICO Confirmation</w:t>
      </w:r>
      <w:r>
        <w:t xml:space="preserve"> </w:t>
      </w:r>
      <w:r w:rsidRPr="006A2A9E">
        <w:t>that was ratified by</w:t>
      </w:r>
      <w:r w:rsidR="006A2A9E">
        <w:t xml:space="preserve"> </w:t>
      </w:r>
      <w:r>
        <w:t>PASC</w:t>
      </w:r>
      <w:r w:rsidRPr="00183E4D">
        <w:t>.</w:t>
      </w:r>
    </w:p>
    <w:p w14:paraId="3F48E6C0" w14:textId="37196A38" w:rsidR="00916141" w:rsidRDefault="00916141" w:rsidP="00916141">
      <w:pPr>
        <w:pStyle w:val="Caption"/>
      </w:pPr>
      <w:bookmarkStart w:id="181" w:name="_Ref428263066"/>
      <w:bookmarkStart w:id="182" w:name="_Toc89857878"/>
      <w:r>
        <w:t xml:space="preserve">Table </w:t>
      </w:r>
      <w:r w:rsidR="00211285">
        <w:fldChar w:fldCharType="begin"/>
      </w:r>
      <w:r w:rsidR="00211285">
        <w:instrText xml:space="preserve"> SEQ Table \* ARABIC </w:instrText>
      </w:r>
      <w:r w:rsidR="00211285">
        <w:fldChar w:fldCharType="separate"/>
      </w:r>
      <w:r w:rsidR="00451350">
        <w:rPr>
          <w:noProof/>
        </w:rPr>
        <w:t>7</w:t>
      </w:r>
      <w:r w:rsidR="00211285">
        <w:rPr>
          <w:noProof/>
        </w:rPr>
        <w:fldChar w:fldCharType="end"/>
      </w:r>
      <w:bookmarkEnd w:id="181"/>
      <w:r>
        <w:tab/>
      </w:r>
      <w:r>
        <w:tab/>
        <w:t>PICO Confirmation checkbox</w:t>
      </w:r>
      <w:bookmarkEnd w:id="182"/>
    </w:p>
    <w:tbl>
      <w:tblPr>
        <w:tblStyle w:val="TableGrid"/>
        <w:tblW w:w="5000" w:type="pct"/>
        <w:tblLook w:val="04A0" w:firstRow="1" w:lastRow="0" w:firstColumn="1" w:lastColumn="0" w:noHBand="0" w:noVBand="1"/>
        <w:tblCaption w:val="Table 7 PICO Confirmation checkbox"/>
        <w:tblDescription w:val="A summary of whether the assessment report has followed the DAP"/>
      </w:tblPr>
      <w:tblGrid>
        <w:gridCol w:w="2976"/>
        <w:gridCol w:w="1986"/>
        <w:gridCol w:w="4057"/>
      </w:tblGrid>
      <w:tr w:rsidR="00916141" w14:paraId="78D92C02" w14:textId="77777777" w:rsidTr="00EB75E1">
        <w:trPr>
          <w:tblHeader/>
        </w:trPr>
        <w:tc>
          <w:tcPr>
            <w:tcW w:w="1650" w:type="pct"/>
          </w:tcPr>
          <w:p w14:paraId="6AC917A2" w14:textId="77777777" w:rsidR="00916141" w:rsidRDefault="00916141" w:rsidP="00EB75E1">
            <w:pPr>
              <w:pStyle w:val="Tabletextboldleft"/>
              <w:spacing w:before="40" w:after="40"/>
              <w:ind w:left="0"/>
            </w:pPr>
            <w:r>
              <w:t>PASC-approved PICO Confirmation Item</w:t>
            </w:r>
          </w:p>
        </w:tc>
        <w:tc>
          <w:tcPr>
            <w:tcW w:w="1101" w:type="pct"/>
          </w:tcPr>
          <w:p w14:paraId="3F9C916C" w14:textId="77777777" w:rsidR="00916141" w:rsidRDefault="00916141" w:rsidP="00EB75E1">
            <w:pPr>
              <w:pStyle w:val="Tabletextboldleft"/>
              <w:spacing w:before="40" w:after="40"/>
              <w:ind w:left="0"/>
            </w:pPr>
            <w:r>
              <w:t>Compliance</w:t>
            </w:r>
          </w:p>
        </w:tc>
        <w:tc>
          <w:tcPr>
            <w:tcW w:w="2249" w:type="pct"/>
          </w:tcPr>
          <w:p w14:paraId="7483A18A" w14:textId="60E6703E" w:rsidR="00916141" w:rsidRDefault="00916141" w:rsidP="00EB75E1">
            <w:pPr>
              <w:pStyle w:val="Tabletextboldleft"/>
              <w:spacing w:before="40" w:after="40"/>
              <w:ind w:left="0"/>
            </w:pPr>
            <w:r>
              <w:t>Change and justification provided in DCAR</w:t>
            </w:r>
          </w:p>
        </w:tc>
      </w:tr>
      <w:tr w:rsidR="00916141" w14:paraId="79BE4644" w14:textId="77777777" w:rsidTr="00EB75E1">
        <w:tc>
          <w:tcPr>
            <w:tcW w:w="1650" w:type="pct"/>
          </w:tcPr>
          <w:p w14:paraId="3E7A32C0" w14:textId="77777777" w:rsidR="00916141" w:rsidRPr="00802C09" w:rsidRDefault="00916141" w:rsidP="00EB75E1">
            <w:pPr>
              <w:pStyle w:val="Tabletext1"/>
              <w:ind w:left="0"/>
            </w:pPr>
            <w:r w:rsidRPr="00802C09">
              <w:t>Proposed MBS listing</w:t>
            </w:r>
          </w:p>
        </w:tc>
        <w:tc>
          <w:tcPr>
            <w:tcW w:w="1101" w:type="pct"/>
          </w:tcPr>
          <w:p w14:paraId="70F9CA7C" w14:textId="49DBD309" w:rsidR="00916141" w:rsidRPr="00802C09" w:rsidRDefault="00916141" w:rsidP="00EB75E1">
            <w:pPr>
              <w:pStyle w:val="CommentTabletext"/>
              <w:ind w:left="0"/>
            </w:pPr>
            <w:r w:rsidRPr="00802C09">
              <w:t>Yes</w:t>
            </w:r>
          </w:p>
        </w:tc>
        <w:tc>
          <w:tcPr>
            <w:tcW w:w="2249" w:type="pct"/>
          </w:tcPr>
          <w:p w14:paraId="39D9F5FA" w14:textId="77777777" w:rsidR="00916141" w:rsidRPr="00802C09" w:rsidRDefault="00916141" w:rsidP="00EB75E1">
            <w:pPr>
              <w:pStyle w:val="Tabletext1"/>
              <w:ind w:left="0"/>
            </w:pPr>
          </w:p>
        </w:tc>
      </w:tr>
      <w:tr w:rsidR="00916141" w14:paraId="663CEC5D" w14:textId="77777777" w:rsidTr="00EB75E1">
        <w:tc>
          <w:tcPr>
            <w:tcW w:w="1650" w:type="pct"/>
          </w:tcPr>
          <w:p w14:paraId="139AA5BA" w14:textId="77777777" w:rsidR="00916141" w:rsidRPr="00802C09" w:rsidRDefault="00916141" w:rsidP="00EB75E1">
            <w:pPr>
              <w:pStyle w:val="Tabletext1"/>
              <w:ind w:left="0"/>
            </w:pPr>
            <w:r>
              <w:t>Population / clinical indication</w:t>
            </w:r>
          </w:p>
        </w:tc>
        <w:tc>
          <w:tcPr>
            <w:tcW w:w="1101" w:type="pct"/>
          </w:tcPr>
          <w:p w14:paraId="2ED49056" w14:textId="3E090E6B" w:rsidR="00916141" w:rsidRPr="00802C09" w:rsidRDefault="00916141" w:rsidP="00EB75E1">
            <w:pPr>
              <w:pStyle w:val="CommentTabletext"/>
              <w:ind w:left="0"/>
            </w:pPr>
            <w:r w:rsidRPr="00802C09">
              <w:t>Yes</w:t>
            </w:r>
          </w:p>
        </w:tc>
        <w:tc>
          <w:tcPr>
            <w:tcW w:w="2249" w:type="pct"/>
          </w:tcPr>
          <w:p w14:paraId="16DCE815" w14:textId="74744B4A" w:rsidR="00916141" w:rsidRDefault="00230D4B" w:rsidP="00EB75E1">
            <w:pPr>
              <w:pStyle w:val="Tabletext1"/>
              <w:ind w:left="0"/>
            </w:pPr>
            <w:r>
              <w:t xml:space="preserve">Evidence was found for the following cancer sites: </w:t>
            </w:r>
          </w:p>
          <w:p w14:paraId="12931EBB" w14:textId="77777777" w:rsidR="00230D4B" w:rsidRDefault="00230D4B" w:rsidP="00EB75E1">
            <w:pPr>
              <w:pStyle w:val="Tabletext1"/>
              <w:numPr>
                <w:ilvl w:val="0"/>
                <w:numId w:val="25"/>
              </w:numPr>
            </w:pPr>
            <w:r>
              <w:t>Lung cancer</w:t>
            </w:r>
          </w:p>
          <w:p w14:paraId="379D7FB4" w14:textId="77777777" w:rsidR="00230D4B" w:rsidRDefault="00230D4B" w:rsidP="00EB75E1">
            <w:pPr>
              <w:pStyle w:val="Tabletext1"/>
              <w:numPr>
                <w:ilvl w:val="0"/>
                <w:numId w:val="25"/>
              </w:numPr>
            </w:pPr>
            <w:r>
              <w:t>Prostate cancer</w:t>
            </w:r>
          </w:p>
          <w:p w14:paraId="432B9673" w14:textId="77777777" w:rsidR="00230D4B" w:rsidRDefault="00230D4B" w:rsidP="00EB75E1">
            <w:pPr>
              <w:pStyle w:val="Tabletext1"/>
              <w:numPr>
                <w:ilvl w:val="0"/>
                <w:numId w:val="25"/>
              </w:numPr>
            </w:pPr>
            <w:r>
              <w:t>Head and neck cancer</w:t>
            </w:r>
          </w:p>
          <w:p w14:paraId="2BB1FCD3" w14:textId="22671D7A" w:rsidR="00230D4B" w:rsidRPr="00802C09" w:rsidRDefault="00230D4B" w:rsidP="00EB75E1">
            <w:pPr>
              <w:pStyle w:val="Tabletext1"/>
              <w:numPr>
                <w:ilvl w:val="0"/>
                <w:numId w:val="25"/>
              </w:numPr>
            </w:pPr>
            <w:r>
              <w:t>Abdominal malignancies (HCC, pancreas, secondary oligometastases in the abdomen, namely liver)</w:t>
            </w:r>
          </w:p>
        </w:tc>
      </w:tr>
      <w:tr w:rsidR="00916141" w14:paraId="6D64C6BF" w14:textId="77777777" w:rsidTr="00EB75E1">
        <w:tc>
          <w:tcPr>
            <w:tcW w:w="1650" w:type="pct"/>
          </w:tcPr>
          <w:p w14:paraId="4A449117" w14:textId="77777777" w:rsidR="00916141" w:rsidRPr="00802C09" w:rsidRDefault="00916141" w:rsidP="00EB75E1">
            <w:pPr>
              <w:pStyle w:val="Tabletext1"/>
              <w:ind w:left="0"/>
            </w:pPr>
            <w:r w:rsidRPr="00802C09">
              <w:t>Comparator</w:t>
            </w:r>
          </w:p>
        </w:tc>
        <w:tc>
          <w:tcPr>
            <w:tcW w:w="1101" w:type="pct"/>
          </w:tcPr>
          <w:p w14:paraId="437EE903" w14:textId="112ED7A0" w:rsidR="00916141" w:rsidRPr="00802C09" w:rsidRDefault="00916141" w:rsidP="00EB75E1">
            <w:pPr>
              <w:pStyle w:val="CommentTabletext"/>
              <w:ind w:left="0"/>
            </w:pPr>
            <w:r w:rsidRPr="00802C09">
              <w:t>Yes</w:t>
            </w:r>
          </w:p>
        </w:tc>
        <w:tc>
          <w:tcPr>
            <w:tcW w:w="2249" w:type="pct"/>
          </w:tcPr>
          <w:p w14:paraId="76BDE0C4" w14:textId="77777777" w:rsidR="00916141" w:rsidRPr="00802C09" w:rsidRDefault="00916141" w:rsidP="00EB75E1">
            <w:pPr>
              <w:pStyle w:val="Tabletext1"/>
              <w:ind w:left="0"/>
            </w:pPr>
          </w:p>
        </w:tc>
      </w:tr>
      <w:tr w:rsidR="00916141" w14:paraId="54BC96DC" w14:textId="77777777" w:rsidTr="00EB75E1">
        <w:tc>
          <w:tcPr>
            <w:tcW w:w="1650" w:type="pct"/>
          </w:tcPr>
          <w:p w14:paraId="4E297DDB" w14:textId="77777777" w:rsidR="00916141" w:rsidRPr="00802C09" w:rsidRDefault="00916141" w:rsidP="00EB75E1">
            <w:pPr>
              <w:pStyle w:val="Tabletext1"/>
              <w:ind w:left="0"/>
            </w:pPr>
            <w:r w:rsidRPr="00802C09">
              <w:t>Clinical management algorithm</w:t>
            </w:r>
          </w:p>
        </w:tc>
        <w:tc>
          <w:tcPr>
            <w:tcW w:w="1101" w:type="pct"/>
          </w:tcPr>
          <w:p w14:paraId="28CE06C3" w14:textId="65198871" w:rsidR="00916141" w:rsidRPr="00802C09" w:rsidRDefault="00916141" w:rsidP="00EB75E1">
            <w:pPr>
              <w:pStyle w:val="CommentTabletext"/>
              <w:ind w:left="0"/>
            </w:pPr>
            <w:r w:rsidRPr="00802C09">
              <w:t>Yes</w:t>
            </w:r>
          </w:p>
        </w:tc>
        <w:tc>
          <w:tcPr>
            <w:tcW w:w="2249" w:type="pct"/>
          </w:tcPr>
          <w:p w14:paraId="02E63645" w14:textId="77777777" w:rsidR="00916141" w:rsidRPr="00802C09" w:rsidRDefault="00916141" w:rsidP="00EB75E1">
            <w:pPr>
              <w:pStyle w:val="Tabletext1"/>
              <w:ind w:left="0"/>
            </w:pPr>
          </w:p>
        </w:tc>
      </w:tr>
      <w:tr w:rsidR="00916141" w14:paraId="3734469B" w14:textId="77777777" w:rsidTr="00EB75E1">
        <w:tc>
          <w:tcPr>
            <w:tcW w:w="1650" w:type="pct"/>
          </w:tcPr>
          <w:p w14:paraId="61F44CB0" w14:textId="77777777" w:rsidR="00916141" w:rsidRPr="00802C09" w:rsidRDefault="00916141" w:rsidP="00EB75E1">
            <w:pPr>
              <w:pStyle w:val="Tabletext1"/>
              <w:ind w:left="0"/>
            </w:pPr>
            <w:r w:rsidRPr="00802C09">
              <w:t>Clinical outcomes assessed</w:t>
            </w:r>
          </w:p>
        </w:tc>
        <w:tc>
          <w:tcPr>
            <w:tcW w:w="1101" w:type="pct"/>
          </w:tcPr>
          <w:p w14:paraId="742EF9D0" w14:textId="171DFEB9" w:rsidR="00916141" w:rsidRPr="00802C09" w:rsidRDefault="00916141" w:rsidP="00EB75E1">
            <w:pPr>
              <w:pStyle w:val="CommentTabletext"/>
              <w:ind w:left="0"/>
            </w:pPr>
            <w:r w:rsidRPr="00802C09">
              <w:t>Yes</w:t>
            </w:r>
          </w:p>
        </w:tc>
        <w:tc>
          <w:tcPr>
            <w:tcW w:w="2249" w:type="pct"/>
          </w:tcPr>
          <w:p w14:paraId="56DE9DC4" w14:textId="77777777" w:rsidR="00916141" w:rsidRDefault="00230D4B" w:rsidP="00EB75E1">
            <w:pPr>
              <w:pStyle w:val="Tabletext1"/>
              <w:ind w:left="0"/>
            </w:pPr>
            <w:r>
              <w:t>Clinical outcomes with available evidence included: Treatment toxicity (short- and long-term), tumour control, survival</w:t>
            </w:r>
            <w:r w:rsidR="006C7113">
              <w:t xml:space="preserve"> (OS, PFS, DFS), patient tolerance of treatment, quality of life, dosimetric evidence</w:t>
            </w:r>
          </w:p>
          <w:p w14:paraId="4932A6C2" w14:textId="5D61F07F" w:rsidR="006C7113" w:rsidRPr="00802C09" w:rsidRDefault="006C7113" w:rsidP="00EB75E1">
            <w:pPr>
              <w:pStyle w:val="Tabletext1"/>
              <w:ind w:left="0"/>
            </w:pPr>
            <w:r>
              <w:lastRenderedPageBreak/>
              <w:t>No evidence was found for facilitation of radiation therapy dose escalation</w:t>
            </w:r>
          </w:p>
        </w:tc>
      </w:tr>
      <w:tr w:rsidR="00916141" w14:paraId="7F1B5A49" w14:textId="77777777" w:rsidTr="00EB75E1">
        <w:tc>
          <w:tcPr>
            <w:tcW w:w="1650" w:type="pct"/>
          </w:tcPr>
          <w:p w14:paraId="6B8571E3" w14:textId="77777777" w:rsidR="00916141" w:rsidRPr="00802C09" w:rsidRDefault="00916141" w:rsidP="00EB75E1">
            <w:pPr>
              <w:pStyle w:val="Tabletext1"/>
              <w:ind w:left="0"/>
            </w:pPr>
            <w:r w:rsidRPr="00802C09">
              <w:lastRenderedPageBreak/>
              <w:t>Healthcare resources</w:t>
            </w:r>
          </w:p>
        </w:tc>
        <w:tc>
          <w:tcPr>
            <w:tcW w:w="1101" w:type="pct"/>
          </w:tcPr>
          <w:p w14:paraId="796EF989" w14:textId="3DF72530" w:rsidR="00916141" w:rsidRPr="00802C09" w:rsidRDefault="00916141" w:rsidP="00EB75E1">
            <w:pPr>
              <w:pStyle w:val="CommentTabletext"/>
              <w:ind w:left="0"/>
            </w:pPr>
            <w:r w:rsidRPr="00802C09">
              <w:t>Yes</w:t>
            </w:r>
          </w:p>
        </w:tc>
        <w:tc>
          <w:tcPr>
            <w:tcW w:w="2249" w:type="pct"/>
          </w:tcPr>
          <w:p w14:paraId="31680883" w14:textId="77777777" w:rsidR="00916141" w:rsidRPr="00802C09" w:rsidRDefault="00916141" w:rsidP="00EB75E1">
            <w:pPr>
              <w:pStyle w:val="Tabletext1"/>
              <w:ind w:left="0"/>
            </w:pPr>
          </w:p>
        </w:tc>
      </w:tr>
    </w:tbl>
    <w:p w14:paraId="22415D95" w14:textId="53B44ADE" w:rsidR="00916141" w:rsidRDefault="006C7113" w:rsidP="00916141">
      <w:pPr>
        <w:pStyle w:val="Tablenotes0"/>
      </w:pPr>
      <w:r>
        <w:t xml:space="preserve">DFS=disease-free survival; HCC=hepatocellular carcinoma; MBS=Medical Benefits Schedule; </w:t>
      </w:r>
      <w:r w:rsidR="00916141" w:rsidRPr="00802B6A">
        <w:t xml:space="preserve">NA=not applicable; </w:t>
      </w:r>
      <w:r>
        <w:t xml:space="preserve">OS=overall survival; </w:t>
      </w:r>
      <w:r w:rsidR="00916141" w:rsidRPr="00802B6A">
        <w:t>PASC=</w:t>
      </w:r>
      <w:r w:rsidR="00916141">
        <w:t xml:space="preserve">PICO </w:t>
      </w:r>
      <w:r w:rsidR="00916141" w:rsidRPr="00802B6A">
        <w:t>Advisory Sub-Committee</w:t>
      </w:r>
      <w:r>
        <w:t>; PFS=progression-free survival</w:t>
      </w:r>
    </w:p>
    <w:p w14:paraId="42223B9C" w14:textId="0E854885" w:rsidR="00F53F71" w:rsidRDefault="00430A95" w:rsidP="00AA2C7A">
      <w:r>
        <w:t>Due to t</w:t>
      </w:r>
      <w:r w:rsidR="00F65C41">
        <w:t xml:space="preserve">he paucity of comparative studies </w:t>
      </w:r>
      <w:r w:rsidR="00692777">
        <w:t xml:space="preserve">between </w:t>
      </w:r>
      <w:r w:rsidR="000B2B19">
        <w:t>the intervention (</w:t>
      </w:r>
      <w:r w:rsidR="00692777">
        <w:t>MR-IGRT</w:t>
      </w:r>
      <w:r w:rsidR="000B2B19">
        <w:t>)</w:t>
      </w:r>
      <w:r w:rsidR="00692777">
        <w:t xml:space="preserve"> and</w:t>
      </w:r>
      <w:r w:rsidR="000B2B19">
        <w:t xml:space="preserve"> the comparator (cone-beam computed tomography [CBCT]-guided radiation therapy;</w:t>
      </w:r>
      <w:r w:rsidR="00692777">
        <w:t xml:space="preserve"> CBCT-IGRT</w:t>
      </w:r>
      <w:r w:rsidR="000B2B19">
        <w:t>)</w:t>
      </w:r>
      <w:r w:rsidR="00692777">
        <w:t xml:space="preserve">, a naïve comparison was attempted. </w:t>
      </w:r>
      <w:r w:rsidR="00F60D14">
        <w:t xml:space="preserve">The findings of this comparison should be interpreted with caution and used for explorative purposes only. </w:t>
      </w:r>
      <w:r w:rsidR="006A5248">
        <w:t xml:space="preserve">Due to </w:t>
      </w:r>
      <w:r w:rsidR="005C08CD" w:rsidRPr="005C08CD">
        <w:t>a considerable heterogeneity</w:t>
      </w:r>
      <w:r w:rsidR="006A5248">
        <w:t xml:space="preserve"> in </w:t>
      </w:r>
      <w:r w:rsidR="005C08CD" w:rsidRPr="005C08CD">
        <w:t>patient populations, technologies used, and radiation dose received</w:t>
      </w:r>
      <w:r w:rsidR="00F60D14">
        <w:t xml:space="preserve"> </w:t>
      </w:r>
      <w:r w:rsidR="00E70663">
        <w:t>in the included</w:t>
      </w:r>
      <w:r w:rsidR="006A5248">
        <w:t xml:space="preserve"> studies on MR-IGRT and CBCT-IGRT, </w:t>
      </w:r>
      <w:r w:rsidR="00C64DF4">
        <w:t>the naïve comparison</w:t>
      </w:r>
      <w:r w:rsidR="00E70663">
        <w:t xml:space="preserve"> </w:t>
      </w:r>
      <w:r w:rsidR="00B57D10">
        <w:t xml:space="preserve">is of limited benefit in evaluating the outcomes pre-specified in the ratified PICO. </w:t>
      </w:r>
    </w:p>
    <w:p w14:paraId="398D4A98" w14:textId="77777777" w:rsidR="00B313E2" w:rsidRPr="00183E4D" w:rsidRDefault="00835007" w:rsidP="006C7113">
      <w:pPr>
        <w:pStyle w:val="Heading2"/>
        <w:numPr>
          <w:ilvl w:val="0"/>
          <w:numId w:val="8"/>
        </w:numPr>
      </w:pPr>
      <w:bookmarkStart w:id="183" w:name="_Ref59013268"/>
      <w:bookmarkStart w:id="184" w:name="_Toc59018757"/>
      <w:bookmarkStart w:id="185" w:name="_Toc59020301"/>
      <w:bookmarkStart w:id="186" w:name="_Toc59439523"/>
      <w:bookmarkStart w:id="187" w:name="_Toc89857795"/>
      <w:r w:rsidRPr="00183E4D">
        <w:t>Pro</w:t>
      </w:r>
      <w:r w:rsidR="007D2548" w:rsidRPr="00183E4D">
        <w:t>posed M</w:t>
      </w:r>
      <w:r w:rsidRPr="00183E4D">
        <w:t xml:space="preserve">edical </w:t>
      </w:r>
      <w:r w:rsidR="007D2548" w:rsidRPr="00183E4D">
        <w:t>S</w:t>
      </w:r>
      <w:r w:rsidRPr="00183E4D">
        <w:t>ervice</w:t>
      </w:r>
      <w:bookmarkStart w:id="188" w:name="_Toc381796441"/>
      <w:bookmarkEnd w:id="183"/>
      <w:bookmarkEnd w:id="184"/>
      <w:bookmarkEnd w:id="185"/>
      <w:bookmarkEnd w:id="186"/>
      <w:bookmarkEnd w:id="187"/>
    </w:p>
    <w:p w14:paraId="3B6D28C0" w14:textId="7C667477" w:rsidR="000025BB" w:rsidRDefault="00510C6B" w:rsidP="00510C6B">
      <w:bookmarkStart w:id="189" w:name="_Toc379118262"/>
      <w:bookmarkEnd w:id="188"/>
      <w:r>
        <w:t xml:space="preserve">An application requesting MBS listing of image-guided radiation therapy (IGRT) for cancer treatment delivery was received from the Trans-Tasman Radiation Oncology Group (TROG) </w:t>
      </w:r>
      <w:r w:rsidR="000025BB">
        <w:t xml:space="preserve">and the Faculty of Radiation Oncology within the Royal Australian and New Zealand College of Radiologists (RANZCR) </w:t>
      </w:r>
      <w:r>
        <w:t xml:space="preserve">by MSAC in August 2011 (MSAC application number 1319). MSAC supported public funding of IGRT on a cost neutral basis relative to MBS expenditure on three-dimensional conformal radiotherapy (3D-CRT) in April 2015. </w:t>
      </w:r>
      <w:r w:rsidR="000025BB">
        <w:t>IGRT may be delivered using a range of technolog</w:t>
      </w:r>
      <w:r w:rsidR="00EF78AC">
        <w:t>ies</w:t>
      </w:r>
      <w:r w:rsidR="000025BB">
        <w:t xml:space="preserve"> including two- and three-dimensional imaging, ultrasound, and magnetic resonance (MR).</w:t>
      </w:r>
    </w:p>
    <w:p w14:paraId="3009922E" w14:textId="650CBF95" w:rsidR="00510C6B" w:rsidRDefault="00D031E9" w:rsidP="00510C6B">
      <w:r>
        <w:t>The present application concerns MR-IGRT for cancer treatment delivery. This technology, also known as MR-linac, combines a</w:t>
      </w:r>
      <w:r w:rsidR="000025BB">
        <w:t xml:space="preserve"> </w:t>
      </w:r>
      <w:r>
        <w:t xml:space="preserve">MR </w:t>
      </w:r>
      <w:r w:rsidR="00E6576F">
        <w:t xml:space="preserve">imaging </w:t>
      </w:r>
      <w:r>
        <w:t xml:space="preserve">unit with a </w:t>
      </w:r>
      <w:r w:rsidR="00E6576F">
        <w:t>radiation therapy unit (</w:t>
      </w:r>
      <w:r>
        <w:t>linear accelerator</w:t>
      </w:r>
      <w:r w:rsidR="00E6576F">
        <w:t xml:space="preserve">, </w:t>
      </w:r>
      <w:r>
        <w:t xml:space="preserve">linac), allowing real-time imaging of target volumes and organs at risk </w:t>
      </w:r>
      <w:r w:rsidR="006B043D">
        <w:t xml:space="preserve">(OAR) </w:t>
      </w:r>
      <w:r>
        <w:t xml:space="preserve">before and during treatment delivery, with re-planning as necessary </w:t>
      </w:r>
      <w:r w:rsidR="000C77B0">
        <w:fldChar w:fldCharType="begin"/>
      </w:r>
      <w:r w:rsidR="000C77B0">
        <w:instrText xml:space="preserve"> ADDIN EN.CITE &lt;EndNote&gt;&lt;Cite&gt;&lt;Author&gt;Chin&lt;/Author&gt;&lt;Year&gt;2020&lt;/Year&gt;&lt;RecNum&gt;9&lt;/RecNum&gt;&lt;DisplayText&gt;(Chin et al., 2020)&lt;/DisplayText&gt;&lt;record&gt;&lt;rec-number&gt;9&lt;/rec-number&gt;&lt;foreign-keys&gt;&lt;key app="EN" db-id="sx5wsdwv795wvue959xxw0ptaewvdezxxp05" timestamp="1604445039"&gt;9&lt;/key&gt;&lt;/foreign-keys&gt;&lt;ref-type name="Journal Article"&gt;17&lt;/ref-type&gt;&lt;contributors&gt;&lt;authors&gt;&lt;author&gt;Chin, S.&lt;/author&gt;&lt;author&gt;Eccles, C. L.&lt;/author&gt;&lt;author&gt;McWilliam, A.&lt;/author&gt;&lt;author&gt;Chuter, R.&lt;/author&gt;&lt;author&gt;Walker, E.&lt;/author&gt;&lt;author&gt;Whitehurst, P.&lt;/author&gt;&lt;author&gt;Berresford, J.&lt;/author&gt;&lt;author&gt;Van Herk, M.&lt;/author&gt;&lt;author&gt;Hoskin, P. J.&lt;/author&gt;&lt;author&gt;Choudhury, A.&lt;/author&gt;&lt;/authors&gt;&lt;/contributors&gt;&lt;auth-address&gt;Department of Clinical Oncology, The Christie NHS Foundation Trust, Manchester, UK.&amp;#xD;Westmead Clinical School, University of Sydney, Sydney, New South Wales, Australia.&amp;#xD;Department of Radiotherapy, The Christie NHS Foundation Trust, Manchester, UK.&amp;#xD;Division of Cancer Sciences, The University of Manchester, Manchester, UK.&amp;#xD;Christie Medical Physics and Engineering, The Christie NHS Foundation Trust, Manchester, UK.&lt;/auth-address&gt;&lt;titles&gt;&lt;title&gt;Magnetic resonance-guided radiation therapy: A review&lt;/title&gt;&lt;secondary-title&gt;J Med Imaging Radiat Oncol&lt;/secondary-title&gt;&lt;/titles&gt;&lt;pages&gt;163-177&lt;/pages&gt;&lt;volume&gt;64&lt;/volume&gt;&lt;number&gt;1&lt;/number&gt;&lt;edition&gt;2019/10/28&lt;/edition&gt;&lt;keywords&gt;&lt;keyword&gt;MR-guided radiation therapy&lt;/keyword&gt;&lt;keyword&gt;magnetic resonance imaging&lt;/keyword&gt;&lt;keyword&gt;radiation oncology&lt;/keyword&gt;&lt;keyword&gt;radiation oncology imaging&lt;/keyword&gt;&lt;/keywords&gt;&lt;dates&gt;&lt;year&gt;2020&lt;/year&gt;&lt;pub-dates&gt;&lt;date&gt;Feb&lt;/date&gt;&lt;/pub-dates&gt;&lt;/dates&gt;&lt;isbn&gt;1754-9485 (Electronic)&amp;#xD;1754-9477 (Linking)&lt;/isbn&gt;&lt;accession-num&gt;31646742&lt;/accession-num&gt;&lt;urls&gt;&lt;related-urls&gt;&lt;url&gt;https://www.ncbi.nlm.nih.gov/pubmed/31646742&lt;/url&gt;&lt;url&gt;https://onlinelibrary.wiley.com/doi/pdfdirect/10.1111/1754-9485.12968?download=true&lt;/url&gt;&lt;/related-urls&gt;&lt;/urls&gt;&lt;electronic-resource-num&gt;10.1111/1754-9485.12968&lt;/electronic-resource-num&gt;&lt;/record&gt;&lt;/Cite&gt;&lt;/EndNote&gt;</w:instrText>
      </w:r>
      <w:r w:rsidR="000C77B0">
        <w:fldChar w:fldCharType="separate"/>
      </w:r>
      <w:r w:rsidR="000C77B0">
        <w:rPr>
          <w:noProof/>
        </w:rPr>
        <w:t>(</w:t>
      </w:r>
      <w:hyperlink w:anchor="_ENREF_22" w:tooltip="Chin, 2020 #9" w:history="1">
        <w:r w:rsidR="008B6FC0">
          <w:rPr>
            <w:noProof/>
          </w:rPr>
          <w:t>Chin et al., 2020</w:t>
        </w:r>
      </w:hyperlink>
      <w:r w:rsidR="000C77B0">
        <w:rPr>
          <w:noProof/>
        </w:rPr>
        <w:t>)</w:t>
      </w:r>
      <w:r w:rsidR="000C77B0">
        <w:fldChar w:fldCharType="end"/>
      </w:r>
      <w:r>
        <w:t>.</w:t>
      </w:r>
    </w:p>
    <w:p w14:paraId="65B7FC5A" w14:textId="322D355E" w:rsidR="0001210B" w:rsidRDefault="0001210B" w:rsidP="0001210B">
      <w:bookmarkStart w:id="190" w:name="_Toc381796448"/>
      <w:bookmarkStart w:id="191" w:name="_Toc395200760"/>
      <w:bookmarkStart w:id="192" w:name="_Toc381796445"/>
      <w:r>
        <w:t>MR-IGRT is expected to be used as a replacement to current practice (</w:t>
      </w:r>
      <w:r w:rsidDel="000B2B19">
        <w:t>CBCT</w:t>
      </w:r>
      <w:r w:rsidR="000B2B19">
        <w:t>-IGRT</w:t>
      </w:r>
      <w:r>
        <w:t>), and to</w:t>
      </w:r>
      <w:r w:rsidRPr="00BF1787">
        <w:t xml:space="preserve"> </w:t>
      </w:r>
      <w:r>
        <w:t>introduce a clinical choice for tumour sites benefiting of reduced target volume margins and hypofractionated courses</w:t>
      </w:r>
      <w:r w:rsidR="007E6230">
        <w:t xml:space="preserve"> (i.e. receiving the total radiation dose in fewer, but larger fractions given once a day or less often)</w:t>
      </w:r>
      <w:r>
        <w:t>. The extent to which the current standard of IGRT delivery (using CBCT imaging system) would be substituted with MR-IGRT may be difficult to estimate, because MR-IGRT is a relatively novel technique. The uptake of MR-IGRT is likely to depend on access to the service, resources, and clinical indications.</w:t>
      </w:r>
    </w:p>
    <w:p w14:paraId="7EC85628" w14:textId="77777777" w:rsidR="00477BCB" w:rsidRDefault="00477BCB" w:rsidP="00477BCB">
      <w:r>
        <w:t>It is proposed that the MR-IGRT treatment is delivered in inpatient and outpatient settings, both public and private.</w:t>
      </w:r>
    </w:p>
    <w:p w14:paraId="1529D5FC" w14:textId="403FF181" w:rsidR="007D2548" w:rsidRPr="00183E4D" w:rsidRDefault="007D2548" w:rsidP="007D2548">
      <w:pPr>
        <w:pStyle w:val="Heading3"/>
        <w:jc w:val="both"/>
      </w:pPr>
      <w:bookmarkStart w:id="193" w:name="_Toc59018758"/>
      <w:bookmarkStart w:id="194" w:name="_Toc59020302"/>
      <w:bookmarkStart w:id="195" w:name="_Toc59439524"/>
      <w:bookmarkStart w:id="196" w:name="_Toc89857796"/>
      <w:r w:rsidRPr="00183E4D">
        <w:lastRenderedPageBreak/>
        <w:t>Marketing status of device / technology</w:t>
      </w:r>
      <w:bookmarkEnd w:id="190"/>
      <w:bookmarkEnd w:id="191"/>
      <w:bookmarkEnd w:id="193"/>
      <w:bookmarkEnd w:id="194"/>
      <w:bookmarkEnd w:id="195"/>
      <w:bookmarkEnd w:id="196"/>
    </w:p>
    <w:p w14:paraId="623B0EA4" w14:textId="5F1791B5" w:rsidR="00226370" w:rsidRDefault="007D2548" w:rsidP="007D2548">
      <w:pPr>
        <w:jc w:val="both"/>
      </w:pPr>
      <w:r w:rsidRPr="00183E4D">
        <w:t>All therapeutic products marketed in Australia require listing on the Australian Register of Therapeutic Goods (ARTG). MSAC will not consider a therapeutic product for reimbursement if the device is not listed on the ARTG.</w:t>
      </w:r>
    </w:p>
    <w:p w14:paraId="3177D2F7" w14:textId="351E9DC8" w:rsidR="00226370" w:rsidRDefault="00226370" w:rsidP="007D2548">
      <w:pPr>
        <w:jc w:val="both"/>
      </w:pPr>
      <w:r>
        <w:t>According to a recently published literature review</w:t>
      </w:r>
      <w:r w:rsidR="006E0193">
        <w:t xml:space="preserve"> </w:t>
      </w:r>
      <w:r w:rsidR="000C77B0">
        <w:fldChar w:fldCharType="begin"/>
      </w:r>
      <w:r w:rsidR="000C77B0">
        <w:instrText xml:space="preserve"> ADDIN EN.CITE &lt;EndNote&gt;&lt;Cite&gt;&lt;Author&gt;Hall&lt;/Author&gt;&lt;Year&gt;2019&lt;/Year&gt;&lt;RecNum&gt;5&lt;/RecNum&gt;&lt;DisplayText&gt;(Hall et al., 2019)&lt;/DisplayText&gt;&lt;record&gt;&lt;rec-number&gt;5&lt;/rec-number&gt;&lt;foreign-keys&gt;&lt;key app="EN" db-id="sx5wsdwv795wvue959xxw0ptaewvdezxxp05" timestamp="1602214758"&gt;5&lt;/key&gt;&lt;/foreign-keys&gt;&lt;ref-type name="Journal Article"&gt;17&lt;/ref-type&gt;&lt;contributors&gt;&lt;authors&gt;&lt;author&gt;Hall, William A.&lt;/author&gt;&lt;author&gt;Paulson, Eric S.&lt;/author&gt;&lt;author&gt;van der Heide, Uulke A.&lt;/author&gt;&lt;author&gt;Fuller, Clifton D.&lt;/author&gt;&lt;author&gt;Raaymakers, B. W.&lt;/author&gt;&lt;author&gt;Lagendijk, Jan J. W.&lt;/author&gt;&lt;author&gt;Li, X. Allen&lt;/author&gt;&lt;author&gt;Jaffray, David A.&lt;/author&gt;&lt;author&gt;Dawson, Laura A.&lt;/author&gt;&lt;author&gt;Erickson, Beth&lt;/author&gt;&lt;author&gt;Verheij, Marcel&lt;/author&gt;&lt;author&gt;Harrington, Kevin J.&lt;/author&gt;&lt;author&gt;Sahgal, Arjun&lt;/author&gt;&lt;author&gt;Lee, Percy&lt;/author&gt;&lt;author&gt;Parikh, Parag J.&lt;/author&gt;&lt;author&gt;Bassetti, Michael F.&lt;/author&gt;&lt;author&gt;Robinson, Clifford G.&lt;/author&gt;&lt;author&gt;Minsky, Bruce D.&lt;/author&gt;&lt;author&gt;Choudhury, Ananya&lt;/author&gt;&lt;author&gt;Tersteeg, Robert J. H. A.&lt;/author&gt;&lt;author&gt;Schultz, Christopher J.&lt;/author&gt;&lt;/authors&gt;&lt;/contributors&gt;&lt;titles&gt;&lt;title&gt;The transformation of radiation oncology using real-time magnetic resonance guidance: A review&lt;/title&gt;&lt;secondary-title&gt;European Journal of Cancer&lt;/secondary-title&gt;&lt;/titles&gt;&lt;pages&gt;42-52&lt;/pages&gt;&lt;volume&gt;122&lt;/volume&gt;&lt;keywords&gt;&lt;keyword&gt;MR-guided radiation therapy&lt;/keyword&gt;&lt;keyword&gt;View ray&lt;/keyword&gt;&lt;keyword&gt;MRI and radiation therapy&lt;/keyword&gt;&lt;keyword&gt;Elekta Unity&lt;/keyword&gt;&lt;keyword&gt;Biologically guided radiation therapy&lt;/keyword&gt;&lt;keyword&gt;Image guidance&lt;/keyword&gt;&lt;keyword&gt;Novel radiation technology&lt;/keyword&gt;&lt;/keywords&gt;&lt;dates&gt;&lt;year&gt;2019&lt;/year&gt;&lt;pub-dates&gt;&lt;date&gt;2019/11/01/&lt;/date&gt;&lt;/pub-dates&gt;&lt;/dates&gt;&lt;isbn&gt;0959-8049&lt;/isbn&gt;&lt;urls&gt;&lt;related-urls&gt;&lt;url&gt;http://www.sciencedirect.com/science/article/pii/S0959804919304290&lt;/url&gt;&lt;/related-urls&gt;&lt;/urls&gt;&lt;electronic-resource-num&gt;https://doi.org/10.1016/j.ejca.2019.07.021&lt;/electronic-resource-num&gt;&lt;/record&gt;&lt;/Cite&gt;&lt;/EndNote&gt;</w:instrText>
      </w:r>
      <w:r w:rsidR="000C77B0">
        <w:fldChar w:fldCharType="separate"/>
      </w:r>
      <w:r w:rsidR="000C77B0">
        <w:rPr>
          <w:noProof/>
        </w:rPr>
        <w:t>(</w:t>
      </w:r>
      <w:hyperlink w:anchor="_ENREF_36" w:tooltip="Hall, 2019 #5" w:history="1">
        <w:r w:rsidR="008B6FC0">
          <w:rPr>
            <w:noProof/>
          </w:rPr>
          <w:t>Hall et al., 2019</w:t>
        </w:r>
      </w:hyperlink>
      <w:r w:rsidR="000C77B0">
        <w:rPr>
          <w:noProof/>
        </w:rPr>
        <w:t>)</w:t>
      </w:r>
      <w:r w:rsidR="000C77B0">
        <w:fldChar w:fldCharType="end"/>
      </w:r>
      <w:r>
        <w:t>, two commercial MR-IGRT technologies are currently available (ViewRay MRIdian Linac, ViewRay Technologies Inc., Oakwood Village, O</w:t>
      </w:r>
      <w:r w:rsidR="00EF78AC">
        <w:t>hio</w:t>
      </w:r>
      <w:r>
        <w:t>,</w:t>
      </w:r>
      <w:r w:rsidR="00EF78AC">
        <w:t xml:space="preserve"> USA,</w:t>
      </w:r>
      <w:r>
        <w:t xml:space="preserve"> and Elekta Unity, Elekta AB, Stockholm, Sweden). Two additional technologies are currently in development (Australian MRI Linac System by the Australian MRI-Linac Program, and Aurora-RT system by MagnetTx, Edmonton, Alberta, Canada).</w:t>
      </w:r>
    </w:p>
    <w:p w14:paraId="42C16BE8" w14:textId="345A5C59" w:rsidR="00E6576F" w:rsidRDefault="00E6576F" w:rsidP="007D2548">
      <w:pPr>
        <w:jc w:val="both"/>
      </w:pPr>
      <w:r>
        <w:t>The difference between the technologies lies</w:t>
      </w:r>
      <w:r w:rsidR="004362F3">
        <w:t>, among parameters,</w:t>
      </w:r>
      <w:r>
        <w:t xml:space="preserve"> in differing beam penetration and MRI field strength</w:t>
      </w:r>
      <w:r w:rsidR="00D20577">
        <w:t xml:space="preserve"> (</w:t>
      </w:r>
      <w:r w:rsidR="00D20577">
        <w:fldChar w:fldCharType="begin"/>
      </w:r>
      <w:r w:rsidR="00D20577">
        <w:instrText xml:space="preserve"> REF _Ref34398547 \h </w:instrText>
      </w:r>
      <w:r w:rsidR="00D20577">
        <w:fldChar w:fldCharType="separate"/>
      </w:r>
      <w:r w:rsidR="00451350" w:rsidRPr="003A61D8">
        <w:t xml:space="preserve">Table </w:t>
      </w:r>
      <w:r w:rsidR="00451350">
        <w:rPr>
          <w:noProof/>
        </w:rPr>
        <w:t>8</w:t>
      </w:r>
      <w:r w:rsidR="00D20577">
        <w:fldChar w:fldCharType="end"/>
      </w:r>
      <w:r w:rsidR="00D20577">
        <w:t>)</w:t>
      </w:r>
      <w:r>
        <w:t>.</w:t>
      </w:r>
    </w:p>
    <w:p w14:paraId="02BCFBF9" w14:textId="4A64635D" w:rsidR="00E6576F" w:rsidRPr="003A61D8" w:rsidRDefault="00E6576F" w:rsidP="00E6576F">
      <w:pPr>
        <w:pStyle w:val="Caption"/>
      </w:pPr>
      <w:bookmarkStart w:id="197" w:name="_Ref34398547"/>
      <w:bookmarkStart w:id="198" w:name="_Toc89857879"/>
      <w:r w:rsidRPr="003A61D8">
        <w:t xml:space="preserve">Table </w:t>
      </w:r>
      <w:r w:rsidR="00211285">
        <w:fldChar w:fldCharType="begin"/>
      </w:r>
      <w:r w:rsidR="00211285">
        <w:instrText xml:space="preserve"> SEQ Table \* ARABIC </w:instrText>
      </w:r>
      <w:r w:rsidR="00211285">
        <w:fldChar w:fldCharType="separate"/>
      </w:r>
      <w:r w:rsidR="00451350">
        <w:rPr>
          <w:noProof/>
        </w:rPr>
        <w:t>8</w:t>
      </w:r>
      <w:r w:rsidR="00211285">
        <w:rPr>
          <w:noProof/>
        </w:rPr>
        <w:fldChar w:fldCharType="end"/>
      </w:r>
      <w:bookmarkEnd w:id="197"/>
      <w:r w:rsidRPr="003A61D8">
        <w:tab/>
      </w:r>
      <w:r>
        <w:tab/>
      </w:r>
      <w:r w:rsidRPr="003A61D8">
        <w:t xml:space="preserve">Types of </w:t>
      </w:r>
      <w:r>
        <w:t>MR-IGRT</w:t>
      </w:r>
      <w:r w:rsidRPr="003A61D8">
        <w:t xml:space="preserve"> technologies currently available (</w:t>
      </w:r>
      <w:r>
        <w:t xml:space="preserve">adapted from </w:t>
      </w:r>
      <w:hyperlink w:anchor="_ENREF_36" w:tooltip="Hall, 2019 #5" w:history="1">
        <w:r w:rsidR="008B6FC0">
          <w:fldChar w:fldCharType="begin"/>
        </w:r>
        <w:r w:rsidR="008B6FC0">
          <w:instrText xml:space="preserve"> ADDIN EN.CITE &lt;EndNote&gt;&lt;Cite AuthorYear="1"&gt;&lt;Author&gt;Hall&lt;/Author&gt;&lt;Year&gt;2019&lt;/Year&gt;&lt;RecNum&gt;5&lt;/RecNum&gt;&lt;DisplayText&gt;Hall et al. (2019)&lt;/DisplayText&gt;&lt;record&gt;&lt;rec-number&gt;5&lt;/rec-number&gt;&lt;foreign-keys&gt;&lt;key app="EN" db-id="sx5wsdwv795wvue959xxw0ptaewvdezxxp05" timestamp="1602214758"&gt;5&lt;/key&gt;&lt;/foreign-keys&gt;&lt;ref-type name="Journal Article"&gt;17&lt;/ref-type&gt;&lt;contributors&gt;&lt;authors&gt;&lt;author&gt;Hall, William A.&lt;/author&gt;&lt;author&gt;Paulson, Eric S.&lt;/author&gt;&lt;author&gt;van der Heide, Uulke A.&lt;/author&gt;&lt;author&gt;Fuller, Clifton D.&lt;/author&gt;&lt;author&gt;Raaymakers, B. W.&lt;/author&gt;&lt;author&gt;Lagendijk, Jan J. W.&lt;/author&gt;&lt;author&gt;Li, X. Allen&lt;/author&gt;&lt;author&gt;Jaffray, David A.&lt;/author&gt;&lt;author&gt;Dawson, Laura A.&lt;/author&gt;&lt;author&gt;Erickson, Beth&lt;/author&gt;&lt;author&gt;Verheij, Marcel&lt;/author&gt;&lt;author&gt;Harrington, Kevin J.&lt;/author&gt;&lt;author&gt;Sahgal, Arjun&lt;/author&gt;&lt;author&gt;Lee, Percy&lt;/author&gt;&lt;author&gt;Parikh, Parag J.&lt;/author&gt;&lt;author&gt;Bassetti, Michael F.&lt;/author&gt;&lt;author&gt;Robinson, Clifford G.&lt;/author&gt;&lt;author&gt;Minsky, Bruce D.&lt;/author&gt;&lt;author&gt;Choudhury, Ananya&lt;/author&gt;&lt;author&gt;Tersteeg, Robert J. H. A.&lt;/author&gt;&lt;author&gt;Schultz, Christopher J.&lt;/author&gt;&lt;/authors&gt;&lt;/contributors&gt;&lt;titles&gt;&lt;title&gt;The transformation of radiation oncology using real-time magnetic resonance guidance: A review&lt;/title&gt;&lt;secondary-title&gt;European Journal of Cancer&lt;/secondary-title&gt;&lt;/titles&gt;&lt;pages&gt;42-52&lt;/pages&gt;&lt;volume&gt;122&lt;/volume&gt;&lt;keywords&gt;&lt;keyword&gt;MR-guided radiation therapy&lt;/keyword&gt;&lt;keyword&gt;View ray&lt;/keyword&gt;&lt;keyword&gt;MRI and radiation therapy&lt;/keyword&gt;&lt;keyword&gt;Elekta Unity&lt;/keyword&gt;&lt;keyword&gt;Biologically guided radiation therapy&lt;/keyword&gt;&lt;keyword&gt;Image guidance&lt;/keyword&gt;&lt;keyword&gt;Novel radiation technology&lt;/keyword&gt;&lt;/keywords&gt;&lt;dates&gt;&lt;year&gt;2019&lt;/year&gt;&lt;pub-dates&gt;&lt;date&gt;2019/11/01/&lt;/date&gt;&lt;/pub-dates&gt;&lt;/dates&gt;&lt;isbn&gt;0959-8049&lt;/isbn&gt;&lt;urls&gt;&lt;related-urls&gt;&lt;url&gt;http://www.sciencedirect.com/science/article/pii/S0959804919304290&lt;/url&gt;&lt;/related-urls&gt;&lt;/urls&gt;&lt;electronic-resource-num&gt;https://doi.org/10.1016/j.ejca.2019.07.021&lt;/electronic-resource-num&gt;&lt;/record&gt;&lt;/Cite&gt;&lt;/EndNote&gt;</w:instrText>
        </w:r>
        <w:r w:rsidR="008B6FC0">
          <w:fldChar w:fldCharType="separate"/>
        </w:r>
        <w:r w:rsidR="008B6FC0">
          <w:rPr>
            <w:noProof/>
          </w:rPr>
          <w:t>Hall et al. (2019)</w:t>
        </w:r>
        <w:r w:rsidR="008B6FC0">
          <w:fldChar w:fldCharType="end"/>
        </w:r>
      </w:hyperlink>
      <w:r w:rsidR="004362F3">
        <w:t xml:space="preserve"> and </w:t>
      </w:r>
      <w:hyperlink w:anchor="_ENREF_22" w:tooltip="Chin, 2020 #9" w:history="1">
        <w:r w:rsidR="008B6FC0">
          <w:fldChar w:fldCharType="begin"/>
        </w:r>
        <w:r w:rsidR="008B6FC0">
          <w:instrText xml:space="preserve"> ADDIN EN.CITE &lt;EndNote&gt;&lt;Cite AuthorYear="1"&gt;&lt;Author&gt;Chin&lt;/Author&gt;&lt;Year&gt;2020&lt;/Year&gt;&lt;RecNum&gt;9&lt;/RecNum&gt;&lt;DisplayText&gt;Chin et al. (2020)&lt;/DisplayText&gt;&lt;record&gt;&lt;rec-number&gt;9&lt;/rec-number&gt;&lt;foreign-keys&gt;&lt;key app="EN" db-id="sx5wsdwv795wvue959xxw0ptaewvdezxxp05" timestamp="1604445039"&gt;9&lt;/key&gt;&lt;/foreign-keys&gt;&lt;ref-type name="Journal Article"&gt;17&lt;/ref-type&gt;&lt;contributors&gt;&lt;authors&gt;&lt;author&gt;Chin, S.&lt;/author&gt;&lt;author&gt;Eccles, C. L.&lt;/author&gt;&lt;author&gt;McWilliam, A.&lt;/author&gt;&lt;author&gt;Chuter, R.&lt;/author&gt;&lt;author&gt;Walker, E.&lt;/author&gt;&lt;author&gt;Whitehurst, P.&lt;/author&gt;&lt;author&gt;Berresford, J.&lt;/author&gt;&lt;author&gt;Van Herk, M.&lt;/author&gt;&lt;author&gt;Hoskin, P. J.&lt;/author&gt;&lt;author&gt;Choudhury, A.&lt;/author&gt;&lt;/authors&gt;&lt;/contributors&gt;&lt;auth-address&gt;Department of Clinical Oncology, The Christie NHS Foundation Trust, Manchester, UK.&amp;#xD;Westmead Clinical School, University of Sydney, Sydney, New South Wales, Australia.&amp;#xD;Department of Radiotherapy, The Christie NHS Foundation Trust, Manchester, UK.&amp;#xD;Division of Cancer Sciences, The University of Manchester, Manchester, UK.&amp;#xD;Christie Medical Physics and Engineering, The Christie NHS Foundation Trust, Manchester, UK.&lt;/auth-address&gt;&lt;titles&gt;&lt;title&gt;Magnetic resonance-guided radiation therapy: A review&lt;/title&gt;&lt;secondary-title&gt;J Med Imaging Radiat Oncol&lt;/secondary-title&gt;&lt;/titles&gt;&lt;pages&gt;163-177&lt;/pages&gt;&lt;volume&gt;64&lt;/volume&gt;&lt;number&gt;1&lt;/number&gt;&lt;edition&gt;2019/10/28&lt;/edition&gt;&lt;keywords&gt;&lt;keyword&gt;MR-guided radiation therapy&lt;/keyword&gt;&lt;keyword&gt;magnetic resonance imaging&lt;/keyword&gt;&lt;keyword&gt;radiation oncology&lt;/keyword&gt;&lt;keyword&gt;radiation oncology imaging&lt;/keyword&gt;&lt;/keywords&gt;&lt;dates&gt;&lt;year&gt;2020&lt;/year&gt;&lt;pub-dates&gt;&lt;date&gt;Feb&lt;/date&gt;&lt;/pub-dates&gt;&lt;/dates&gt;&lt;isbn&gt;1754-9485 (Electronic)&amp;#xD;1754-9477 (Linking)&lt;/isbn&gt;&lt;accession-num&gt;31646742&lt;/accession-num&gt;&lt;urls&gt;&lt;related-urls&gt;&lt;url&gt;https://www.ncbi.nlm.nih.gov/pubmed/31646742&lt;/url&gt;&lt;url&gt;https://onlinelibrary.wiley.com/doi/pdfdirect/10.1111/1754-9485.12968?download=true&lt;/url&gt;&lt;/related-urls&gt;&lt;/urls&gt;&lt;electronic-resource-num&gt;10.1111/1754-9485.12968&lt;/electronic-resource-num&gt;&lt;/record&gt;&lt;/Cite&gt;&lt;/EndNote&gt;</w:instrText>
        </w:r>
        <w:r w:rsidR="008B6FC0">
          <w:fldChar w:fldCharType="separate"/>
        </w:r>
        <w:r w:rsidR="008B6FC0">
          <w:rPr>
            <w:noProof/>
          </w:rPr>
          <w:t>Chin et al. (2020)</w:t>
        </w:r>
        <w:r w:rsidR="008B6FC0">
          <w:fldChar w:fldCharType="end"/>
        </w:r>
      </w:hyperlink>
      <w:r w:rsidRPr="003A61D8">
        <w:t>)</w:t>
      </w:r>
      <w:bookmarkEnd w:id="198"/>
      <w:r w:rsidR="004362F3">
        <w:t xml:space="preserve"> </w:t>
      </w:r>
    </w:p>
    <w:tbl>
      <w:tblPr>
        <w:tblStyle w:val="TableGrid"/>
        <w:tblW w:w="0" w:type="auto"/>
        <w:tblLook w:val="04A0" w:firstRow="1" w:lastRow="0" w:firstColumn="1" w:lastColumn="0" w:noHBand="0" w:noVBand="1"/>
        <w:tblCaption w:val="Table 8 Types of MR-IGRT technologies currently available (adapted from Hall, 2019 and Chin, 2020) "/>
        <w:tblDescription w:val="This table describes types of MR-IGRT technoligies currently available adapted from two studies Hall, 2019 and Chin, 2020"/>
      </w:tblPr>
      <w:tblGrid>
        <w:gridCol w:w="1558"/>
        <w:gridCol w:w="2378"/>
        <w:gridCol w:w="1269"/>
        <w:gridCol w:w="1173"/>
        <w:gridCol w:w="1430"/>
        <w:gridCol w:w="1208"/>
      </w:tblGrid>
      <w:tr w:rsidR="00E6576F" w:rsidRPr="00A9467F" w14:paraId="0822933E" w14:textId="77777777" w:rsidTr="004362F3">
        <w:trPr>
          <w:trHeight w:val="512"/>
          <w:tblHeader/>
        </w:trPr>
        <w:tc>
          <w:tcPr>
            <w:tcW w:w="1558" w:type="dxa"/>
            <w:tcBorders>
              <w:bottom w:val="single" w:sz="4" w:space="0" w:color="auto"/>
            </w:tcBorders>
          </w:tcPr>
          <w:p w14:paraId="271B3BA0" w14:textId="77777777" w:rsidR="00E6576F" w:rsidRPr="00EB75E1" w:rsidRDefault="00E6576F" w:rsidP="00EB75E1">
            <w:pPr>
              <w:pStyle w:val="Tabletext1"/>
              <w:ind w:left="22"/>
              <w:rPr>
                <w:b/>
                <w:bCs/>
                <w:lang w:val="en-GB" w:eastAsia="ja-JP"/>
              </w:rPr>
            </w:pPr>
            <w:r w:rsidRPr="00EB75E1">
              <w:rPr>
                <w:b/>
                <w:bCs/>
                <w:lang w:val="en-GB" w:eastAsia="ja-JP"/>
              </w:rPr>
              <w:t>Commercial name</w:t>
            </w:r>
          </w:p>
        </w:tc>
        <w:tc>
          <w:tcPr>
            <w:tcW w:w="2378" w:type="dxa"/>
            <w:tcBorders>
              <w:bottom w:val="single" w:sz="4" w:space="0" w:color="auto"/>
            </w:tcBorders>
          </w:tcPr>
          <w:p w14:paraId="5ACB3D7F" w14:textId="77777777" w:rsidR="00E6576F" w:rsidRPr="00EB75E1" w:rsidRDefault="00E6576F" w:rsidP="00EB75E1">
            <w:pPr>
              <w:pStyle w:val="Tabletext1"/>
              <w:ind w:left="22"/>
              <w:jc w:val="center"/>
              <w:rPr>
                <w:b/>
                <w:bCs/>
                <w:lang w:val="en-GB" w:eastAsia="ja-JP"/>
              </w:rPr>
            </w:pPr>
            <w:r w:rsidRPr="00EB75E1">
              <w:rPr>
                <w:b/>
                <w:bCs/>
                <w:lang w:val="en-GB" w:eastAsia="ja-JP"/>
              </w:rPr>
              <w:t>Manufacturer</w:t>
            </w:r>
          </w:p>
        </w:tc>
        <w:tc>
          <w:tcPr>
            <w:tcW w:w="1269" w:type="dxa"/>
            <w:tcBorders>
              <w:bottom w:val="single" w:sz="4" w:space="0" w:color="auto"/>
            </w:tcBorders>
          </w:tcPr>
          <w:p w14:paraId="42030FD9" w14:textId="77777777" w:rsidR="00E6576F" w:rsidRPr="00EB75E1" w:rsidRDefault="00E6576F" w:rsidP="00EB75E1">
            <w:pPr>
              <w:pStyle w:val="Tabletext1"/>
              <w:ind w:left="22"/>
              <w:jc w:val="center"/>
              <w:rPr>
                <w:b/>
                <w:bCs/>
                <w:lang w:val="en-GB" w:eastAsia="ja-JP"/>
              </w:rPr>
            </w:pPr>
            <w:r w:rsidRPr="00EB75E1">
              <w:rPr>
                <w:b/>
                <w:bCs/>
                <w:lang w:val="en-GB" w:eastAsia="ja-JP"/>
              </w:rPr>
              <w:t>MRI field strength</w:t>
            </w:r>
          </w:p>
        </w:tc>
        <w:tc>
          <w:tcPr>
            <w:tcW w:w="1173" w:type="dxa"/>
            <w:tcBorders>
              <w:bottom w:val="single" w:sz="4" w:space="0" w:color="auto"/>
            </w:tcBorders>
          </w:tcPr>
          <w:p w14:paraId="0A83C217" w14:textId="77777777" w:rsidR="00E6576F" w:rsidRPr="00EB75E1" w:rsidRDefault="00E6576F" w:rsidP="00EB75E1">
            <w:pPr>
              <w:pStyle w:val="Tabletext1"/>
              <w:ind w:left="22"/>
              <w:jc w:val="center"/>
              <w:rPr>
                <w:b/>
                <w:bCs/>
                <w:lang w:val="en-GB" w:eastAsia="ja-JP"/>
              </w:rPr>
            </w:pPr>
            <w:r w:rsidRPr="00EB75E1">
              <w:rPr>
                <w:b/>
                <w:bCs/>
                <w:lang w:val="en-GB" w:eastAsia="ja-JP"/>
              </w:rPr>
              <w:t>Bore size</w:t>
            </w:r>
          </w:p>
        </w:tc>
        <w:tc>
          <w:tcPr>
            <w:tcW w:w="1430" w:type="dxa"/>
            <w:tcBorders>
              <w:bottom w:val="single" w:sz="4" w:space="0" w:color="auto"/>
            </w:tcBorders>
          </w:tcPr>
          <w:p w14:paraId="7BB9A00D" w14:textId="77777777" w:rsidR="00E6576F" w:rsidRPr="00EB75E1" w:rsidRDefault="00E6576F" w:rsidP="00EB75E1">
            <w:pPr>
              <w:pStyle w:val="Tabletext1"/>
              <w:ind w:left="22"/>
              <w:jc w:val="center"/>
              <w:rPr>
                <w:b/>
                <w:bCs/>
                <w:lang w:val="en-GB" w:eastAsia="ja-JP"/>
              </w:rPr>
            </w:pPr>
            <w:r w:rsidRPr="00EB75E1">
              <w:rPr>
                <w:b/>
                <w:bCs/>
                <w:lang w:val="en-GB" w:eastAsia="ja-JP"/>
              </w:rPr>
              <w:t>Beam strength</w:t>
            </w:r>
          </w:p>
          <w:p w14:paraId="1B3E1FAA" w14:textId="77777777" w:rsidR="00E6576F" w:rsidRPr="00EB75E1" w:rsidRDefault="00E6576F" w:rsidP="00EB75E1">
            <w:pPr>
              <w:pStyle w:val="Tabletext1"/>
              <w:ind w:left="22"/>
              <w:jc w:val="center"/>
              <w:rPr>
                <w:b/>
                <w:bCs/>
                <w:lang w:val="en-GB" w:eastAsia="ja-JP"/>
              </w:rPr>
            </w:pPr>
          </w:p>
        </w:tc>
        <w:tc>
          <w:tcPr>
            <w:tcW w:w="1208" w:type="dxa"/>
            <w:tcBorders>
              <w:bottom w:val="single" w:sz="4" w:space="0" w:color="auto"/>
            </w:tcBorders>
          </w:tcPr>
          <w:p w14:paraId="395189DC" w14:textId="1D640AF3" w:rsidR="00E6576F" w:rsidRPr="00EB75E1" w:rsidRDefault="00E6576F" w:rsidP="00EB75E1">
            <w:pPr>
              <w:pStyle w:val="Tabletext1"/>
              <w:ind w:left="22"/>
              <w:jc w:val="center"/>
              <w:rPr>
                <w:b/>
                <w:bCs/>
                <w:lang w:val="en-GB" w:eastAsia="ja-JP"/>
              </w:rPr>
            </w:pPr>
            <w:r w:rsidRPr="00EB75E1">
              <w:rPr>
                <w:b/>
                <w:bCs/>
                <w:lang w:val="en-GB" w:eastAsia="ja-JP"/>
              </w:rPr>
              <w:t>ARTG n</w:t>
            </w:r>
            <w:r w:rsidR="004362F3" w:rsidRPr="00EB75E1">
              <w:rPr>
                <w:b/>
                <w:bCs/>
                <w:lang w:val="en-GB" w:eastAsia="ja-JP"/>
              </w:rPr>
              <w:t>o.</w:t>
            </w:r>
          </w:p>
        </w:tc>
      </w:tr>
      <w:tr w:rsidR="00E6576F" w:rsidRPr="00A9467F" w14:paraId="05EED8F7" w14:textId="77777777" w:rsidTr="004362F3">
        <w:tc>
          <w:tcPr>
            <w:tcW w:w="1558" w:type="dxa"/>
            <w:tcBorders>
              <w:top w:val="single" w:sz="4" w:space="0" w:color="auto"/>
              <w:left w:val="single" w:sz="4" w:space="0" w:color="auto"/>
              <w:bottom w:val="single" w:sz="4" w:space="0" w:color="auto"/>
              <w:right w:val="nil"/>
            </w:tcBorders>
          </w:tcPr>
          <w:p w14:paraId="31776E97" w14:textId="77777777" w:rsidR="00E6576F" w:rsidRPr="00EB75E1" w:rsidRDefault="00E6576F" w:rsidP="00EB75E1">
            <w:pPr>
              <w:pStyle w:val="Tabletext1"/>
              <w:ind w:left="22"/>
              <w:rPr>
                <w:b/>
                <w:bCs/>
                <w:lang w:val="en-GB" w:eastAsia="ja-JP"/>
              </w:rPr>
            </w:pPr>
            <w:r w:rsidRPr="00EB75E1">
              <w:rPr>
                <w:b/>
                <w:bCs/>
                <w:lang w:val="en-GB" w:eastAsia="ja-JP"/>
              </w:rPr>
              <w:t>Available</w:t>
            </w:r>
          </w:p>
        </w:tc>
        <w:tc>
          <w:tcPr>
            <w:tcW w:w="2378" w:type="dxa"/>
            <w:tcBorders>
              <w:top w:val="single" w:sz="4" w:space="0" w:color="auto"/>
              <w:left w:val="nil"/>
              <w:bottom w:val="single" w:sz="4" w:space="0" w:color="auto"/>
              <w:right w:val="nil"/>
            </w:tcBorders>
          </w:tcPr>
          <w:p w14:paraId="4DDA721E" w14:textId="77777777" w:rsidR="00E6576F" w:rsidRPr="00A9467F" w:rsidRDefault="00E6576F" w:rsidP="00EB75E1">
            <w:pPr>
              <w:pStyle w:val="Tabletext1"/>
              <w:ind w:left="22"/>
              <w:jc w:val="center"/>
              <w:rPr>
                <w:lang w:val="en-GB" w:eastAsia="ja-JP"/>
              </w:rPr>
            </w:pPr>
          </w:p>
        </w:tc>
        <w:tc>
          <w:tcPr>
            <w:tcW w:w="1269" w:type="dxa"/>
            <w:tcBorders>
              <w:top w:val="single" w:sz="4" w:space="0" w:color="auto"/>
              <w:left w:val="nil"/>
              <w:bottom w:val="single" w:sz="4" w:space="0" w:color="auto"/>
              <w:right w:val="nil"/>
            </w:tcBorders>
          </w:tcPr>
          <w:p w14:paraId="5058CBE1" w14:textId="77777777" w:rsidR="00E6576F" w:rsidRPr="00A9467F" w:rsidRDefault="00E6576F" w:rsidP="00EB75E1">
            <w:pPr>
              <w:pStyle w:val="Tabletext1"/>
              <w:ind w:left="22"/>
              <w:jc w:val="center"/>
              <w:rPr>
                <w:lang w:val="en-GB" w:eastAsia="ja-JP"/>
              </w:rPr>
            </w:pPr>
          </w:p>
        </w:tc>
        <w:tc>
          <w:tcPr>
            <w:tcW w:w="1173" w:type="dxa"/>
            <w:tcBorders>
              <w:top w:val="single" w:sz="4" w:space="0" w:color="auto"/>
              <w:left w:val="nil"/>
              <w:bottom w:val="single" w:sz="4" w:space="0" w:color="auto"/>
              <w:right w:val="nil"/>
            </w:tcBorders>
          </w:tcPr>
          <w:p w14:paraId="79924E8D" w14:textId="77777777" w:rsidR="00E6576F" w:rsidRPr="00A9467F" w:rsidRDefault="00E6576F" w:rsidP="00EB75E1">
            <w:pPr>
              <w:pStyle w:val="Tabletext1"/>
              <w:ind w:left="22"/>
              <w:jc w:val="center"/>
              <w:rPr>
                <w:lang w:val="en-GB" w:eastAsia="ja-JP"/>
              </w:rPr>
            </w:pPr>
          </w:p>
        </w:tc>
        <w:tc>
          <w:tcPr>
            <w:tcW w:w="1430" w:type="dxa"/>
            <w:tcBorders>
              <w:top w:val="single" w:sz="4" w:space="0" w:color="auto"/>
              <w:left w:val="nil"/>
              <w:bottom w:val="single" w:sz="4" w:space="0" w:color="auto"/>
              <w:right w:val="nil"/>
            </w:tcBorders>
          </w:tcPr>
          <w:p w14:paraId="7CDC72ED" w14:textId="77777777" w:rsidR="00E6576F" w:rsidRPr="00A9467F" w:rsidRDefault="00E6576F" w:rsidP="00EB75E1">
            <w:pPr>
              <w:pStyle w:val="Tabletext1"/>
              <w:ind w:left="22"/>
              <w:jc w:val="center"/>
              <w:rPr>
                <w:lang w:val="en-GB" w:eastAsia="ja-JP"/>
              </w:rPr>
            </w:pPr>
          </w:p>
        </w:tc>
        <w:tc>
          <w:tcPr>
            <w:tcW w:w="1208" w:type="dxa"/>
            <w:tcBorders>
              <w:top w:val="single" w:sz="4" w:space="0" w:color="auto"/>
              <w:left w:val="nil"/>
              <w:bottom w:val="single" w:sz="4" w:space="0" w:color="auto"/>
              <w:right w:val="single" w:sz="4" w:space="0" w:color="auto"/>
            </w:tcBorders>
          </w:tcPr>
          <w:p w14:paraId="3031EA1B" w14:textId="77777777" w:rsidR="00E6576F" w:rsidRPr="00A9467F" w:rsidRDefault="00E6576F" w:rsidP="00EB75E1">
            <w:pPr>
              <w:pStyle w:val="Tabletext1"/>
              <w:ind w:left="22"/>
              <w:jc w:val="center"/>
              <w:rPr>
                <w:lang w:val="en-GB" w:eastAsia="ja-JP"/>
              </w:rPr>
            </w:pPr>
          </w:p>
        </w:tc>
      </w:tr>
      <w:tr w:rsidR="00E6576F" w:rsidRPr="00A9467F" w14:paraId="0DEFDD72" w14:textId="77777777" w:rsidTr="004362F3">
        <w:tc>
          <w:tcPr>
            <w:tcW w:w="1558" w:type="dxa"/>
            <w:tcBorders>
              <w:top w:val="single" w:sz="4" w:space="0" w:color="auto"/>
            </w:tcBorders>
          </w:tcPr>
          <w:p w14:paraId="37063653" w14:textId="7B2DF706" w:rsidR="00E6576F" w:rsidRPr="00A9467F" w:rsidRDefault="004362F3" w:rsidP="00EB75E1">
            <w:pPr>
              <w:pStyle w:val="Tabletext1"/>
              <w:ind w:left="22"/>
              <w:rPr>
                <w:lang w:val="en-GB" w:eastAsia="ja-JP"/>
              </w:rPr>
            </w:pPr>
            <w:r w:rsidRPr="00A9467F">
              <w:rPr>
                <w:lang w:val="en-GB" w:eastAsia="ja-JP"/>
              </w:rPr>
              <w:t>ViewRay Co</w:t>
            </w:r>
            <w:r w:rsidR="00E6576F" w:rsidRPr="00A9467F">
              <w:rPr>
                <w:lang w:val="en-GB" w:eastAsia="ja-JP"/>
              </w:rPr>
              <w:t xml:space="preserve">-60 </w:t>
            </w:r>
          </w:p>
        </w:tc>
        <w:tc>
          <w:tcPr>
            <w:tcW w:w="2378" w:type="dxa"/>
            <w:tcBorders>
              <w:top w:val="single" w:sz="4" w:space="0" w:color="auto"/>
            </w:tcBorders>
          </w:tcPr>
          <w:p w14:paraId="045EE9A5" w14:textId="77777777" w:rsidR="00E6576F" w:rsidRPr="00A9467F" w:rsidRDefault="00E6576F" w:rsidP="00EB75E1">
            <w:pPr>
              <w:pStyle w:val="Tabletext1"/>
              <w:ind w:left="22"/>
              <w:jc w:val="center"/>
              <w:rPr>
                <w:lang w:val="en-GB" w:eastAsia="ja-JP"/>
              </w:rPr>
            </w:pPr>
            <w:r w:rsidRPr="00A9467F">
              <w:rPr>
                <w:lang w:val="en-GB" w:eastAsia="ja-JP"/>
              </w:rPr>
              <w:t>ViewRay Technologies Inc,</w:t>
            </w:r>
          </w:p>
          <w:p w14:paraId="48360A1A" w14:textId="77777777" w:rsidR="00E6576F" w:rsidRPr="00A9467F" w:rsidRDefault="00E6576F" w:rsidP="00EB75E1">
            <w:pPr>
              <w:pStyle w:val="Tabletext1"/>
              <w:ind w:left="22"/>
              <w:jc w:val="center"/>
              <w:rPr>
                <w:lang w:val="en-GB" w:eastAsia="ja-JP"/>
              </w:rPr>
            </w:pPr>
            <w:r w:rsidRPr="00A9467F">
              <w:rPr>
                <w:lang w:val="en-GB" w:eastAsia="ja-JP"/>
              </w:rPr>
              <w:t>Oakwood Village, Ohio</w:t>
            </w:r>
          </w:p>
        </w:tc>
        <w:tc>
          <w:tcPr>
            <w:tcW w:w="1269" w:type="dxa"/>
            <w:tcBorders>
              <w:top w:val="single" w:sz="4" w:space="0" w:color="auto"/>
            </w:tcBorders>
          </w:tcPr>
          <w:p w14:paraId="5C2E52E6" w14:textId="77777777" w:rsidR="00E6576F" w:rsidRPr="00A9467F" w:rsidRDefault="00E6576F" w:rsidP="00EB75E1">
            <w:pPr>
              <w:pStyle w:val="Tabletext1"/>
              <w:ind w:left="22"/>
              <w:jc w:val="center"/>
              <w:rPr>
                <w:lang w:val="en-GB" w:eastAsia="ja-JP"/>
              </w:rPr>
            </w:pPr>
            <w:r w:rsidRPr="00A9467F">
              <w:rPr>
                <w:lang w:val="en-GB" w:eastAsia="ja-JP"/>
              </w:rPr>
              <w:t>0.35T</w:t>
            </w:r>
          </w:p>
        </w:tc>
        <w:tc>
          <w:tcPr>
            <w:tcW w:w="1173" w:type="dxa"/>
            <w:tcBorders>
              <w:top w:val="single" w:sz="4" w:space="0" w:color="auto"/>
            </w:tcBorders>
          </w:tcPr>
          <w:p w14:paraId="782F1805" w14:textId="19D90485" w:rsidR="00E6576F" w:rsidRPr="00A9467F" w:rsidRDefault="00E6576F" w:rsidP="00EB75E1">
            <w:pPr>
              <w:pStyle w:val="Tabletext1"/>
              <w:ind w:left="22"/>
              <w:jc w:val="center"/>
              <w:rPr>
                <w:lang w:val="en-GB" w:eastAsia="ja-JP"/>
              </w:rPr>
            </w:pPr>
            <w:r w:rsidRPr="00A9467F">
              <w:rPr>
                <w:lang w:val="en-GB" w:eastAsia="ja-JP"/>
              </w:rPr>
              <w:t>70 cm</w:t>
            </w:r>
          </w:p>
        </w:tc>
        <w:tc>
          <w:tcPr>
            <w:tcW w:w="1430" w:type="dxa"/>
            <w:tcBorders>
              <w:top w:val="single" w:sz="4" w:space="0" w:color="auto"/>
            </w:tcBorders>
          </w:tcPr>
          <w:p w14:paraId="41B9692F" w14:textId="77777777" w:rsidR="00E6576F" w:rsidRPr="00A9467F" w:rsidRDefault="00E6576F" w:rsidP="00EB75E1">
            <w:pPr>
              <w:pStyle w:val="Tabletext1"/>
              <w:ind w:left="22"/>
              <w:jc w:val="center"/>
              <w:rPr>
                <w:lang w:val="en-GB" w:eastAsia="ja-JP"/>
              </w:rPr>
            </w:pPr>
            <w:r w:rsidRPr="00A9467F">
              <w:rPr>
                <w:lang w:val="en-GB" w:eastAsia="ja-JP"/>
              </w:rPr>
              <w:t>Co-60 source</w:t>
            </w:r>
          </w:p>
          <w:p w14:paraId="0105032D" w14:textId="77777777" w:rsidR="00E6576F" w:rsidRPr="00A9467F" w:rsidRDefault="00E6576F" w:rsidP="00EB75E1">
            <w:pPr>
              <w:pStyle w:val="Tabletext1"/>
              <w:ind w:left="22"/>
              <w:jc w:val="center"/>
              <w:rPr>
                <w:lang w:val="en-GB" w:eastAsia="ja-JP"/>
              </w:rPr>
            </w:pPr>
          </w:p>
        </w:tc>
        <w:tc>
          <w:tcPr>
            <w:tcW w:w="1208" w:type="dxa"/>
            <w:tcBorders>
              <w:top w:val="single" w:sz="4" w:space="0" w:color="auto"/>
            </w:tcBorders>
          </w:tcPr>
          <w:p w14:paraId="38577352" w14:textId="77777777" w:rsidR="00E6576F" w:rsidRPr="00A9467F" w:rsidRDefault="00E6576F" w:rsidP="00EB75E1">
            <w:pPr>
              <w:pStyle w:val="Tabletext1"/>
              <w:ind w:left="22"/>
              <w:jc w:val="center"/>
              <w:rPr>
                <w:lang w:val="en-GB" w:eastAsia="ja-JP"/>
              </w:rPr>
            </w:pPr>
            <w:r>
              <w:rPr>
                <w:lang w:val="en-GB" w:eastAsia="ja-JP"/>
              </w:rPr>
              <w:t>NA</w:t>
            </w:r>
          </w:p>
        </w:tc>
      </w:tr>
      <w:tr w:rsidR="00E6576F" w:rsidRPr="00A9467F" w14:paraId="4D64483C" w14:textId="77777777" w:rsidTr="00340972">
        <w:tc>
          <w:tcPr>
            <w:tcW w:w="1558" w:type="dxa"/>
          </w:tcPr>
          <w:p w14:paraId="460F1663" w14:textId="2D6AA1AF" w:rsidR="00E6576F" w:rsidRPr="00A9467F" w:rsidRDefault="004362F3" w:rsidP="00EB75E1">
            <w:pPr>
              <w:pStyle w:val="Tabletext1"/>
              <w:ind w:left="22"/>
              <w:rPr>
                <w:lang w:val="en-GB" w:eastAsia="ja-JP"/>
              </w:rPr>
            </w:pPr>
            <w:r w:rsidRPr="00A9467F">
              <w:rPr>
                <w:lang w:val="en-GB" w:eastAsia="ja-JP"/>
              </w:rPr>
              <w:t>ViewRay Linac</w:t>
            </w:r>
          </w:p>
        </w:tc>
        <w:tc>
          <w:tcPr>
            <w:tcW w:w="2378" w:type="dxa"/>
          </w:tcPr>
          <w:p w14:paraId="4BDAA1BD" w14:textId="77777777" w:rsidR="00E6576F" w:rsidRPr="00A9467F" w:rsidRDefault="00E6576F" w:rsidP="00EB75E1">
            <w:pPr>
              <w:pStyle w:val="Tabletext1"/>
              <w:ind w:left="22"/>
              <w:jc w:val="center"/>
              <w:rPr>
                <w:lang w:val="en-GB" w:eastAsia="ja-JP"/>
              </w:rPr>
            </w:pPr>
            <w:r w:rsidRPr="00A9467F">
              <w:rPr>
                <w:lang w:val="en-GB" w:eastAsia="ja-JP"/>
              </w:rPr>
              <w:t>ViewRay Technologies Inc,</w:t>
            </w:r>
          </w:p>
          <w:p w14:paraId="1D7BBE55" w14:textId="77777777" w:rsidR="00E6576F" w:rsidRPr="00A9467F" w:rsidRDefault="00E6576F" w:rsidP="00EB75E1">
            <w:pPr>
              <w:pStyle w:val="Tabletext1"/>
              <w:ind w:left="22"/>
              <w:jc w:val="center"/>
              <w:rPr>
                <w:lang w:val="en-GB" w:eastAsia="ja-JP"/>
              </w:rPr>
            </w:pPr>
            <w:r w:rsidRPr="00A9467F">
              <w:rPr>
                <w:lang w:val="en-GB" w:eastAsia="ja-JP"/>
              </w:rPr>
              <w:t>Oakwood Village, Ohio</w:t>
            </w:r>
          </w:p>
        </w:tc>
        <w:tc>
          <w:tcPr>
            <w:tcW w:w="1269" w:type="dxa"/>
          </w:tcPr>
          <w:p w14:paraId="2F418138" w14:textId="77777777" w:rsidR="00E6576F" w:rsidRPr="00A9467F" w:rsidRDefault="00E6576F" w:rsidP="00EB75E1">
            <w:pPr>
              <w:pStyle w:val="Tabletext1"/>
              <w:ind w:left="22"/>
              <w:jc w:val="center"/>
              <w:rPr>
                <w:lang w:val="en-GB" w:eastAsia="ja-JP"/>
              </w:rPr>
            </w:pPr>
            <w:r w:rsidRPr="00A9467F">
              <w:rPr>
                <w:lang w:val="en-GB" w:eastAsia="ja-JP"/>
              </w:rPr>
              <w:t>0.35T</w:t>
            </w:r>
          </w:p>
        </w:tc>
        <w:tc>
          <w:tcPr>
            <w:tcW w:w="1173" w:type="dxa"/>
          </w:tcPr>
          <w:p w14:paraId="7F071FFA" w14:textId="358F321E" w:rsidR="00E6576F" w:rsidRPr="00A9467F" w:rsidRDefault="00E6576F" w:rsidP="00EB75E1">
            <w:pPr>
              <w:pStyle w:val="Tabletext1"/>
              <w:ind w:left="22"/>
              <w:jc w:val="center"/>
              <w:rPr>
                <w:lang w:val="en-GB" w:eastAsia="ja-JP"/>
              </w:rPr>
            </w:pPr>
            <w:r w:rsidRPr="00A9467F">
              <w:rPr>
                <w:lang w:val="en-GB" w:eastAsia="ja-JP"/>
              </w:rPr>
              <w:t>70 cm</w:t>
            </w:r>
          </w:p>
        </w:tc>
        <w:tc>
          <w:tcPr>
            <w:tcW w:w="1430" w:type="dxa"/>
          </w:tcPr>
          <w:p w14:paraId="4F62A378" w14:textId="77777777" w:rsidR="00E6576F" w:rsidRPr="00A9467F" w:rsidRDefault="00E6576F" w:rsidP="00EB75E1">
            <w:pPr>
              <w:pStyle w:val="Tabletext1"/>
              <w:ind w:left="22"/>
              <w:jc w:val="center"/>
              <w:rPr>
                <w:lang w:val="en-GB" w:eastAsia="ja-JP"/>
              </w:rPr>
            </w:pPr>
            <w:r w:rsidRPr="00A9467F">
              <w:rPr>
                <w:lang w:val="en-GB" w:eastAsia="ja-JP"/>
              </w:rPr>
              <w:t>6 MV</w:t>
            </w:r>
          </w:p>
        </w:tc>
        <w:tc>
          <w:tcPr>
            <w:tcW w:w="1208" w:type="dxa"/>
          </w:tcPr>
          <w:p w14:paraId="162610EE" w14:textId="77777777" w:rsidR="00E6576F" w:rsidRPr="00A9467F" w:rsidRDefault="00E6576F" w:rsidP="00EB75E1">
            <w:pPr>
              <w:pStyle w:val="Tabletext1"/>
              <w:ind w:left="22"/>
              <w:jc w:val="center"/>
              <w:rPr>
                <w:lang w:val="en-GB" w:eastAsia="ja-JP"/>
              </w:rPr>
            </w:pPr>
            <w:r>
              <w:t>319241</w:t>
            </w:r>
          </w:p>
        </w:tc>
      </w:tr>
      <w:tr w:rsidR="00E6576F" w:rsidRPr="00A9467F" w14:paraId="6FD31A1A" w14:textId="77777777" w:rsidTr="004362F3">
        <w:tc>
          <w:tcPr>
            <w:tcW w:w="1558" w:type="dxa"/>
            <w:tcBorders>
              <w:bottom w:val="single" w:sz="4" w:space="0" w:color="auto"/>
            </w:tcBorders>
          </w:tcPr>
          <w:p w14:paraId="1B341478" w14:textId="77777777" w:rsidR="00E6576F" w:rsidRPr="004362F3" w:rsidRDefault="00E6576F" w:rsidP="00EB75E1">
            <w:pPr>
              <w:pStyle w:val="Tabletext1"/>
              <w:ind w:left="22"/>
              <w:rPr>
                <w:lang w:val="en-GB" w:eastAsia="ja-JP"/>
              </w:rPr>
            </w:pPr>
            <w:r w:rsidRPr="004362F3">
              <w:rPr>
                <w:lang w:val="en-GB" w:eastAsia="ja-JP"/>
              </w:rPr>
              <w:t>Elekta Unity</w:t>
            </w:r>
          </w:p>
        </w:tc>
        <w:tc>
          <w:tcPr>
            <w:tcW w:w="2378" w:type="dxa"/>
            <w:tcBorders>
              <w:bottom w:val="single" w:sz="4" w:space="0" w:color="auto"/>
            </w:tcBorders>
          </w:tcPr>
          <w:p w14:paraId="3801FDEF" w14:textId="77777777" w:rsidR="00E6576F" w:rsidRPr="004362F3" w:rsidRDefault="00E6576F" w:rsidP="00EB75E1">
            <w:pPr>
              <w:pStyle w:val="Tabletext1"/>
              <w:ind w:left="22"/>
              <w:jc w:val="center"/>
              <w:rPr>
                <w:lang w:val="en-GB" w:eastAsia="ja-JP"/>
              </w:rPr>
            </w:pPr>
            <w:r w:rsidRPr="004362F3">
              <w:rPr>
                <w:lang w:val="en-GB" w:eastAsia="ja-JP"/>
              </w:rPr>
              <w:t>Elekta AB, Stockholm, Sweden</w:t>
            </w:r>
          </w:p>
        </w:tc>
        <w:tc>
          <w:tcPr>
            <w:tcW w:w="1269" w:type="dxa"/>
            <w:tcBorders>
              <w:bottom w:val="single" w:sz="4" w:space="0" w:color="auto"/>
            </w:tcBorders>
          </w:tcPr>
          <w:p w14:paraId="3F779876" w14:textId="77777777" w:rsidR="00E6576F" w:rsidRPr="004362F3" w:rsidRDefault="00E6576F" w:rsidP="00EB75E1">
            <w:pPr>
              <w:pStyle w:val="Tabletext1"/>
              <w:ind w:left="22"/>
              <w:jc w:val="center"/>
              <w:rPr>
                <w:lang w:val="en-GB" w:eastAsia="ja-JP"/>
              </w:rPr>
            </w:pPr>
            <w:r w:rsidRPr="004362F3">
              <w:rPr>
                <w:lang w:val="en-GB" w:eastAsia="ja-JP"/>
              </w:rPr>
              <w:t>1.5T</w:t>
            </w:r>
          </w:p>
        </w:tc>
        <w:tc>
          <w:tcPr>
            <w:tcW w:w="1173" w:type="dxa"/>
            <w:tcBorders>
              <w:bottom w:val="single" w:sz="4" w:space="0" w:color="auto"/>
            </w:tcBorders>
          </w:tcPr>
          <w:p w14:paraId="6A20AA27" w14:textId="77777777" w:rsidR="00E6576F" w:rsidRPr="004362F3" w:rsidRDefault="00E6576F" w:rsidP="00EB75E1">
            <w:pPr>
              <w:pStyle w:val="Tabletext1"/>
              <w:ind w:left="22"/>
              <w:jc w:val="center"/>
              <w:rPr>
                <w:lang w:val="en-GB" w:eastAsia="ja-JP"/>
              </w:rPr>
            </w:pPr>
            <w:r w:rsidRPr="004362F3">
              <w:rPr>
                <w:lang w:val="en-GB" w:eastAsia="ja-JP"/>
              </w:rPr>
              <w:t>70 cm</w:t>
            </w:r>
          </w:p>
        </w:tc>
        <w:tc>
          <w:tcPr>
            <w:tcW w:w="1430" w:type="dxa"/>
            <w:tcBorders>
              <w:bottom w:val="single" w:sz="4" w:space="0" w:color="auto"/>
            </w:tcBorders>
          </w:tcPr>
          <w:p w14:paraId="022C785B" w14:textId="77777777" w:rsidR="00E6576F" w:rsidRPr="004362F3" w:rsidRDefault="00E6576F" w:rsidP="00EB75E1">
            <w:pPr>
              <w:pStyle w:val="Tabletext1"/>
              <w:ind w:left="22"/>
              <w:jc w:val="center"/>
              <w:rPr>
                <w:lang w:val="en-GB" w:eastAsia="ja-JP"/>
              </w:rPr>
            </w:pPr>
            <w:r w:rsidRPr="004362F3">
              <w:rPr>
                <w:lang w:val="en-GB" w:eastAsia="ja-JP"/>
              </w:rPr>
              <w:t>7 MV</w:t>
            </w:r>
          </w:p>
        </w:tc>
        <w:tc>
          <w:tcPr>
            <w:tcW w:w="1208" w:type="dxa"/>
            <w:tcBorders>
              <w:bottom w:val="single" w:sz="4" w:space="0" w:color="auto"/>
            </w:tcBorders>
          </w:tcPr>
          <w:p w14:paraId="7F11FAE5" w14:textId="77777777" w:rsidR="00E6576F" w:rsidRPr="00A9467F" w:rsidRDefault="00E6576F" w:rsidP="00EB75E1">
            <w:pPr>
              <w:pStyle w:val="Tabletext1"/>
              <w:ind w:left="22"/>
              <w:jc w:val="center"/>
              <w:rPr>
                <w:rStyle w:val="IntenseEmphasis"/>
              </w:rPr>
            </w:pPr>
            <w:r>
              <w:t>307588</w:t>
            </w:r>
          </w:p>
        </w:tc>
      </w:tr>
      <w:tr w:rsidR="00E6576F" w:rsidRPr="00A9467F" w14:paraId="145F2F8E" w14:textId="77777777" w:rsidTr="004362F3">
        <w:tc>
          <w:tcPr>
            <w:tcW w:w="1558" w:type="dxa"/>
            <w:tcBorders>
              <w:top w:val="single" w:sz="4" w:space="0" w:color="auto"/>
              <w:left w:val="single" w:sz="4" w:space="0" w:color="auto"/>
              <w:bottom w:val="single" w:sz="4" w:space="0" w:color="auto"/>
              <w:right w:val="nil"/>
            </w:tcBorders>
          </w:tcPr>
          <w:p w14:paraId="109D5268" w14:textId="77777777" w:rsidR="00E6576F" w:rsidRPr="00EB75E1" w:rsidRDefault="00E6576F" w:rsidP="00EB75E1">
            <w:pPr>
              <w:pStyle w:val="Tabletext1"/>
              <w:ind w:left="22"/>
              <w:rPr>
                <w:b/>
                <w:bCs/>
                <w:lang w:val="en-GB" w:eastAsia="ja-JP"/>
              </w:rPr>
            </w:pPr>
            <w:r w:rsidRPr="00EB75E1">
              <w:rPr>
                <w:b/>
                <w:bCs/>
                <w:lang w:val="en-GB" w:eastAsia="ja-JP"/>
              </w:rPr>
              <w:t>In development</w:t>
            </w:r>
          </w:p>
        </w:tc>
        <w:tc>
          <w:tcPr>
            <w:tcW w:w="2378" w:type="dxa"/>
            <w:tcBorders>
              <w:top w:val="single" w:sz="4" w:space="0" w:color="auto"/>
              <w:left w:val="nil"/>
              <w:bottom w:val="single" w:sz="4" w:space="0" w:color="auto"/>
              <w:right w:val="nil"/>
            </w:tcBorders>
          </w:tcPr>
          <w:p w14:paraId="7E6F161A" w14:textId="77777777" w:rsidR="00E6576F" w:rsidRPr="00A9467F" w:rsidRDefault="00E6576F" w:rsidP="00EB75E1">
            <w:pPr>
              <w:pStyle w:val="Tabletext1"/>
              <w:ind w:left="22"/>
              <w:jc w:val="center"/>
              <w:rPr>
                <w:lang w:val="en-GB" w:eastAsia="ja-JP"/>
              </w:rPr>
            </w:pPr>
          </w:p>
        </w:tc>
        <w:tc>
          <w:tcPr>
            <w:tcW w:w="1269" w:type="dxa"/>
            <w:tcBorders>
              <w:top w:val="single" w:sz="4" w:space="0" w:color="auto"/>
              <w:left w:val="nil"/>
              <w:bottom w:val="single" w:sz="4" w:space="0" w:color="auto"/>
              <w:right w:val="nil"/>
            </w:tcBorders>
          </w:tcPr>
          <w:p w14:paraId="06AFD7BD" w14:textId="77777777" w:rsidR="00E6576F" w:rsidRPr="00A9467F" w:rsidRDefault="00E6576F" w:rsidP="00EB75E1">
            <w:pPr>
              <w:pStyle w:val="Tabletext1"/>
              <w:ind w:left="22"/>
              <w:jc w:val="center"/>
              <w:rPr>
                <w:lang w:val="en-GB" w:eastAsia="ja-JP"/>
              </w:rPr>
            </w:pPr>
          </w:p>
        </w:tc>
        <w:tc>
          <w:tcPr>
            <w:tcW w:w="1173" w:type="dxa"/>
            <w:tcBorders>
              <w:top w:val="single" w:sz="4" w:space="0" w:color="auto"/>
              <w:left w:val="nil"/>
              <w:bottom w:val="single" w:sz="4" w:space="0" w:color="auto"/>
              <w:right w:val="nil"/>
            </w:tcBorders>
          </w:tcPr>
          <w:p w14:paraId="22F41D8B" w14:textId="77777777" w:rsidR="00E6576F" w:rsidRPr="00A9467F" w:rsidRDefault="00E6576F" w:rsidP="00EB75E1">
            <w:pPr>
              <w:pStyle w:val="Tabletext1"/>
              <w:ind w:left="22"/>
              <w:jc w:val="center"/>
              <w:rPr>
                <w:lang w:val="en-GB" w:eastAsia="ja-JP"/>
              </w:rPr>
            </w:pPr>
          </w:p>
        </w:tc>
        <w:tc>
          <w:tcPr>
            <w:tcW w:w="1430" w:type="dxa"/>
            <w:tcBorders>
              <w:top w:val="single" w:sz="4" w:space="0" w:color="auto"/>
              <w:left w:val="nil"/>
              <w:bottom w:val="single" w:sz="4" w:space="0" w:color="auto"/>
              <w:right w:val="nil"/>
            </w:tcBorders>
          </w:tcPr>
          <w:p w14:paraId="0A1E1399" w14:textId="77777777" w:rsidR="00E6576F" w:rsidRPr="00A9467F" w:rsidRDefault="00E6576F" w:rsidP="00EB75E1">
            <w:pPr>
              <w:pStyle w:val="Tabletext1"/>
              <w:ind w:left="22"/>
              <w:jc w:val="center"/>
              <w:rPr>
                <w:lang w:val="en-GB" w:eastAsia="ja-JP"/>
              </w:rPr>
            </w:pPr>
          </w:p>
        </w:tc>
        <w:tc>
          <w:tcPr>
            <w:tcW w:w="1208" w:type="dxa"/>
            <w:tcBorders>
              <w:top w:val="single" w:sz="4" w:space="0" w:color="auto"/>
              <w:left w:val="nil"/>
              <w:bottom w:val="single" w:sz="4" w:space="0" w:color="auto"/>
              <w:right w:val="single" w:sz="4" w:space="0" w:color="auto"/>
            </w:tcBorders>
          </w:tcPr>
          <w:p w14:paraId="3EE28D9A" w14:textId="77777777" w:rsidR="00E6576F" w:rsidRPr="00A9467F" w:rsidRDefault="00E6576F" w:rsidP="00EB75E1">
            <w:pPr>
              <w:pStyle w:val="Tabletext1"/>
              <w:ind w:left="22"/>
              <w:jc w:val="center"/>
              <w:rPr>
                <w:lang w:val="en-GB" w:eastAsia="ja-JP"/>
              </w:rPr>
            </w:pPr>
          </w:p>
        </w:tc>
      </w:tr>
      <w:tr w:rsidR="00E6576F" w:rsidRPr="00A9467F" w14:paraId="46606AE6" w14:textId="77777777" w:rsidTr="004362F3">
        <w:tc>
          <w:tcPr>
            <w:tcW w:w="1558" w:type="dxa"/>
            <w:tcBorders>
              <w:top w:val="single" w:sz="4" w:space="0" w:color="auto"/>
            </w:tcBorders>
          </w:tcPr>
          <w:p w14:paraId="22B00F90" w14:textId="77777777" w:rsidR="00E6576F" w:rsidRPr="00A9467F" w:rsidRDefault="00E6576F" w:rsidP="00EB75E1">
            <w:pPr>
              <w:pStyle w:val="Tabletext1"/>
              <w:ind w:left="22"/>
              <w:rPr>
                <w:lang w:val="en-GB" w:eastAsia="ja-JP"/>
              </w:rPr>
            </w:pPr>
            <w:r w:rsidRPr="00A9467F">
              <w:rPr>
                <w:lang w:val="en-GB" w:eastAsia="ja-JP"/>
              </w:rPr>
              <w:t>Australian MRI Linac System</w:t>
            </w:r>
          </w:p>
        </w:tc>
        <w:tc>
          <w:tcPr>
            <w:tcW w:w="2378" w:type="dxa"/>
            <w:tcBorders>
              <w:top w:val="single" w:sz="4" w:space="0" w:color="auto"/>
            </w:tcBorders>
          </w:tcPr>
          <w:p w14:paraId="5751CAE6" w14:textId="77777777" w:rsidR="00E6576F" w:rsidRPr="00A9467F" w:rsidRDefault="00E6576F" w:rsidP="00EB75E1">
            <w:pPr>
              <w:pStyle w:val="Tabletext1"/>
              <w:ind w:left="22"/>
              <w:jc w:val="center"/>
              <w:rPr>
                <w:lang w:val="en-GB" w:eastAsia="ja-JP"/>
              </w:rPr>
            </w:pPr>
            <w:r w:rsidRPr="00A9467F">
              <w:rPr>
                <w:lang w:val="en-GB" w:eastAsia="ja-JP"/>
              </w:rPr>
              <w:t>Australian MRI-Linac Program</w:t>
            </w:r>
          </w:p>
        </w:tc>
        <w:tc>
          <w:tcPr>
            <w:tcW w:w="1269" w:type="dxa"/>
            <w:tcBorders>
              <w:top w:val="single" w:sz="4" w:space="0" w:color="auto"/>
            </w:tcBorders>
          </w:tcPr>
          <w:p w14:paraId="77E1AD3F" w14:textId="77777777" w:rsidR="00E6576F" w:rsidRPr="00A9467F" w:rsidRDefault="00E6576F" w:rsidP="00EB75E1">
            <w:pPr>
              <w:pStyle w:val="Tabletext1"/>
              <w:ind w:left="22"/>
              <w:jc w:val="center"/>
              <w:rPr>
                <w:lang w:val="en-GB" w:eastAsia="ja-JP"/>
              </w:rPr>
            </w:pPr>
            <w:r w:rsidRPr="00A9467F">
              <w:rPr>
                <w:lang w:val="en-GB" w:eastAsia="ja-JP"/>
              </w:rPr>
              <w:t>1 T</w:t>
            </w:r>
          </w:p>
        </w:tc>
        <w:tc>
          <w:tcPr>
            <w:tcW w:w="1173" w:type="dxa"/>
            <w:tcBorders>
              <w:top w:val="single" w:sz="4" w:space="0" w:color="auto"/>
            </w:tcBorders>
          </w:tcPr>
          <w:p w14:paraId="27C045F8" w14:textId="77777777" w:rsidR="00E6576F" w:rsidRPr="00A9467F" w:rsidRDefault="00E6576F" w:rsidP="00EB75E1">
            <w:pPr>
              <w:pStyle w:val="Tabletext1"/>
              <w:ind w:left="22"/>
              <w:jc w:val="center"/>
              <w:rPr>
                <w:lang w:val="en-GB" w:eastAsia="ja-JP"/>
              </w:rPr>
            </w:pPr>
            <w:r w:rsidRPr="00A9467F">
              <w:rPr>
                <w:lang w:val="en-GB" w:eastAsia="ja-JP"/>
              </w:rPr>
              <w:t>82 cm</w:t>
            </w:r>
          </w:p>
        </w:tc>
        <w:tc>
          <w:tcPr>
            <w:tcW w:w="1430" w:type="dxa"/>
            <w:tcBorders>
              <w:top w:val="single" w:sz="4" w:space="0" w:color="auto"/>
            </w:tcBorders>
          </w:tcPr>
          <w:p w14:paraId="16490D25" w14:textId="6E6E3F43" w:rsidR="00E6576F" w:rsidRPr="00A9467F" w:rsidRDefault="004362F3" w:rsidP="00EB75E1">
            <w:pPr>
              <w:pStyle w:val="Tabletext1"/>
              <w:ind w:left="22"/>
              <w:jc w:val="center"/>
              <w:rPr>
                <w:lang w:val="en-GB" w:eastAsia="ja-JP"/>
              </w:rPr>
            </w:pPr>
            <w:r>
              <w:rPr>
                <w:lang w:val="en-GB" w:eastAsia="ja-JP"/>
              </w:rPr>
              <w:t xml:space="preserve">4 MV and </w:t>
            </w:r>
            <w:r w:rsidR="00E6576F" w:rsidRPr="00A9467F">
              <w:rPr>
                <w:lang w:val="en-GB" w:eastAsia="ja-JP"/>
              </w:rPr>
              <w:t>6 MV</w:t>
            </w:r>
          </w:p>
        </w:tc>
        <w:tc>
          <w:tcPr>
            <w:tcW w:w="1208" w:type="dxa"/>
            <w:tcBorders>
              <w:top w:val="single" w:sz="4" w:space="0" w:color="auto"/>
            </w:tcBorders>
          </w:tcPr>
          <w:p w14:paraId="0B89F3F3" w14:textId="77777777" w:rsidR="00E6576F" w:rsidRPr="00A9467F" w:rsidRDefault="00E6576F" w:rsidP="00EB75E1">
            <w:pPr>
              <w:pStyle w:val="Tabletext1"/>
              <w:ind w:left="22"/>
              <w:jc w:val="center"/>
              <w:rPr>
                <w:lang w:val="en-GB" w:eastAsia="ja-JP"/>
              </w:rPr>
            </w:pPr>
            <w:r>
              <w:rPr>
                <w:lang w:val="en-GB" w:eastAsia="ja-JP"/>
              </w:rPr>
              <w:t>NA</w:t>
            </w:r>
          </w:p>
        </w:tc>
      </w:tr>
      <w:tr w:rsidR="00E6576F" w:rsidRPr="00A9467F" w14:paraId="3A163B4D" w14:textId="77777777" w:rsidTr="00340972">
        <w:tc>
          <w:tcPr>
            <w:tcW w:w="1558" w:type="dxa"/>
          </w:tcPr>
          <w:p w14:paraId="7BF1C72D" w14:textId="77777777" w:rsidR="00E6576F" w:rsidRPr="00A9467F" w:rsidRDefault="00E6576F" w:rsidP="00EB75E1">
            <w:pPr>
              <w:pStyle w:val="Tabletext1"/>
              <w:ind w:left="22"/>
              <w:rPr>
                <w:lang w:val="en-GB" w:eastAsia="ja-JP"/>
              </w:rPr>
            </w:pPr>
            <w:r w:rsidRPr="00A9467F">
              <w:rPr>
                <w:lang w:val="en-GB" w:eastAsia="ja-JP"/>
              </w:rPr>
              <w:t>Aurora-RT system</w:t>
            </w:r>
          </w:p>
        </w:tc>
        <w:tc>
          <w:tcPr>
            <w:tcW w:w="2378" w:type="dxa"/>
          </w:tcPr>
          <w:p w14:paraId="05731073" w14:textId="77777777" w:rsidR="00E6576F" w:rsidRPr="00A9467F" w:rsidRDefault="00E6576F" w:rsidP="00EB75E1">
            <w:pPr>
              <w:pStyle w:val="Tabletext1"/>
              <w:ind w:left="22"/>
              <w:jc w:val="center"/>
              <w:rPr>
                <w:lang w:val="en-GB" w:eastAsia="ja-JP"/>
              </w:rPr>
            </w:pPr>
            <w:r w:rsidRPr="00A9467F">
              <w:rPr>
                <w:lang w:val="en-GB" w:eastAsia="ja-JP"/>
              </w:rPr>
              <w:t>MagnetTx, Edmonton, Alberta, Canada</w:t>
            </w:r>
          </w:p>
        </w:tc>
        <w:tc>
          <w:tcPr>
            <w:tcW w:w="1269" w:type="dxa"/>
          </w:tcPr>
          <w:p w14:paraId="2A4AAC13" w14:textId="77777777" w:rsidR="00E6576F" w:rsidRPr="00A9467F" w:rsidRDefault="00E6576F" w:rsidP="00EB75E1">
            <w:pPr>
              <w:pStyle w:val="Tabletext1"/>
              <w:ind w:left="22"/>
              <w:jc w:val="center"/>
              <w:rPr>
                <w:lang w:val="en-GB" w:eastAsia="ja-JP"/>
              </w:rPr>
            </w:pPr>
            <w:r w:rsidRPr="00A9467F">
              <w:rPr>
                <w:lang w:val="en-GB" w:eastAsia="ja-JP"/>
              </w:rPr>
              <w:t>0.6 T</w:t>
            </w:r>
          </w:p>
        </w:tc>
        <w:tc>
          <w:tcPr>
            <w:tcW w:w="1173" w:type="dxa"/>
          </w:tcPr>
          <w:p w14:paraId="0DB81365" w14:textId="77777777" w:rsidR="00E6576F" w:rsidRPr="00A9467F" w:rsidRDefault="00E6576F" w:rsidP="00EB75E1">
            <w:pPr>
              <w:pStyle w:val="Tabletext1"/>
              <w:ind w:left="22"/>
              <w:jc w:val="center"/>
              <w:rPr>
                <w:lang w:val="en-GB" w:eastAsia="ja-JP"/>
              </w:rPr>
            </w:pPr>
            <w:r w:rsidRPr="00A9467F">
              <w:rPr>
                <w:lang w:val="en-GB" w:eastAsia="ja-JP"/>
              </w:rPr>
              <w:t>60 cm</w:t>
            </w:r>
          </w:p>
        </w:tc>
        <w:tc>
          <w:tcPr>
            <w:tcW w:w="1430" w:type="dxa"/>
          </w:tcPr>
          <w:p w14:paraId="69CCCFE6" w14:textId="77777777" w:rsidR="00E6576F" w:rsidRPr="00A9467F" w:rsidRDefault="00E6576F" w:rsidP="00EB75E1">
            <w:pPr>
              <w:pStyle w:val="Tabletext1"/>
              <w:ind w:left="22"/>
              <w:jc w:val="center"/>
              <w:rPr>
                <w:lang w:val="en-GB" w:eastAsia="ja-JP"/>
              </w:rPr>
            </w:pPr>
            <w:r w:rsidRPr="00A9467F">
              <w:rPr>
                <w:lang w:val="en-GB" w:eastAsia="ja-JP"/>
              </w:rPr>
              <w:t>6 MV</w:t>
            </w:r>
          </w:p>
        </w:tc>
        <w:tc>
          <w:tcPr>
            <w:tcW w:w="1208" w:type="dxa"/>
          </w:tcPr>
          <w:p w14:paraId="71508BF5" w14:textId="77777777" w:rsidR="00E6576F" w:rsidRPr="00A9467F" w:rsidRDefault="00E6576F" w:rsidP="00EB75E1">
            <w:pPr>
              <w:pStyle w:val="Tabletext1"/>
              <w:ind w:left="22"/>
              <w:jc w:val="center"/>
              <w:rPr>
                <w:lang w:val="en-GB" w:eastAsia="ja-JP"/>
              </w:rPr>
            </w:pPr>
            <w:r>
              <w:rPr>
                <w:lang w:val="en-GB" w:eastAsia="ja-JP"/>
              </w:rPr>
              <w:t>NA</w:t>
            </w:r>
          </w:p>
        </w:tc>
      </w:tr>
    </w:tbl>
    <w:p w14:paraId="42D81EE5" w14:textId="203EA020" w:rsidR="00E6576F" w:rsidRDefault="004362F3" w:rsidP="004362F3">
      <w:pPr>
        <w:pStyle w:val="Tablenotes0"/>
      </w:pPr>
      <w:r w:rsidRPr="00A55103">
        <w:rPr>
          <w:lang w:val="en-GB"/>
        </w:rPr>
        <w:t>ARTG</w:t>
      </w:r>
      <w:r>
        <w:rPr>
          <w:lang w:val="en-GB"/>
        </w:rPr>
        <w:t>=</w:t>
      </w:r>
      <w:r w:rsidRPr="00A55103">
        <w:rPr>
          <w:lang w:val="en-GB"/>
        </w:rPr>
        <w:t>Australian Register of Therapeutic Goods</w:t>
      </w:r>
      <w:r>
        <w:rPr>
          <w:lang w:val="en-GB"/>
        </w:rPr>
        <w:t>;</w:t>
      </w:r>
      <w:r w:rsidRPr="00A55103">
        <w:rPr>
          <w:lang w:val="en-GB"/>
        </w:rPr>
        <w:t xml:space="preserve"> Co-60</w:t>
      </w:r>
      <w:r>
        <w:rPr>
          <w:lang w:val="en-GB"/>
        </w:rPr>
        <w:t>=</w:t>
      </w:r>
      <w:r w:rsidRPr="00A55103">
        <w:rPr>
          <w:lang w:val="en-GB"/>
        </w:rPr>
        <w:t xml:space="preserve">Cobalt-60; </w:t>
      </w:r>
      <w:r>
        <w:rPr>
          <w:lang w:val="en-GB"/>
        </w:rPr>
        <w:t xml:space="preserve">MRI=magnetic resonance imaging; </w:t>
      </w:r>
      <w:r w:rsidR="00E6576F" w:rsidRPr="00A55103">
        <w:rPr>
          <w:lang w:val="en-GB"/>
        </w:rPr>
        <w:t>MV</w:t>
      </w:r>
      <w:r>
        <w:rPr>
          <w:lang w:val="en-GB"/>
        </w:rPr>
        <w:t>=</w:t>
      </w:r>
      <w:r w:rsidR="00E6576F" w:rsidRPr="00A55103">
        <w:rPr>
          <w:lang w:val="en-GB"/>
        </w:rPr>
        <w:t>megavoltage; NA</w:t>
      </w:r>
      <w:r>
        <w:rPr>
          <w:lang w:val="en-GB"/>
        </w:rPr>
        <w:t>=</w:t>
      </w:r>
      <w:r w:rsidR="00E6576F" w:rsidRPr="00A55103">
        <w:rPr>
          <w:lang w:val="en-GB"/>
        </w:rPr>
        <w:t>not applicable</w:t>
      </w:r>
    </w:p>
    <w:p w14:paraId="651AB05E" w14:textId="54699573" w:rsidR="007D2548" w:rsidRPr="00183E4D" w:rsidRDefault="00AB3CB2" w:rsidP="00D20577">
      <w:r w:rsidRPr="00183E4D">
        <w:t>I</w:t>
      </w:r>
      <w:r w:rsidR="007D2548" w:rsidRPr="00183E4D">
        <w:t xml:space="preserve">tems on the ARTG </w:t>
      </w:r>
      <w:r w:rsidRPr="00183E4D">
        <w:t xml:space="preserve">that are relevant to this application </w:t>
      </w:r>
      <w:r w:rsidR="007D2548" w:rsidRPr="00183E4D">
        <w:t xml:space="preserve">are shown in </w:t>
      </w:r>
      <w:r w:rsidR="009B558E" w:rsidRPr="00BA03F3">
        <w:fldChar w:fldCharType="begin"/>
      </w:r>
      <w:r w:rsidR="009B558E" w:rsidRPr="00BA03F3">
        <w:instrText xml:space="preserve"> REF _Ref364240778 \h  \* MERGEFORMAT </w:instrText>
      </w:r>
      <w:r w:rsidR="009B558E" w:rsidRPr="00BA03F3">
        <w:fldChar w:fldCharType="separate"/>
      </w:r>
      <w:r w:rsidR="00451350" w:rsidRPr="00183E4D">
        <w:t xml:space="preserve">Table </w:t>
      </w:r>
      <w:r w:rsidR="00451350">
        <w:rPr>
          <w:noProof/>
        </w:rPr>
        <w:t>9</w:t>
      </w:r>
      <w:r w:rsidR="009B558E" w:rsidRPr="00BA03F3">
        <w:fldChar w:fldCharType="end"/>
      </w:r>
      <w:r w:rsidR="007D2548" w:rsidRPr="00BA03F3">
        <w:t>.</w:t>
      </w:r>
    </w:p>
    <w:p w14:paraId="5BC0EE5E" w14:textId="731E25A7" w:rsidR="007D2548" w:rsidRPr="00183E4D" w:rsidRDefault="007D2548" w:rsidP="00BA03F3">
      <w:pPr>
        <w:pStyle w:val="Caption"/>
        <w:keepNext/>
        <w:tabs>
          <w:tab w:val="left" w:pos="1134"/>
        </w:tabs>
        <w:ind w:left="1134" w:hanging="1134"/>
        <w:jc w:val="both"/>
      </w:pPr>
      <w:bookmarkStart w:id="199" w:name="_Ref364240778"/>
      <w:bookmarkStart w:id="200" w:name="_Toc381969859"/>
      <w:bookmarkStart w:id="201" w:name="_Toc89857880"/>
      <w:r w:rsidRPr="00183E4D">
        <w:t xml:space="preserve">Table </w:t>
      </w:r>
      <w:r w:rsidR="00211285">
        <w:fldChar w:fldCharType="begin"/>
      </w:r>
      <w:r w:rsidR="00211285">
        <w:instrText xml:space="preserve"> SEQ Table \* ARABIC </w:instrText>
      </w:r>
      <w:r w:rsidR="00211285">
        <w:fldChar w:fldCharType="separate"/>
      </w:r>
      <w:r w:rsidR="00451350">
        <w:rPr>
          <w:noProof/>
        </w:rPr>
        <w:t>9</w:t>
      </w:r>
      <w:r w:rsidR="00211285">
        <w:rPr>
          <w:noProof/>
        </w:rPr>
        <w:fldChar w:fldCharType="end"/>
      </w:r>
      <w:bookmarkEnd w:id="199"/>
      <w:r w:rsidRPr="00183E4D">
        <w:tab/>
      </w:r>
      <w:r w:rsidR="00965EBE">
        <w:t>MR-IGRT devices</w:t>
      </w:r>
      <w:r w:rsidR="00965EBE" w:rsidRPr="00183E4D">
        <w:t xml:space="preserve"> </w:t>
      </w:r>
      <w:r w:rsidRPr="00183E4D">
        <w:t>listed on the ARTG</w:t>
      </w:r>
      <w:bookmarkEnd w:id="200"/>
      <w:bookmarkEnd w:id="201"/>
    </w:p>
    <w:tbl>
      <w:tblPr>
        <w:tblStyle w:val="TableGrid1"/>
        <w:tblW w:w="0" w:type="auto"/>
        <w:tblLook w:val="04A0" w:firstRow="1" w:lastRow="0" w:firstColumn="1" w:lastColumn="0" w:noHBand="0" w:noVBand="1"/>
        <w:tblCaption w:val="Table 9 MR-IGRT devices listed on the ARTG"/>
        <w:tblDescription w:val="This table provides the registry number, product number, product description, product category and sponsor for products that relate to the technology being assessed and that are currently registered on the Australian Register of Therapeutic Goods."/>
      </w:tblPr>
      <w:tblGrid>
        <w:gridCol w:w="1378"/>
        <w:gridCol w:w="1380"/>
        <w:gridCol w:w="2109"/>
        <w:gridCol w:w="2102"/>
        <w:gridCol w:w="2050"/>
      </w:tblGrid>
      <w:tr w:rsidR="007D2548" w:rsidRPr="00183E4D" w14:paraId="7F7F0555" w14:textId="77777777" w:rsidTr="00EF78AC">
        <w:trPr>
          <w:cnfStyle w:val="100000000000" w:firstRow="1" w:lastRow="0" w:firstColumn="0" w:lastColumn="0" w:oddVBand="0" w:evenVBand="0" w:oddHBand="0" w:evenHBand="0" w:firstRowFirstColumn="0" w:firstRowLastColumn="0" w:lastRowFirstColumn="0" w:lastRowLastColumn="0"/>
          <w:tblHeader/>
        </w:trPr>
        <w:tc>
          <w:tcPr>
            <w:tcW w:w="1401" w:type="dxa"/>
          </w:tcPr>
          <w:p w14:paraId="13858456" w14:textId="77777777" w:rsidR="007D2548" w:rsidRPr="005C3B2B" w:rsidRDefault="007D2548" w:rsidP="005C3B2B">
            <w:pPr>
              <w:pStyle w:val="Tabletext1"/>
              <w:rPr>
                <w:b/>
                <w:bCs/>
              </w:rPr>
            </w:pPr>
            <w:r w:rsidRPr="005C3B2B">
              <w:rPr>
                <w:b/>
                <w:bCs/>
              </w:rPr>
              <w:t>ARTG no.</w:t>
            </w:r>
          </w:p>
        </w:tc>
        <w:tc>
          <w:tcPr>
            <w:tcW w:w="1401" w:type="dxa"/>
          </w:tcPr>
          <w:p w14:paraId="04329836" w14:textId="77777777" w:rsidR="007D2548" w:rsidRPr="005C3B2B" w:rsidRDefault="007D2548" w:rsidP="005C3B2B">
            <w:pPr>
              <w:pStyle w:val="Tabletext1"/>
              <w:rPr>
                <w:b/>
                <w:bCs/>
              </w:rPr>
            </w:pPr>
            <w:r w:rsidRPr="005C3B2B">
              <w:rPr>
                <w:b/>
                <w:bCs/>
              </w:rPr>
              <w:t>Product no.</w:t>
            </w:r>
          </w:p>
        </w:tc>
        <w:tc>
          <w:tcPr>
            <w:tcW w:w="2147" w:type="dxa"/>
          </w:tcPr>
          <w:p w14:paraId="2405EF3D" w14:textId="77777777" w:rsidR="007D2548" w:rsidRPr="005C3B2B" w:rsidRDefault="007D2548" w:rsidP="005C3B2B">
            <w:pPr>
              <w:pStyle w:val="Tabletext1"/>
              <w:rPr>
                <w:b/>
                <w:bCs/>
              </w:rPr>
            </w:pPr>
            <w:r w:rsidRPr="005C3B2B">
              <w:rPr>
                <w:b/>
                <w:bCs/>
              </w:rPr>
              <w:t>Product description</w:t>
            </w:r>
          </w:p>
        </w:tc>
        <w:tc>
          <w:tcPr>
            <w:tcW w:w="2148" w:type="dxa"/>
          </w:tcPr>
          <w:p w14:paraId="12B7C3AA" w14:textId="77777777" w:rsidR="007D2548" w:rsidRPr="005C3B2B" w:rsidRDefault="007D2548" w:rsidP="005C3B2B">
            <w:pPr>
              <w:pStyle w:val="Tabletext1"/>
              <w:rPr>
                <w:b/>
                <w:bCs/>
              </w:rPr>
            </w:pPr>
            <w:r w:rsidRPr="005C3B2B">
              <w:rPr>
                <w:b/>
                <w:bCs/>
              </w:rPr>
              <w:t>Product category</w:t>
            </w:r>
          </w:p>
        </w:tc>
        <w:tc>
          <w:tcPr>
            <w:tcW w:w="2083" w:type="dxa"/>
          </w:tcPr>
          <w:p w14:paraId="2EDA15B1" w14:textId="77777777" w:rsidR="007D2548" w:rsidRPr="005C3B2B" w:rsidRDefault="007D2548" w:rsidP="005C3B2B">
            <w:pPr>
              <w:pStyle w:val="Tabletext1"/>
              <w:rPr>
                <w:b/>
                <w:bCs/>
              </w:rPr>
            </w:pPr>
            <w:r w:rsidRPr="005C3B2B">
              <w:rPr>
                <w:b/>
                <w:bCs/>
              </w:rPr>
              <w:t>Sponsor</w:t>
            </w:r>
          </w:p>
        </w:tc>
      </w:tr>
      <w:tr w:rsidR="007D2548" w:rsidRPr="00183E4D" w14:paraId="52EFBAF1" w14:textId="77777777" w:rsidTr="00B426FF">
        <w:tc>
          <w:tcPr>
            <w:tcW w:w="1401" w:type="dxa"/>
          </w:tcPr>
          <w:p w14:paraId="61A7302A" w14:textId="7A5E8241" w:rsidR="007D2548" w:rsidRPr="00183E4D" w:rsidRDefault="00226370" w:rsidP="005C3B2B">
            <w:pPr>
              <w:pStyle w:val="Tabletext1"/>
            </w:pPr>
            <w:r>
              <w:t>319241</w:t>
            </w:r>
          </w:p>
        </w:tc>
        <w:tc>
          <w:tcPr>
            <w:tcW w:w="1401" w:type="dxa"/>
          </w:tcPr>
          <w:p w14:paraId="65EFAC66" w14:textId="2E7CD92C" w:rsidR="007D2548" w:rsidRPr="00183E4D" w:rsidRDefault="007B2651" w:rsidP="005C3B2B">
            <w:pPr>
              <w:pStyle w:val="Tabletext1"/>
            </w:pPr>
            <w:r>
              <w:t xml:space="preserve">GMDN </w:t>
            </w:r>
            <w:r w:rsidR="00D812BC">
              <w:t>62147</w:t>
            </w:r>
          </w:p>
        </w:tc>
        <w:tc>
          <w:tcPr>
            <w:tcW w:w="2147" w:type="dxa"/>
          </w:tcPr>
          <w:p w14:paraId="36B5A989" w14:textId="53661B0A" w:rsidR="007D2548" w:rsidRPr="00183E4D" w:rsidRDefault="00965EBE" w:rsidP="005C3B2B">
            <w:pPr>
              <w:pStyle w:val="Tabletext1"/>
            </w:pPr>
            <w:r>
              <w:t xml:space="preserve">MRIdian Linac System - </w:t>
            </w:r>
            <w:r w:rsidR="00A40104">
              <w:t>Stereotactic teletherapy radionuclide system, MRI-imaging</w:t>
            </w:r>
          </w:p>
        </w:tc>
        <w:tc>
          <w:tcPr>
            <w:tcW w:w="2148" w:type="dxa"/>
          </w:tcPr>
          <w:p w14:paraId="7235B67F" w14:textId="28F08343" w:rsidR="007D2548" w:rsidRPr="00183E4D" w:rsidRDefault="00A40104" w:rsidP="005C3B2B">
            <w:pPr>
              <w:pStyle w:val="Tabletext1"/>
            </w:pPr>
            <w:r w:rsidRPr="00A40104">
              <w:t>Medical Device Class IIb</w:t>
            </w:r>
          </w:p>
        </w:tc>
        <w:tc>
          <w:tcPr>
            <w:tcW w:w="2083" w:type="dxa"/>
          </w:tcPr>
          <w:p w14:paraId="11A71C27" w14:textId="033D38CF" w:rsidR="007D2548" w:rsidRPr="00183E4D" w:rsidRDefault="00A40104" w:rsidP="005C3B2B">
            <w:pPr>
              <w:pStyle w:val="Tabletext1"/>
            </w:pPr>
            <w:r>
              <w:t>Device Technologies Australia Pty Ltd</w:t>
            </w:r>
          </w:p>
        </w:tc>
      </w:tr>
      <w:tr w:rsidR="00A40104" w:rsidRPr="00183E4D" w14:paraId="16CB693F" w14:textId="77777777" w:rsidTr="00B426FF">
        <w:tc>
          <w:tcPr>
            <w:tcW w:w="1401" w:type="dxa"/>
          </w:tcPr>
          <w:p w14:paraId="352C011D" w14:textId="20BB8930" w:rsidR="00A40104" w:rsidRDefault="00A40104" w:rsidP="005C3B2B">
            <w:pPr>
              <w:pStyle w:val="Tabletext1"/>
            </w:pPr>
            <w:r>
              <w:t>307588</w:t>
            </w:r>
          </w:p>
        </w:tc>
        <w:tc>
          <w:tcPr>
            <w:tcW w:w="1401" w:type="dxa"/>
          </w:tcPr>
          <w:p w14:paraId="7433791E" w14:textId="5394235A" w:rsidR="00A40104" w:rsidRPr="00183E4D" w:rsidRDefault="007B2651" w:rsidP="005C3B2B">
            <w:pPr>
              <w:pStyle w:val="Tabletext1"/>
            </w:pPr>
            <w:r>
              <w:t xml:space="preserve">GMDN </w:t>
            </w:r>
            <w:r w:rsidR="00D812BC">
              <w:t>35159</w:t>
            </w:r>
          </w:p>
        </w:tc>
        <w:tc>
          <w:tcPr>
            <w:tcW w:w="2147" w:type="dxa"/>
          </w:tcPr>
          <w:p w14:paraId="75BA6DF4" w14:textId="51BFF081" w:rsidR="00A40104" w:rsidRPr="00183E4D" w:rsidRDefault="00965EBE" w:rsidP="005C3B2B">
            <w:pPr>
              <w:pStyle w:val="Tabletext1"/>
            </w:pPr>
            <w:r>
              <w:t xml:space="preserve">Elekta Unity – </w:t>
            </w:r>
            <w:r w:rsidR="00D812BC">
              <w:t>Accelerator</w:t>
            </w:r>
            <w:r>
              <w:t xml:space="preserve"> </w:t>
            </w:r>
            <w:r w:rsidR="00D812BC">
              <w:t>system, linear</w:t>
            </w:r>
          </w:p>
        </w:tc>
        <w:tc>
          <w:tcPr>
            <w:tcW w:w="2148" w:type="dxa"/>
          </w:tcPr>
          <w:p w14:paraId="0C1925CD" w14:textId="236E2209" w:rsidR="00A40104" w:rsidRPr="00183E4D" w:rsidRDefault="00D812BC" w:rsidP="005C3B2B">
            <w:pPr>
              <w:pStyle w:val="Tabletext1"/>
            </w:pPr>
            <w:r w:rsidRPr="00D812BC">
              <w:t>Medical Device Included Class IIb</w:t>
            </w:r>
          </w:p>
        </w:tc>
        <w:tc>
          <w:tcPr>
            <w:tcW w:w="2083" w:type="dxa"/>
          </w:tcPr>
          <w:p w14:paraId="3BCBDC33" w14:textId="51D446ED" w:rsidR="00A40104" w:rsidRDefault="00A40104" w:rsidP="005C3B2B">
            <w:pPr>
              <w:pStyle w:val="Tabletext1"/>
            </w:pPr>
            <w:r>
              <w:t xml:space="preserve">Elekta </w:t>
            </w:r>
            <w:r w:rsidR="00D812BC">
              <w:t>Pty Ltd</w:t>
            </w:r>
          </w:p>
        </w:tc>
      </w:tr>
    </w:tbl>
    <w:p w14:paraId="28D03519" w14:textId="7197308B" w:rsidR="004335C1" w:rsidRPr="00183E4D" w:rsidRDefault="007D2548" w:rsidP="005C3B2B">
      <w:pPr>
        <w:pStyle w:val="Tablenotes0"/>
        <w:jc w:val="left"/>
      </w:pPr>
      <w:r w:rsidRPr="00183E4D">
        <w:t xml:space="preserve">Source: Therapeutic Goods Administration, accessed </w:t>
      </w:r>
      <w:r w:rsidR="00965EBE">
        <w:t>15 October 2020</w:t>
      </w:r>
      <w:r w:rsidRPr="00183E4D">
        <w:t xml:space="preserve">  </w:t>
      </w:r>
      <w:hyperlink r:id="rId23" w:history="1">
        <w:r w:rsidR="00397669">
          <w:rPr>
            <w:rStyle w:val="Hyperlink"/>
            <w:sz w:val="20"/>
          </w:rPr>
          <w:t>Link to TGA.gov.au</w:t>
        </w:r>
      </w:hyperlink>
      <w:r w:rsidR="005C3B2B">
        <w:rPr>
          <w:rStyle w:val="Hyperlink"/>
          <w:sz w:val="20"/>
        </w:rPr>
        <w:br/>
      </w:r>
      <w:r w:rsidR="000D0977">
        <w:t xml:space="preserve">ARTG=Australian Register of Therapeutic Goods; </w:t>
      </w:r>
      <w:r w:rsidR="007B2651" w:rsidRPr="00BA03F3">
        <w:t>GMDN=Global Medical Device Nomenclature code</w:t>
      </w:r>
      <w:r w:rsidR="000D0977">
        <w:t>; MRI=magnetic resonance imaging</w:t>
      </w:r>
    </w:p>
    <w:p w14:paraId="667182BE" w14:textId="4BC82637" w:rsidR="00483A86" w:rsidRPr="00183E4D" w:rsidRDefault="0005232D" w:rsidP="00DF343F">
      <w:pPr>
        <w:pStyle w:val="Heading3"/>
        <w:jc w:val="both"/>
      </w:pPr>
      <w:bookmarkStart w:id="202" w:name="_Toc395200761"/>
      <w:bookmarkStart w:id="203" w:name="_Toc59018759"/>
      <w:bookmarkStart w:id="204" w:name="_Toc59020303"/>
      <w:bookmarkStart w:id="205" w:name="_Toc59439525"/>
      <w:bookmarkStart w:id="206" w:name="_Toc89857797"/>
      <w:r w:rsidRPr="00183E4D">
        <w:lastRenderedPageBreak/>
        <w:t xml:space="preserve">Other </w:t>
      </w:r>
      <w:r w:rsidR="00483A86" w:rsidRPr="00183E4D">
        <w:t>Indications</w:t>
      </w:r>
      <w:bookmarkEnd w:id="189"/>
      <w:bookmarkEnd w:id="192"/>
      <w:bookmarkEnd w:id="202"/>
      <w:bookmarkEnd w:id="203"/>
      <w:bookmarkEnd w:id="204"/>
      <w:bookmarkEnd w:id="205"/>
      <w:bookmarkEnd w:id="206"/>
    </w:p>
    <w:p w14:paraId="2BB1A3A4" w14:textId="308D854F" w:rsidR="007D2548" w:rsidRPr="00183E4D" w:rsidRDefault="00965EBE" w:rsidP="0005232D">
      <w:pPr>
        <w:jc w:val="both"/>
      </w:pPr>
      <w:r w:rsidRPr="00965EBE">
        <w:t>T</w:t>
      </w:r>
      <w:r w:rsidR="0005232D" w:rsidRPr="00965EBE">
        <w:t xml:space="preserve">he intervention is </w:t>
      </w:r>
      <w:r>
        <w:t xml:space="preserve">not </w:t>
      </w:r>
      <w:r w:rsidR="0005232D" w:rsidRPr="00965EBE">
        <w:t xml:space="preserve">currently </w:t>
      </w:r>
      <w:r w:rsidR="007D2548" w:rsidRPr="00965EBE">
        <w:t>used</w:t>
      </w:r>
      <w:r w:rsidR="0005232D" w:rsidRPr="00965EBE">
        <w:t xml:space="preserve"> for</w:t>
      </w:r>
      <w:r w:rsidR="007D2548" w:rsidRPr="00965EBE">
        <w:t xml:space="preserve"> other clinical indications</w:t>
      </w:r>
      <w:r w:rsidR="00AB3CB2" w:rsidRPr="00965EBE">
        <w:t xml:space="preserve"> in Australia.</w:t>
      </w:r>
    </w:p>
    <w:p w14:paraId="58DFA4A4" w14:textId="77777777" w:rsidR="007D2548" w:rsidRPr="00183E4D" w:rsidRDefault="007D2548" w:rsidP="007D2548">
      <w:pPr>
        <w:pStyle w:val="Heading3"/>
        <w:jc w:val="both"/>
      </w:pPr>
      <w:bookmarkStart w:id="207" w:name="_Toc379118071"/>
      <w:bookmarkStart w:id="208" w:name="_Toc381796449"/>
      <w:bookmarkStart w:id="209" w:name="_Toc395200762"/>
      <w:bookmarkStart w:id="210" w:name="_Toc59018760"/>
      <w:bookmarkStart w:id="211" w:name="_Toc59020304"/>
      <w:bookmarkStart w:id="212" w:name="_Toc59439526"/>
      <w:bookmarkStart w:id="213" w:name="_Toc89857798"/>
      <w:r w:rsidRPr="00183E4D">
        <w:t xml:space="preserve">Current </w:t>
      </w:r>
      <w:r w:rsidR="000F3B50">
        <w:t xml:space="preserve">funding </w:t>
      </w:r>
      <w:r w:rsidRPr="00183E4D">
        <w:t>arrangements</w:t>
      </w:r>
      <w:bookmarkEnd w:id="207"/>
      <w:bookmarkEnd w:id="208"/>
      <w:bookmarkEnd w:id="209"/>
      <w:bookmarkEnd w:id="210"/>
      <w:bookmarkEnd w:id="211"/>
      <w:bookmarkEnd w:id="212"/>
      <w:bookmarkEnd w:id="213"/>
    </w:p>
    <w:p w14:paraId="467D9799" w14:textId="70E6DFC3" w:rsidR="00022B59" w:rsidRDefault="00965EBE" w:rsidP="00965EBE">
      <w:r>
        <w:t>MR-IGRT is currently not funded or reimbursed in Australia for any indication.</w:t>
      </w:r>
      <w:r w:rsidR="005E65CC">
        <w:t xml:space="preserve"> Two MR-IGRT devices appear to be currently in operation in Australia (Townsville Cancer Centre of the Townsville University Hospital, Q</w:t>
      </w:r>
      <w:r w:rsidR="00EF78AC">
        <w:t>ueensland</w:t>
      </w:r>
      <w:r w:rsidR="00022B59">
        <w:t>, and GenesisCare St Vincent’s Hospital, Darlinghurst,</w:t>
      </w:r>
      <w:r w:rsidR="00022B59" w:rsidRPr="00022B59">
        <w:t xml:space="preserve"> </w:t>
      </w:r>
      <w:r w:rsidR="00022B59">
        <w:t>New South Wales</w:t>
      </w:r>
      <w:r w:rsidR="005E65CC">
        <w:t>)</w:t>
      </w:r>
      <w:r w:rsidR="00022B59">
        <w:t>, both using the Elekta Unity technology.</w:t>
      </w:r>
      <w:r w:rsidR="005E65CC">
        <w:t xml:space="preserve"> </w:t>
      </w:r>
      <w:r w:rsidR="00022B59">
        <w:t>A third Elekta Unity MR-linac is supposed to start operating in Victoria in late 2020/early 2021. All three facilities have obtained interim approval to use MBS item 15275 for MR-IGRT.</w:t>
      </w:r>
    </w:p>
    <w:p w14:paraId="225A4A44" w14:textId="59BEE1B9" w:rsidR="00965EBE" w:rsidRPr="00183E4D" w:rsidRDefault="00C01816" w:rsidP="00965EBE">
      <w:r>
        <w:t xml:space="preserve">The </w:t>
      </w:r>
      <w:r w:rsidR="008F4472">
        <w:t>Applicant</w:t>
      </w:r>
      <w:r>
        <w:t xml:space="preserve"> </w:t>
      </w:r>
      <w:r w:rsidR="00EF78AC">
        <w:t xml:space="preserve">estimated that </w:t>
      </w:r>
      <w:r>
        <w:t xml:space="preserve">at least ten MR-linac devices are expected to be installed </w:t>
      </w:r>
      <w:r w:rsidR="00022B59">
        <w:t xml:space="preserve">in Australia in both public and private sector </w:t>
      </w:r>
      <w:r>
        <w:t>in the upcoming three years</w:t>
      </w:r>
      <w:r w:rsidR="00EF78AC">
        <w:t xml:space="preserve">, based on </w:t>
      </w:r>
      <w:r w:rsidR="00EF78AC" w:rsidRPr="00EF78AC">
        <w:rPr>
          <w:lang w:val="en-US"/>
        </w:rPr>
        <w:t xml:space="preserve">the current level of interest from the </w:t>
      </w:r>
      <w:r w:rsidR="00EF78AC">
        <w:rPr>
          <w:lang w:val="en-US"/>
        </w:rPr>
        <w:t>r</w:t>
      </w:r>
      <w:r w:rsidR="00EF78AC" w:rsidRPr="00EF78AC">
        <w:rPr>
          <w:lang w:val="en-US"/>
        </w:rPr>
        <w:t xml:space="preserve">adiation </w:t>
      </w:r>
      <w:r w:rsidR="00EF78AC">
        <w:rPr>
          <w:lang w:val="en-US"/>
        </w:rPr>
        <w:t>o</w:t>
      </w:r>
      <w:r w:rsidR="00EF78AC" w:rsidRPr="00EF78AC">
        <w:rPr>
          <w:lang w:val="en-US"/>
        </w:rPr>
        <w:t xml:space="preserve">ncology field, </w:t>
      </w:r>
      <w:r w:rsidR="00EF78AC">
        <w:rPr>
          <w:lang w:val="en-US"/>
        </w:rPr>
        <w:t>o</w:t>
      </w:r>
      <w:r w:rsidR="00EF78AC" w:rsidRPr="00EF78AC">
        <w:rPr>
          <w:lang w:val="en-US"/>
        </w:rPr>
        <w:t xml:space="preserve">rders in hand and </w:t>
      </w:r>
      <w:r w:rsidR="00EF78AC">
        <w:rPr>
          <w:lang w:val="en-US"/>
        </w:rPr>
        <w:t>m</w:t>
      </w:r>
      <w:r w:rsidR="00EF78AC" w:rsidRPr="00EF78AC">
        <w:rPr>
          <w:lang w:val="en-US"/>
        </w:rPr>
        <w:t xml:space="preserve">arket </w:t>
      </w:r>
      <w:r w:rsidR="00EF78AC">
        <w:rPr>
          <w:lang w:val="en-US"/>
        </w:rPr>
        <w:t>o</w:t>
      </w:r>
      <w:r w:rsidR="00EF78AC" w:rsidRPr="00EF78AC">
        <w:rPr>
          <w:lang w:val="en-US"/>
        </w:rPr>
        <w:t>pportunities</w:t>
      </w:r>
      <w:r>
        <w:t xml:space="preserve">. The </w:t>
      </w:r>
      <w:r w:rsidR="008F4472">
        <w:t>Applicant</w:t>
      </w:r>
      <w:r>
        <w:t xml:space="preserve"> considered that no net impact on out-of-pocket costs would be expected and would be dependent on the individual provider, just as the situation currently is for all radiation therapy treatments in Australia.</w:t>
      </w:r>
    </w:p>
    <w:p w14:paraId="4777E18F" w14:textId="77777777" w:rsidR="00835007" w:rsidRPr="00183E4D" w:rsidDel="00A134DA" w:rsidRDefault="00AB3CB2" w:rsidP="006E0193">
      <w:pPr>
        <w:pStyle w:val="Heading2"/>
        <w:numPr>
          <w:ilvl w:val="0"/>
          <w:numId w:val="8"/>
        </w:numPr>
      </w:pPr>
      <w:bookmarkStart w:id="214" w:name="_Toc381796450"/>
      <w:bookmarkStart w:id="215" w:name="_Toc59018761"/>
      <w:bookmarkStart w:id="216" w:name="_Toc59020305"/>
      <w:bookmarkStart w:id="217" w:name="_Toc59439527"/>
      <w:bookmarkStart w:id="218" w:name="_Toc89857799"/>
      <w:r w:rsidRPr="00183E4D" w:rsidDel="00A134DA">
        <w:t>Proposal for Public F</w:t>
      </w:r>
      <w:r w:rsidR="00835007" w:rsidRPr="00183E4D" w:rsidDel="00A134DA">
        <w:t>unding</w:t>
      </w:r>
      <w:bookmarkStart w:id="219" w:name="_Toc327540865"/>
      <w:bookmarkStart w:id="220" w:name="_Toc379118069"/>
      <w:bookmarkStart w:id="221" w:name="_Toc381796447"/>
      <w:bookmarkEnd w:id="214"/>
      <w:bookmarkEnd w:id="215"/>
      <w:bookmarkEnd w:id="216"/>
      <w:bookmarkEnd w:id="217"/>
      <w:bookmarkEnd w:id="218"/>
    </w:p>
    <w:p w14:paraId="5D14FA4C" w14:textId="0C45B0A6" w:rsidR="00106705" w:rsidRPr="00BA03F3" w:rsidDel="00A134DA" w:rsidRDefault="00835007" w:rsidP="00106705">
      <w:r w:rsidRPr="00183E4D" w:rsidDel="00A134DA">
        <w:t xml:space="preserve">The proposed MBS item </w:t>
      </w:r>
      <w:r w:rsidR="00106705" w:rsidRPr="00183E4D" w:rsidDel="00A134DA">
        <w:t xml:space="preserve">descriptor </w:t>
      </w:r>
      <w:r w:rsidRPr="00BA03F3" w:rsidDel="00A134DA">
        <w:t>is summarised in</w:t>
      </w:r>
      <w:bookmarkStart w:id="222" w:name="_Ref373485347"/>
      <w:bookmarkStart w:id="223" w:name="_Ref373485342"/>
      <w:r w:rsidR="00106705" w:rsidRPr="00BA03F3" w:rsidDel="00A134DA">
        <w:t xml:space="preserve"> </w:t>
      </w:r>
      <w:r w:rsidR="009B558E" w:rsidRPr="00BA03F3" w:rsidDel="00A134DA">
        <w:fldChar w:fldCharType="begin"/>
      </w:r>
      <w:r w:rsidR="009B558E" w:rsidRPr="00BA03F3" w:rsidDel="00A134DA">
        <w:instrText xml:space="preserve"> REF _Ref394849669 \h </w:instrText>
      </w:r>
      <w:r w:rsidR="00BA03F3">
        <w:instrText xml:space="preserve"> \* MERGEFORMAT </w:instrText>
      </w:r>
      <w:r w:rsidR="009B558E" w:rsidRPr="00BA03F3" w:rsidDel="00A134DA">
        <w:fldChar w:fldCharType="separate"/>
      </w:r>
      <w:r w:rsidR="00451350" w:rsidRPr="00BA03F3" w:rsidDel="00A134DA">
        <w:t xml:space="preserve">Table </w:t>
      </w:r>
      <w:r w:rsidR="00451350">
        <w:rPr>
          <w:noProof/>
        </w:rPr>
        <w:t>10</w:t>
      </w:r>
      <w:r w:rsidR="009B558E" w:rsidRPr="00BA03F3" w:rsidDel="00A134DA">
        <w:fldChar w:fldCharType="end"/>
      </w:r>
      <w:r w:rsidRPr="00BA03F3" w:rsidDel="00A134DA">
        <w:t>.</w:t>
      </w:r>
    </w:p>
    <w:p w14:paraId="49E6E53C" w14:textId="0AE65359" w:rsidR="00C01816" w:rsidRPr="007F7F53" w:rsidDel="00A134DA" w:rsidRDefault="00C01816" w:rsidP="004335C1">
      <w:r w:rsidRPr="00BA03F3">
        <w:t xml:space="preserve">The </w:t>
      </w:r>
      <w:r w:rsidR="008F4472">
        <w:t>Applicant</w:t>
      </w:r>
      <w:r w:rsidRPr="00BA03F3">
        <w:t xml:space="preserve"> requested an amendment to the way the service is clinically delivered under existing MBS item 15275.</w:t>
      </w:r>
      <w:r w:rsidR="00F557B8">
        <w:rPr>
          <w:i/>
          <w:iCs/>
        </w:rPr>
        <w:t xml:space="preserve"> </w:t>
      </w:r>
      <w:r w:rsidR="00F557B8" w:rsidRPr="007F7F53">
        <w:t>This MBS item is technologically</w:t>
      </w:r>
      <w:r w:rsidR="00D20577">
        <w:t xml:space="preserve"> </w:t>
      </w:r>
      <w:r w:rsidR="00F557B8" w:rsidRPr="007F7F53">
        <w:t>agnostic, as confirmed by PASC.</w:t>
      </w:r>
    </w:p>
    <w:p w14:paraId="261288C9" w14:textId="7BE3BCB0" w:rsidR="00315C77" w:rsidRPr="00BA03F3" w:rsidDel="00A134DA" w:rsidRDefault="00106705" w:rsidP="00BB381C">
      <w:pPr>
        <w:pStyle w:val="Caption"/>
        <w:tabs>
          <w:tab w:val="left" w:pos="1134"/>
        </w:tabs>
        <w:ind w:left="1134" w:hanging="1134"/>
      </w:pPr>
      <w:bookmarkStart w:id="224" w:name="_Ref394849669"/>
      <w:bookmarkStart w:id="225" w:name="_Toc89857881"/>
      <w:bookmarkEnd w:id="222"/>
      <w:bookmarkEnd w:id="223"/>
      <w:r w:rsidRPr="00BA03F3" w:rsidDel="00A134DA">
        <w:t xml:space="preserve">Table </w:t>
      </w:r>
      <w:r w:rsidR="00211285">
        <w:fldChar w:fldCharType="begin"/>
      </w:r>
      <w:r w:rsidR="00211285">
        <w:instrText xml:space="preserve"> SEQ Table \* ARABIC </w:instrText>
      </w:r>
      <w:r w:rsidR="00211285">
        <w:fldChar w:fldCharType="separate"/>
      </w:r>
      <w:r w:rsidR="00451350">
        <w:rPr>
          <w:noProof/>
        </w:rPr>
        <w:t>10</w:t>
      </w:r>
      <w:r w:rsidR="00211285">
        <w:rPr>
          <w:noProof/>
        </w:rPr>
        <w:fldChar w:fldCharType="end"/>
      </w:r>
      <w:bookmarkEnd w:id="224"/>
      <w:r w:rsidRPr="00BA03F3" w:rsidDel="00A134DA">
        <w:tab/>
      </w:r>
      <w:r w:rsidR="00315C77" w:rsidRPr="00BA03F3" w:rsidDel="00A134DA">
        <w:t>Proposed MBS item descriptor</w:t>
      </w:r>
      <w:r w:rsidR="00237AD3">
        <w:t xml:space="preserve"> (15275)</w:t>
      </w:r>
      <w:bookmarkEnd w:id="225"/>
    </w:p>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 Proposed MBS item descriptor (15275)"/>
        <w:tblDescription w:val="This table provides the proposed description of the requested Medicare Benefits Schedule item."/>
      </w:tblPr>
      <w:tblGrid>
        <w:gridCol w:w="9019"/>
      </w:tblGrid>
      <w:tr w:rsidR="00315C77" w:rsidRPr="00BA03F3" w:rsidDel="00A134DA" w14:paraId="61B4B5F3" w14:textId="77777777" w:rsidTr="006E0193">
        <w:trPr>
          <w:cnfStyle w:val="100000000000" w:firstRow="1" w:lastRow="0" w:firstColumn="0" w:lastColumn="0" w:oddVBand="0" w:evenVBand="0" w:oddHBand="0" w:evenHBand="0" w:firstRowFirstColumn="0" w:firstRowLastColumn="0" w:lastRowFirstColumn="0" w:lastRowLastColumn="0"/>
        </w:trPr>
        <w:tc>
          <w:tcPr>
            <w:tcW w:w="5000" w:type="pct"/>
          </w:tcPr>
          <w:p w14:paraId="30164729" w14:textId="527085CE" w:rsidR="00315C77" w:rsidRPr="00BA03F3" w:rsidDel="00A134DA" w:rsidRDefault="00315C77" w:rsidP="00106705">
            <w:pPr>
              <w:pStyle w:val="Tabletext1"/>
            </w:pPr>
            <w:r w:rsidRPr="00BA03F3" w:rsidDel="00A134DA">
              <w:t xml:space="preserve">Category </w:t>
            </w:r>
            <w:r w:rsidR="00C01816" w:rsidRPr="00BA03F3">
              <w:t>3</w:t>
            </w:r>
            <w:r w:rsidRPr="00BA03F3" w:rsidDel="00A134DA">
              <w:t xml:space="preserve"> – </w:t>
            </w:r>
            <w:r w:rsidR="00C01816" w:rsidRPr="00BA03F3">
              <w:t>THERAPEUTIC PROCEDURES</w:t>
            </w:r>
          </w:p>
        </w:tc>
      </w:tr>
      <w:tr w:rsidR="00315C77" w:rsidRPr="00BA03F3" w:rsidDel="00A134DA" w14:paraId="7C5D8A58" w14:textId="77777777" w:rsidTr="006E0193">
        <w:tc>
          <w:tcPr>
            <w:tcW w:w="5000" w:type="pct"/>
          </w:tcPr>
          <w:p w14:paraId="4D87CBBB" w14:textId="77777777" w:rsidR="00C01816" w:rsidRPr="00BA03F3" w:rsidRDefault="00C01816" w:rsidP="0015373A">
            <w:pPr>
              <w:pStyle w:val="Tabletext1"/>
            </w:pPr>
            <w:r w:rsidRPr="00BA03F3">
              <w:t>RADIATION ONCOLOGY TREATMENT with IGRT imaging facilities undertaken:</w:t>
            </w:r>
          </w:p>
          <w:p w14:paraId="6D9FB459" w14:textId="77777777" w:rsidR="00C01816" w:rsidRPr="00BA03F3" w:rsidRDefault="00C01816" w:rsidP="0015373A">
            <w:pPr>
              <w:pStyle w:val="Tabletext1"/>
            </w:pPr>
            <w:r w:rsidRPr="00BA03F3">
              <w:t>(a) to implement an IMRT dosimetry plan prepared in accordance with item 15565; and</w:t>
            </w:r>
          </w:p>
          <w:p w14:paraId="6CB5251C" w14:textId="75C5B665" w:rsidR="00315C77" w:rsidRPr="00BA03F3" w:rsidDel="00A134DA" w:rsidRDefault="00C01816" w:rsidP="0015373A">
            <w:pPr>
              <w:pStyle w:val="Tabletext1"/>
            </w:pPr>
            <w:r w:rsidRPr="00BA03F3">
              <w:t>(b) utilising an intensity modulated treatment delivery mode (delivered by a fixed or dynamic gantry linear accelerator or by a helical non C-arm based linear accelerator), once only at each attendance at which treatment is given.</w:t>
            </w:r>
          </w:p>
        </w:tc>
      </w:tr>
      <w:tr w:rsidR="00315C77" w:rsidRPr="00BA03F3" w:rsidDel="00A134DA" w14:paraId="01BC6BB8" w14:textId="77777777" w:rsidTr="006E0193">
        <w:tc>
          <w:tcPr>
            <w:tcW w:w="5000" w:type="pct"/>
          </w:tcPr>
          <w:p w14:paraId="2B9156D1" w14:textId="69B8C1E7" w:rsidR="00315C77" w:rsidRPr="00BA03F3" w:rsidDel="00A134DA" w:rsidRDefault="00C01816" w:rsidP="0015373A">
            <w:pPr>
              <w:pStyle w:val="Tabletext1"/>
            </w:pPr>
            <w:r w:rsidRPr="00BA03F3">
              <w:rPr>
                <w:b/>
              </w:rPr>
              <w:t>MBS Fee</w:t>
            </w:r>
            <w:r w:rsidR="00A65936" w:rsidRPr="00BA03F3">
              <w:rPr>
                <w:b/>
              </w:rPr>
              <w:t>*</w:t>
            </w:r>
            <w:r w:rsidRPr="00BA03F3">
              <w:rPr>
                <w:b/>
              </w:rPr>
              <w:t>: $18</w:t>
            </w:r>
            <w:r w:rsidR="00A65936" w:rsidRPr="00BA03F3">
              <w:rPr>
                <w:b/>
              </w:rPr>
              <w:t>8</w:t>
            </w:r>
            <w:r w:rsidRPr="00BA03F3">
              <w:rPr>
                <w:b/>
              </w:rPr>
              <w:t>.</w:t>
            </w:r>
            <w:r w:rsidR="00A65936" w:rsidRPr="00BA03F3">
              <w:rPr>
                <w:b/>
              </w:rPr>
              <w:t>6</w:t>
            </w:r>
            <w:r w:rsidRPr="00BA03F3">
              <w:rPr>
                <w:b/>
              </w:rPr>
              <w:t>5    Benefit: 75% = $1</w:t>
            </w:r>
            <w:r w:rsidR="00A65936" w:rsidRPr="00BA03F3">
              <w:rPr>
                <w:b/>
              </w:rPr>
              <w:t>41.5</w:t>
            </w:r>
            <w:r w:rsidRPr="00BA03F3">
              <w:rPr>
                <w:b/>
              </w:rPr>
              <w:t>0    85% = $1</w:t>
            </w:r>
            <w:r w:rsidR="00A65936" w:rsidRPr="00BA03F3">
              <w:rPr>
                <w:b/>
              </w:rPr>
              <w:t>60.4</w:t>
            </w:r>
            <w:r w:rsidRPr="00BA03F3">
              <w:rPr>
                <w:b/>
              </w:rPr>
              <w:t>0</w:t>
            </w:r>
          </w:p>
        </w:tc>
      </w:tr>
    </w:tbl>
    <w:p w14:paraId="1E93A408" w14:textId="54789A3E" w:rsidR="00391636" w:rsidRDefault="00A65936" w:rsidP="005C3B2B">
      <w:pPr>
        <w:pStyle w:val="Tablenotes0"/>
        <w:spacing w:after="0"/>
        <w:jc w:val="left"/>
      </w:pPr>
      <w:r w:rsidRPr="00BA03F3">
        <w:t xml:space="preserve">*Fees updated according to current information on mbsonline.gov.au as of </w:t>
      </w:r>
      <w:r w:rsidR="00D20577">
        <w:t>10 December</w:t>
      </w:r>
      <w:r w:rsidRPr="00BA03F3">
        <w:t xml:space="preserve"> 2020</w:t>
      </w:r>
      <w:r w:rsidR="005C3B2B">
        <w:br/>
      </w:r>
      <w:r w:rsidR="000D0977">
        <w:t>CT=computed tomography; IGRT=image guided radiation therapy; IMRT=intensity-modulated radiation therapy; MBS=Medical Benefits Schedule</w:t>
      </w:r>
    </w:p>
    <w:p w14:paraId="7AC0CA9B" w14:textId="23C90B06" w:rsidR="00C01816" w:rsidRPr="00BA03F3" w:rsidRDefault="00C01816" w:rsidP="00093D97">
      <w:r w:rsidRPr="00BA03F3">
        <w:t xml:space="preserve">Item 15275 is billed with item 15555 </w:t>
      </w:r>
      <w:r w:rsidR="004335C1">
        <w:t>S</w:t>
      </w:r>
      <w:r w:rsidR="004335C1" w:rsidRPr="00BA03F3">
        <w:t xml:space="preserve">imulation for intensity-modulated radiation therapy </w:t>
      </w:r>
      <w:r w:rsidRPr="00BA03F3">
        <w:t>(</w:t>
      </w:r>
      <w:r w:rsidR="004335C1">
        <w:t xml:space="preserve">IMRT; </w:t>
      </w:r>
      <w:r w:rsidR="00A65936" w:rsidRPr="00BA03F3">
        <w:fldChar w:fldCharType="begin"/>
      </w:r>
      <w:r w:rsidR="00A65936" w:rsidRPr="00BA03F3">
        <w:instrText xml:space="preserve"> REF _Ref53658400 \h </w:instrText>
      </w:r>
      <w:r w:rsidR="00BA03F3">
        <w:instrText xml:space="preserve"> \* MERGEFORMAT </w:instrText>
      </w:r>
      <w:r w:rsidR="00A65936" w:rsidRPr="00BA03F3">
        <w:fldChar w:fldCharType="separate"/>
      </w:r>
      <w:r w:rsidR="00451350" w:rsidRPr="00BA03F3" w:rsidDel="00A134DA">
        <w:t xml:space="preserve">Table </w:t>
      </w:r>
      <w:r w:rsidR="00451350">
        <w:rPr>
          <w:noProof/>
        </w:rPr>
        <w:t>11</w:t>
      </w:r>
      <w:r w:rsidR="00A65936" w:rsidRPr="00BA03F3">
        <w:fldChar w:fldCharType="end"/>
      </w:r>
      <w:r w:rsidRPr="00BA03F3">
        <w:t xml:space="preserve">), as well as item 15565 Preparation of an IMRT </w:t>
      </w:r>
      <w:r w:rsidR="00767073" w:rsidRPr="00BA03F3">
        <w:t xml:space="preserve">dosimetry plan </w:t>
      </w:r>
      <w:r w:rsidR="00A65936" w:rsidRPr="00BA03F3">
        <w:t>(</w:t>
      </w:r>
      <w:r w:rsidR="0045630C">
        <w:fldChar w:fldCharType="begin"/>
      </w:r>
      <w:r w:rsidR="0045630C">
        <w:instrText xml:space="preserve"> REF _Ref56008733 \h </w:instrText>
      </w:r>
      <w:r w:rsidR="0045630C">
        <w:fldChar w:fldCharType="separate"/>
      </w:r>
      <w:r w:rsidR="00451350" w:rsidRPr="00BA03F3" w:rsidDel="00A134DA">
        <w:t xml:space="preserve">Table </w:t>
      </w:r>
      <w:r w:rsidR="00451350">
        <w:rPr>
          <w:noProof/>
        </w:rPr>
        <w:t>12</w:t>
      </w:r>
      <w:r w:rsidR="0045630C">
        <w:fldChar w:fldCharType="end"/>
      </w:r>
      <w:r w:rsidR="00A65936" w:rsidRPr="00BA03F3">
        <w:t>)</w:t>
      </w:r>
      <w:r w:rsidRPr="00BA03F3">
        <w:t xml:space="preserve">. The </w:t>
      </w:r>
      <w:r w:rsidR="008F4472">
        <w:t>Applicant</w:t>
      </w:r>
      <w:r w:rsidRPr="00BA03F3">
        <w:t xml:space="preserve"> claimed that </w:t>
      </w:r>
      <w:r w:rsidR="00767073">
        <w:t>s</w:t>
      </w:r>
      <w:r w:rsidRPr="00BA03F3">
        <w:t xml:space="preserve">imulation and </w:t>
      </w:r>
      <w:r w:rsidR="00767073">
        <w:t>d</w:t>
      </w:r>
      <w:r w:rsidRPr="00BA03F3">
        <w:t>osimetry workflows and processes will be consistent with current practice, if implemented with MR-IGRT.</w:t>
      </w:r>
    </w:p>
    <w:p w14:paraId="002E0F1C" w14:textId="7DEE5776" w:rsidR="00A65936" w:rsidRPr="00BA03F3" w:rsidDel="00A134DA" w:rsidRDefault="00A65936" w:rsidP="00001444">
      <w:pPr>
        <w:pStyle w:val="Caption"/>
        <w:keepNext/>
        <w:tabs>
          <w:tab w:val="left" w:pos="1134"/>
        </w:tabs>
        <w:ind w:left="1134" w:hanging="1134"/>
      </w:pPr>
      <w:bookmarkStart w:id="226" w:name="_Ref53658400"/>
      <w:bookmarkStart w:id="227" w:name="_Toc89857882"/>
      <w:r w:rsidRPr="00BA03F3" w:rsidDel="00A134DA">
        <w:lastRenderedPageBreak/>
        <w:t xml:space="preserve">Table </w:t>
      </w:r>
      <w:r w:rsidR="00211285">
        <w:fldChar w:fldCharType="begin"/>
      </w:r>
      <w:r w:rsidR="00211285">
        <w:instrText xml:space="preserve"> SEQ Table \* ARABIC </w:instrText>
      </w:r>
      <w:r w:rsidR="00211285">
        <w:fldChar w:fldCharType="separate"/>
      </w:r>
      <w:r w:rsidR="00451350">
        <w:rPr>
          <w:noProof/>
        </w:rPr>
        <w:t>11</w:t>
      </w:r>
      <w:r w:rsidR="00211285">
        <w:rPr>
          <w:noProof/>
        </w:rPr>
        <w:fldChar w:fldCharType="end"/>
      </w:r>
      <w:bookmarkEnd w:id="226"/>
      <w:r w:rsidRPr="00BA03F3" w:rsidDel="00A134DA">
        <w:tab/>
        <w:t>Proposed MBS item descriptor</w:t>
      </w:r>
      <w:r w:rsidR="00237AD3">
        <w:t xml:space="preserve"> (15555)</w:t>
      </w:r>
      <w:bookmarkEnd w:id="227"/>
    </w:p>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 Proposed MBS item descriptor (15555)"/>
        <w:tblDescription w:val="This table provides the proposed description of the requested Medicare Benefits Schedule item."/>
      </w:tblPr>
      <w:tblGrid>
        <w:gridCol w:w="9019"/>
      </w:tblGrid>
      <w:tr w:rsidR="00A65936" w:rsidRPr="00BA03F3" w:rsidDel="00A134DA" w14:paraId="48024FCC" w14:textId="77777777" w:rsidTr="006E0193">
        <w:trPr>
          <w:cnfStyle w:val="100000000000" w:firstRow="1" w:lastRow="0" w:firstColumn="0" w:lastColumn="0" w:oddVBand="0" w:evenVBand="0" w:oddHBand="0" w:evenHBand="0" w:firstRowFirstColumn="0" w:firstRowLastColumn="0" w:lastRowFirstColumn="0" w:lastRowLastColumn="0"/>
        </w:trPr>
        <w:tc>
          <w:tcPr>
            <w:tcW w:w="5000" w:type="pct"/>
          </w:tcPr>
          <w:p w14:paraId="02065548" w14:textId="77777777" w:rsidR="00A65936" w:rsidRPr="00BA03F3" w:rsidDel="00A134DA" w:rsidRDefault="00A65936" w:rsidP="00001444">
            <w:pPr>
              <w:pStyle w:val="Tabletext1"/>
              <w:keepNext/>
            </w:pPr>
            <w:r w:rsidRPr="00BA03F3" w:rsidDel="00A134DA">
              <w:t xml:space="preserve">Category </w:t>
            </w:r>
            <w:r w:rsidRPr="00BA03F3">
              <w:t>3</w:t>
            </w:r>
            <w:r w:rsidRPr="00BA03F3" w:rsidDel="00A134DA">
              <w:t xml:space="preserve"> – </w:t>
            </w:r>
            <w:r w:rsidRPr="00BA03F3">
              <w:t>THERAPEUTIC PROCEDURES</w:t>
            </w:r>
          </w:p>
        </w:tc>
      </w:tr>
      <w:tr w:rsidR="00A65936" w:rsidRPr="00BA03F3" w:rsidDel="00A134DA" w14:paraId="543764A8" w14:textId="77777777" w:rsidTr="006E0193">
        <w:tc>
          <w:tcPr>
            <w:tcW w:w="5000" w:type="pct"/>
          </w:tcPr>
          <w:p w14:paraId="47091918" w14:textId="77777777" w:rsidR="00A65936" w:rsidRPr="00BA03F3" w:rsidRDefault="00A65936" w:rsidP="00001444">
            <w:pPr>
              <w:pStyle w:val="Tabletext1"/>
              <w:keepNext/>
            </w:pPr>
            <w:r w:rsidRPr="00BA03F3">
              <w:t>SIMULATION FOR INTENSITY-MODULATED RADIATION THERAPY (IMRT), with or without intravenous contrast medium, if:</w:t>
            </w:r>
          </w:p>
          <w:p w14:paraId="43148310" w14:textId="77777777" w:rsidR="00A65936" w:rsidRPr="00BA03F3" w:rsidRDefault="00A65936" w:rsidP="00001444">
            <w:pPr>
              <w:pStyle w:val="Tabletext1"/>
              <w:keepNext/>
            </w:pPr>
            <w:r w:rsidRPr="00BA03F3">
              <w:t>1.    treatment set-up and technique specifications are in preparations for three-dimensional conformal radiotherapy dose planning; and</w:t>
            </w:r>
          </w:p>
          <w:p w14:paraId="04F4D262" w14:textId="77777777" w:rsidR="00A65936" w:rsidRPr="00BA03F3" w:rsidRDefault="00A65936" w:rsidP="00001444">
            <w:pPr>
              <w:pStyle w:val="Tabletext1"/>
              <w:keepNext/>
            </w:pPr>
            <w:r w:rsidRPr="00BA03F3">
              <w:t>2.    patient set-up and immobilisation techniques are suitable for reliable CT-image volume data acquisition and three-dimensional conformal radiotherapy; and</w:t>
            </w:r>
          </w:p>
          <w:p w14:paraId="3F37BDB6" w14:textId="77777777" w:rsidR="00A65936" w:rsidRPr="00BA03F3" w:rsidRDefault="00A65936" w:rsidP="00001444">
            <w:pPr>
              <w:pStyle w:val="Tabletext1"/>
              <w:keepNext/>
            </w:pPr>
            <w:r w:rsidRPr="00BA03F3">
              <w:t>3.    a high-quality CT-image volume dataset is acquired for the relevant region of interest to be planned and treated; and</w:t>
            </w:r>
          </w:p>
          <w:p w14:paraId="463AAE24" w14:textId="0644FDE0" w:rsidR="00A65936" w:rsidRPr="00BA03F3" w:rsidDel="00A134DA" w:rsidRDefault="00A65936" w:rsidP="00001444">
            <w:pPr>
              <w:pStyle w:val="Tabletext1"/>
              <w:keepNext/>
            </w:pPr>
            <w:r w:rsidRPr="00BA03F3">
              <w:t>4.    the image set is suitable for the generation of quality digitally-reconstructed radiographic images.</w:t>
            </w:r>
          </w:p>
        </w:tc>
      </w:tr>
      <w:tr w:rsidR="00A65936" w:rsidRPr="00BA03F3" w:rsidDel="00A134DA" w14:paraId="3F56161D" w14:textId="77777777" w:rsidTr="006E0193">
        <w:tc>
          <w:tcPr>
            <w:tcW w:w="5000" w:type="pct"/>
          </w:tcPr>
          <w:p w14:paraId="6C1D691B" w14:textId="49682063" w:rsidR="00A65936" w:rsidRPr="00767073" w:rsidDel="00A134DA" w:rsidRDefault="00A65936" w:rsidP="00001444">
            <w:pPr>
              <w:pStyle w:val="Tabletext1"/>
              <w:keepNext/>
              <w:rPr>
                <w:b/>
                <w:bCs/>
              </w:rPr>
            </w:pPr>
            <w:r w:rsidRPr="00767073">
              <w:rPr>
                <w:b/>
                <w:bCs/>
              </w:rPr>
              <w:t>MBS Fee*: $732.75    Benefit: 75% = $549.60    85% = $648.05</w:t>
            </w:r>
          </w:p>
        </w:tc>
      </w:tr>
    </w:tbl>
    <w:p w14:paraId="649B2030" w14:textId="2622088B" w:rsidR="00A65936" w:rsidRDefault="00A65936" w:rsidP="00001444">
      <w:pPr>
        <w:pStyle w:val="Tablenotes0"/>
        <w:keepNext/>
        <w:spacing w:after="0"/>
      </w:pPr>
      <w:r w:rsidRPr="00BA03F3">
        <w:t xml:space="preserve">*Fees updated according to current information on mbsonline.gov.au as of </w:t>
      </w:r>
      <w:r w:rsidR="00D20577">
        <w:t>10 December</w:t>
      </w:r>
      <w:r w:rsidRPr="00BA03F3">
        <w:t xml:space="preserve"> 2020</w:t>
      </w:r>
    </w:p>
    <w:p w14:paraId="64288695" w14:textId="4F9F67D5" w:rsidR="00BA03F3" w:rsidRDefault="000D0977" w:rsidP="00001444">
      <w:pPr>
        <w:pStyle w:val="Tablenotes0"/>
        <w:keepNext/>
      </w:pPr>
      <w:r>
        <w:t>CT=computed tomography; IMRT=intensity-modulated radiation therapy; MBS=Medical Benefits Schedule</w:t>
      </w:r>
      <w:bookmarkStart w:id="228" w:name="_Ref53658414"/>
    </w:p>
    <w:p w14:paraId="2E2EC07C" w14:textId="3D2A330B" w:rsidR="00A65936" w:rsidRPr="00BA03F3" w:rsidDel="00A134DA" w:rsidRDefault="00A65936" w:rsidP="0045630C">
      <w:pPr>
        <w:pStyle w:val="Caption"/>
      </w:pPr>
      <w:bookmarkStart w:id="229" w:name="_Ref55989487"/>
      <w:bookmarkStart w:id="230" w:name="_Ref56008733"/>
      <w:bookmarkStart w:id="231" w:name="_Toc89857883"/>
      <w:r w:rsidRPr="00BA03F3" w:rsidDel="00A134DA">
        <w:t xml:space="preserve">Table </w:t>
      </w:r>
      <w:r w:rsidR="00211285">
        <w:fldChar w:fldCharType="begin"/>
      </w:r>
      <w:r w:rsidR="00211285">
        <w:instrText xml:space="preserve"> SEQ Table \* ARABIC </w:instrText>
      </w:r>
      <w:r w:rsidR="00211285">
        <w:fldChar w:fldCharType="separate"/>
      </w:r>
      <w:r w:rsidR="00451350">
        <w:rPr>
          <w:noProof/>
        </w:rPr>
        <w:t>12</w:t>
      </w:r>
      <w:r w:rsidR="00211285">
        <w:rPr>
          <w:noProof/>
        </w:rPr>
        <w:fldChar w:fldCharType="end"/>
      </w:r>
      <w:bookmarkEnd w:id="228"/>
      <w:bookmarkEnd w:id="229"/>
      <w:bookmarkEnd w:id="230"/>
      <w:r w:rsidRPr="00BA03F3" w:rsidDel="00A134DA">
        <w:tab/>
        <w:t>Proposed MBS item descriptor</w:t>
      </w:r>
      <w:r w:rsidR="00237AD3">
        <w:t xml:space="preserve"> (15565)</w:t>
      </w:r>
      <w:bookmarkEnd w:id="231"/>
    </w:p>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2 Proposed MBS item descriptor (15565)"/>
        <w:tblDescription w:val="This table provides the proposed description of the requested Medicare Benefits Schedule item."/>
      </w:tblPr>
      <w:tblGrid>
        <w:gridCol w:w="9019"/>
      </w:tblGrid>
      <w:tr w:rsidR="00A65936" w:rsidRPr="00BA03F3" w:rsidDel="00A134DA" w14:paraId="21BC81AE" w14:textId="77777777" w:rsidTr="006E0193">
        <w:trPr>
          <w:cnfStyle w:val="100000000000" w:firstRow="1" w:lastRow="0" w:firstColumn="0" w:lastColumn="0" w:oddVBand="0" w:evenVBand="0" w:oddHBand="0" w:evenHBand="0" w:firstRowFirstColumn="0" w:firstRowLastColumn="0" w:lastRowFirstColumn="0" w:lastRowLastColumn="0"/>
        </w:trPr>
        <w:tc>
          <w:tcPr>
            <w:tcW w:w="5000" w:type="pct"/>
          </w:tcPr>
          <w:p w14:paraId="529B0FDD" w14:textId="77777777" w:rsidR="00A65936" w:rsidRPr="00BA03F3" w:rsidDel="00A134DA" w:rsidRDefault="00A65936" w:rsidP="00CD2FAC">
            <w:pPr>
              <w:pStyle w:val="Tabletext1"/>
            </w:pPr>
            <w:r w:rsidRPr="00BA03F3" w:rsidDel="00A134DA">
              <w:t xml:space="preserve">Category </w:t>
            </w:r>
            <w:r w:rsidRPr="00BA03F3">
              <w:t>3</w:t>
            </w:r>
            <w:r w:rsidRPr="00BA03F3" w:rsidDel="00A134DA">
              <w:t xml:space="preserve"> – </w:t>
            </w:r>
            <w:r w:rsidRPr="00BA03F3">
              <w:t>THERAPEUTIC PROCEDURES</w:t>
            </w:r>
          </w:p>
        </w:tc>
      </w:tr>
      <w:tr w:rsidR="00A65936" w:rsidRPr="00BA03F3" w:rsidDel="00A134DA" w14:paraId="395EDDE4" w14:textId="77777777" w:rsidTr="006E0193">
        <w:tc>
          <w:tcPr>
            <w:tcW w:w="5000" w:type="pct"/>
          </w:tcPr>
          <w:p w14:paraId="4F8E7CB2" w14:textId="77777777" w:rsidR="00A65936" w:rsidRPr="00BA03F3" w:rsidRDefault="00A65936" w:rsidP="00767073">
            <w:pPr>
              <w:pStyle w:val="Tabletext1"/>
            </w:pPr>
            <w:r w:rsidRPr="00BA03F3">
              <w:t>Preparation of an IMRT DOSIMETRY PLAN, which uses one or more CT image volume datasets, if:</w:t>
            </w:r>
          </w:p>
          <w:p w14:paraId="2852A0AB" w14:textId="77777777" w:rsidR="00A65936" w:rsidRPr="00BA03F3" w:rsidRDefault="00A65936" w:rsidP="00767073">
            <w:pPr>
              <w:pStyle w:val="Tabletext1"/>
            </w:pPr>
            <w:r w:rsidRPr="00BA03F3">
              <w:t>(a)    in preparing the IMRT dosimetry plan:</w:t>
            </w:r>
          </w:p>
          <w:p w14:paraId="04EA7819" w14:textId="77777777" w:rsidR="00A65936" w:rsidRPr="00BA03F3" w:rsidRDefault="00A65936" w:rsidP="00767073">
            <w:pPr>
              <w:pStyle w:val="Tabletext1"/>
            </w:pPr>
            <w:r w:rsidRPr="00BA03F3">
              <w:t xml:space="preserve">    (i)    the differential between target dose and normal tissue dose is maximised, based on a review and assessment  by a radiation oncologist; and</w:t>
            </w:r>
          </w:p>
          <w:p w14:paraId="320DFE7F" w14:textId="77777777" w:rsidR="00A65936" w:rsidRPr="00BA03F3" w:rsidRDefault="00A65936" w:rsidP="00767073">
            <w:pPr>
              <w:pStyle w:val="Tabletext1"/>
            </w:pPr>
            <w:r w:rsidRPr="00BA03F3">
              <w:t xml:space="preserve">    (ii)    all gross tumour targets, clinical targets, planning targets and organs at risk are rendered as volumes as defined in the prescription; and</w:t>
            </w:r>
          </w:p>
          <w:p w14:paraId="5DE91671" w14:textId="77777777" w:rsidR="00A65936" w:rsidRPr="00BA03F3" w:rsidRDefault="00A65936" w:rsidP="00767073">
            <w:pPr>
              <w:pStyle w:val="Tabletext1"/>
            </w:pPr>
            <w:r w:rsidRPr="00BA03F3">
              <w:t xml:space="preserve">    (iii)    organs at risk are nominated as planning dose goals or constraints and the prescription specifies the organs at risk as dose goals or constraints; and</w:t>
            </w:r>
          </w:p>
          <w:p w14:paraId="520ED1C1" w14:textId="77777777" w:rsidR="00A65936" w:rsidRPr="00BA03F3" w:rsidRDefault="00A65936" w:rsidP="00767073">
            <w:pPr>
              <w:pStyle w:val="Tabletext1"/>
            </w:pPr>
            <w:r w:rsidRPr="00BA03F3">
              <w:t xml:space="preserve">    (iv)    dose calculations and dose volume histograms are generated in an inverse planned process, using a specialised calculation algorithm, with prescription and plan details approved and recorded in the plan; and</w:t>
            </w:r>
          </w:p>
          <w:p w14:paraId="1D91B7C0" w14:textId="77777777" w:rsidR="00A65936" w:rsidRPr="00BA03F3" w:rsidRDefault="00A65936" w:rsidP="00767073">
            <w:pPr>
              <w:pStyle w:val="Tabletext1"/>
            </w:pPr>
            <w:r w:rsidRPr="00BA03F3">
              <w:t xml:space="preserve">    (v)    a CT image volume dataset is used for the relevant region to be planned and treated; and</w:t>
            </w:r>
          </w:p>
          <w:p w14:paraId="7A430408" w14:textId="77777777" w:rsidR="00A65936" w:rsidRPr="00BA03F3" w:rsidRDefault="00A65936" w:rsidP="00767073">
            <w:pPr>
              <w:pStyle w:val="Tabletext1"/>
            </w:pPr>
            <w:r w:rsidRPr="00BA03F3">
              <w:t xml:space="preserve">    (vi)    the CT images are suitable for the generation of quality digitally reconstructed radiographic images; and</w:t>
            </w:r>
          </w:p>
          <w:p w14:paraId="77FEAB74" w14:textId="77777777" w:rsidR="00A65936" w:rsidRPr="00BA03F3" w:rsidRDefault="00A65936" w:rsidP="00767073">
            <w:pPr>
              <w:pStyle w:val="Tabletext1"/>
            </w:pPr>
            <w:r w:rsidRPr="00BA03F3">
              <w:t>(b) the final IMRT dosimetry plan is validated by the radiation therapist and the medical physicist, using robust quality assurance processes that include:</w:t>
            </w:r>
          </w:p>
          <w:p w14:paraId="0004676C" w14:textId="5BB545A9" w:rsidR="00A65936" w:rsidRPr="00BA03F3" w:rsidRDefault="00A65936" w:rsidP="00767073">
            <w:pPr>
              <w:pStyle w:val="Tabletext1"/>
            </w:pPr>
            <w:r w:rsidRPr="00BA03F3">
              <w:t xml:space="preserve">    (i)    determination of the accuracy of the dose fluence delivered by the multi-leaf collimator and gantry</w:t>
            </w:r>
            <w:r w:rsidR="000D0977">
              <w:t xml:space="preserve"> </w:t>
            </w:r>
            <w:r w:rsidRPr="00BA03F3">
              <w:t>position (static or dynamic); and</w:t>
            </w:r>
          </w:p>
          <w:p w14:paraId="44004B76" w14:textId="77777777" w:rsidR="00A65936" w:rsidRPr="00BA03F3" w:rsidRDefault="00A65936" w:rsidP="00767073">
            <w:pPr>
              <w:pStyle w:val="Tabletext1"/>
            </w:pPr>
            <w:r w:rsidRPr="00BA03F3">
              <w:t xml:space="preserve">    (ii)    ensuring that the plan is deliverable, data transfer is acceptable and validation checks are completed on a linear accelerator; and</w:t>
            </w:r>
          </w:p>
          <w:p w14:paraId="5A5BD4AB" w14:textId="77777777" w:rsidR="00A65936" w:rsidRPr="00BA03F3" w:rsidRDefault="00A65936" w:rsidP="00767073">
            <w:pPr>
              <w:pStyle w:val="Tabletext1"/>
            </w:pPr>
            <w:r w:rsidRPr="00BA03F3">
              <w:t xml:space="preserve">    (iii)    validating the accuracy of the derived IMRT dosimetry plan; and</w:t>
            </w:r>
          </w:p>
          <w:p w14:paraId="5EA6A042" w14:textId="7893ACD0" w:rsidR="00A65936" w:rsidRPr="00BA03F3" w:rsidDel="00A134DA" w:rsidRDefault="00A65936" w:rsidP="00767073">
            <w:pPr>
              <w:pStyle w:val="Tabletext1"/>
            </w:pPr>
            <w:r w:rsidRPr="00BA03F3">
              <w:t>(c)    the final IMRT dosimetry plan is approved by the radiation oncologist prior to delivery.</w:t>
            </w:r>
          </w:p>
        </w:tc>
      </w:tr>
      <w:tr w:rsidR="00A65936" w:rsidRPr="00BA03F3" w:rsidDel="00A134DA" w14:paraId="6D496CDC" w14:textId="77777777" w:rsidTr="006E0193">
        <w:tc>
          <w:tcPr>
            <w:tcW w:w="5000" w:type="pct"/>
          </w:tcPr>
          <w:p w14:paraId="07734C79" w14:textId="4023B762" w:rsidR="00A65936" w:rsidRPr="00BA03F3" w:rsidDel="00A134DA" w:rsidRDefault="00A65936" w:rsidP="00CD2FAC">
            <w:pPr>
              <w:pStyle w:val="Tabletext1"/>
            </w:pPr>
            <w:r w:rsidRPr="00767073">
              <w:rPr>
                <w:b/>
                <w:bCs/>
              </w:rPr>
              <w:t>MBS Fee*: $3,417.35    Benefit: 75% = $2,563.05    85% = $3,332.65</w:t>
            </w:r>
          </w:p>
        </w:tc>
      </w:tr>
    </w:tbl>
    <w:p w14:paraId="34E228E3" w14:textId="7A8BA3CC" w:rsidR="00A65936" w:rsidRDefault="00A65936" w:rsidP="00DF53B7">
      <w:pPr>
        <w:pStyle w:val="Tablenotes0"/>
        <w:spacing w:after="0"/>
      </w:pPr>
      <w:r w:rsidRPr="00BA03F3">
        <w:t xml:space="preserve">*Fees updated according to current information on mbsonline.gov.au as of </w:t>
      </w:r>
      <w:r w:rsidR="00D20577">
        <w:t>10 December</w:t>
      </w:r>
      <w:r w:rsidRPr="00BA03F3">
        <w:t xml:space="preserve"> 2020</w:t>
      </w:r>
    </w:p>
    <w:p w14:paraId="21191E8A" w14:textId="77777777" w:rsidR="000D0977" w:rsidRPr="00BA03F3" w:rsidRDefault="000D0977" w:rsidP="000D0977">
      <w:pPr>
        <w:pStyle w:val="Tablenotes0"/>
      </w:pPr>
      <w:r>
        <w:t>CT=computed tomography; IMRT=intensity-modulated radiation therapy; MBS=Medical Benefits Schedule</w:t>
      </w:r>
    </w:p>
    <w:p w14:paraId="3D3C0CED" w14:textId="77777777" w:rsidR="00C3360E" w:rsidRPr="00BA03F3" w:rsidRDefault="00C3360E" w:rsidP="006E0193">
      <w:pPr>
        <w:pStyle w:val="Heading2"/>
        <w:numPr>
          <w:ilvl w:val="0"/>
          <w:numId w:val="8"/>
        </w:numPr>
      </w:pPr>
      <w:bookmarkStart w:id="232" w:name="_Toc59018762"/>
      <w:bookmarkStart w:id="233" w:name="_Toc59020306"/>
      <w:bookmarkStart w:id="234" w:name="_Toc59439528"/>
      <w:bookmarkStart w:id="235" w:name="_Toc379118076"/>
      <w:bookmarkStart w:id="236" w:name="_Toc381796455"/>
      <w:bookmarkStart w:id="237" w:name="_Toc379118072"/>
      <w:bookmarkStart w:id="238" w:name="_Toc355274709"/>
      <w:bookmarkStart w:id="239" w:name="_Toc89857800"/>
      <w:bookmarkEnd w:id="219"/>
      <w:bookmarkEnd w:id="220"/>
      <w:bookmarkEnd w:id="221"/>
      <w:r w:rsidRPr="00BA03F3">
        <w:t>Proposed population</w:t>
      </w:r>
      <w:bookmarkEnd w:id="232"/>
      <w:bookmarkEnd w:id="233"/>
      <w:bookmarkEnd w:id="234"/>
      <w:bookmarkEnd w:id="239"/>
    </w:p>
    <w:p w14:paraId="6FDD9B0E" w14:textId="4EF40552" w:rsidR="00A8499A" w:rsidRDefault="00A8499A" w:rsidP="00A8499A">
      <w:bookmarkStart w:id="240" w:name="_Hlk59033346"/>
      <w:r w:rsidRPr="00BA03F3">
        <w:t>The proposed population includes all patients with cancer undergoing external beam radiation therapy (EBRT) regardless of the cancer type</w:t>
      </w:r>
      <w:r w:rsidR="00DC7176">
        <w:t xml:space="preserve"> or stage</w:t>
      </w:r>
      <w:bookmarkEnd w:id="240"/>
      <w:r w:rsidRPr="00BA03F3">
        <w:t>.</w:t>
      </w:r>
    </w:p>
    <w:p w14:paraId="4EF4A17E" w14:textId="7C9FF096" w:rsidR="005E192A" w:rsidRPr="00BA03F3" w:rsidRDefault="005E192A" w:rsidP="00A8499A">
      <w:bookmarkStart w:id="241" w:name="_Hlk59033370"/>
      <w:r>
        <w:t>Initial use of MR-linac is expected to focus on cancers of the brain, breast, cervix, oesophagus, lung, oropharynx, pancreas, prostate, oligometastatic sites, liver, bladder</w:t>
      </w:r>
      <w:r w:rsidR="00022B59">
        <w:t>,</w:t>
      </w:r>
      <w:r>
        <w:t xml:space="preserve"> and rectum.</w:t>
      </w:r>
    </w:p>
    <w:bookmarkEnd w:id="241"/>
    <w:p w14:paraId="23925602" w14:textId="31ADCC36" w:rsidR="00A8499A" w:rsidRPr="00BA03F3" w:rsidRDefault="00A8499A" w:rsidP="00A8499A">
      <w:r w:rsidRPr="00BA03F3">
        <w:t>The Australian Institute of Health and Welfare (AIHW) estimates approximately 1</w:t>
      </w:r>
      <w:r w:rsidR="006B3067" w:rsidRPr="00BA03F3">
        <w:t>45</w:t>
      </w:r>
      <w:r w:rsidRPr="00BA03F3">
        <w:t xml:space="preserve">,000 new cancer cases </w:t>
      </w:r>
      <w:r w:rsidR="006B3067" w:rsidRPr="00BA03F3">
        <w:t>and 48,000 deaths from cancer</w:t>
      </w:r>
      <w:r w:rsidRPr="00BA03F3">
        <w:t xml:space="preserve"> in 2020</w:t>
      </w:r>
      <w:r w:rsidR="006B3067" w:rsidRPr="00BA03F3">
        <w:t xml:space="preserve"> </w:t>
      </w:r>
      <w:r w:rsidR="000C77B0">
        <w:fldChar w:fldCharType="begin"/>
      </w:r>
      <w:r w:rsidR="000C77B0">
        <w:instrText xml:space="preserve"> ADDIN EN.CITE &lt;EndNote&gt;&lt;Cite&gt;&lt;Author&gt;Australian Institute of Health and Welfare (AIHW)&lt;/Author&gt;&lt;Year&gt;2020&lt;/Year&gt;&lt;RecNum&gt;1&lt;/RecNum&gt;&lt;DisplayText&gt;(Australian Institute of Health and Welfare (AIHW), 2020a)&lt;/DisplayText&gt;&lt;record&gt;&lt;rec-number&gt;1&lt;/rec-number&gt;&lt;foreign-keys&gt;&lt;key app="EN" db-id="sx5wsdwv795wvue959xxw0ptaewvdezxxp05" timestamp="1602204712"&gt;1&lt;/key&gt;&lt;/foreign-keys&gt;&lt;ref-type name="Web Page"&gt;12&lt;/ref-type&gt;&lt;contributors&gt;&lt;authors&gt;&lt;author&gt;Australian Institute of Health and Welfare (AIHW),&lt;/author&gt;&lt;/authors&gt;&lt;tertiary-authors&gt;&lt;author&gt;AIHW&lt;/author&gt;&lt;/tertiary-authors&gt;&lt;/contributors&gt;&lt;titles&gt;&lt;title&gt;Cancer data in Australia. Cat. no. CAN 122&lt;/title&gt;&lt;secondary-title&gt;Cat. no. CAN 122&lt;/secondary-title&gt;&lt;/titles&gt;&lt;volume&gt;2020&lt;/volume&gt;&lt;number&gt;9 Oct&lt;/number&gt;&lt;dates&gt;&lt;year&gt;2020&lt;/year&gt;&lt;/dates&gt;&lt;pub-location&gt;Canberra&lt;/pub-location&gt;&lt;urls&gt;&lt;related-urls&gt;&lt;url&gt;https://www.aihw.gov.au/reports/cancer/cancer-data-in-australia/contents/cancer-summary-data-visualisation&lt;/url&gt;&lt;/related-urls&gt;&lt;/urls&gt;&lt;/record&gt;&lt;/Cite&gt;&lt;/EndNote&gt;</w:instrText>
      </w:r>
      <w:r w:rsidR="000C77B0">
        <w:fldChar w:fldCharType="separate"/>
      </w:r>
      <w:r w:rsidR="000C77B0">
        <w:rPr>
          <w:noProof/>
        </w:rPr>
        <w:t>(</w:t>
      </w:r>
      <w:hyperlink w:anchor="_ENREF_6" w:tooltip="Australian Institute of Health and Welfare (AIHW), 2020 #1" w:history="1">
        <w:r w:rsidR="008B6FC0">
          <w:rPr>
            <w:noProof/>
          </w:rPr>
          <w:t xml:space="preserve">Australian Institute of Health and Welfare (AIHW), </w:t>
        </w:r>
        <w:r w:rsidR="008B6FC0">
          <w:rPr>
            <w:noProof/>
          </w:rPr>
          <w:lastRenderedPageBreak/>
          <w:t>2020a</w:t>
        </w:r>
      </w:hyperlink>
      <w:r w:rsidR="000C77B0">
        <w:rPr>
          <w:noProof/>
        </w:rPr>
        <w:t>)</w:t>
      </w:r>
      <w:r w:rsidR="000C77B0">
        <w:fldChar w:fldCharType="end"/>
      </w:r>
      <w:r w:rsidRPr="00BA03F3">
        <w:t>. Although mainly affecting population</w:t>
      </w:r>
      <w:r w:rsidR="005B3448" w:rsidRPr="00BA03F3">
        <w:t xml:space="preserve"> aged 50 years and older</w:t>
      </w:r>
      <w:r w:rsidRPr="00BA03F3">
        <w:t xml:space="preserve">, cancer remains the leading cause of premature death. </w:t>
      </w:r>
      <w:r w:rsidR="00E072AD" w:rsidRPr="00BA03F3">
        <w:t>The risk of an individual being diagnosed with cancer by their 85</w:t>
      </w:r>
      <w:r w:rsidR="00E072AD" w:rsidRPr="00BA03F3">
        <w:rPr>
          <w:vertAlign w:val="superscript"/>
        </w:rPr>
        <w:t>th</w:t>
      </w:r>
      <w:r w:rsidR="00E072AD" w:rsidRPr="00BA03F3">
        <w:t xml:space="preserve"> birthday will be 1 in 2 for both males and females </w:t>
      </w:r>
      <w:r w:rsidR="000C77B0">
        <w:fldChar w:fldCharType="begin"/>
      </w:r>
      <w:r w:rsidR="000C77B0">
        <w:instrText xml:space="preserve"> ADDIN EN.CITE &lt;EndNote&gt;&lt;Cite&gt;&lt;Author&gt;Australian Institute of Health and Welfare (AIHW)&lt;/Author&gt;&lt;Year&gt;2019&lt;/Year&gt;&lt;RecNum&gt;3&lt;/RecNum&gt;&lt;DisplayText&gt;(Australian Institute of Health and Welfare (AIHW), 2019)&lt;/DisplayText&gt;&lt;record&gt;&lt;rec-number&gt;3&lt;/rec-number&gt;&lt;foreign-keys&gt;&lt;key app="EN" db-id="sx5wsdwv795wvue959xxw0ptaewvdezxxp05" timestamp="1602205966"&gt;3&lt;/key&gt;&lt;/foreign-keys&gt;&lt;ref-type name="Web Page"&gt;12&lt;/ref-type&gt;&lt;contributors&gt;&lt;authors&gt;&lt;author&gt;Australian Institute of Health and Welfare (AIHW),&lt;/author&gt;&lt;/authors&gt;&lt;/contributors&gt;&lt;titles&gt;&lt;title&gt;Cancer in Australia 2019. Cat no. CAN 123&lt;/title&gt;&lt;/titles&gt;&lt;volume&gt;2020&lt;/volume&gt;&lt;number&gt;9 Oct&lt;/number&gt;&lt;dates&gt;&lt;year&gt;2019&lt;/year&gt;&lt;/dates&gt;&lt;pub-location&gt;Canberra&lt;/pub-location&gt;&lt;publisher&gt;AIHW&lt;/publisher&gt;&lt;urls&gt;&lt;related-urls&gt;&lt;url&gt;https://www.aihw.gov.au/reports/cancer/cancer-in-australia-2019&lt;/url&gt;&lt;/related-urls&gt;&lt;/urls&gt;&lt;electronic-resource-num&gt;10.25816/5ebcc7a7fa7e9&lt;/electronic-resource-num&gt;&lt;/record&gt;&lt;/Cite&gt;&lt;/EndNote&gt;</w:instrText>
      </w:r>
      <w:r w:rsidR="000C77B0">
        <w:fldChar w:fldCharType="separate"/>
      </w:r>
      <w:r w:rsidR="000C77B0">
        <w:rPr>
          <w:noProof/>
        </w:rPr>
        <w:t>(</w:t>
      </w:r>
      <w:hyperlink w:anchor="_ENREF_5" w:tooltip="Australian Institute of Health and Welfare (AIHW), 2019 #3" w:history="1">
        <w:r w:rsidR="008B6FC0">
          <w:rPr>
            <w:noProof/>
          </w:rPr>
          <w:t>Australian Institute of Health and Welfare (AIHW), 2019</w:t>
        </w:r>
      </w:hyperlink>
      <w:r w:rsidR="000C77B0">
        <w:rPr>
          <w:noProof/>
        </w:rPr>
        <w:t>)</w:t>
      </w:r>
      <w:r w:rsidR="000C77B0">
        <w:fldChar w:fldCharType="end"/>
      </w:r>
      <w:r w:rsidR="00E072AD" w:rsidRPr="00BA03F3">
        <w:t>.</w:t>
      </w:r>
    </w:p>
    <w:p w14:paraId="28EB34D6" w14:textId="73800AC2" w:rsidR="00D57555" w:rsidRPr="00BA03F3" w:rsidRDefault="00A8499A" w:rsidP="00E072AD">
      <w:r w:rsidRPr="00BA03F3">
        <w:t>Radiation therapy</w:t>
      </w:r>
      <w:r w:rsidR="00E072AD" w:rsidRPr="00BA03F3">
        <w:t>, or radiotherapy,</w:t>
      </w:r>
      <w:r w:rsidRPr="00BA03F3">
        <w:t xml:space="preserve"> is</w:t>
      </w:r>
      <w:r w:rsidR="005B3448" w:rsidRPr="00BA03F3">
        <w:t xml:space="preserve"> considered an important part of cancer treatment, </w:t>
      </w:r>
      <w:r w:rsidR="00E3196E" w:rsidRPr="00BA03F3">
        <w:t xml:space="preserve">effective for a very wide range of cancer types, stages and locations. </w:t>
      </w:r>
      <w:r w:rsidRPr="00BA03F3">
        <w:t xml:space="preserve">Radiation therapy uses a controlled dose of radiation to kill cancer cells or damage them so they cannot grow, multiply or spread. The radiation is usually in the form of focused </w:t>
      </w:r>
      <w:r w:rsidR="00F557B8">
        <w:t>X</w:t>
      </w:r>
      <w:r w:rsidRPr="00BA03F3">
        <w:t>-ray beams, also known as photons. It is a localised treatment, which means it generally affects only the part of the body where the radiation is targeted</w:t>
      </w:r>
      <w:r w:rsidR="00E072AD" w:rsidRPr="00BA03F3">
        <w:t>, and spares the healthy areas of the body</w:t>
      </w:r>
      <w:r w:rsidR="00CD2FAC" w:rsidRPr="00BA03F3">
        <w:t xml:space="preserve"> </w:t>
      </w:r>
      <w:r w:rsidR="000C77B0">
        <w:fldChar w:fldCharType="begin"/>
      </w:r>
      <w:r w:rsidR="000C77B0">
        <w:instrText xml:space="preserve"> ADDIN EN.CITE &lt;EndNote&gt;&lt;Cite&gt;&lt;Author&gt;Cancer Australia&lt;/Author&gt;&lt;Year&gt;2020&lt;/Year&gt;&lt;RecNum&gt;6&lt;/RecNum&gt;&lt;DisplayText&gt;(Cancer Australia, 2020)&lt;/DisplayText&gt;&lt;record&gt;&lt;rec-number&gt;6&lt;/rec-number&gt;&lt;foreign-keys&gt;&lt;key app="EN" db-id="sx5wsdwv795wvue959xxw0ptaewvdezxxp05" timestamp="1602216177"&gt;6&lt;/key&gt;&lt;/foreign-keys&gt;&lt;ref-type name="Web Page"&gt;12&lt;/ref-type&gt;&lt;contributors&gt;&lt;authors&gt;&lt;author&gt;Cancer Australia,&lt;/author&gt;&lt;/authors&gt;&lt;/contributors&gt;&lt;titles&gt;&lt;title&gt;Radiation Therapy&lt;/title&gt;&lt;/titles&gt;&lt;volume&gt;2020&lt;/volume&gt;&lt;number&gt;9 Oct&lt;/number&gt;&lt;dates&gt;&lt;year&gt;2020&lt;/year&gt;&lt;/dates&gt;&lt;publisher&gt;Cancer Australia&lt;/publisher&gt;&lt;urls&gt;&lt;related-urls&gt;&lt;url&gt;https://www.canceraustralia.gov.au/affected-cancer/treatment/radiation-therapy&lt;/url&gt;&lt;/related-urls&gt;&lt;/urls&gt;&lt;/record&gt;&lt;/Cite&gt;&lt;/EndNote&gt;</w:instrText>
      </w:r>
      <w:r w:rsidR="000C77B0">
        <w:fldChar w:fldCharType="separate"/>
      </w:r>
      <w:r w:rsidR="000C77B0">
        <w:rPr>
          <w:noProof/>
        </w:rPr>
        <w:t>(</w:t>
      </w:r>
      <w:hyperlink w:anchor="_ENREF_17" w:tooltip="Cancer Australia, 2020 #6" w:history="1">
        <w:r w:rsidR="008B6FC0">
          <w:rPr>
            <w:noProof/>
          </w:rPr>
          <w:t>Cancer Australia, 2020</w:t>
        </w:r>
      </w:hyperlink>
      <w:r w:rsidR="000C77B0">
        <w:rPr>
          <w:noProof/>
        </w:rPr>
        <w:t>)</w:t>
      </w:r>
      <w:r w:rsidR="000C77B0">
        <w:fldChar w:fldCharType="end"/>
      </w:r>
      <w:r w:rsidRPr="00BA03F3">
        <w:t>.</w:t>
      </w:r>
    </w:p>
    <w:p w14:paraId="48A60BDD" w14:textId="60B29AD2" w:rsidR="00D57555" w:rsidRDefault="00D57555" w:rsidP="00D57555">
      <w:r w:rsidRPr="00BA03F3">
        <w:t>There are two types of radiation therapy: internal and external. The internal radiation therapy or brachytherapy involves giving radiation via needle, catheter or another device which is left in place for a few days. The external radi</w:t>
      </w:r>
      <w:r w:rsidR="000D0977">
        <w:t>o</w:t>
      </w:r>
      <w:r w:rsidRPr="00BA03F3">
        <w:t xml:space="preserve">therapy </w:t>
      </w:r>
      <w:r w:rsidR="000D0977">
        <w:t xml:space="preserve">or </w:t>
      </w:r>
      <w:r w:rsidRPr="00BA03F3">
        <w:t>EBRT uses a machine that beams radiation onto the tumour such that a precise area receives the radiation while limiting the amount of radiation on the surrounding healthy areas.</w:t>
      </w:r>
      <w:r w:rsidR="00DA512E" w:rsidRPr="00BA03F3">
        <w:t xml:space="preserve"> Utilisation estimates in Australia indicate that 48% of all patients receive external beam radiotherapy at least once during their treatment </w:t>
      </w:r>
      <w:r w:rsidR="000C77B0">
        <w:fldChar w:fldCharType="begin">
          <w:fldData xml:space="preserve">PEVuZE5vdGU+PENpdGU+PEF1dGhvcj5CYXJ0b248L0F1dGhvcj48WWVhcj4yMDE0PC9ZZWFyPjxS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=
</w:fldData>
        </w:fldChar>
      </w:r>
      <w:r w:rsidR="000C77B0">
        <w:instrText xml:space="preserve"> ADDIN EN.CITE </w:instrText>
      </w:r>
      <w:r w:rsidR="000C77B0">
        <w:fldChar w:fldCharType="begin">
          <w:fldData xml:space="preserve">PEVuZE5vdGU+PENpdGU+PEF1dGhvcj5CYXJ0b248L0F1dGhvcj48WWVhcj4yMDE0PC9ZZWFyPjxS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=
</w:fldData>
        </w:fldChar>
      </w:r>
      <w:r w:rsidR="000C77B0">
        <w:instrText xml:space="preserve"> ADDIN EN.CITE.DATA </w:instrText>
      </w:r>
      <w:r w:rsidR="000C77B0">
        <w:fldChar w:fldCharType="end"/>
      </w:r>
      <w:r w:rsidR="000C77B0">
        <w:fldChar w:fldCharType="separate"/>
      </w:r>
      <w:r w:rsidR="000C77B0">
        <w:rPr>
          <w:noProof/>
        </w:rPr>
        <w:t>(</w:t>
      </w:r>
      <w:hyperlink w:anchor="_ENREF_9" w:tooltip="Barton, 2014 #4" w:history="1">
        <w:r w:rsidR="008B6FC0">
          <w:rPr>
            <w:noProof/>
          </w:rPr>
          <w:t>Barton et al., 2014</w:t>
        </w:r>
      </w:hyperlink>
      <w:r w:rsidR="000C77B0">
        <w:rPr>
          <w:noProof/>
        </w:rPr>
        <w:t>)</w:t>
      </w:r>
      <w:r w:rsidR="000C77B0">
        <w:fldChar w:fldCharType="end"/>
      </w:r>
      <w:r w:rsidR="00DA512E" w:rsidRPr="00BA03F3">
        <w:t>.</w:t>
      </w:r>
      <w:r w:rsidRPr="00BA03F3">
        <w:t xml:space="preserve"> The EBRT</w:t>
      </w:r>
      <w:r w:rsidR="00011CEB" w:rsidRPr="00BA03F3">
        <w:t xml:space="preserve"> uses a radiation machine</w:t>
      </w:r>
      <w:r w:rsidR="00011CEB">
        <w:t>, usually a linear accelerator</w:t>
      </w:r>
      <w:r w:rsidR="000D0977">
        <w:t xml:space="preserve"> (linac)</w:t>
      </w:r>
      <w:r w:rsidR="00011CEB">
        <w:t xml:space="preserve">, to direct high-energy beams at the cancer. </w:t>
      </w:r>
      <w:r w:rsidR="006134E2">
        <w:t>EBRT</w:t>
      </w:r>
      <w:r>
        <w:t xml:space="preserve"> can be delivered using different techniques: 3D</w:t>
      </w:r>
      <w:r w:rsidR="00767073">
        <w:t>-</w:t>
      </w:r>
      <w:r>
        <w:t>CRT</w:t>
      </w:r>
      <w:r w:rsidR="00767073">
        <w:t xml:space="preserve">, </w:t>
      </w:r>
      <w:r>
        <w:t>IMRT</w:t>
      </w:r>
      <w:r w:rsidR="00011CEB">
        <w:t xml:space="preserve">, </w:t>
      </w:r>
      <w:r>
        <w:t>IGRT</w:t>
      </w:r>
      <w:r w:rsidR="00011CEB">
        <w:t xml:space="preserve">, </w:t>
      </w:r>
      <w:r w:rsidR="00767073">
        <w:t>s</w:t>
      </w:r>
      <w:r>
        <w:t>tereotactic radiosurgery (SRS) and stereotactic radiation therapy (SRT)</w:t>
      </w:r>
      <w:r w:rsidR="00011CEB">
        <w:t xml:space="preserve">, </w:t>
      </w:r>
      <w:r w:rsidR="00767073">
        <w:t>s</w:t>
      </w:r>
      <w:r>
        <w:t>tereotactic body radiation therapy (SBRT)</w:t>
      </w:r>
      <w:r w:rsidR="00011CEB">
        <w:t xml:space="preserve">, and </w:t>
      </w:r>
      <w:r w:rsidR="00767073">
        <w:t>p</w:t>
      </w:r>
      <w:r>
        <w:t>roton therapy</w:t>
      </w:r>
      <w:r w:rsidR="00011CEB">
        <w:t xml:space="preserve">. The IGRT uses a treatment machine that takes an image or scan of the tumour using X-ray or </w:t>
      </w:r>
      <w:r w:rsidR="000D0977">
        <w:t>computed tomography (</w:t>
      </w:r>
      <w:r w:rsidR="00011CEB">
        <w:t>CT</w:t>
      </w:r>
      <w:r w:rsidR="000D0977">
        <w:t>)</w:t>
      </w:r>
      <w:r w:rsidR="00011CEB">
        <w:t xml:space="preserve"> scans, at the start of each treatment session to check that the patient is in the correct position for treatment. Markers are inserted near the cancers so that these are visible in the scans and can guide positioning. IGRT </w:t>
      </w:r>
      <w:r w:rsidR="002973AE">
        <w:t xml:space="preserve">is </w:t>
      </w:r>
      <w:r w:rsidR="00011CEB">
        <w:t xml:space="preserve">commonly used with many types of radiation therapy, </w:t>
      </w:r>
      <w:r w:rsidR="002973AE">
        <w:t xml:space="preserve">and is always used when IMRT is being used. It </w:t>
      </w:r>
      <w:r w:rsidR="00011CEB">
        <w:t>is recommended for areas likely to be affected by movement</w:t>
      </w:r>
      <w:r w:rsidR="006134E2">
        <w:t>,</w:t>
      </w:r>
      <w:r w:rsidR="00011CEB">
        <w:t xml:space="preserve"> e.g. lungs </w:t>
      </w:r>
      <w:r w:rsidR="000C77B0">
        <w:fldChar w:fldCharType="begin"/>
      </w:r>
      <w:r w:rsidR="000C77B0">
        <w:instrText xml:space="preserve"> ADDIN EN.CITE &lt;EndNote&gt;&lt;Cite&gt;&lt;Author&gt;Cancer Council Australia&lt;/Author&gt;&lt;Year&gt;2019&lt;/Year&gt;&lt;RecNum&gt;7&lt;/RecNum&gt;&lt;DisplayText&gt;(Cancer Council Australia, 2019)&lt;/DisplayText&gt;&lt;record&gt;&lt;rec-number&gt;7&lt;/rec-number&gt;&lt;foreign-keys&gt;&lt;key app="EN" db-id="sx5wsdwv795wvue959xxw0ptaewvdezxxp05" timestamp="1602217263"&gt;7&lt;/key&gt;&lt;/foreign-keys&gt;&lt;ref-type name="Web Page"&gt;12&lt;/ref-type&gt;&lt;contributors&gt;&lt;authors&gt;&lt;author&gt;Cancer Council Australia,&lt;/author&gt;&lt;/authors&gt;&lt;/contributors&gt;&lt;titles&gt;&lt;title&gt;Understanding Radiation Therapy- A guide for people with cancer, their familes and friends&lt;/title&gt;&lt;/titles&gt;&lt;dates&gt;&lt;year&gt;2019&lt;/year&gt;&lt;/dates&gt;&lt;pub-location&gt;Sydney&lt;/pub-location&gt;&lt;publisher&gt;Cancer Council NSW&lt;/publisher&gt;&lt;urls&gt;&lt;related-urls&gt;&lt;url&gt;https://www.cancercouncil.com.au/cancer-information/cancer-treatment/radiation-therapy/&lt;/url&gt;&lt;/related-urls&gt;&lt;/urls&gt;&lt;/record&gt;&lt;/Cite&gt;&lt;/EndNote&gt;</w:instrText>
      </w:r>
      <w:r w:rsidR="000C77B0">
        <w:fldChar w:fldCharType="separate"/>
      </w:r>
      <w:r w:rsidR="000C77B0">
        <w:rPr>
          <w:noProof/>
        </w:rPr>
        <w:t>(</w:t>
      </w:r>
      <w:hyperlink w:anchor="_ENREF_18" w:tooltip="Cancer Council Australia, 2019 #7" w:history="1">
        <w:r w:rsidR="008B6FC0">
          <w:rPr>
            <w:noProof/>
          </w:rPr>
          <w:t>Cancer Council Australia, 2019</w:t>
        </w:r>
      </w:hyperlink>
      <w:r w:rsidR="000C77B0">
        <w:rPr>
          <w:noProof/>
        </w:rPr>
        <w:t>)</w:t>
      </w:r>
      <w:r w:rsidR="000C77B0">
        <w:fldChar w:fldCharType="end"/>
      </w:r>
      <w:r w:rsidR="00011CEB">
        <w:t>.</w:t>
      </w:r>
    </w:p>
    <w:p w14:paraId="63104347" w14:textId="4057E8B7" w:rsidR="00A8499A" w:rsidRDefault="002973AE" w:rsidP="00DA512E">
      <w:r>
        <w:t xml:space="preserve">A prescription of radiation therapy comprises the total dose at a defined volume indicated over one or more </w:t>
      </w:r>
      <w:r w:rsidR="00DA512E">
        <w:t xml:space="preserve">treatment </w:t>
      </w:r>
      <w:r>
        <w:t>courses.</w:t>
      </w:r>
      <w:r w:rsidR="007004FF">
        <w:t xml:space="preserve"> Most people receiving radiation therapy have a treatment session once a </w:t>
      </w:r>
      <w:r w:rsidR="006134E2">
        <w:t>day,</w:t>
      </w:r>
      <w:r w:rsidR="007004FF">
        <w:t xml:space="preserve"> but the number of treatments vary based on type and stage of the cancer and the size and location. </w:t>
      </w:r>
      <w:r>
        <w:t>One course</w:t>
      </w:r>
      <w:r w:rsidR="007004FF">
        <w:t xml:space="preserve"> of treatment</w:t>
      </w:r>
      <w:r>
        <w:t xml:space="preserve"> is a series of one or more EBRT sessions</w:t>
      </w:r>
      <w:r w:rsidR="00DA512E">
        <w:t>, and a</w:t>
      </w:r>
      <w:r w:rsidR="00E072AD">
        <w:t xml:space="preserve"> dose of radiation is divided into smaller doses or fractions. Often patients receive one fraction each day over several days until the total dose is reached. </w:t>
      </w:r>
      <w:r w:rsidR="00A8499A">
        <w:t>About half of all patients with cancer need radiation therapy for a cure, to improve their chance of survival or to relieve symptoms</w:t>
      </w:r>
      <w:r w:rsidR="00A118A4">
        <w:t xml:space="preserve"> </w:t>
      </w:r>
      <w:r w:rsidR="000C77B0">
        <w:fldChar w:fldCharType="begin"/>
      </w:r>
      <w:r w:rsidR="000C77B0">
        <w:instrText xml:space="preserve"> ADDIN EN.CITE &lt;EndNote&gt;&lt;Cite&gt;&lt;Author&gt;Hall&lt;/Author&gt;&lt;Year&gt;2019&lt;/Year&gt;&lt;RecNum&gt;5&lt;/RecNum&gt;&lt;DisplayText&gt;(Hall et al., 2019)&lt;/DisplayText&gt;&lt;record&gt;&lt;rec-number&gt;5&lt;/rec-number&gt;&lt;foreign-keys&gt;&lt;key app="EN" db-id="sx5wsdwv795wvue959xxw0ptaewvdezxxp05" timestamp="1602214758"&gt;5&lt;/key&gt;&lt;/foreign-keys&gt;&lt;ref-type name="Journal Article"&gt;17&lt;/ref-type&gt;&lt;contributors&gt;&lt;authors&gt;&lt;author&gt;Hall, William A.&lt;/author&gt;&lt;author&gt;Paulson, Eric S.&lt;/author&gt;&lt;author&gt;van der Heide, Uulke A.&lt;/author&gt;&lt;author&gt;Fuller, Clifton D.&lt;/author&gt;&lt;author&gt;Raaymakers, B. W.&lt;/author&gt;&lt;author&gt;Lagendijk, Jan J. W.&lt;/author&gt;&lt;author&gt;Li, X. Allen&lt;/author&gt;&lt;author&gt;Jaffray, David A.&lt;/author&gt;&lt;author&gt;Dawson, Laura A.&lt;/author&gt;&lt;author&gt;Erickson, Beth&lt;/author&gt;&lt;author&gt;Verheij, Marcel&lt;/author&gt;&lt;author&gt;Harrington, Kevin J.&lt;/author&gt;&lt;author&gt;Sahgal, Arjun&lt;/author&gt;&lt;author&gt;Lee, Percy&lt;/author&gt;&lt;author&gt;Parikh, Parag J.&lt;/author&gt;&lt;author&gt;Bassetti, Michael F.&lt;/author&gt;&lt;author&gt;Robinson, Clifford G.&lt;/author&gt;&lt;author&gt;Minsky, Bruce D.&lt;/author&gt;&lt;author&gt;Choudhury, Ananya&lt;/author&gt;&lt;author&gt;Tersteeg, Robert J. H. A.&lt;/author&gt;&lt;author&gt;Schultz, Christopher J.&lt;/author&gt;&lt;/authors&gt;&lt;/contributors&gt;&lt;titles&gt;&lt;title&gt;The transformation of radiation oncology using real-time magnetic resonance guidance: A review&lt;/title&gt;&lt;secondary-title&gt;European Journal of Cancer&lt;/secondary-title&gt;&lt;/titles&gt;&lt;pages&gt;42-52&lt;/pages&gt;&lt;volume&gt;122&lt;/volume&gt;&lt;keywords&gt;&lt;keyword&gt;MR-guided radiation therapy&lt;/keyword&gt;&lt;keyword&gt;View ray&lt;/keyword&gt;&lt;keyword&gt;MRI and radiation therapy&lt;/keyword&gt;&lt;keyword&gt;Elekta Unity&lt;/keyword&gt;&lt;keyword&gt;Biologically guided radiation therapy&lt;/keyword&gt;&lt;keyword&gt;Image guidance&lt;/keyword&gt;&lt;keyword&gt;Novel radiation technology&lt;/keyword&gt;&lt;/keywords&gt;&lt;dates&gt;&lt;year&gt;2019&lt;/year&gt;&lt;pub-dates&gt;&lt;date&gt;2019/11/01/&lt;/date&gt;&lt;/pub-dates&gt;&lt;/dates&gt;&lt;isbn&gt;0959-8049&lt;/isbn&gt;&lt;urls&gt;&lt;related-urls&gt;&lt;url&gt;http://www.sciencedirect.com/science/article/pii/S0959804919304290&lt;/url&gt;&lt;/related-urls&gt;&lt;/urls&gt;&lt;electronic-resource-num&gt;https://doi.org/10.1016/j.ejca.2019.07.021&lt;/electronic-resource-num&gt;&lt;/record&gt;&lt;/Cite&gt;&lt;/EndNote&gt;</w:instrText>
      </w:r>
      <w:r w:rsidR="000C77B0">
        <w:fldChar w:fldCharType="separate"/>
      </w:r>
      <w:r w:rsidR="000C77B0">
        <w:rPr>
          <w:noProof/>
        </w:rPr>
        <w:t>(</w:t>
      </w:r>
      <w:hyperlink w:anchor="_ENREF_36" w:tooltip="Hall, 2019 #5" w:history="1">
        <w:r w:rsidR="008B6FC0">
          <w:rPr>
            <w:noProof/>
          </w:rPr>
          <w:t>Hall et al., 2019</w:t>
        </w:r>
      </w:hyperlink>
      <w:r w:rsidR="000C77B0">
        <w:rPr>
          <w:noProof/>
        </w:rPr>
        <w:t>)</w:t>
      </w:r>
      <w:r w:rsidR="000C77B0">
        <w:fldChar w:fldCharType="end"/>
      </w:r>
      <w:r w:rsidR="00E3196E">
        <w:t>.</w:t>
      </w:r>
      <w:r w:rsidR="00E072AD" w:rsidRPr="00E072AD">
        <w:t xml:space="preserve"> </w:t>
      </w:r>
      <w:r w:rsidR="00A8499A">
        <w:t xml:space="preserve">In </w:t>
      </w:r>
      <w:r w:rsidR="00DA512E">
        <w:t>2018-19, over 74,200 courses of radiation therapy were delivered in Australia</w:t>
      </w:r>
      <w:r w:rsidR="007004FF">
        <w:t xml:space="preserve"> </w:t>
      </w:r>
      <w:r w:rsidR="000C77B0">
        <w:fldChar w:fldCharType="begin"/>
      </w:r>
      <w:r w:rsidR="000C77B0">
        <w:instrText xml:space="preserve"> ADDIN EN.CITE &lt;EndNote&gt;&lt;Cite&gt;&lt;Author&gt;Australian Institute of Health and Welfare (AIHW)&lt;/Author&gt;&lt;Year&gt;2020&lt;/Year&gt;&lt;RecNum&gt;8&lt;/RecNum&gt;&lt;DisplayText&gt;(Australian Institute of Health and Welfare (AIHW), 2020b)&lt;/DisplayText&gt;&lt;record&gt;&lt;rec-number&gt;8&lt;/rec-number&gt;&lt;foreign-keys&gt;&lt;key app="EN" db-id="sx5wsdwv795wvue959xxw0ptaewvdezxxp05" timestamp="1602218807"&gt;8&lt;/key&gt;&lt;/foreign-keys&gt;&lt;ref-type name="Web Page"&gt;12&lt;/ref-type&gt;&lt;contributors&gt;&lt;authors&gt;&lt;author&gt;Australian Institute of Health and Welfare (AIHW),&lt;/author&gt;&lt;/authors&gt;&lt;/contributors&gt;&lt;titles&gt;&lt;title&gt;Radiotherapy in Australia 2018–19. Cat. no. HSE 248&lt;/title&gt;&lt;/titles&gt;&lt;volume&gt;2020&lt;/volume&gt;&lt;number&gt;9 Oct&lt;/number&gt;&lt;dates&gt;&lt;year&gt;2020&lt;/year&gt;&lt;/dates&gt;&lt;pub-location&gt;Canberra&lt;/pub-location&gt;&lt;publisher&gt;AIHW&lt;/publisher&gt;&lt;urls&gt;&lt;related-urls&gt;&lt;url&gt;https://www.aihw.gov.au/reports/radiotherapy/radiotherapy-in-australia-2018-19&lt;/url&gt;&lt;/related-urls&gt;&lt;/urls&gt;&lt;/record&gt;&lt;/Cite&gt;&lt;/EndNote&gt;</w:instrText>
      </w:r>
      <w:r w:rsidR="000C77B0">
        <w:fldChar w:fldCharType="separate"/>
      </w:r>
      <w:r w:rsidR="000C77B0">
        <w:rPr>
          <w:noProof/>
        </w:rPr>
        <w:t>(</w:t>
      </w:r>
      <w:hyperlink w:anchor="_ENREF_7" w:tooltip="Australian Institute of Health and Welfare (AIHW), 2020 #8" w:history="1">
        <w:r w:rsidR="008B6FC0">
          <w:rPr>
            <w:noProof/>
          </w:rPr>
          <w:t>Australian Institute of Health and Welfare (AIHW), 2020b</w:t>
        </w:r>
      </w:hyperlink>
      <w:r w:rsidR="000C77B0">
        <w:rPr>
          <w:noProof/>
        </w:rPr>
        <w:t>)</w:t>
      </w:r>
      <w:r w:rsidR="000C77B0">
        <w:fldChar w:fldCharType="end"/>
      </w:r>
      <w:r w:rsidR="007004FF">
        <w:t>.</w:t>
      </w:r>
    </w:p>
    <w:p w14:paraId="16819776" w14:textId="3AA5B0E1" w:rsidR="00C3360E" w:rsidRPr="00C3360E" w:rsidRDefault="00A8499A" w:rsidP="00A8499A">
      <w:r>
        <w:t xml:space="preserve">Following a cancer diagnosis in a patient, decisions are made about treatment. There are many different steps involved in a course of treatment for radiation therapy (planning, simulation and treatment), and a unique treatment plan is created for each individual. How these decisions are </w:t>
      </w:r>
      <w:r>
        <w:lastRenderedPageBreak/>
        <w:t>made and how a patient is investigated, managed and referred within the Australian healthcare system is dependent on numerous factors including the type of cancer, tumour size and location in the body, general health of the patient and their medical history, other treatments administered as well as age and other medical conditions.</w:t>
      </w:r>
    </w:p>
    <w:p w14:paraId="049C4EA8" w14:textId="77777777" w:rsidR="005602D3" w:rsidRPr="00183E4D" w:rsidRDefault="005602D3" w:rsidP="00535CB7">
      <w:pPr>
        <w:pStyle w:val="Heading2"/>
        <w:numPr>
          <w:ilvl w:val="0"/>
          <w:numId w:val="8"/>
        </w:numPr>
      </w:pPr>
      <w:bookmarkStart w:id="242" w:name="_Toc59018763"/>
      <w:bookmarkStart w:id="243" w:name="_Toc59020307"/>
      <w:bookmarkStart w:id="244" w:name="_Toc59439529"/>
      <w:bookmarkStart w:id="245" w:name="_Toc89857801"/>
      <w:r w:rsidRPr="00183E4D">
        <w:t>Comparator</w:t>
      </w:r>
      <w:bookmarkEnd w:id="235"/>
      <w:bookmarkEnd w:id="236"/>
      <w:r w:rsidR="00106705" w:rsidRPr="00183E4D">
        <w:t xml:space="preserve"> D</w:t>
      </w:r>
      <w:r w:rsidRPr="00183E4D">
        <w:t>etails</w:t>
      </w:r>
      <w:bookmarkEnd w:id="242"/>
      <w:bookmarkEnd w:id="243"/>
      <w:bookmarkEnd w:id="244"/>
      <w:bookmarkEnd w:id="245"/>
    </w:p>
    <w:p w14:paraId="4660A606" w14:textId="07878E19" w:rsidR="00342D18" w:rsidRPr="00ED0534" w:rsidRDefault="00701625" w:rsidP="00342D18">
      <w:r>
        <w:t xml:space="preserve">The comparator is </w:t>
      </w:r>
      <w:r>
        <w:rPr>
          <w:shd w:val="clear" w:color="auto" w:fill="FFFFFF"/>
        </w:rPr>
        <w:t xml:space="preserve">CBCT-guided radiation therapy. </w:t>
      </w:r>
      <w:r w:rsidR="00342D18">
        <w:rPr>
          <w:shd w:val="clear" w:color="auto" w:fill="FFFFFF"/>
        </w:rPr>
        <w:t xml:space="preserve">Currently, IGRT can be performed using many systems and techniques, including ultrasound, </w:t>
      </w:r>
      <w:r w:rsidR="00D02736">
        <w:rPr>
          <w:shd w:val="clear" w:color="auto" w:fill="FFFFFF"/>
        </w:rPr>
        <w:t>MR</w:t>
      </w:r>
      <w:r w:rsidR="00342D18">
        <w:rPr>
          <w:shd w:val="clear" w:color="auto" w:fill="FFFFFF"/>
        </w:rPr>
        <w:t xml:space="preserve"> imaging, radiographic and fluoroscopic imaging and CT</w:t>
      </w:r>
      <w:r w:rsidR="0001210B">
        <w:rPr>
          <w:shd w:val="clear" w:color="auto" w:fill="FFFFFF"/>
        </w:rPr>
        <w:t>-</w:t>
      </w:r>
      <w:r w:rsidR="00342D18">
        <w:rPr>
          <w:shd w:val="clear" w:color="auto" w:fill="FFFFFF"/>
        </w:rPr>
        <w:t xml:space="preserve">guided systems. </w:t>
      </w:r>
      <w:r w:rsidR="00342D18" w:rsidRPr="00B22660">
        <w:rPr>
          <w:shd w:val="clear" w:color="auto" w:fill="FFFFFF"/>
        </w:rPr>
        <w:t>The type of system used depend</w:t>
      </w:r>
      <w:r w:rsidR="00342D18">
        <w:rPr>
          <w:shd w:val="clear" w:color="auto" w:fill="FFFFFF"/>
        </w:rPr>
        <w:t>s on resources in</w:t>
      </w:r>
      <w:r w:rsidR="00342D18" w:rsidRPr="00B22660">
        <w:rPr>
          <w:shd w:val="clear" w:color="auto" w:fill="FFFFFF"/>
        </w:rPr>
        <w:t xml:space="preserve"> </w:t>
      </w:r>
      <w:r w:rsidR="0001210B">
        <w:rPr>
          <w:shd w:val="clear" w:color="auto" w:fill="FFFFFF"/>
        </w:rPr>
        <w:t xml:space="preserve">radiation oncology </w:t>
      </w:r>
      <w:r w:rsidR="00342D18" w:rsidRPr="00B22660">
        <w:rPr>
          <w:shd w:val="clear" w:color="auto" w:fill="FFFFFF"/>
        </w:rPr>
        <w:t>departments</w:t>
      </w:r>
      <w:r w:rsidR="00342D18">
        <w:rPr>
          <w:shd w:val="clear" w:color="auto" w:fill="FFFFFF"/>
        </w:rPr>
        <w:t xml:space="preserve">, and </w:t>
      </w:r>
      <w:r w:rsidR="00342D18" w:rsidRPr="00B22660">
        <w:rPr>
          <w:shd w:val="clear" w:color="auto" w:fill="FFFFFF"/>
        </w:rPr>
        <w:t>accuracy of the</w:t>
      </w:r>
      <w:r w:rsidR="00342D18">
        <w:rPr>
          <w:shd w:val="clear" w:color="auto" w:fill="FFFFFF"/>
        </w:rPr>
        <w:t xml:space="preserve"> </w:t>
      </w:r>
      <w:r w:rsidR="00342D18" w:rsidRPr="00B22660">
        <w:rPr>
          <w:shd w:val="clear" w:color="auto" w:fill="FFFFFF"/>
        </w:rPr>
        <w:t>type of treat</w:t>
      </w:r>
      <w:r w:rsidR="00342D18">
        <w:rPr>
          <w:shd w:val="clear" w:color="auto" w:fill="FFFFFF"/>
        </w:rPr>
        <w:t xml:space="preserve">ments to be delivered. CBCT is generally understood to be the current standard of care for IGRT for most cancer types </w:t>
      </w:r>
      <w:r w:rsidR="000C77B0">
        <w:rPr>
          <w:shd w:val="clear" w:color="auto" w:fill="FFFFFF"/>
        </w:rPr>
        <w:fldChar w:fldCharType="begin"/>
      </w:r>
      <w:r w:rsidR="000C77B0">
        <w:rPr>
          <w:shd w:val="clear" w:color="auto" w:fill="FFFFFF"/>
        </w:rPr>
        <w:instrText xml:space="preserve"> ADDIN EN.CITE &lt;EndNote&gt;&lt;Cite&gt;&lt;Author&gt;Srinivasan&lt;/Author&gt;&lt;Year&gt;2014&lt;/Year&gt;&lt;RecNum&gt;90&lt;/RecNum&gt;&lt;DisplayText&gt;(Srinivasan et al., 2014)&lt;/DisplayText&gt;&lt;record&gt;&lt;rec-number&gt;90&lt;/rec-number&gt;&lt;foreign-keys&gt;&lt;key app="EN" db-id="sx5wsdwv795wvue959xxw0ptaewvdezxxp05" timestamp="1605078299"&gt;90&lt;/key&gt;&lt;/foreign-keys&gt;&lt;ref-type name="Journal Article"&gt;17&lt;/ref-type&gt;&lt;contributors&gt;&lt;authors&gt;&lt;author&gt;Srinivasan, K.&lt;/author&gt;&lt;author&gt;Mohammadi, M.&lt;/author&gt;&lt;author&gt;Shepherd, J.&lt;/author&gt;&lt;/authors&gt;&lt;/contributors&gt;&lt;auth-address&gt;School of Chemistry and Physics, University of Adelaide, Adelaide, Australia.&amp;#xD;School of Chemistry and Physics, University of Adelaide, Adelaide, Australia ; Department of Medical Physics, Royal Adelaide Hospital, Adelaide, Australia.&amp;#xD;Department of Medical Physics, Royal Adelaide Hospital, Adelaide, Australia.&lt;/auth-address&gt;&lt;titles&gt;&lt;title&gt;Applications of linac-mounted kilovoltage Cone-beam Computed Tomography in modern radiation therapy: A review&lt;/title&gt;&lt;secondary-title&gt;Pol J Radiol&lt;/secondary-title&gt;&lt;/titles&gt;&lt;pages&gt;181-93&lt;/pages&gt;&lt;volume&gt;79&lt;/volume&gt;&lt;edition&gt;2014/07/10&lt;/edition&gt;&lt;keywords&gt;&lt;keyword&gt;Artifacts&lt;/keyword&gt;&lt;keyword&gt;Computer-Assisted&lt;/keyword&gt;&lt;keyword&gt;Cone-Beam Computed Tomography&lt;/keyword&gt;&lt;keyword&gt;Image Processing&lt;/keyword&gt;&lt;keyword&gt;Image-Guided&lt;/keyword&gt;&lt;keyword&gt;Radiotherapy&lt;/keyword&gt;&lt;/keywords&gt;&lt;dates&gt;&lt;year&gt;2014&lt;/year&gt;&lt;/dates&gt;&lt;isbn&gt;1733-134X (Print)&amp;#xD;1733-134x&lt;/isbn&gt;&lt;accession-num&gt;25006356&lt;/accession-num&gt;&lt;urls&gt;&lt;related-urls&gt;&lt;url&gt;https://www.ncbi.nlm.nih.gov/pmc/articles/PMC4085117/pdf/poljradiol-79-181.pdf&lt;/url&gt;&lt;/related-urls&gt;&lt;/urls&gt;&lt;custom2&gt;PMC4085117&lt;/custom2&gt;&lt;electronic-resource-num&gt;10.12659/pjr.890745&lt;/electronic-resource-num&gt;&lt;remote-database-provider&gt;NLM&lt;/remote-database-provider&gt;&lt;language&gt;eng&lt;/language&gt;&lt;/record&gt;&lt;/Cite&gt;&lt;/EndNote&gt;</w:instrText>
      </w:r>
      <w:r w:rsidR="000C77B0">
        <w:rPr>
          <w:shd w:val="clear" w:color="auto" w:fill="FFFFFF"/>
        </w:rPr>
        <w:fldChar w:fldCharType="separate"/>
      </w:r>
      <w:r w:rsidR="000C77B0">
        <w:rPr>
          <w:noProof/>
          <w:shd w:val="clear" w:color="auto" w:fill="FFFFFF"/>
        </w:rPr>
        <w:t>(</w:t>
      </w:r>
      <w:hyperlink w:anchor="_ENREF_66" w:tooltip="Srinivasan, 2014 #90" w:history="1">
        <w:r w:rsidR="008B6FC0">
          <w:rPr>
            <w:noProof/>
            <w:shd w:val="clear" w:color="auto" w:fill="FFFFFF"/>
          </w:rPr>
          <w:t>Srinivasan et al., 2014</w:t>
        </w:r>
      </w:hyperlink>
      <w:r w:rsidR="000C77B0">
        <w:rPr>
          <w:noProof/>
          <w:shd w:val="clear" w:color="auto" w:fill="FFFFFF"/>
        </w:rPr>
        <w:t>)</w:t>
      </w:r>
      <w:r w:rsidR="000C77B0">
        <w:rPr>
          <w:shd w:val="clear" w:color="auto" w:fill="FFFFFF"/>
        </w:rPr>
        <w:fldChar w:fldCharType="end"/>
      </w:r>
      <w:r w:rsidR="00342D18">
        <w:rPr>
          <w:shd w:val="clear" w:color="auto" w:fill="FFFFFF"/>
        </w:rPr>
        <w:t>.</w:t>
      </w:r>
    </w:p>
    <w:p w14:paraId="7F589575" w14:textId="766311D9" w:rsidR="00701625" w:rsidRDefault="00701625" w:rsidP="00342D18">
      <w:pPr>
        <w:rPr>
          <w:shd w:val="clear" w:color="auto" w:fill="FFFFFF"/>
        </w:rPr>
      </w:pPr>
      <w:r>
        <w:rPr>
          <w:shd w:val="clear" w:color="auto" w:fill="FFFFFF"/>
        </w:rPr>
        <w:t xml:space="preserve">Unlike MR-IGRT, CBCT can only be used preceding, not during, each daily treatment, and therefore does not allow optimal imaging of tumours and </w:t>
      </w:r>
      <w:r w:rsidR="006B043D">
        <w:rPr>
          <w:shd w:val="clear" w:color="auto" w:fill="FFFFFF"/>
        </w:rPr>
        <w:t>OARs</w:t>
      </w:r>
      <w:r>
        <w:rPr>
          <w:shd w:val="clear" w:color="auto" w:fill="FFFFFF"/>
        </w:rPr>
        <w:t xml:space="preserve">, when tumour is surrounded by soft tissues </w:t>
      </w:r>
      <w:r w:rsidR="000C77B0">
        <w:rPr>
          <w:shd w:val="clear" w:color="auto" w:fill="FFFFFF"/>
        </w:rPr>
        <w:fldChar w:fldCharType="begin">
          <w:fldData xml:space="preserve">PEVuZE5vdGU+PENpdGU+PEF1dGhvcj5LZXJrbWVpamVyPC9BdXRob3I+PFllYXI+MjAxNjwvWWVh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</w:fldData>
        </w:fldChar>
      </w:r>
      <w:r w:rsidR="000C77B0">
        <w:rPr>
          <w:shd w:val="clear" w:color="auto" w:fill="FFFFFF"/>
        </w:rPr>
        <w:instrText xml:space="preserve"> ADDIN EN.CITE </w:instrText>
      </w:r>
      <w:r w:rsidR="000C77B0">
        <w:rPr>
          <w:shd w:val="clear" w:color="auto" w:fill="FFFFFF"/>
        </w:rPr>
        <w:fldChar w:fldCharType="begin">
          <w:fldData xml:space="preserve">PEVuZE5vdGU+PENpdGU+PEF1dGhvcj5LZXJrbWVpamVyPC9BdXRob3I+PFllYXI+MjAxNjwvWWVh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</w:fldData>
        </w:fldChar>
      </w:r>
      <w:r w:rsidR="000C77B0">
        <w:rPr>
          <w:shd w:val="clear" w:color="auto" w:fill="FFFFFF"/>
        </w:rPr>
        <w:instrText xml:space="preserve"> ADDIN EN.CITE.DATA </w:instrText>
      </w:r>
      <w:r w:rsidR="000C77B0">
        <w:rPr>
          <w:shd w:val="clear" w:color="auto" w:fill="FFFFFF"/>
        </w:rPr>
      </w:r>
      <w:r w:rsidR="000C77B0">
        <w:rPr>
          <w:shd w:val="clear" w:color="auto" w:fill="FFFFFF"/>
        </w:rPr>
        <w:fldChar w:fldCharType="end"/>
      </w:r>
      <w:r w:rsidR="000C77B0">
        <w:rPr>
          <w:shd w:val="clear" w:color="auto" w:fill="FFFFFF"/>
        </w:rPr>
      </w:r>
      <w:r w:rsidR="000C77B0">
        <w:rPr>
          <w:shd w:val="clear" w:color="auto" w:fill="FFFFFF"/>
        </w:rPr>
        <w:fldChar w:fldCharType="separate"/>
      </w:r>
      <w:r w:rsidR="000C77B0">
        <w:rPr>
          <w:noProof/>
          <w:shd w:val="clear" w:color="auto" w:fill="FFFFFF"/>
        </w:rPr>
        <w:t>(</w:t>
      </w:r>
      <w:hyperlink w:anchor="_ENREF_43" w:tooltip="Kerkmeijer, 2016 #88" w:history="1">
        <w:r w:rsidR="008B6FC0">
          <w:rPr>
            <w:noProof/>
            <w:shd w:val="clear" w:color="auto" w:fill="FFFFFF"/>
          </w:rPr>
          <w:t>Kerkmeijer et al., 2016</w:t>
        </w:r>
      </w:hyperlink>
      <w:r w:rsidR="000C77B0">
        <w:rPr>
          <w:noProof/>
          <w:shd w:val="clear" w:color="auto" w:fill="FFFFFF"/>
        </w:rPr>
        <w:t>)</w:t>
      </w:r>
      <w:r w:rsidR="000C77B0">
        <w:rPr>
          <w:shd w:val="clear" w:color="auto" w:fill="FFFFFF"/>
        </w:rPr>
        <w:fldChar w:fldCharType="end"/>
      </w:r>
      <w:r>
        <w:rPr>
          <w:shd w:val="clear" w:color="auto" w:fill="FFFFFF"/>
        </w:rPr>
        <w:t>.</w:t>
      </w:r>
    </w:p>
    <w:p w14:paraId="52B321C7" w14:textId="3A961599" w:rsidR="005602D3" w:rsidRPr="00F7118D" w:rsidRDefault="0083477B" w:rsidP="009B2BA3">
      <w:pPr>
        <w:jc w:val="both"/>
      </w:pPr>
      <w:r w:rsidRPr="00F7118D">
        <w:t xml:space="preserve">The MBS item descriptors for the relevant comparator </w:t>
      </w:r>
      <w:r w:rsidR="00342D18" w:rsidRPr="00F7118D">
        <w:t xml:space="preserve">are </w:t>
      </w:r>
      <w:r w:rsidR="009B2BA3">
        <w:t xml:space="preserve">listed </w:t>
      </w:r>
      <w:r w:rsidR="007C003E">
        <w:t xml:space="preserve">in </w:t>
      </w:r>
      <w:r w:rsidR="007C003E">
        <w:fldChar w:fldCharType="begin"/>
      </w:r>
      <w:r w:rsidR="007C003E">
        <w:instrText xml:space="preserve"> REF _Ref394849669 \h </w:instrText>
      </w:r>
      <w:r w:rsidR="007C003E">
        <w:fldChar w:fldCharType="separate"/>
      </w:r>
      <w:r w:rsidR="00451350" w:rsidRPr="00BA03F3" w:rsidDel="00A134DA">
        <w:t xml:space="preserve">Table </w:t>
      </w:r>
      <w:r w:rsidR="00451350">
        <w:rPr>
          <w:noProof/>
        </w:rPr>
        <w:t>10</w:t>
      </w:r>
      <w:r w:rsidR="007C003E">
        <w:fldChar w:fldCharType="end"/>
      </w:r>
      <w:r w:rsidR="007C003E">
        <w:t xml:space="preserve">, </w:t>
      </w:r>
      <w:r w:rsidR="007C003E">
        <w:fldChar w:fldCharType="begin"/>
      </w:r>
      <w:r w:rsidR="007C003E">
        <w:instrText xml:space="preserve"> REF _Ref53658400 \h </w:instrText>
      </w:r>
      <w:r w:rsidR="007C003E">
        <w:fldChar w:fldCharType="separate"/>
      </w:r>
      <w:r w:rsidR="00451350" w:rsidRPr="00BA03F3" w:rsidDel="00A134DA">
        <w:t xml:space="preserve">Table </w:t>
      </w:r>
      <w:r w:rsidR="00451350">
        <w:rPr>
          <w:noProof/>
        </w:rPr>
        <w:t>11</w:t>
      </w:r>
      <w:r w:rsidR="007C003E">
        <w:fldChar w:fldCharType="end"/>
      </w:r>
      <w:r w:rsidR="007C003E">
        <w:t xml:space="preserve"> and </w:t>
      </w:r>
      <w:r w:rsidR="007C003E">
        <w:fldChar w:fldCharType="begin"/>
      </w:r>
      <w:r w:rsidR="007C003E">
        <w:instrText xml:space="preserve"> REF _Ref55989487 \h </w:instrText>
      </w:r>
      <w:r w:rsidR="007C003E">
        <w:fldChar w:fldCharType="separate"/>
      </w:r>
      <w:r w:rsidR="00451350" w:rsidRPr="00BA03F3" w:rsidDel="00A134DA">
        <w:t xml:space="preserve">Table </w:t>
      </w:r>
      <w:r w:rsidR="00451350">
        <w:rPr>
          <w:noProof/>
        </w:rPr>
        <w:t>12</w:t>
      </w:r>
      <w:r w:rsidR="007C003E">
        <w:fldChar w:fldCharType="end"/>
      </w:r>
      <w:r w:rsidRPr="00F7118D">
        <w:t>.</w:t>
      </w:r>
    </w:p>
    <w:p w14:paraId="097CD2EB" w14:textId="0F12EC9B" w:rsidR="005602D3" w:rsidRPr="00183E4D" w:rsidRDefault="005602D3" w:rsidP="00535CB7">
      <w:pPr>
        <w:pStyle w:val="Heading2"/>
        <w:numPr>
          <w:ilvl w:val="0"/>
          <w:numId w:val="8"/>
        </w:numPr>
      </w:pPr>
      <w:bookmarkStart w:id="246" w:name="_Toc381796446"/>
      <w:bookmarkStart w:id="247" w:name="_Ref59014091"/>
      <w:bookmarkStart w:id="248" w:name="_Toc59018764"/>
      <w:bookmarkStart w:id="249" w:name="_Toc59020308"/>
      <w:bookmarkStart w:id="250" w:name="_Toc59439530"/>
      <w:bookmarkStart w:id="251" w:name="_Toc89857802"/>
      <w:r w:rsidRPr="00183E4D">
        <w:t xml:space="preserve">Clinical </w:t>
      </w:r>
      <w:bookmarkEnd w:id="246"/>
      <w:r w:rsidR="00715135">
        <w:t>management Algorithm(s)</w:t>
      </w:r>
      <w:bookmarkEnd w:id="247"/>
      <w:bookmarkEnd w:id="248"/>
      <w:bookmarkEnd w:id="249"/>
      <w:bookmarkEnd w:id="250"/>
      <w:bookmarkEnd w:id="251"/>
      <w:r w:rsidRPr="00183E4D">
        <w:t xml:space="preserve"> </w:t>
      </w:r>
    </w:p>
    <w:p w14:paraId="102D0FB3" w14:textId="583265D8" w:rsidR="007D4DA0" w:rsidRDefault="007D4DA0" w:rsidP="00796F7E">
      <w:r>
        <w:t>The current and proposed (green box) clinical management algorithm are depicted in</w:t>
      </w:r>
      <w:r w:rsidR="006751F9">
        <w:t xml:space="preserve"> </w:t>
      </w:r>
      <w:r w:rsidR="00796F7E">
        <w:fldChar w:fldCharType="begin"/>
      </w:r>
      <w:r w:rsidR="00796F7E">
        <w:instrText xml:space="preserve"> REF _Ref59528069 \h  \* MERGEFORMAT </w:instrText>
      </w:r>
      <w:r w:rsidR="00796F7E">
        <w:fldChar w:fldCharType="separate"/>
      </w:r>
      <w:r w:rsidR="00451350">
        <w:t xml:space="preserve">Figure </w:t>
      </w:r>
      <w:r w:rsidR="00451350">
        <w:rPr>
          <w:noProof/>
        </w:rPr>
        <w:t>2</w:t>
      </w:r>
      <w:r w:rsidR="00796F7E">
        <w:fldChar w:fldCharType="end"/>
      </w:r>
      <w:r>
        <w:t xml:space="preserve">. The premise is that the current clinical management algorithm would remain largely unchanged, as MR-IGRT is a form of IGRT. MR-IGRT </w:t>
      </w:r>
      <w:r w:rsidR="00A94F08">
        <w:t>would</w:t>
      </w:r>
      <w:r>
        <w:t xml:space="preserve"> introduce a new clinical choice for tumour sites that </w:t>
      </w:r>
      <w:r w:rsidR="00A94F08">
        <w:t>may</w:t>
      </w:r>
      <w:r>
        <w:t xml:space="preserve"> benefit from reduced target volume margins and hypofractionated courses. The only change compared to standard IGRT is that imaging and treatment adaptation</w:t>
      </w:r>
      <w:r w:rsidR="00A27611">
        <w:t xml:space="preserve"> for dose </w:t>
      </w:r>
      <w:r w:rsidR="00A94F08">
        <w:t xml:space="preserve">delivery </w:t>
      </w:r>
      <w:r w:rsidR="00A27611">
        <w:t>optimisation</w:t>
      </w:r>
      <w:r>
        <w:t xml:space="preserve"> is ongoing during the radiotherapy </w:t>
      </w:r>
      <w:r w:rsidR="00A94F08">
        <w:t>session</w:t>
      </w:r>
      <w:r>
        <w:t>.</w:t>
      </w:r>
    </w:p>
    <w:p w14:paraId="751D71C5" w14:textId="7BE30972" w:rsidR="00E92725" w:rsidRDefault="00E92725" w:rsidP="00372B59">
      <w:pPr>
        <w:pStyle w:val="Caption"/>
        <w:ind w:left="1134" w:hanging="1134"/>
      </w:pPr>
      <w:bookmarkStart w:id="252" w:name="_Ref58407333"/>
      <w:bookmarkStart w:id="253" w:name="_Ref58496783"/>
      <w:r>
        <w:rPr>
          <w:noProof/>
        </w:rPr>
        <w:lastRenderedPageBreak/>
        <w:drawing>
          <wp:inline distT="0" distB="0" distL="0" distR="0" wp14:anchorId="6810C901" wp14:editId="6A24BE46">
            <wp:extent cx="5733415" cy="5291455"/>
            <wp:effectExtent l="0" t="0" r="635" b="4445"/>
            <wp:docPr id="3" name="Picture 3" descr="Figure 2 Clinical management algorithm for the proposed MR-IGRT relative to current clinical practice (amendment to the current algorithm in gre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Clinical management algorithm for the proposed MR-IGRT relative to current clinical practice (amendment to the current algorithm in green box)"/>
                    <pic:cNvPicPr/>
                  </pic:nvPicPr>
                  <pic:blipFill>
                    <a:blip r:embed="rId24">
                      <a:extLst>
                        <a:ext uri="{28A0092B-C50C-407E-A947-70E740481C1C}">
                          <a14:useLocalDpi xmlns:a14="http://schemas.microsoft.com/office/drawing/2010/main" val="0"/>
                        </a:ext>
                      </a:extLst>
                    </a:blip>
                    <a:stretch>
                      <a:fillRect/>
                    </a:stretch>
                  </pic:blipFill>
                  <pic:spPr>
                    <a:xfrm>
                      <a:off x="0" y="0"/>
                      <a:ext cx="5733415" cy="5291455"/>
                    </a:xfrm>
                    <a:prstGeom prst="rect">
                      <a:avLst/>
                    </a:prstGeom>
                  </pic:spPr>
                </pic:pic>
              </a:graphicData>
            </a:graphic>
          </wp:inline>
        </w:drawing>
      </w:r>
    </w:p>
    <w:p w14:paraId="4FEE621C" w14:textId="77777777" w:rsidR="00796F7E" w:rsidRPr="00796F7E" w:rsidRDefault="00796F7E" w:rsidP="00796F7E"/>
    <w:p w14:paraId="27E49D97" w14:textId="7E89C01D" w:rsidR="005A2596" w:rsidRPr="00183E4D" w:rsidRDefault="008B672A" w:rsidP="00372B59">
      <w:pPr>
        <w:pStyle w:val="Caption"/>
        <w:ind w:left="1134" w:hanging="1134"/>
      </w:pPr>
      <w:bookmarkStart w:id="254" w:name="_Ref59528069"/>
      <w:bookmarkStart w:id="255" w:name="_Toc89857961"/>
      <w:r>
        <w:t xml:space="preserve">Figure </w:t>
      </w:r>
      <w:r w:rsidR="00211285">
        <w:fldChar w:fldCharType="begin"/>
      </w:r>
      <w:r w:rsidR="00211285">
        <w:instrText xml:space="preserve"> SEQ Figure \* ARABIC </w:instrText>
      </w:r>
      <w:r w:rsidR="00211285">
        <w:fldChar w:fldCharType="separate"/>
      </w:r>
      <w:r w:rsidR="00451350">
        <w:rPr>
          <w:noProof/>
        </w:rPr>
        <w:t>2</w:t>
      </w:r>
      <w:r w:rsidR="00211285">
        <w:rPr>
          <w:noProof/>
        </w:rPr>
        <w:fldChar w:fldCharType="end"/>
      </w:r>
      <w:bookmarkEnd w:id="252"/>
      <w:bookmarkEnd w:id="254"/>
      <w:r>
        <w:tab/>
      </w:r>
      <w:r w:rsidRPr="006D268F">
        <w:t>Clinical management algorithm for the proposed MR-IGRT relative to current clinical practice (amendment to the current algorithm in green box)</w:t>
      </w:r>
      <w:bookmarkEnd w:id="253"/>
      <w:bookmarkEnd w:id="255"/>
    </w:p>
    <w:p w14:paraId="71541C69" w14:textId="56C8C705" w:rsidR="005354F8" w:rsidRPr="00183E4D" w:rsidRDefault="005354F8" w:rsidP="00535CB7">
      <w:pPr>
        <w:pStyle w:val="Heading2"/>
        <w:numPr>
          <w:ilvl w:val="0"/>
          <w:numId w:val="8"/>
        </w:numPr>
      </w:pPr>
      <w:bookmarkStart w:id="256" w:name="_Toc59018765"/>
      <w:bookmarkStart w:id="257" w:name="_Toc59020309"/>
      <w:bookmarkStart w:id="258" w:name="_Toc59439531"/>
      <w:bookmarkStart w:id="259" w:name="_Toc89857803"/>
      <w:r w:rsidRPr="00183E4D">
        <w:t>Key Differences in the Delivery of the Proposed Medical Service and the Main Comparator</w:t>
      </w:r>
      <w:bookmarkEnd w:id="256"/>
      <w:bookmarkEnd w:id="257"/>
      <w:bookmarkEnd w:id="258"/>
      <w:bookmarkEnd w:id="259"/>
    </w:p>
    <w:p w14:paraId="4BA855D9" w14:textId="2C82DBE5" w:rsidR="005E192A" w:rsidRDefault="005E192A" w:rsidP="005E192A">
      <w:r>
        <w:t>The key difference between “standard” IGRT (performed with CBCT, and currently considered the standard of care in IGRT) and MR-IGRT is that MR-IGRT delivers a higher level of soft tissue imaging and a more sophisticated adaptive functionality, enabling the user to optimise dose distribution of the treatment plan on every fraction in an online setting (i.e. while the patient is in the machine).</w:t>
      </w:r>
    </w:p>
    <w:p w14:paraId="66EA3C03" w14:textId="4B6F56B0" w:rsidR="0081720E" w:rsidRDefault="0081720E" w:rsidP="007E6230">
      <w:r>
        <w:t xml:space="preserve">The procedure for every treatment fraction is similar to the standard IGRT procedure: patient setup, imaging, adaptation, and treatment. Use of MR-linac involves the same professionals as CBCT linac: radiation oncologists, medical physicists, and radiation therapists. However, more complex </w:t>
      </w:r>
      <w:r>
        <w:lastRenderedPageBreak/>
        <w:t>workflows may require all of these professional</w:t>
      </w:r>
      <w:r w:rsidR="0014059F">
        <w:t>s to</w:t>
      </w:r>
      <w:r>
        <w:t xml:space="preserve"> be present collectively at the treatment machine at the same time. The MR-IGRT technique is more time-intensive than the comparator</w:t>
      </w:r>
      <w:r w:rsidR="005E192A">
        <w:t>, requiring twice- to three-times as long per fraction as CBCT-guided IGRT</w:t>
      </w:r>
      <w:r>
        <w:t>.</w:t>
      </w:r>
    </w:p>
    <w:p w14:paraId="33694E4B" w14:textId="2FB1EA98" w:rsidR="007E6230" w:rsidRPr="00183E4D" w:rsidRDefault="007E6230" w:rsidP="007E6230">
      <w:r>
        <w:t xml:space="preserve">Additional expected benefits of MR-IGRT include hypofractionated dose to the tumour, </w:t>
      </w:r>
      <w:r w:rsidR="005E192A">
        <w:t xml:space="preserve">decreasing the total number of fractions necessary and thus shortening the treatment duration, </w:t>
      </w:r>
      <w:r>
        <w:t>and that an image can be obtained without an additional radiation dose, unlike standard IGRT.</w:t>
      </w:r>
    </w:p>
    <w:p w14:paraId="30452EC9" w14:textId="77777777" w:rsidR="005354F8" w:rsidRPr="00183E4D" w:rsidRDefault="005354F8" w:rsidP="00535CB7">
      <w:pPr>
        <w:pStyle w:val="Heading2"/>
        <w:numPr>
          <w:ilvl w:val="0"/>
          <w:numId w:val="8"/>
        </w:numPr>
      </w:pPr>
      <w:bookmarkStart w:id="260" w:name="_Toc59018766"/>
      <w:bookmarkStart w:id="261" w:name="_Toc59020310"/>
      <w:bookmarkStart w:id="262" w:name="_Toc59439532"/>
      <w:bookmarkStart w:id="263" w:name="_Toc89857804"/>
      <w:r w:rsidRPr="00183E4D">
        <w:t>Clinical Claim</w:t>
      </w:r>
      <w:bookmarkEnd w:id="260"/>
      <w:bookmarkEnd w:id="261"/>
      <w:bookmarkEnd w:id="262"/>
      <w:bookmarkEnd w:id="263"/>
    </w:p>
    <w:p w14:paraId="7E72CF54" w14:textId="465AB926" w:rsidR="009C5293" w:rsidRPr="00022FCD" w:rsidRDefault="009C5293" w:rsidP="00BA03F3">
      <w:r w:rsidRPr="009C5293">
        <w:t>The clinical claim is that MR-IGRT is non-inferior in safety and non-inferior in clinical effectiveness, when compared to current standard of CBCT</w:t>
      </w:r>
      <w:r>
        <w:t>-</w:t>
      </w:r>
      <w:r w:rsidRPr="009C5293">
        <w:t>guided radiation therapy.</w:t>
      </w:r>
    </w:p>
    <w:p w14:paraId="266DD942" w14:textId="77777777" w:rsidR="00903492" w:rsidRPr="00183E4D" w:rsidRDefault="00D461C4" w:rsidP="00535CB7">
      <w:pPr>
        <w:pStyle w:val="Heading2"/>
        <w:numPr>
          <w:ilvl w:val="0"/>
          <w:numId w:val="8"/>
        </w:numPr>
      </w:pPr>
      <w:bookmarkStart w:id="264" w:name="_Toc59018767"/>
      <w:bookmarkStart w:id="265" w:name="_Toc59020311"/>
      <w:bookmarkStart w:id="266" w:name="_Toc59439533"/>
      <w:bookmarkStart w:id="267" w:name="_Toc89857805"/>
      <w:bookmarkEnd w:id="237"/>
      <w:bookmarkEnd w:id="238"/>
      <w:r>
        <w:t>Summary of the PICO</w:t>
      </w:r>
      <w:bookmarkEnd w:id="264"/>
      <w:bookmarkEnd w:id="265"/>
      <w:bookmarkEnd w:id="266"/>
      <w:bookmarkEnd w:id="267"/>
    </w:p>
    <w:p w14:paraId="5F348840" w14:textId="196657D9" w:rsidR="004F36F1" w:rsidRPr="00183E4D" w:rsidRDefault="006C5B34" w:rsidP="004F36F1">
      <w:pPr>
        <w:jc w:val="both"/>
      </w:pPr>
      <w:r w:rsidRPr="00183E4D">
        <w:t xml:space="preserve">The guiding framework of </w:t>
      </w:r>
      <w:r w:rsidR="00783C0F">
        <w:t>a</w:t>
      </w:r>
      <w:r w:rsidRPr="00183E4D">
        <w:t xml:space="preserve"> </w:t>
      </w:r>
      <w:r w:rsidR="0088661A">
        <w:t>PICO Confirmation</w:t>
      </w:r>
      <w:r w:rsidRPr="00183E4D">
        <w:t xml:space="preserve"> </w:t>
      </w:r>
      <w:r w:rsidR="00783C0F">
        <w:t>i</w:t>
      </w:r>
      <w:r w:rsidRPr="00183E4D">
        <w:t xml:space="preserve">s </w:t>
      </w:r>
      <w:r w:rsidR="007822AD" w:rsidRPr="00183E4D">
        <w:t xml:space="preserve">recommended </w:t>
      </w:r>
      <w:r w:rsidR="00783C0F">
        <w:t xml:space="preserve">by MSAC </w:t>
      </w:r>
      <w:r w:rsidR="007822AD" w:rsidRPr="00183E4D">
        <w:t>for</w:t>
      </w:r>
      <w:r w:rsidRPr="00183E4D">
        <w:t xml:space="preserve"> </w:t>
      </w:r>
      <w:r w:rsidR="00783C0F">
        <w:t>each</w:t>
      </w:r>
      <w:r w:rsidRPr="00183E4D">
        <w:t xml:space="preserve"> assessment. </w:t>
      </w:r>
      <w:r w:rsidR="00E511FF" w:rsidRPr="00183E4D">
        <w:t>The</w:t>
      </w:r>
      <w:r w:rsidR="00D52A25">
        <w:t xml:space="preserve"> </w:t>
      </w:r>
      <w:r w:rsidR="0088661A">
        <w:t>PICO Confirmation</w:t>
      </w:r>
      <w:r w:rsidRPr="00183E4D">
        <w:t xml:space="preserve"> </w:t>
      </w:r>
      <w:r w:rsidR="00E511FF" w:rsidRPr="00183E4D">
        <w:t>describ</w:t>
      </w:r>
      <w:r w:rsidRPr="00183E4D">
        <w:t>es current clinical practice and reflects the likely future practice with the proposed medical service.</w:t>
      </w:r>
    </w:p>
    <w:p w14:paraId="7D5BDFD4" w14:textId="4B1D2D64" w:rsidR="004F36F1" w:rsidRPr="00183E4D" w:rsidRDefault="004F36F1" w:rsidP="004F36F1">
      <w:pPr>
        <w:jc w:val="both"/>
        <w:rPr>
          <w:sz w:val="24"/>
        </w:rPr>
      </w:pPr>
      <w:r w:rsidRPr="00183E4D">
        <w:t xml:space="preserve">The Population, Intervention, Comparator and Outcomes (PICO) </w:t>
      </w:r>
      <w:r w:rsidR="00BB381C" w:rsidRPr="00183E4D">
        <w:t xml:space="preserve">that were pre-specified to guide the </w:t>
      </w:r>
      <w:r w:rsidR="001A5EF8" w:rsidRPr="00183E4D">
        <w:t>systematic literature review</w:t>
      </w:r>
      <w:r w:rsidR="00F9372D">
        <w:t xml:space="preserve"> </w:t>
      </w:r>
      <w:r w:rsidR="00BB381C" w:rsidRPr="00183E4D">
        <w:t xml:space="preserve">are presented </w:t>
      </w:r>
      <w:r w:rsidRPr="00183E4D">
        <w:rPr>
          <w:sz w:val="24"/>
        </w:rPr>
        <w:t xml:space="preserve">in </w:t>
      </w:r>
      <w:r w:rsidR="00255B28">
        <w:fldChar w:fldCharType="begin"/>
      </w:r>
      <w:r w:rsidR="00255B28">
        <w:rPr>
          <w:sz w:val="24"/>
        </w:rPr>
        <w:instrText xml:space="preserve"> REF _Ref395200496 \h </w:instrText>
      </w:r>
      <w:r w:rsidR="00255B28">
        <w:fldChar w:fldCharType="separate"/>
      </w:r>
      <w:r w:rsidR="00451350">
        <w:t xml:space="preserve">Box </w:t>
      </w:r>
      <w:r w:rsidR="00451350">
        <w:rPr>
          <w:noProof/>
        </w:rPr>
        <w:t>1</w:t>
      </w:r>
      <w:r w:rsidR="00255B28">
        <w:fldChar w:fldCharType="end"/>
      </w:r>
      <w:r w:rsidR="000D3317" w:rsidRPr="00183E4D">
        <w:t xml:space="preserve"> and </w:t>
      </w:r>
      <w:r w:rsidR="00255B28">
        <w:rPr>
          <w:sz w:val="24"/>
        </w:rPr>
        <w:fldChar w:fldCharType="begin"/>
      </w:r>
      <w:r w:rsidR="00255B28">
        <w:instrText xml:space="preserve"> REF _Ref395200521 \h </w:instrText>
      </w:r>
      <w:r w:rsidR="00255B28">
        <w:rPr>
          <w:sz w:val="24"/>
        </w:rPr>
      </w:r>
      <w:r w:rsidR="00255B28">
        <w:rPr>
          <w:sz w:val="24"/>
        </w:rPr>
        <w:fldChar w:fldCharType="separate"/>
      </w:r>
      <w:r w:rsidR="00451350">
        <w:t xml:space="preserve">Box </w:t>
      </w:r>
      <w:r w:rsidR="00451350">
        <w:rPr>
          <w:noProof/>
        </w:rPr>
        <w:t>2</w:t>
      </w:r>
      <w:r w:rsidR="00255B28">
        <w:rPr>
          <w:sz w:val="24"/>
        </w:rPr>
        <w:fldChar w:fldCharType="end"/>
      </w:r>
      <w:r w:rsidRPr="00183E4D">
        <w:t>.</w:t>
      </w:r>
    </w:p>
    <w:p w14:paraId="48A6CD63" w14:textId="2EC20099" w:rsidR="004F36F1" w:rsidRPr="00183E4D" w:rsidRDefault="00255B28" w:rsidP="00255B28">
      <w:pPr>
        <w:pStyle w:val="Caption"/>
      </w:pPr>
      <w:bookmarkStart w:id="268" w:name="_Ref395200496"/>
      <w:bookmarkStart w:id="269" w:name="_Toc393378291"/>
      <w:bookmarkStart w:id="270" w:name="_Toc89857958"/>
      <w:r>
        <w:t xml:space="preserve">Box </w:t>
      </w:r>
      <w:r w:rsidR="00211285">
        <w:fldChar w:fldCharType="begin"/>
      </w:r>
      <w:r w:rsidR="00211285">
        <w:instrText xml:space="preserve"> SEQ Box \* ARABIC </w:instrText>
      </w:r>
      <w:r w:rsidR="00211285">
        <w:fldChar w:fldCharType="separate"/>
      </w:r>
      <w:r w:rsidR="00451350">
        <w:rPr>
          <w:noProof/>
        </w:rPr>
        <w:t>1</w:t>
      </w:r>
      <w:r w:rsidR="00211285">
        <w:rPr>
          <w:noProof/>
        </w:rPr>
        <w:fldChar w:fldCharType="end"/>
      </w:r>
      <w:bookmarkEnd w:id="268"/>
      <w:r w:rsidR="004F36F1" w:rsidRPr="00183E4D">
        <w:tab/>
      </w:r>
      <w:r w:rsidR="001A5EF8" w:rsidRPr="00183E4D">
        <w:t>Criteria</w:t>
      </w:r>
      <w:r w:rsidR="004F36F1" w:rsidRPr="00183E4D">
        <w:t xml:space="preserve"> for </w:t>
      </w:r>
      <w:r w:rsidR="001A5EF8" w:rsidRPr="00183E4D">
        <w:t xml:space="preserve">identifying and selecting studies to </w:t>
      </w:r>
      <w:r w:rsidR="00BB381C" w:rsidRPr="00183E4D">
        <w:t>determin</w:t>
      </w:r>
      <w:r w:rsidR="001A5EF8" w:rsidRPr="00183E4D">
        <w:t>e</w:t>
      </w:r>
      <w:r w:rsidR="00BB381C" w:rsidRPr="00183E4D">
        <w:t xml:space="preserve"> </w:t>
      </w:r>
      <w:r w:rsidR="004F36F1" w:rsidRPr="00183E4D">
        <w:t xml:space="preserve">the safety of </w:t>
      </w:r>
      <w:r w:rsidR="005029F1">
        <w:t>MR-IGRT</w:t>
      </w:r>
      <w:r w:rsidR="005029F1" w:rsidRPr="00183E4D">
        <w:t xml:space="preserve"> </w:t>
      </w:r>
      <w:r w:rsidR="004F36F1" w:rsidRPr="00183E4D">
        <w:t xml:space="preserve">in patients with </w:t>
      </w:r>
      <w:bookmarkEnd w:id="269"/>
      <w:r w:rsidR="005029F1">
        <w:t>cancer who undergo external beam radiation therapy (EBRT)</w:t>
      </w:r>
      <w:bookmarkEnd w:id="270"/>
    </w:p>
    <w:tbl>
      <w:tblPr>
        <w:tblStyle w:val="TableGrid1"/>
        <w:tblW w:w="0" w:type="auto"/>
        <w:tblBorders>
          <w:insideH w:val="none" w:sz="0" w:space="0" w:color="auto"/>
          <w:insideV w:val="none" w:sz="0" w:space="0" w:color="auto"/>
        </w:tblBorders>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66"/>
        <w:gridCol w:w="6953"/>
      </w:tblGrid>
      <w:tr w:rsidR="004F36F1" w:rsidRPr="00183E4D" w14:paraId="179482B0" w14:textId="77777777" w:rsidTr="00C771BF">
        <w:trPr>
          <w:cnfStyle w:val="100000000000" w:firstRow="1" w:lastRow="0" w:firstColumn="0" w:lastColumn="0" w:oddVBand="0" w:evenVBand="0" w:oddHBand="0" w:evenHBand="0" w:firstRowFirstColumn="0" w:firstRowLastColumn="0" w:lastRowFirstColumn="0" w:lastRowLastColumn="0"/>
          <w:trHeight w:val="261"/>
        </w:trPr>
        <w:tc>
          <w:tcPr>
            <w:tcW w:w="2068" w:type="dxa"/>
            <w:shd w:val="clear" w:color="auto" w:fill="auto"/>
          </w:tcPr>
          <w:p w14:paraId="42223518" w14:textId="77777777" w:rsidR="004F36F1" w:rsidRPr="00183E4D" w:rsidRDefault="004F36F1" w:rsidP="00716EBD">
            <w:pPr>
              <w:pStyle w:val="Tabletext1"/>
              <w:rPr>
                <w:b/>
              </w:rPr>
            </w:pPr>
            <w:r w:rsidRPr="00183E4D">
              <w:rPr>
                <w:b/>
              </w:rPr>
              <w:t>Selection criteria</w:t>
            </w:r>
          </w:p>
        </w:tc>
        <w:tc>
          <w:tcPr>
            <w:tcW w:w="6965" w:type="dxa"/>
            <w:shd w:val="clear" w:color="auto" w:fill="auto"/>
          </w:tcPr>
          <w:p w14:paraId="355BA34D" w14:textId="77777777" w:rsidR="004F36F1" w:rsidRPr="00183E4D" w:rsidRDefault="001A5EF8" w:rsidP="00716EBD">
            <w:pPr>
              <w:pStyle w:val="Tabletext1"/>
              <w:jc w:val="center"/>
              <w:rPr>
                <w:rFonts w:cs="Arial"/>
                <w:b/>
              </w:rPr>
            </w:pPr>
            <w:r w:rsidRPr="00183E4D">
              <w:rPr>
                <w:rFonts w:cs="Arial"/>
                <w:b/>
              </w:rPr>
              <w:t>Description</w:t>
            </w:r>
          </w:p>
        </w:tc>
      </w:tr>
      <w:tr w:rsidR="004F36F1" w:rsidRPr="00183E4D" w14:paraId="1879E060" w14:textId="77777777" w:rsidTr="00C771BF">
        <w:trPr>
          <w:trHeight w:val="247"/>
        </w:trPr>
        <w:tc>
          <w:tcPr>
            <w:tcW w:w="2068" w:type="dxa"/>
            <w:shd w:val="clear" w:color="auto" w:fill="auto"/>
          </w:tcPr>
          <w:p w14:paraId="376658E1" w14:textId="77777777" w:rsidR="004F36F1" w:rsidRPr="00183E4D" w:rsidRDefault="004F36F1" w:rsidP="00716EBD">
            <w:pPr>
              <w:pStyle w:val="Tabletext1"/>
            </w:pPr>
            <w:r w:rsidRPr="00183E4D">
              <w:t>Population</w:t>
            </w:r>
          </w:p>
        </w:tc>
        <w:tc>
          <w:tcPr>
            <w:tcW w:w="6965" w:type="dxa"/>
            <w:shd w:val="clear" w:color="auto" w:fill="auto"/>
          </w:tcPr>
          <w:p w14:paraId="6C6C7964" w14:textId="34CFB960" w:rsidR="004F36F1" w:rsidRPr="00183E4D" w:rsidRDefault="005029F1" w:rsidP="00716EBD">
            <w:pPr>
              <w:pStyle w:val="Tabletext1"/>
              <w:rPr>
                <w:rFonts w:cs="Arial"/>
              </w:rPr>
            </w:pPr>
            <w:r w:rsidRPr="005029F1">
              <w:rPr>
                <w:rFonts w:cs="Arial"/>
              </w:rPr>
              <w:t>All patients with cancer who undergo external beam radiation therapy (EBRT)</w:t>
            </w:r>
          </w:p>
        </w:tc>
      </w:tr>
      <w:tr w:rsidR="004F36F1" w:rsidRPr="00183E4D" w14:paraId="71A2489A" w14:textId="77777777" w:rsidTr="00C771BF">
        <w:trPr>
          <w:trHeight w:val="224"/>
        </w:trPr>
        <w:tc>
          <w:tcPr>
            <w:tcW w:w="2068" w:type="dxa"/>
            <w:shd w:val="clear" w:color="auto" w:fill="auto"/>
          </w:tcPr>
          <w:p w14:paraId="16A17DD9" w14:textId="77777777" w:rsidR="004F36F1" w:rsidRPr="00183E4D" w:rsidRDefault="004F36F1" w:rsidP="00716EBD">
            <w:pPr>
              <w:pStyle w:val="Tabletext1"/>
            </w:pPr>
            <w:r w:rsidRPr="00183E4D">
              <w:t>Intervention</w:t>
            </w:r>
          </w:p>
        </w:tc>
        <w:tc>
          <w:tcPr>
            <w:tcW w:w="6965" w:type="dxa"/>
            <w:shd w:val="clear" w:color="auto" w:fill="auto"/>
          </w:tcPr>
          <w:p w14:paraId="4C659F6F" w14:textId="7BF0CCDD" w:rsidR="004F36F1" w:rsidRPr="00183E4D" w:rsidRDefault="005029F1" w:rsidP="00716EBD">
            <w:pPr>
              <w:pStyle w:val="Tabletext1"/>
            </w:pPr>
            <w:r w:rsidRPr="005029F1">
              <w:t>Magnetic resonance image guided radiation therapy (MR-IGRT)</w:t>
            </w:r>
          </w:p>
        </w:tc>
      </w:tr>
      <w:tr w:rsidR="004F36F1" w:rsidRPr="00183E4D" w14:paraId="76DEC10A" w14:textId="77777777" w:rsidTr="00C771BF">
        <w:trPr>
          <w:trHeight w:val="612"/>
        </w:trPr>
        <w:tc>
          <w:tcPr>
            <w:tcW w:w="2068" w:type="dxa"/>
            <w:shd w:val="clear" w:color="auto" w:fill="auto"/>
          </w:tcPr>
          <w:p w14:paraId="79C82FA2" w14:textId="34594CB0" w:rsidR="004F36F1" w:rsidRPr="00183E4D" w:rsidRDefault="004F36F1" w:rsidP="002271BF">
            <w:pPr>
              <w:pStyle w:val="Tabletext1"/>
              <w:spacing w:after="0"/>
            </w:pPr>
            <w:r w:rsidRPr="00183E4D">
              <w:t>Comparator</w:t>
            </w:r>
          </w:p>
        </w:tc>
        <w:tc>
          <w:tcPr>
            <w:tcW w:w="6965" w:type="dxa"/>
            <w:shd w:val="clear" w:color="auto" w:fill="auto"/>
          </w:tcPr>
          <w:p w14:paraId="0FD84514" w14:textId="333AA07B" w:rsidR="004F36F1" w:rsidRPr="00183E4D" w:rsidRDefault="007F7F53" w:rsidP="002271BF">
            <w:pPr>
              <w:pStyle w:val="Tabletext1"/>
              <w:spacing w:after="0"/>
            </w:pPr>
            <w:r w:rsidRPr="005029F1">
              <w:t>Cone</w:t>
            </w:r>
            <w:r>
              <w:t>-</w:t>
            </w:r>
            <w:r w:rsidR="005029F1" w:rsidRPr="005029F1">
              <w:t>beam computed tomography (CBCT) guided radiation therapy</w:t>
            </w:r>
          </w:p>
        </w:tc>
      </w:tr>
      <w:tr w:rsidR="004F36F1" w:rsidRPr="00183E4D" w14:paraId="22B1EBC1" w14:textId="77777777" w:rsidTr="00C771BF">
        <w:trPr>
          <w:trHeight w:val="547"/>
        </w:trPr>
        <w:tc>
          <w:tcPr>
            <w:tcW w:w="2068" w:type="dxa"/>
            <w:shd w:val="clear" w:color="auto" w:fill="auto"/>
          </w:tcPr>
          <w:p w14:paraId="5AA0A65A" w14:textId="77777777" w:rsidR="004F36F1" w:rsidRPr="00183E4D" w:rsidRDefault="004F36F1" w:rsidP="00716EBD">
            <w:pPr>
              <w:pStyle w:val="Tabletext1"/>
            </w:pPr>
            <w:r w:rsidRPr="00183E4D">
              <w:t>Outcomes</w:t>
            </w:r>
          </w:p>
        </w:tc>
        <w:tc>
          <w:tcPr>
            <w:tcW w:w="6965" w:type="dxa"/>
            <w:shd w:val="clear" w:color="auto" w:fill="auto"/>
          </w:tcPr>
          <w:p w14:paraId="3320B945" w14:textId="77777777" w:rsidR="005029F1" w:rsidRPr="005029F1" w:rsidRDefault="005029F1" w:rsidP="005029F1">
            <w:pPr>
              <w:pStyle w:val="Tabletext1"/>
              <w:rPr>
                <w:rFonts w:cs="Arial"/>
              </w:rPr>
            </w:pPr>
            <w:r w:rsidRPr="005029F1">
              <w:rPr>
                <w:rFonts w:cs="Arial"/>
              </w:rPr>
              <w:t>Acute and long-term side effects</w:t>
            </w:r>
          </w:p>
          <w:p w14:paraId="61A21950" w14:textId="117382F2" w:rsidR="00907C6E" w:rsidRPr="00183E4D" w:rsidRDefault="005029F1" w:rsidP="00716EBD">
            <w:pPr>
              <w:pStyle w:val="Tabletext1"/>
              <w:rPr>
                <w:rFonts w:cs="Arial"/>
              </w:rPr>
            </w:pPr>
            <w:r w:rsidRPr="005029F1">
              <w:rPr>
                <w:rFonts w:cs="Arial"/>
              </w:rPr>
              <w:t>Any adverse events arising from the procedure</w:t>
            </w:r>
          </w:p>
        </w:tc>
      </w:tr>
      <w:tr w:rsidR="004F36F1" w:rsidRPr="00183E4D" w14:paraId="40BFAEB5" w14:textId="77777777" w:rsidTr="00140E14">
        <w:trPr>
          <w:trHeight w:val="493"/>
        </w:trPr>
        <w:tc>
          <w:tcPr>
            <w:tcW w:w="2068" w:type="dxa"/>
            <w:tcBorders>
              <w:top w:val="single" w:sz="4" w:space="0" w:color="auto"/>
              <w:bottom w:val="single" w:sz="4" w:space="0" w:color="auto"/>
            </w:tcBorders>
            <w:shd w:val="clear" w:color="auto" w:fill="auto"/>
          </w:tcPr>
          <w:p w14:paraId="1EAE0EDA" w14:textId="77777777" w:rsidR="004F36F1" w:rsidRPr="00183E4D" w:rsidRDefault="004F36F1" w:rsidP="00716EBD">
            <w:pPr>
              <w:pStyle w:val="Tabletext1"/>
              <w:rPr>
                <w:b/>
              </w:rPr>
            </w:pPr>
            <w:r w:rsidRPr="00183E4D">
              <w:rPr>
                <w:b/>
              </w:rPr>
              <w:t>Systematic review question</w:t>
            </w:r>
          </w:p>
        </w:tc>
        <w:tc>
          <w:tcPr>
            <w:tcW w:w="6965" w:type="dxa"/>
            <w:tcBorders>
              <w:top w:val="single" w:sz="4" w:space="0" w:color="auto"/>
              <w:bottom w:val="single" w:sz="4" w:space="0" w:color="auto"/>
            </w:tcBorders>
            <w:shd w:val="clear" w:color="auto" w:fill="auto"/>
          </w:tcPr>
          <w:p w14:paraId="167C7C77" w14:textId="49F5D9CC" w:rsidR="004F36F1" w:rsidRPr="00183E4D" w:rsidRDefault="005029F1" w:rsidP="00716EBD">
            <w:pPr>
              <w:pStyle w:val="Tabletext1"/>
              <w:rPr>
                <w:rFonts w:cs="Arial"/>
              </w:rPr>
            </w:pPr>
            <w:r w:rsidRPr="005029F1">
              <w:rPr>
                <w:rFonts w:cs="Arial"/>
              </w:rPr>
              <w:t xml:space="preserve">What is the safety of </w:t>
            </w:r>
            <w:r>
              <w:rPr>
                <w:rFonts w:cs="Arial"/>
              </w:rPr>
              <w:t>MR-IGRT</w:t>
            </w:r>
            <w:r w:rsidRPr="005029F1">
              <w:rPr>
                <w:rFonts w:cs="Arial"/>
              </w:rPr>
              <w:t xml:space="preserve">, compared to </w:t>
            </w:r>
            <w:r>
              <w:rPr>
                <w:rFonts w:cs="Arial"/>
              </w:rPr>
              <w:t>CBCT</w:t>
            </w:r>
            <w:r w:rsidR="009C5293">
              <w:rPr>
                <w:rFonts w:cs="Arial"/>
              </w:rPr>
              <w:t>-guided radiation therapy</w:t>
            </w:r>
            <w:r w:rsidRPr="005029F1">
              <w:rPr>
                <w:rFonts w:cs="Arial"/>
              </w:rPr>
              <w:t>, in persons with cancer</w:t>
            </w:r>
            <w:r>
              <w:rPr>
                <w:rFonts w:cs="Arial"/>
              </w:rPr>
              <w:t xml:space="preserve"> who undergo EBRT</w:t>
            </w:r>
            <w:r w:rsidRPr="005029F1">
              <w:rPr>
                <w:rFonts w:cs="Arial"/>
              </w:rPr>
              <w:t>?</w:t>
            </w:r>
          </w:p>
        </w:tc>
      </w:tr>
    </w:tbl>
    <w:p w14:paraId="1286780D" w14:textId="3D96D87A" w:rsidR="00716EBD" w:rsidRPr="00183E4D" w:rsidRDefault="00255B28" w:rsidP="0053223E">
      <w:pPr>
        <w:pStyle w:val="Caption"/>
        <w:keepNext/>
      </w:pPr>
      <w:bookmarkStart w:id="271" w:name="_Ref395200521"/>
      <w:bookmarkStart w:id="272" w:name="_Toc393378292"/>
      <w:bookmarkStart w:id="273" w:name="_Toc89857959"/>
      <w:r>
        <w:lastRenderedPageBreak/>
        <w:t xml:space="preserve">Box </w:t>
      </w:r>
      <w:r w:rsidR="00211285">
        <w:fldChar w:fldCharType="begin"/>
      </w:r>
      <w:r w:rsidR="00211285">
        <w:instrText xml:space="preserve"> SEQ Box \* ARABIC </w:instrText>
      </w:r>
      <w:r w:rsidR="00211285">
        <w:fldChar w:fldCharType="separate"/>
      </w:r>
      <w:r w:rsidR="00451350">
        <w:rPr>
          <w:noProof/>
        </w:rPr>
        <w:t>2</w:t>
      </w:r>
      <w:r w:rsidR="00211285">
        <w:rPr>
          <w:noProof/>
        </w:rPr>
        <w:fldChar w:fldCharType="end"/>
      </w:r>
      <w:bookmarkEnd w:id="271"/>
      <w:r w:rsidR="00BB381C" w:rsidRPr="00183E4D">
        <w:rPr>
          <w:szCs w:val="20"/>
        </w:rPr>
        <w:tab/>
      </w:r>
      <w:r w:rsidR="00716EBD" w:rsidRPr="00183E4D">
        <w:t xml:space="preserve">Criteria for identifying and selecting studies to determine the </w:t>
      </w:r>
      <w:r w:rsidR="00E16BE4">
        <w:t>effectiveness</w:t>
      </w:r>
      <w:r w:rsidR="00716EBD" w:rsidRPr="00183E4D">
        <w:t xml:space="preserve"> of </w:t>
      </w:r>
      <w:r w:rsidR="005029F1">
        <w:t>MR-IGRT</w:t>
      </w:r>
      <w:r w:rsidR="005029F1" w:rsidRPr="00183E4D">
        <w:t xml:space="preserve"> in patients with </w:t>
      </w:r>
      <w:r w:rsidR="005029F1">
        <w:t>cancer who undergo external beam radiation therapy (EBRT)</w:t>
      </w:r>
      <w:bookmarkEnd w:id="273"/>
    </w:p>
    <w:tbl>
      <w:tblPr>
        <w:tblStyle w:val="TableGrid1"/>
        <w:tblW w:w="0" w:type="auto"/>
        <w:tblBorders>
          <w:insideH w:val="none" w:sz="0" w:space="0" w:color="auto"/>
          <w:insideV w:val="none" w:sz="0" w:space="0" w:color="auto"/>
        </w:tblBorders>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49"/>
        <w:gridCol w:w="7070"/>
      </w:tblGrid>
      <w:tr w:rsidR="00BB381C" w:rsidRPr="00183E4D" w14:paraId="2A903D1C" w14:textId="77777777" w:rsidTr="005029F1">
        <w:trPr>
          <w:cnfStyle w:val="100000000000" w:firstRow="1" w:lastRow="0" w:firstColumn="0" w:lastColumn="0" w:oddVBand="0" w:evenVBand="0" w:oddHBand="0" w:evenHBand="0" w:firstRowFirstColumn="0" w:firstRowLastColumn="0" w:lastRowFirstColumn="0" w:lastRowLastColumn="0"/>
          <w:trHeight w:val="263"/>
        </w:trPr>
        <w:tc>
          <w:tcPr>
            <w:tcW w:w="1949" w:type="dxa"/>
            <w:shd w:val="clear" w:color="auto" w:fill="auto"/>
          </w:tcPr>
          <w:bookmarkEnd w:id="272"/>
          <w:p w14:paraId="4BB8417F" w14:textId="77777777" w:rsidR="00BB381C" w:rsidRPr="00183E4D" w:rsidRDefault="00BB381C" w:rsidP="0053223E">
            <w:pPr>
              <w:pStyle w:val="Tabletext1"/>
              <w:keepNext/>
              <w:rPr>
                <w:b/>
              </w:rPr>
            </w:pPr>
            <w:r w:rsidRPr="00183E4D">
              <w:rPr>
                <w:b/>
              </w:rPr>
              <w:t>Selection criteria</w:t>
            </w:r>
          </w:p>
        </w:tc>
        <w:tc>
          <w:tcPr>
            <w:tcW w:w="7070" w:type="dxa"/>
            <w:shd w:val="clear" w:color="auto" w:fill="auto"/>
          </w:tcPr>
          <w:p w14:paraId="76B57681" w14:textId="77777777" w:rsidR="00BB381C" w:rsidRPr="00183E4D" w:rsidRDefault="00716EBD" w:rsidP="0053223E">
            <w:pPr>
              <w:pStyle w:val="Tabletext1"/>
              <w:keepNext/>
              <w:jc w:val="center"/>
              <w:rPr>
                <w:rFonts w:cs="Arial"/>
                <w:b/>
              </w:rPr>
            </w:pPr>
            <w:r w:rsidRPr="00183E4D">
              <w:rPr>
                <w:rFonts w:cs="Arial"/>
                <w:b/>
              </w:rPr>
              <w:t>Description</w:t>
            </w:r>
          </w:p>
        </w:tc>
      </w:tr>
      <w:tr w:rsidR="00BB381C" w:rsidRPr="00183E4D" w14:paraId="5E1EE7FE" w14:textId="77777777" w:rsidTr="005029F1">
        <w:tc>
          <w:tcPr>
            <w:tcW w:w="1949" w:type="dxa"/>
            <w:shd w:val="clear" w:color="auto" w:fill="auto"/>
          </w:tcPr>
          <w:p w14:paraId="7A851397" w14:textId="77777777" w:rsidR="00BB381C" w:rsidRPr="00183E4D" w:rsidRDefault="00BB381C" w:rsidP="0053223E">
            <w:pPr>
              <w:pStyle w:val="Tabletext1"/>
              <w:keepNext/>
            </w:pPr>
            <w:r w:rsidRPr="00183E4D">
              <w:t>Population</w:t>
            </w:r>
          </w:p>
        </w:tc>
        <w:tc>
          <w:tcPr>
            <w:tcW w:w="7070" w:type="dxa"/>
            <w:shd w:val="clear" w:color="auto" w:fill="auto"/>
          </w:tcPr>
          <w:p w14:paraId="5E4D7F71" w14:textId="3373B2A4" w:rsidR="00BB381C" w:rsidRPr="00183E4D" w:rsidRDefault="005029F1" w:rsidP="0053223E">
            <w:pPr>
              <w:pStyle w:val="Tabletext1"/>
              <w:keepNext/>
              <w:rPr>
                <w:rFonts w:cs="Arial"/>
              </w:rPr>
            </w:pPr>
            <w:r w:rsidRPr="005029F1">
              <w:rPr>
                <w:rFonts w:cs="Arial"/>
              </w:rPr>
              <w:t>All patients with cancer who undergo external beam radiation therapy (EBRT)</w:t>
            </w:r>
          </w:p>
        </w:tc>
      </w:tr>
      <w:tr w:rsidR="005029F1" w:rsidRPr="00183E4D" w14:paraId="467DAC82" w14:textId="77777777" w:rsidTr="005029F1">
        <w:tc>
          <w:tcPr>
            <w:tcW w:w="1949" w:type="dxa"/>
            <w:shd w:val="clear" w:color="auto" w:fill="auto"/>
          </w:tcPr>
          <w:p w14:paraId="62B6E239" w14:textId="77777777" w:rsidR="005029F1" w:rsidRPr="00183E4D" w:rsidRDefault="005029F1" w:rsidP="0053223E">
            <w:pPr>
              <w:pStyle w:val="Tabletext1"/>
              <w:keepNext/>
            </w:pPr>
            <w:r w:rsidRPr="00183E4D">
              <w:t>Intervention</w:t>
            </w:r>
          </w:p>
        </w:tc>
        <w:tc>
          <w:tcPr>
            <w:tcW w:w="7070" w:type="dxa"/>
            <w:shd w:val="clear" w:color="auto" w:fill="auto"/>
          </w:tcPr>
          <w:p w14:paraId="1D119494" w14:textId="791A63ED" w:rsidR="005029F1" w:rsidRPr="00183E4D" w:rsidRDefault="005029F1" w:rsidP="0053223E">
            <w:pPr>
              <w:pStyle w:val="Tabletext1"/>
              <w:keepNext/>
            </w:pPr>
            <w:r w:rsidRPr="005029F1">
              <w:t>Magnetic resonance image guided radiation therapy (MR-IGRT)</w:t>
            </w:r>
          </w:p>
        </w:tc>
      </w:tr>
      <w:tr w:rsidR="005029F1" w:rsidRPr="00183E4D" w14:paraId="39BE497B" w14:textId="77777777" w:rsidTr="005029F1">
        <w:tc>
          <w:tcPr>
            <w:tcW w:w="1949" w:type="dxa"/>
            <w:shd w:val="clear" w:color="auto" w:fill="auto"/>
          </w:tcPr>
          <w:p w14:paraId="5E4FE0A6" w14:textId="6DBE5C4B" w:rsidR="005029F1" w:rsidRPr="00183E4D" w:rsidRDefault="005029F1" w:rsidP="0053223E">
            <w:pPr>
              <w:pStyle w:val="Tabletext1"/>
              <w:keepNext/>
            </w:pPr>
            <w:r w:rsidRPr="00183E4D">
              <w:t>Comparator</w:t>
            </w:r>
          </w:p>
        </w:tc>
        <w:tc>
          <w:tcPr>
            <w:tcW w:w="7070" w:type="dxa"/>
            <w:shd w:val="clear" w:color="auto" w:fill="auto"/>
          </w:tcPr>
          <w:p w14:paraId="396A2FF3" w14:textId="6B2B62AD" w:rsidR="005029F1" w:rsidRPr="00183E4D" w:rsidRDefault="007F7F53" w:rsidP="0053223E">
            <w:pPr>
              <w:pStyle w:val="Tabletext1"/>
              <w:keepNext/>
            </w:pPr>
            <w:r w:rsidRPr="005029F1">
              <w:t>Cone</w:t>
            </w:r>
            <w:r>
              <w:t>-</w:t>
            </w:r>
            <w:r w:rsidR="005029F1" w:rsidRPr="005029F1">
              <w:t>beam computed tomography (CBCT) guided radiation therapy</w:t>
            </w:r>
          </w:p>
        </w:tc>
      </w:tr>
      <w:tr w:rsidR="005029F1" w:rsidRPr="00183E4D" w14:paraId="763D12CE" w14:textId="77777777" w:rsidTr="005029F1">
        <w:tc>
          <w:tcPr>
            <w:tcW w:w="1949" w:type="dxa"/>
            <w:shd w:val="clear" w:color="auto" w:fill="auto"/>
          </w:tcPr>
          <w:p w14:paraId="5415C31B" w14:textId="77777777" w:rsidR="005029F1" w:rsidRPr="00183E4D" w:rsidRDefault="005029F1" w:rsidP="0053223E">
            <w:pPr>
              <w:pStyle w:val="Tabletext1"/>
              <w:keepNext/>
            </w:pPr>
            <w:r w:rsidRPr="00183E4D">
              <w:t>Outcomes</w:t>
            </w:r>
          </w:p>
        </w:tc>
        <w:tc>
          <w:tcPr>
            <w:tcW w:w="7070" w:type="dxa"/>
            <w:shd w:val="clear" w:color="auto" w:fill="auto"/>
          </w:tcPr>
          <w:p w14:paraId="5EFDDCDA" w14:textId="77777777" w:rsidR="005029F1" w:rsidRPr="005029F1" w:rsidRDefault="005029F1" w:rsidP="0053223E">
            <w:pPr>
              <w:pStyle w:val="Tabletext1"/>
              <w:keepNext/>
              <w:rPr>
                <w:rFonts w:cs="Arial"/>
              </w:rPr>
            </w:pPr>
            <w:r w:rsidRPr="005029F1">
              <w:rPr>
                <w:rFonts w:cs="Arial"/>
              </w:rPr>
              <w:t>Alteration of planned target volume (PTV) margins</w:t>
            </w:r>
          </w:p>
          <w:p w14:paraId="4C0E7CF3" w14:textId="3AEF8758" w:rsidR="005029F1" w:rsidRPr="005029F1" w:rsidRDefault="005029F1" w:rsidP="0053223E">
            <w:pPr>
              <w:pStyle w:val="Tabletext1"/>
              <w:keepNext/>
              <w:rPr>
                <w:rFonts w:cs="Arial"/>
              </w:rPr>
            </w:pPr>
            <w:r w:rsidRPr="005029F1">
              <w:rPr>
                <w:rFonts w:cs="Arial"/>
              </w:rPr>
              <w:t xml:space="preserve">Treatment toxicity and </w:t>
            </w:r>
            <w:r w:rsidR="009E043F" w:rsidRPr="005029F1">
              <w:rPr>
                <w:rFonts w:cs="Arial"/>
              </w:rPr>
              <w:t>short-term</w:t>
            </w:r>
            <w:r w:rsidRPr="005029F1">
              <w:rPr>
                <w:rFonts w:cs="Arial"/>
              </w:rPr>
              <w:t xml:space="preserve"> toxicity</w:t>
            </w:r>
          </w:p>
          <w:p w14:paraId="62DC4360" w14:textId="77777777" w:rsidR="005029F1" w:rsidRPr="005029F1" w:rsidRDefault="005029F1" w:rsidP="0053223E">
            <w:pPr>
              <w:pStyle w:val="Tabletext1"/>
              <w:keepNext/>
              <w:rPr>
                <w:rFonts w:cs="Arial"/>
              </w:rPr>
            </w:pPr>
            <w:r w:rsidRPr="005029F1">
              <w:rPr>
                <w:rFonts w:cs="Arial"/>
              </w:rPr>
              <w:t>Facilitation of radiation therapy dose escalation</w:t>
            </w:r>
          </w:p>
          <w:p w14:paraId="3711B68E" w14:textId="77777777" w:rsidR="005029F1" w:rsidRPr="005029F1" w:rsidRDefault="005029F1" w:rsidP="0053223E">
            <w:pPr>
              <w:pStyle w:val="Tabletext1"/>
              <w:keepNext/>
              <w:rPr>
                <w:rFonts w:cs="Arial"/>
              </w:rPr>
            </w:pPr>
            <w:r w:rsidRPr="005029F1">
              <w:rPr>
                <w:rFonts w:cs="Arial"/>
              </w:rPr>
              <w:t>Treatment-related morbidity</w:t>
            </w:r>
          </w:p>
          <w:p w14:paraId="3D954904" w14:textId="77777777" w:rsidR="005029F1" w:rsidRPr="005029F1" w:rsidRDefault="005029F1" w:rsidP="0053223E">
            <w:pPr>
              <w:pStyle w:val="Tabletext1"/>
              <w:keepNext/>
              <w:rPr>
                <w:rFonts w:cs="Arial"/>
              </w:rPr>
            </w:pPr>
            <w:r w:rsidRPr="005029F1">
              <w:rPr>
                <w:rFonts w:cs="Arial"/>
              </w:rPr>
              <w:t>Tumour control</w:t>
            </w:r>
          </w:p>
          <w:p w14:paraId="231EF9B8" w14:textId="77777777" w:rsidR="005029F1" w:rsidRPr="005029F1" w:rsidRDefault="005029F1" w:rsidP="0053223E">
            <w:pPr>
              <w:pStyle w:val="Tabletext1"/>
              <w:keepNext/>
              <w:rPr>
                <w:rFonts w:cs="Arial"/>
              </w:rPr>
            </w:pPr>
            <w:r w:rsidRPr="005029F1">
              <w:rPr>
                <w:rFonts w:cs="Arial"/>
              </w:rPr>
              <w:t xml:space="preserve">Overall survival </w:t>
            </w:r>
          </w:p>
          <w:p w14:paraId="765EC475" w14:textId="77777777" w:rsidR="005029F1" w:rsidRPr="005029F1" w:rsidRDefault="005029F1" w:rsidP="0053223E">
            <w:pPr>
              <w:pStyle w:val="Tabletext1"/>
              <w:keepNext/>
              <w:rPr>
                <w:rFonts w:cs="Arial"/>
              </w:rPr>
            </w:pPr>
            <w:r w:rsidRPr="005029F1">
              <w:rPr>
                <w:rFonts w:cs="Arial"/>
              </w:rPr>
              <w:t>Progression-free survival</w:t>
            </w:r>
          </w:p>
          <w:p w14:paraId="2CA3BAAF" w14:textId="77777777" w:rsidR="005029F1" w:rsidRPr="005029F1" w:rsidRDefault="005029F1" w:rsidP="0053223E">
            <w:pPr>
              <w:pStyle w:val="Tabletext1"/>
              <w:keepNext/>
              <w:rPr>
                <w:rFonts w:cs="Arial"/>
              </w:rPr>
            </w:pPr>
            <w:r w:rsidRPr="005029F1">
              <w:rPr>
                <w:rFonts w:cs="Arial"/>
              </w:rPr>
              <w:t>Disease-free survival</w:t>
            </w:r>
          </w:p>
          <w:p w14:paraId="662D6308" w14:textId="2521498E" w:rsidR="005029F1" w:rsidRPr="00183E4D" w:rsidRDefault="005029F1" w:rsidP="0053223E">
            <w:pPr>
              <w:pStyle w:val="Tabletext1"/>
              <w:keepNext/>
            </w:pPr>
            <w:r w:rsidRPr="005029F1">
              <w:rPr>
                <w:rFonts w:cs="Arial"/>
              </w:rPr>
              <w:t>Quality of life</w:t>
            </w:r>
          </w:p>
        </w:tc>
      </w:tr>
      <w:tr w:rsidR="005029F1" w:rsidRPr="00183E4D" w14:paraId="71A65EF4" w14:textId="77777777" w:rsidTr="005029F1">
        <w:tc>
          <w:tcPr>
            <w:tcW w:w="1949" w:type="dxa"/>
            <w:tcBorders>
              <w:top w:val="single" w:sz="4" w:space="0" w:color="auto"/>
              <w:bottom w:val="single" w:sz="4" w:space="0" w:color="auto"/>
            </w:tcBorders>
            <w:shd w:val="clear" w:color="auto" w:fill="auto"/>
          </w:tcPr>
          <w:p w14:paraId="20074E11" w14:textId="77777777" w:rsidR="005029F1" w:rsidRPr="00183E4D" w:rsidRDefault="005029F1" w:rsidP="0053223E">
            <w:pPr>
              <w:keepNext/>
              <w:tabs>
                <w:tab w:val="left" w:pos="0"/>
              </w:tabs>
              <w:ind w:right="62"/>
              <w:rPr>
                <w:rFonts w:ascii="Arial Narrow" w:hAnsi="Arial Narrow" w:cs="Arial"/>
                <w:b/>
                <w:sz w:val="20"/>
              </w:rPr>
            </w:pPr>
            <w:r w:rsidRPr="00183E4D">
              <w:rPr>
                <w:rFonts w:ascii="Arial Narrow" w:hAnsi="Arial Narrow" w:cs="Arial Narrow"/>
                <w:b/>
                <w:bCs/>
                <w:sz w:val="20"/>
              </w:rPr>
              <w:t>Systematic review question</w:t>
            </w:r>
          </w:p>
        </w:tc>
        <w:tc>
          <w:tcPr>
            <w:tcW w:w="7070" w:type="dxa"/>
            <w:tcBorders>
              <w:top w:val="single" w:sz="4" w:space="0" w:color="auto"/>
              <w:bottom w:val="single" w:sz="4" w:space="0" w:color="auto"/>
            </w:tcBorders>
            <w:shd w:val="clear" w:color="auto" w:fill="auto"/>
          </w:tcPr>
          <w:p w14:paraId="534AA4F0" w14:textId="18217D44" w:rsidR="005029F1" w:rsidRPr="00183E4D" w:rsidRDefault="00D12510" w:rsidP="0053223E">
            <w:pPr>
              <w:keepNext/>
              <w:tabs>
                <w:tab w:val="left" w:pos="0"/>
              </w:tabs>
              <w:ind w:right="62"/>
              <w:rPr>
                <w:rFonts w:ascii="Arial Narrow" w:hAnsi="Arial Narrow" w:cs="Arial"/>
                <w:sz w:val="20"/>
              </w:rPr>
            </w:pPr>
            <w:r w:rsidRPr="005029F1">
              <w:rPr>
                <w:rFonts w:ascii="Arial Narrow" w:hAnsi="Arial Narrow" w:cs="Arial"/>
                <w:sz w:val="20"/>
              </w:rPr>
              <w:t>What is the effectiveness of MR-IGRT, compared to CBCT-</w:t>
            </w:r>
            <w:r>
              <w:rPr>
                <w:rFonts w:ascii="Arial Narrow" w:hAnsi="Arial Narrow" w:cs="Arial"/>
                <w:sz w:val="20"/>
              </w:rPr>
              <w:t>guided radiation therapy</w:t>
            </w:r>
            <w:r w:rsidRPr="005029F1">
              <w:rPr>
                <w:rFonts w:ascii="Arial Narrow" w:hAnsi="Arial Narrow" w:cs="Arial"/>
                <w:sz w:val="20"/>
              </w:rPr>
              <w:t>, in persons with cancer who undergo EBRT?</w:t>
            </w:r>
          </w:p>
        </w:tc>
      </w:tr>
    </w:tbl>
    <w:p w14:paraId="0901894E" w14:textId="77777777" w:rsidR="00C33F2C" w:rsidRPr="00183E4D" w:rsidRDefault="00C33F2C" w:rsidP="00535CB7">
      <w:pPr>
        <w:pStyle w:val="Heading2"/>
        <w:numPr>
          <w:ilvl w:val="0"/>
          <w:numId w:val="8"/>
        </w:numPr>
      </w:pPr>
      <w:bookmarkStart w:id="274" w:name="_Toc426968125"/>
      <w:bookmarkStart w:id="275" w:name="_Toc59018768"/>
      <w:bookmarkStart w:id="276" w:name="_Toc59020312"/>
      <w:bookmarkStart w:id="277" w:name="_Toc59439534"/>
      <w:bookmarkStart w:id="278" w:name="_Toc89857806"/>
      <w:r>
        <w:t>Consumer impact statement</w:t>
      </w:r>
      <w:bookmarkEnd w:id="274"/>
      <w:bookmarkEnd w:id="275"/>
      <w:bookmarkEnd w:id="276"/>
      <w:bookmarkEnd w:id="277"/>
      <w:bookmarkEnd w:id="278"/>
    </w:p>
    <w:p w14:paraId="1DE3BE10" w14:textId="59107514" w:rsidR="00085D4A" w:rsidRDefault="00266179" w:rsidP="00085D4A">
      <w:r>
        <w:t xml:space="preserve">Feedback on the application requesting MBS listing of MR-IGRT for cancer treatment delivery was received from three professional societies (The Faculty of Radiation Oncology of the RANZCR, Australian Society of Medical Imaging and Radiation Therapy (ASMIRT), and Australasian College of Physical Scientists and Engineers in Medicine (ACPSEM)), </w:t>
      </w:r>
      <w:r w:rsidR="007E6230">
        <w:t xml:space="preserve">one charity (Lung Foundation Australia), </w:t>
      </w:r>
      <w:r>
        <w:t>one</w:t>
      </w:r>
      <w:r w:rsidR="007E6230">
        <w:t xml:space="preserve"> field</w:t>
      </w:r>
      <w:r>
        <w:t xml:space="preserve"> expert (Prof. Paul Keall, PhD), and a Public Consultation Survey has been received from Device Technologies Australia </w:t>
      </w:r>
      <w:r w:rsidR="00E7352E">
        <w:t xml:space="preserve">(DTA) </w:t>
      </w:r>
      <w:r>
        <w:t xml:space="preserve">and Viewray (manufacturer of MR-linacs; competitor of the </w:t>
      </w:r>
      <w:r w:rsidR="008F4472">
        <w:t>Applicant</w:t>
      </w:r>
      <w:r>
        <w:t>).</w:t>
      </w:r>
      <w:r w:rsidR="006B043D">
        <w:t xml:space="preserve"> Additionally, the ACPSEM and the Australian Radiation Protection and Nuclear Safety Agency (ARPANSA) offered further comments on the Ratified PICO and on the safety of the technology.</w:t>
      </w:r>
    </w:p>
    <w:p w14:paraId="3B66B2D1" w14:textId="3E5421BE" w:rsidR="00B5451C" w:rsidRDefault="00266179" w:rsidP="00085D4A">
      <w:r>
        <w:t xml:space="preserve">All three professional societies (RANZCR, ASMIRT and ACPSEM) have expressed their support </w:t>
      </w:r>
      <w:r w:rsidR="00B5451C">
        <w:t>for the use of MBS item 15275 for MR</w:t>
      </w:r>
      <w:r w:rsidR="007E6230">
        <w:t>-</w:t>
      </w:r>
      <w:r w:rsidR="00B5451C">
        <w:t>linacs</w:t>
      </w:r>
      <w:r w:rsidR="007E6230" w:rsidRPr="003C2198">
        <w:t>, noting that the current MBS item was technologically agnostic</w:t>
      </w:r>
      <w:r w:rsidR="00B5451C" w:rsidRPr="006B043D">
        <w:t>.</w:t>
      </w:r>
    </w:p>
    <w:p w14:paraId="18FCB0A1" w14:textId="54BB1716" w:rsidR="000511D2" w:rsidRDefault="0094320C" w:rsidP="00085D4A">
      <w:r>
        <w:t xml:space="preserve">In a further comment to the Ratified PICO, the ACPSEM </w:t>
      </w:r>
      <w:r w:rsidR="000511D2">
        <w:t xml:space="preserve">has </w:t>
      </w:r>
      <w:r>
        <w:t xml:space="preserve">noted that there was a potential benefit for patients with soft tissue targets and </w:t>
      </w:r>
      <w:r w:rsidR="006B043D">
        <w:t>OARs</w:t>
      </w:r>
      <w:r>
        <w:t xml:space="preserve"> that </w:t>
      </w:r>
      <w:r w:rsidR="000511D2">
        <w:t>we</w:t>
      </w:r>
      <w:r>
        <w:t xml:space="preserve">re difficult to see on X-ray imaging. </w:t>
      </w:r>
      <w:r w:rsidR="005C192C">
        <w:t>Patients with a contraindication to MR</w:t>
      </w:r>
      <w:r w:rsidR="000511D2">
        <w:t xml:space="preserve"> imaging</w:t>
      </w:r>
      <w:r w:rsidR="005C192C">
        <w:t xml:space="preserve"> (e.</w:t>
      </w:r>
      <w:r w:rsidR="000511D2">
        <w:t>g.</w:t>
      </w:r>
      <w:r w:rsidR="005C192C">
        <w:t>, patients with cardiac implanted electronic devices, metal foreign bodies</w:t>
      </w:r>
      <w:r w:rsidR="00055DA9">
        <w:t xml:space="preserve"> in ocular cavities</w:t>
      </w:r>
      <w:r w:rsidR="005C192C">
        <w:t xml:space="preserve">, or claustrophobia) </w:t>
      </w:r>
      <w:r w:rsidR="000511D2">
        <w:t>we</w:t>
      </w:r>
      <w:r w:rsidR="005C192C">
        <w:t xml:space="preserve">re not eligible for the intervention. </w:t>
      </w:r>
      <w:r w:rsidR="00055DA9">
        <w:t>Additionally, standard risks related to MRI would apply (</w:t>
      </w:r>
      <w:r w:rsidR="006B043D">
        <w:t>e.g.,</w:t>
      </w:r>
      <w:r w:rsidR="00055DA9">
        <w:t xml:space="preserve"> peripheral nerve stimulation, local heating, acoustic noise, etc.) The benefits of MR-IGRT would include</w:t>
      </w:r>
      <w:r w:rsidR="000511D2">
        <w:t>:</w:t>
      </w:r>
    </w:p>
    <w:p w14:paraId="68F0F7D9" w14:textId="77777777" w:rsidR="000511D2" w:rsidRDefault="00055DA9" w:rsidP="005C3B2B">
      <w:pPr>
        <w:pStyle w:val="ListParagraph"/>
        <w:keepNext/>
        <w:numPr>
          <w:ilvl w:val="0"/>
          <w:numId w:val="26"/>
        </w:numPr>
        <w:ind w:left="760" w:hanging="357"/>
      </w:pPr>
      <w:r>
        <w:lastRenderedPageBreak/>
        <w:t>reduced safety margins, decreas</w:t>
      </w:r>
      <w:r w:rsidR="000511D2">
        <w:t>ing</w:t>
      </w:r>
      <w:r>
        <w:t xml:space="preserve"> the amount of healthy tissue being irradiated, </w:t>
      </w:r>
    </w:p>
    <w:p w14:paraId="4F94F9F1" w14:textId="77777777" w:rsidR="000511D2" w:rsidRDefault="00055DA9" w:rsidP="005C3B2B">
      <w:pPr>
        <w:pStyle w:val="ListParagraph"/>
        <w:keepNext/>
        <w:numPr>
          <w:ilvl w:val="0"/>
          <w:numId w:val="26"/>
        </w:numPr>
        <w:ind w:left="760" w:hanging="357"/>
      </w:pPr>
      <w:r>
        <w:t xml:space="preserve">increased dose per fraction, thus reducing the number of visits required for treatment and less impact on patient’s lives and less burden on healthcare system, and </w:t>
      </w:r>
    </w:p>
    <w:p w14:paraId="01F6EC00" w14:textId="77777777" w:rsidR="000511D2" w:rsidRDefault="00055DA9" w:rsidP="000511D2">
      <w:pPr>
        <w:pStyle w:val="ListParagraph"/>
        <w:numPr>
          <w:ilvl w:val="0"/>
          <w:numId w:val="26"/>
        </w:numPr>
      </w:pPr>
      <w:r>
        <w:t xml:space="preserve">reduced radiation dose from daily CBCT to tissues outside of the treatment area. </w:t>
      </w:r>
    </w:p>
    <w:p w14:paraId="3C9F4A51" w14:textId="72768699" w:rsidR="0094320C" w:rsidRDefault="00055DA9" w:rsidP="000511D2">
      <w:r>
        <w:t xml:space="preserve">The </w:t>
      </w:r>
      <w:r w:rsidR="005C192C">
        <w:t xml:space="preserve">ACPSEM </w:t>
      </w:r>
      <w:r w:rsidR="000511D2">
        <w:t xml:space="preserve">has </w:t>
      </w:r>
      <w:r w:rsidR="005C192C">
        <w:t xml:space="preserve">also noted the potential of MR-IGRT to change the method of treatment for current high-volume indications, such as prostate and breast cancer. </w:t>
      </w:r>
      <w:r w:rsidR="00292115">
        <w:t>No specific concerns about MR-IGRT safety were raised.</w:t>
      </w:r>
    </w:p>
    <w:p w14:paraId="608EF734" w14:textId="003C2718" w:rsidR="00266179" w:rsidRDefault="00B5451C" w:rsidP="00085D4A">
      <w:r>
        <w:t>Prof. Paul Keall, PhD, leader of the Australian MRI-Linac Program, has also expressed his support for using item 15275 for MR</w:t>
      </w:r>
      <w:r w:rsidR="007E6230">
        <w:t>-</w:t>
      </w:r>
      <w:r>
        <w:t>linac treatment.</w:t>
      </w:r>
    </w:p>
    <w:p w14:paraId="35E8A0B9" w14:textId="50DA20BF" w:rsidR="00B5451C" w:rsidRDefault="00B5451C" w:rsidP="00085D4A">
      <w:r>
        <w:t>The charity Lung Foundation Australia has supported the application of Elekta Pty Ltd for delivering services in Australia, noting that MR-linac is expected to have utility in the treatment of tumours that are not amenable to current radiation therapy approaches.</w:t>
      </w:r>
    </w:p>
    <w:p w14:paraId="5B271999" w14:textId="0CB1A990" w:rsidR="00B5451C" w:rsidRPr="006A048D" w:rsidRDefault="00B5451C" w:rsidP="00BA03F3">
      <w:r>
        <w:t xml:space="preserve">A </w:t>
      </w:r>
      <w:r w:rsidR="007E6230">
        <w:t xml:space="preserve">Public </w:t>
      </w:r>
      <w:r>
        <w:t xml:space="preserve">Consultation Survey submitted by </w:t>
      </w:r>
      <w:r w:rsidR="00E7352E">
        <w:t>DTA</w:t>
      </w:r>
      <w:r>
        <w:t xml:space="preserve"> </w:t>
      </w:r>
      <w:r w:rsidR="00E7352E">
        <w:t>(distributor of Medical Devices</w:t>
      </w:r>
      <w:r>
        <w:t xml:space="preserve"> Viewray</w:t>
      </w:r>
      <w:r w:rsidR="00E7352E">
        <w:t>, manufacturer of MRIdian)</w:t>
      </w:r>
      <w:r>
        <w:t xml:space="preserve"> has </w:t>
      </w:r>
      <w:r w:rsidR="00E7352E">
        <w:t>commented on the benefits of MR</w:t>
      </w:r>
      <w:r w:rsidR="007E6230">
        <w:t>-</w:t>
      </w:r>
      <w:r w:rsidR="00E7352E">
        <w:t xml:space="preserve">linacs, </w:t>
      </w:r>
      <w:r w:rsidR="007E6230">
        <w:t>noting</w:t>
      </w:r>
      <w:r w:rsidR="00E7352E">
        <w:t xml:space="preserve"> better effectiveness outcomes, lower toxicity, decrease in the number of fractions, and lower overall costs per patient treated. </w:t>
      </w:r>
      <w:r w:rsidR="007E6230">
        <w:t xml:space="preserve">The disadvantages of the technology mentioned included limited availability and awareness of the treatment option. </w:t>
      </w:r>
      <w:r w:rsidR="00E7352E">
        <w:t>DTA strongly disagrees with the proposed MBS fee, arguing that MR-IGRT requires additional reimbursement due to increased resources (capital equipment and staff time) required to deliver adaptive planning during treatment delivery.</w:t>
      </w:r>
    </w:p>
    <w:p w14:paraId="1C96DFB5" w14:textId="11FDD078" w:rsidR="00674938" w:rsidRDefault="00674938" w:rsidP="00674938">
      <w:r>
        <w:t xml:space="preserve">The ARPANSA was </w:t>
      </w:r>
      <w:r w:rsidR="006B043D">
        <w:t>request</w:t>
      </w:r>
      <w:r>
        <w:t>ed to comment on the safety of MR-IGRT. They considered that while there was a well-known risk associated with powerful magnetic fields, this was well understood and could be managed in the controlled clinical setting in which MR-</w:t>
      </w:r>
      <w:r w:rsidR="00E002F0">
        <w:t>l</w:t>
      </w:r>
      <w:r>
        <w:t>inacs exist</w:t>
      </w:r>
      <w:r w:rsidR="00E002F0">
        <w:t>ed, and that</w:t>
      </w:r>
      <w:r>
        <w:t xml:space="preserve"> the radiation risk to staff was similar to a </w:t>
      </w:r>
      <w:r w:rsidR="00E002F0">
        <w:t>standard</w:t>
      </w:r>
      <w:r>
        <w:t xml:space="preserve"> linac. </w:t>
      </w:r>
    </w:p>
    <w:p w14:paraId="534BC544" w14:textId="050BB234" w:rsidR="00C9014F" w:rsidRPr="00183E4D" w:rsidRDefault="0040077D" w:rsidP="00DF343F">
      <w:pPr>
        <w:jc w:val="both"/>
        <w:sectPr w:rsidR="00C9014F" w:rsidRPr="00183E4D" w:rsidSect="0032309D">
          <w:pgSz w:w="11909" w:h="16834" w:code="9"/>
          <w:pgMar w:top="1440" w:right="1440" w:bottom="1440" w:left="1440" w:header="709" w:footer="709" w:gutter="0"/>
          <w:pgNumType w:start="1"/>
          <w:cols w:space="720"/>
        </w:sectPr>
      </w:pPr>
      <w:r w:rsidRPr="00E332F6">
        <w:t xml:space="preserve">The ARPANSA also pointed out that one of the </w:t>
      </w:r>
      <w:r w:rsidR="00674938" w:rsidRPr="00E332F6">
        <w:t>key point</w:t>
      </w:r>
      <w:r w:rsidRPr="00E332F6">
        <w:t>s of a</w:t>
      </w:r>
      <w:r w:rsidR="00674938" w:rsidRPr="00E332F6">
        <w:rPr>
          <w:color w:val="000000"/>
          <w:lang w:val="en-US"/>
        </w:rPr>
        <w:t xml:space="preserve">daptive radiotherapy (ART) </w:t>
      </w:r>
      <w:r w:rsidRPr="00E332F6">
        <w:rPr>
          <w:color w:val="000000"/>
          <w:lang w:val="en-US"/>
        </w:rPr>
        <w:t xml:space="preserve">was the fact that it </w:t>
      </w:r>
      <w:r w:rsidR="00674938" w:rsidRPr="00E332F6">
        <w:rPr>
          <w:color w:val="000000"/>
          <w:lang w:val="en-US"/>
        </w:rPr>
        <w:t>involve</w:t>
      </w:r>
      <w:r w:rsidRPr="00E332F6">
        <w:rPr>
          <w:color w:val="000000"/>
          <w:lang w:val="en-US"/>
        </w:rPr>
        <w:t>d</w:t>
      </w:r>
      <w:r w:rsidR="00674938" w:rsidRPr="00E332F6">
        <w:rPr>
          <w:color w:val="000000"/>
          <w:lang w:val="en-US"/>
        </w:rPr>
        <w:t xml:space="preserve"> incorporation of patient-specific anatomical variations during radi</w:t>
      </w:r>
      <w:r w:rsidR="000511D2">
        <w:rPr>
          <w:color w:val="000000"/>
          <w:lang w:val="en-US"/>
        </w:rPr>
        <w:t>o</w:t>
      </w:r>
      <w:r w:rsidR="00674938" w:rsidRPr="00E332F6">
        <w:rPr>
          <w:color w:val="000000"/>
          <w:lang w:val="en-US"/>
        </w:rPr>
        <w:t>therapy, in order to feed back into the plan and allow dose-delivery optimisation during the treatment course</w:t>
      </w:r>
      <w:r w:rsidR="00674938" w:rsidRPr="00E332F6">
        <w:t>.</w:t>
      </w:r>
      <w:r w:rsidRPr="00E332F6">
        <w:t xml:space="preserve"> Therefore, </w:t>
      </w:r>
      <w:r w:rsidR="00674938" w:rsidRPr="00E332F6">
        <w:t>if the daily pre-treatment MR imaging identifie</w:t>
      </w:r>
      <w:r w:rsidR="00711667" w:rsidRPr="00E332F6">
        <w:t>d</w:t>
      </w:r>
      <w:r w:rsidR="00674938" w:rsidRPr="00E332F6">
        <w:t xml:space="preserve"> a significant difference between the imaging used to plan the radiation treatment and the set-up of the patient on the day, the system </w:t>
      </w:r>
      <w:r w:rsidR="00711667" w:rsidRPr="00E332F6">
        <w:t>would</w:t>
      </w:r>
      <w:r w:rsidR="00674938" w:rsidRPr="00E332F6">
        <w:t xml:space="preserve"> re-calculate the radiation distribution. Any encompassing quality dosimetry testing of an MR-</w:t>
      </w:r>
      <w:r w:rsidR="00711667" w:rsidRPr="00E332F6">
        <w:t>l</w:t>
      </w:r>
      <w:r w:rsidR="00674938" w:rsidRPr="00E332F6">
        <w:t xml:space="preserve">inac system </w:t>
      </w:r>
      <w:r w:rsidR="00711667" w:rsidRPr="00E332F6">
        <w:t xml:space="preserve">would </w:t>
      </w:r>
      <w:r w:rsidR="00674938" w:rsidRPr="00E332F6">
        <w:t xml:space="preserve">need to incorporate a situation where the test object being imaged </w:t>
      </w:r>
      <w:r w:rsidR="008D1322">
        <w:t>wa</w:t>
      </w:r>
      <w:r w:rsidR="00674938" w:rsidRPr="00E332F6">
        <w:t xml:space="preserve">s </w:t>
      </w:r>
      <w:r w:rsidR="0020776C" w:rsidRPr="00E332F6">
        <w:t>not</w:t>
      </w:r>
      <w:r w:rsidR="00674938" w:rsidRPr="00E332F6">
        <w:t xml:space="preserve"> setup correctly, </w:t>
      </w:r>
      <w:r w:rsidR="00E002F0" w:rsidRPr="00E332F6">
        <w:t>i.e.,</w:t>
      </w:r>
      <w:r w:rsidR="00674938" w:rsidRPr="00E332F6">
        <w:t xml:space="preserve"> identical to the planning scan. This arrangement </w:t>
      </w:r>
      <w:r w:rsidR="00B60C5F" w:rsidRPr="00E332F6">
        <w:t>would</w:t>
      </w:r>
      <w:r w:rsidR="00674938" w:rsidRPr="00E332F6">
        <w:t xml:space="preserve"> force the re-calculation, or rejection if the difference </w:t>
      </w:r>
      <w:r w:rsidR="008D1322" w:rsidRPr="00E332F6">
        <w:t>were</w:t>
      </w:r>
      <w:r w:rsidR="00674938" w:rsidRPr="00E332F6">
        <w:t xml:space="preserve"> too great. </w:t>
      </w:r>
      <w:r w:rsidR="0020776C" w:rsidRPr="00E332F6">
        <w:t>A</w:t>
      </w:r>
      <w:r w:rsidR="00674938" w:rsidRPr="00E332F6">
        <w:t>s ART is becoming more common on conventional linear accelerators, th</w:t>
      </w:r>
      <w:r w:rsidR="0020776C" w:rsidRPr="00E332F6">
        <w:t>e</w:t>
      </w:r>
      <w:r w:rsidR="00674938" w:rsidRPr="00E332F6">
        <w:t xml:space="preserve"> risk profile</w:t>
      </w:r>
      <w:r w:rsidR="0020776C" w:rsidRPr="00E332F6">
        <w:t xml:space="preserve"> of MR-IGRT</w:t>
      </w:r>
      <w:r w:rsidR="00674938" w:rsidRPr="00E332F6">
        <w:t xml:space="preserve"> </w:t>
      </w:r>
      <w:r w:rsidR="0020776C" w:rsidRPr="00E332F6">
        <w:t>would be</w:t>
      </w:r>
      <w:r w:rsidR="00674938" w:rsidRPr="00E332F6">
        <w:t xml:space="preserve"> very similar.</w:t>
      </w:r>
      <w:bookmarkStart w:id="279" w:name="_Ref124760357"/>
    </w:p>
    <w:p w14:paraId="1CDBA0F1" w14:textId="7D69F6CF" w:rsidR="008F59A8" w:rsidRPr="00183E4D" w:rsidRDefault="00AA708D" w:rsidP="00DF343F">
      <w:pPr>
        <w:pStyle w:val="Heading1"/>
        <w:jc w:val="both"/>
      </w:pPr>
      <w:bookmarkStart w:id="280" w:name="_Ref59018226"/>
      <w:bookmarkStart w:id="281" w:name="_Toc59018769"/>
      <w:bookmarkStart w:id="282" w:name="_Ref59018556"/>
      <w:bookmarkStart w:id="283" w:name="_Ref59018582"/>
      <w:bookmarkStart w:id="284" w:name="_Toc59020313"/>
      <w:bookmarkStart w:id="285" w:name="_Toc59439535"/>
      <w:bookmarkStart w:id="286" w:name="_Toc89857807"/>
      <w:bookmarkEnd w:id="279"/>
      <w:r w:rsidRPr="00183E4D">
        <w:lastRenderedPageBreak/>
        <w:t>Section B</w:t>
      </w:r>
      <w:r w:rsidR="00EE7B01">
        <w:tab/>
      </w:r>
      <w:r w:rsidRPr="00183E4D">
        <w:tab/>
        <w:t>Clinical Evaluation</w:t>
      </w:r>
      <w:bookmarkEnd w:id="280"/>
      <w:bookmarkEnd w:id="281"/>
      <w:bookmarkEnd w:id="282"/>
      <w:bookmarkEnd w:id="283"/>
      <w:bookmarkEnd w:id="284"/>
      <w:bookmarkEnd w:id="285"/>
      <w:bookmarkEnd w:id="286"/>
      <w:r w:rsidR="008F59A8" w:rsidRPr="00183E4D">
        <w:t xml:space="preserve"> </w:t>
      </w:r>
    </w:p>
    <w:p w14:paraId="30B9EBDC" w14:textId="77777777" w:rsidR="00AA708D" w:rsidRPr="00183E4D" w:rsidRDefault="00AA708D" w:rsidP="00535CB7">
      <w:pPr>
        <w:pStyle w:val="Heading2"/>
        <w:numPr>
          <w:ilvl w:val="1"/>
          <w:numId w:val="9"/>
        </w:numPr>
      </w:pPr>
      <w:bookmarkStart w:id="287" w:name="_Toc381796460"/>
      <w:bookmarkStart w:id="288" w:name="_Toc59018770"/>
      <w:bookmarkStart w:id="289" w:name="_Toc59020314"/>
      <w:bookmarkStart w:id="290" w:name="_Toc59439536"/>
      <w:bookmarkStart w:id="291" w:name="_Toc89857808"/>
      <w:r w:rsidRPr="00183E4D">
        <w:t>Literature</w:t>
      </w:r>
      <w:r w:rsidR="00D5489B" w:rsidRPr="00183E4D">
        <w:t xml:space="preserve"> Sources and Search S</w:t>
      </w:r>
      <w:r w:rsidRPr="00183E4D">
        <w:t>trategies</w:t>
      </w:r>
      <w:bookmarkEnd w:id="287"/>
      <w:bookmarkEnd w:id="288"/>
      <w:bookmarkEnd w:id="289"/>
      <w:bookmarkEnd w:id="290"/>
      <w:bookmarkEnd w:id="291"/>
    </w:p>
    <w:p w14:paraId="3C16D480" w14:textId="396321C1" w:rsidR="00F50767" w:rsidRDefault="00AA708D" w:rsidP="00AA708D">
      <w:pPr>
        <w:jc w:val="both"/>
      </w:pPr>
      <w:r w:rsidRPr="00183E4D">
        <w:t xml:space="preserve">The medical literature was searched </w:t>
      </w:r>
      <w:r w:rsidR="00D5489B" w:rsidRPr="00183E4D">
        <w:t xml:space="preserve">on </w:t>
      </w:r>
      <w:r w:rsidR="00C717B6">
        <w:t>02 October 2020</w:t>
      </w:r>
      <w:r w:rsidR="00D5489B" w:rsidRPr="00183E4D">
        <w:t xml:space="preserve"> </w:t>
      </w:r>
      <w:r w:rsidRPr="00183E4D">
        <w:t xml:space="preserve">to identify relevant studies and </w:t>
      </w:r>
      <w:r w:rsidR="003E1B16" w:rsidRPr="00183E4D">
        <w:t xml:space="preserve">systematic </w:t>
      </w:r>
      <w:r w:rsidRPr="00183E4D">
        <w:t xml:space="preserve">reviews </w:t>
      </w:r>
      <w:r w:rsidR="00D5489B" w:rsidRPr="00183E4D">
        <w:t>published during</w:t>
      </w:r>
      <w:r w:rsidRPr="00183E4D">
        <w:t xml:space="preserve"> the period </w:t>
      </w:r>
      <w:r w:rsidR="001135EB" w:rsidRPr="001135EB">
        <w:t>2014</w:t>
      </w:r>
      <w:r w:rsidRPr="001135EB">
        <w:t xml:space="preserve"> </w:t>
      </w:r>
      <w:r w:rsidR="00D5489B" w:rsidRPr="00183E4D">
        <w:t>to</w:t>
      </w:r>
      <w:r w:rsidRPr="00183E4D">
        <w:t xml:space="preserve"> </w:t>
      </w:r>
      <w:r w:rsidR="001135EB">
        <w:t>2020</w:t>
      </w:r>
      <w:r w:rsidRPr="00183E4D">
        <w:t xml:space="preserve">. </w:t>
      </w:r>
      <w:r w:rsidR="00F13185" w:rsidRPr="00553515">
        <w:t>Only literature published since 2014 was included</w:t>
      </w:r>
      <w:r w:rsidR="00D81026" w:rsidRPr="00553515">
        <w:t>,</w:t>
      </w:r>
      <w:r w:rsidR="00F13185" w:rsidRPr="00553515">
        <w:t xml:space="preserve"> corresponding to the year MR-IGRT was </w:t>
      </w:r>
      <w:r w:rsidR="00F50767" w:rsidRPr="00553515">
        <w:t>first use</w:t>
      </w:r>
      <w:r w:rsidR="00F13185" w:rsidRPr="00553515">
        <w:t>d</w:t>
      </w:r>
      <w:r w:rsidR="00F50767" w:rsidRPr="00553515">
        <w:t xml:space="preserve"> </w:t>
      </w:r>
      <w:r w:rsidR="007F7F53" w:rsidRPr="00553515">
        <w:t xml:space="preserve">for </w:t>
      </w:r>
      <w:r w:rsidR="00F50767" w:rsidRPr="00553515">
        <w:t>patient treatment</w:t>
      </w:r>
      <w:r w:rsidR="00F50767">
        <w:t xml:space="preserve"> </w:t>
      </w:r>
      <w:r w:rsidR="000C77B0">
        <w:fldChar w:fldCharType="begin"/>
      </w:r>
      <w:r w:rsidR="000C77B0">
        <w:instrText xml:space="preserve"> ADDIN EN.CITE &lt;EndNote&gt;&lt;Cite&gt;&lt;Author&gt;Chin&lt;/Author&gt;&lt;Year&gt;2020&lt;/Year&gt;&lt;RecNum&gt;9&lt;/RecNum&gt;&lt;DisplayText&gt;(Chin et al., 2020)&lt;/DisplayText&gt;&lt;record&gt;&lt;rec-number&gt;9&lt;/rec-number&gt;&lt;foreign-keys&gt;&lt;key app="EN" db-id="sx5wsdwv795wvue959xxw0ptaewvdezxxp05" timestamp="1604445039"&gt;9&lt;/key&gt;&lt;/foreign-keys&gt;&lt;ref-type name="Journal Article"&gt;17&lt;/ref-type&gt;&lt;contributors&gt;&lt;authors&gt;&lt;author&gt;Chin, S.&lt;/author&gt;&lt;author&gt;Eccles, C. L.&lt;/author&gt;&lt;author&gt;McWilliam, A.&lt;/author&gt;&lt;author&gt;Chuter, R.&lt;/author&gt;&lt;author&gt;Walker, E.&lt;/author&gt;&lt;author&gt;Whitehurst, P.&lt;/author&gt;&lt;author&gt;Berresford, J.&lt;/author&gt;&lt;author&gt;Van Herk, M.&lt;/author&gt;&lt;author&gt;Hoskin, P. J.&lt;/author&gt;&lt;author&gt;Choudhury, A.&lt;/author&gt;&lt;/authors&gt;&lt;/contributors&gt;&lt;auth-address&gt;Department of Clinical Oncology, The Christie NHS Foundation Trust, Manchester, UK.&amp;#xD;Westmead Clinical School, University of Sydney, Sydney, New South Wales, Australia.&amp;#xD;Department of Radiotherapy, The Christie NHS Foundation Trust, Manchester, UK.&amp;#xD;Division of Cancer Sciences, The University of Manchester, Manchester, UK.&amp;#xD;Christie Medical Physics and Engineering, The Christie NHS Foundation Trust, Manchester, UK.&lt;/auth-address&gt;&lt;titles&gt;&lt;title&gt;Magnetic resonance-guided radiation therapy: A review&lt;/title&gt;&lt;secondary-title&gt;J Med Imaging Radiat Oncol&lt;/secondary-title&gt;&lt;/titles&gt;&lt;pages&gt;163-177&lt;/pages&gt;&lt;volume&gt;64&lt;/volume&gt;&lt;number&gt;1&lt;/number&gt;&lt;edition&gt;2019/10/28&lt;/edition&gt;&lt;keywords&gt;&lt;keyword&gt;MR-guided radiation therapy&lt;/keyword&gt;&lt;keyword&gt;magnetic resonance imaging&lt;/keyword&gt;&lt;keyword&gt;radiation oncology&lt;/keyword&gt;&lt;keyword&gt;radiation oncology imaging&lt;/keyword&gt;&lt;/keywords&gt;&lt;dates&gt;&lt;year&gt;2020&lt;/year&gt;&lt;pub-dates&gt;&lt;date&gt;Feb&lt;/date&gt;&lt;/pub-dates&gt;&lt;/dates&gt;&lt;isbn&gt;1754-9485 (Electronic)&amp;#xD;1754-9477 (Linking)&lt;/isbn&gt;&lt;accession-num&gt;31646742&lt;/accession-num&gt;&lt;urls&gt;&lt;related-urls&gt;&lt;url&gt;https://www.ncbi.nlm.nih.gov/pubmed/31646742&lt;/url&gt;&lt;url&gt;https://onlinelibrary.wiley.com/doi/pdfdirect/10.1111/1754-9485.12968?download=true&lt;/url&gt;&lt;/related-urls&gt;&lt;/urls&gt;&lt;electronic-resource-num&gt;10.1111/1754-9485.12968&lt;/electronic-resource-num&gt;&lt;/record&gt;&lt;/Cite&gt;&lt;/EndNote&gt;</w:instrText>
      </w:r>
      <w:r w:rsidR="000C77B0">
        <w:fldChar w:fldCharType="separate"/>
      </w:r>
      <w:r w:rsidR="000C77B0">
        <w:rPr>
          <w:noProof/>
        </w:rPr>
        <w:t>(</w:t>
      </w:r>
      <w:hyperlink w:anchor="_ENREF_22" w:tooltip="Chin, 2020 #9" w:history="1">
        <w:r w:rsidR="008B6FC0">
          <w:rPr>
            <w:noProof/>
          </w:rPr>
          <w:t>Chin et al., 2020</w:t>
        </w:r>
      </w:hyperlink>
      <w:r w:rsidR="000C77B0">
        <w:rPr>
          <w:noProof/>
        </w:rPr>
        <w:t>)</w:t>
      </w:r>
      <w:r w:rsidR="000C77B0">
        <w:fldChar w:fldCharType="end"/>
      </w:r>
      <w:r w:rsidR="00F50767">
        <w:t xml:space="preserve">. </w:t>
      </w:r>
      <w:r w:rsidR="00A17E9B">
        <w:t xml:space="preserve">Due to </w:t>
      </w:r>
      <w:r w:rsidR="00D81026">
        <w:t xml:space="preserve">the </w:t>
      </w:r>
      <w:r w:rsidR="00A17E9B">
        <w:t>paucity of comparative evidence on clinical outcomes</w:t>
      </w:r>
      <w:r w:rsidR="00F13185">
        <w:t xml:space="preserve"> comparing MR-IGRT</w:t>
      </w:r>
      <w:r w:rsidR="00A17E9B">
        <w:t xml:space="preserve"> </w:t>
      </w:r>
      <w:r w:rsidR="00F13185">
        <w:t>and CBCT-IGRT</w:t>
      </w:r>
      <w:r w:rsidR="00D81026">
        <w:t>,</w:t>
      </w:r>
      <w:r w:rsidR="00F13185">
        <w:t xml:space="preserve"> </w:t>
      </w:r>
      <w:r w:rsidR="00A17E9B">
        <w:t>a</w:t>
      </w:r>
      <w:r w:rsidR="00F50767">
        <w:t xml:space="preserve"> second search </w:t>
      </w:r>
      <w:r w:rsidR="00701D3C">
        <w:t xml:space="preserve">with no date limits </w:t>
      </w:r>
      <w:r w:rsidR="00F50767">
        <w:t>was conducted on 23</w:t>
      </w:r>
      <w:r w:rsidR="00F50767">
        <w:rPr>
          <w:vertAlign w:val="superscript"/>
        </w:rPr>
        <w:t xml:space="preserve"> </w:t>
      </w:r>
      <w:r w:rsidR="00F50767">
        <w:t xml:space="preserve">October 2020 to capture </w:t>
      </w:r>
      <w:r w:rsidR="007821D3">
        <w:t xml:space="preserve">comparative </w:t>
      </w:r>
      <w:r w:rsidR="00F50767">
        <w:t xml:space="preserve">studies with technical outcomes </w:t>
      </w:r>
      <w:r w:rsidR="00F13185">
        <w:t xml:space="preserve">as well as </w:t>
      </w:r>
      <w:r w:rsidR="00F50767">
        <w:t xml:space="preserve">studies on </w:t>
      </w:r>
      <w:r w:rsidR="00D50DB5">
        <w:t>the</w:t>
      </w:r>
      <w:r w:rsidR="00F50767">
        <w:t xml:space="preserve"> CBCT</w:t>
      </w:r>
      <w:r w:rsidR="00F13185">
        <w:t>-IGRT</w:t>
      </w:r>
      <w:r w:rsidR="00F50767">
        <w:t xml:space="preserve"> for a naïve comparison. </w:t>
      </w:r>
      <w:r w:rsidR="001523D9">
        <w:t>T</w:t>
      </w:r>
      <w:r w:rsidR="00F50767" w:rsidRPr="00183E4D">
        <w:t xml:space="preserve">he databases and sources </w:t>
      </w:r>
      <w:r w:rsidR="001523D9">
        <w:t xml:space="preserve">where the searches were conducted are </w:t>
      </w:r>
      <w:r w:rsidR="00F50767" w:rsidRPr="00183E4D">
        <w:t xml:space="preserve">described in </w:t>
      </w:r>
      <w:r w:rsidR="00F50767" w:rsidRPr="00E52D23">
        <w:t>Appendix B</w:t>
      </w:r>
      <w:r w:rsidR="00F50767" w:rsidRPr="00F50767">
        <w:t>. Search</w:t>
      </w:r>
      <w:r w:rsidR="00F50767">
        <w:t xml:space="preserve"> terms for the two literature searches are also detailed in </w:t>
      </w:r>
      <w:r w:rsidR="00F50767" w:rsidRPr="00E52D23">
        <w:t>Appendix B.</w:t>
      </w:r>
    </w:p>
    <w:p w14:paraId="2D013BEA" w14:textId="77777777" w:rsidR="00D5489B" w:rsidRPr="00183E4D" w:rsidRDefault="00D5489B" w:rsidP="00535CB7">
      <w:pPr>
        <w:pStyle w:val="Heading2"/>
        <w:numPr>
          <w:ilvl w:val="1"/>
          <w:numId w:val="9"/>
        </w:numPr>
      </w:pPr>
      <w:bookmarkStart w:id="292" w:name="_Toc59018771"/>
      <w:bookmarkStart w:id="293" w:name="_Toc59020315"/>
      <w:bookmarkStart w:id="294" w:name="_Toc59439537"/>
      <w:bookmarkStart w:id="295" w:name="_Toc89857809"/>
      <w:r w:rsidRPr="00183E4D">
        <w:t>Results of Literature Search</w:t>
      </w:r>
      <w:bookmarkEnd w:id="292"/>
      <w:bookmarkEnd w:id="293"/>
      <w:bookmarkEnd w:id="294"/>
      <w:bookmarkEnd w:id="295"/>
    </w:p>
    <w:p w14:paraId="236440E6" w14:textId="121D37F4" w:rsidR="00AA708D" w:rsidRPr="00183E4D" w:rsidRDefault="002C6694" w:rsidP="00BD55C0">
      <w:r>
        <w:t xml:space="preserve">Two </w:t>
      </w:r>
      <w:r w:rsidRPr="00183E4D">
        <w:t>PRISMA</w:t>
      </w:r>
      <w:r w:rsidR="007A2341" w:rsidRPr="00183E4D">
        <w:t xml:space="preserve"> flowchart</w:t>
      </w:r>
      <w:r>
        <w:t>s</w:t>
      </w:r>
      <w:r w:rsidR="007A2341" w:rsidRPr="00183E4D">
        <w:t xml:space="preserve"> (</w:t>
      </w:r>
      <w:r w:rsidR="009E2FEB">
        <w:fldChar w:fldCharType="begin"/>
      </w:r>
      <w:r w:rsidR="009E2FEB">
        <w:instrText xml:space="preserve"> REF _Ref59011428 \h </w:instrText>
      </w:r>
      <w:r w:rsidR="009E2FEB">
        <w:fldChar w:fldCharType="separate"/>
      </w:r>
      <w:r w:rsidR="00451350">
        <w:t xml:space="preserve">Figure </w:t>
      </w:r>
      <w:r w:rsidR="00451350">
        <w:rPr>
          <w:noProof/>
        </w:rPr>
        <w:t>3</w:t>
      </w:r>
      <w:r w:rsidR="009E2FEB">
        <w:fldChar w:fldCharType="end"/>
      </w:r>
      <w:r w:rsidR="007821D3">
        <w:t xml:space="preserve"> and</w:t>
      </w:r>
      <w:r w:rsidR="00856139">
        <w:t xml:space="preserve"> </w:t>
      </w:r>
      <w:r w:rsidR="009E2FEB">
        <w:fldChar w:fldCharType="begin"/>
      </w:r>
      <w:r w:rsidR="009E2FEB">
        <w:instrText xml:space="preserve"> REF _Ref59011431 \h </w:instrText>
      </w:r>
      <w:r w:rsidR="009E2FEB">
        <w:fldChar w:fldCharType="separate"/>
      </w:r>
      <w:r w:rsidR="00451350">
        <w:t xml:space="preserve">Figure </w:t>
      </w:r>
      <w:r w:rsidR="00451350">
        <w:rPr>
          <w:noProof/>
        </w:rPr>
        <w:t>4</w:t>
      </w:r>
      <w:r w:rsidR="009E2FEB">
        <w:fldChar w:fldCharType="end"/>
      </w:r>
      <w:r w:rsidR="007A2341" w:rsidRPr="00183E4D">
        <w:t xml:space="preserve">) provide a </w:t>
      </w:r>
      <w:r w:rsidR="00D5489B" w:rsidRPr="00183E4D">
        <w:t xml:space="preserve">graphic depiction of the </w:t>
      </w:r>
      <w:r w:rsidR="00F13185">
        <w:t xml:space="preserve">two </w:t>
      </w:r>
      <w:r w:rsidR="00D5489B" w:rsidRPr="00183E4D">
        <w:t>literature search</w:t>
      </w:r>
      <w:r w:rsidR="00F13185">
        <w:t>es</w:t>
      </w:r>
      <w:r w:rsidR="00D5489B" w:rsidRPr="00183E4D">
        <w:t xml:space="preserve"> and the application of the study selection criteria (listed in Box 1 and Box 2) </w:t>
      </w:r>
      <w:r w:rsidR="000C77B0">
        <w:fldChar w:fldCharType="begin"/>
      </w:r>
      <w:r w:rsidR="000C77B0">
        <w:instrText xml:space="preserve"> ADDIN EN.CITE &lt;EndNote&gt;&lt;Cite&gt;&lt;Author&gt;Liberati&lt;/Author&gt;&lt;Year&gt;2009&lt;/Year&gt;&lt;RecNum&gt;87&lt;/RecNum&gt;&lt;DisplayText&gt;(Liberati et al., 2009)&lt;/DisplayText&gt;&lt;record&gt;&lt;rec-number&gt;87&lt;/rec-number&gt;&lt;foreign-keys&gt;&lt;key app="EN" db-id="sx5wsdwv795wvue959xxw0ptaewvdezxxp05" timestamp="1604973384"&gt;87&lt;/key&gt;&lt;/foreign-keys&gt;&lt;ref-type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elaboration&lt;/title&gt;&lt;secondary-title&gt;BMJ&lt;/secondary-title&gt;&lt;/titles&gt;&lt;pages&gt;b2700&lt;/pages&gt;&lt;volume&gt;339&lt;/volume&gt;&lt;edition&gt;2009/07/23&lt;/edition&gt;&lt;keywords&gt;&lt;keyword&gt;Evidence-Based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(Electronic)&amp;#xD;0959-8138 (Linking)&lt;/isbn&gt;&lt;accession-num&gt;19622552&lt;/accession-num&gt;&lt;urls&gt;&lt;related-urls&gt;&lt;url&gt;https://www.ncbi.nlm.nih.gov/pubmed/19622552&lt;/url&gt;&lt;url&gt;https://www.bmj.com/content/bmj/339/bmj.b2700.full.pdf&lt;/url&gt;&lt;/related-urls&gt;&lt;/urls&gt;&lt;custom2&gt;PMC2714672&lt;/custom2&gt;&lt;electronic-resource-num&gt;10.1136/bmj.b2700&lt;/electronic-resource-num&gt;&lt;/record&gt;&lt;/Cite&gt;&lt;/EndNote&gt;</w:instrText>
      </w:r>
      <w:r w:rsidR="000C77B0">
        <w:fldChar w:fldCharType="separate"/>
      </w:r>
      <w:r w:rsidR="000C77B0">
        <w:rPr>
          <w:noProof/>
        </w:rPr>
        <w:t>(</w:t>
      </w:r>
      <w:hyperlink w:anchor="_ENREF_50" w:tooltip="Liberati, 2009 #87" w:history="1">
        <w:r w:rsidR="008B6FC0">
          <w:rPr>
            <w:noProof/>
          </w:rPr>
          <w:t>Liberati et al., 2009</w:t>
        </w:r>
      </w:hyperlink>
      <w:r w:rsidR="000C77B0">
        <w:rPr>
          <w:noProof/>
        </w:rPr>
        <w:t>)</w:t>
      </w:r>
      <w:r w:rsidR="000C77B0">
        <w:fldChar w:fldCharType="end"/>
      </w:r>
      <w:r w:rsidR="00D5489B" w:rsidRPr="00183E4D">
        <w:t xml:space="preserve">. </w:t>
      </w:r>
      <w:r w:rsidR="00800CD8">
        <w:t>Identified c</w:t>
      </w:r>
      <w:r w:rsidR="00A17E9B">
        <w:t xml:space="preserve">omparative evidence </w:t>
      </w:r>
      <w:r w:rsidR="00800CD8">
        <w:t xml:space="preserve">was limited, therefore, </w:t>
      </w:r>
      <w:r w:rsidR="00DF3C8D">
        <w:t>studies without a comparator arm were also included</w:t>
      </w:r>
      <w:r w:rsidR="00A17E9B">
        <w:t xml:space="preserve">. </w:t>
      </w:r>
      <w:r w:rsidR="004A2D94">
        <w:t>Literature search of the clinical trial registries (clinicaltrials.gov, ANZCTR</w:t>
      </w:r>
      <w:r w:rsidR="004A2D94">
        <w:rPr>
          <w:rStyle w:val="FootnoteReference"/>
        </w:rPr>
        <w:footnoteReference w:id="3"/>
      </w:r>
      <w:r w:rsidR="004A2D94">
        <w:t xml:space="preserve">) found no ongoing comparative studies either. </w:t>
      </w:r>
      <w:r>
        <w:t xml:space="preserve">The second literature search </w:t>
      </w:r>
      <w:r w:rsidR="00A4779E">
        <w:t>aimed to identify studies reporting clinical outcomes in patients treated with IGRT using CBCT</w:t>
      </w:r>
      <w:r w:rsidR="00ED1F73">
        <w:t xml:space="preserve"> for image guidance</w:t>
      </w:r>
      <w:r w:rsidR="00697E23">
        <w:t>,</w:t>
      </w:r>
      <w:r w:rsidR="00A4779E">
        <w:t xml:space="preserve"> as well as studies </w:t>
      </w:r>
      <w:r w:rsidR="00674061">
        <w:t>contributing</w:t>
      </w:r>
      <w:r w:rsidR="00A4779E">
        <w:t xml:space="preserve"> comparative data on technical outcomes </w:t>
      </w:r>
      <w:r w:rsidR="006445ED">
        <w:t xml:space="preserve">for </w:t>
      </w:r>
      <w:r w:rsidR="00A4779E">
        <w:t>IGRT</w:t>
      </w:r>
      <w:r w:rsidR="002E16F1">
        <w:t xml:space="preserve"> guided by MR</w:t>
      </w:r>
      <w:r w:rsidR="004A45D6">
        <w:t xml:space="preserve"> imaging</w:t>
      </w:r>
      <w:r w:rsidR="002E16F1">
        <w:t xml:space="preserve"> and CBCT</w:t>
      </w:r>
      <w:r w:rsidR="00F13185">
        <w:t>.</w:t>
      </w:r>
      <w:r w:rsidR="00A17E9B">
        <w:t xml:space="preserve"> </w:t>
      </w:r>
    </w:p>
    <w:p w14:paraId="581A7691" w14:textId="14C9D571" w:rsidR="007A2341" w:rsidRDefault="007A2341" w:rsidP="00AA708D">
      <w:pPr>
        <w:jc w:val="both"/>
      </w:pPr>
      <w:r w:rsidRPr="00183E4D">
        <w:t>Studies were sele</w:t>
      </w:r>
      <w:r w:rsidRPr="002C6694">
        <w:t xml:space="preserve">cted by a single reviewer </w:t>
      </w:r>
      <w:r w:rsidR="002C6694">
        <w:t xml:space="preserve">using Covidence, a web-based tool for selecting and synthesising results of studies, in addition to EndNote, a desktop-based reference management software. </w:t>
      </w:r>
      <w:r w:rsidR="00A62BC1">
        <w:t>A</w:t>
      </w:r>
      <w:r w:rsidR="002C6694">
        <w:t xml:space="preserve">ny doubts regarding </w:t>
      </w:r>
      <w:r w:rsidR="002C6694" w:rsidRPr="00D37354">
        <w:t xml:space="preserve">study selection </w:t>
      </w:r>
      <w:r w:rsidR="002C6694">
        <w:t>were discussed with a second reviewer.</w:t>
      </w:r>
    </w:p>
    <w:p w14:paraId="7909C745" w14:textId="77777777" w:rsidR="002C6694" w:rsidRPr="00D37354" w:rsidRDefault="002C6694" w:rsidP="002C6694">
      <w:pPr>
        <w:jc w:val="both"/>
      </w:pPr>
      <w:r w:rsidRPr="00D37354">
        <w:t xml:space="preserve">Additional pre-specified criteria for excluding studies </w:t>
      </w:r>
      <w:r>
        <w:t>were</w:t>
      </w:r>
      <w:r w:rsidRPr="00D37354">
        <w:t xml:space="preserve">: </w:t>
      </w:r>
    </w:p>
    <w:p w14:paraId="072E8AAC" w14:textId="77777777" w:rsidR="002C6694" w:rsidRPr="00D37354" w:rsidRDefault="002C6694" w:rsidP="005C3B2B">
      <w:pPr>
        <w:pStyle w:val="ListParagraph"/>
        <w:numPr>
          <w:ilvl w:val="0"/>
          <w:numId w:val="13"/>
        </w:numPr>
        <w:spacing w:before="60" w:after="60"/>
        <w:ind w:left="714" w:hanging="357"/>
        <w:jc w:val="both"/>
      </w:pPr>
      <w:r w:rsidRPr="00D37354">
        <w:t xml:space="preserve">Publication type: Non-systematic reviews, letters, editorials, animal, in vitro, laboratory studies, conference abstracts and technical reports </w:t>
      </w:r>
    </w:p>
    <w:p w14:paraId="1F8A8B7A" w14:textId="1E0E1450" w:rsidR="002C6694" w:rsidRPr="00D37354" w:rsidRDefault="002C6694" w:rsidP="005C3B2B">
      <w:pPr>
        <w:pStyle w:val="ListParagraph"/>
        <w:numPr>
          <w:ilvl w:val="0"/>
          <w:numId w:val="13"/>
        </w:numPr>
        <w:spacing w:before="60" w:after="60"/>
        <w:ind w:left="714" w:hanging="357"/>
        <w:jc w:val="both"/>
      </w:pPr>
      <w:r w:rsidRPr="00D37354">
        <w:t xml:space="preserve">Language: </w:t>
      </w:r>
      <w:r w:rsidR="00D81026" w:rsidRPr="00D37354">
        <w:t>non-English</w:t>
      </w:r>
      <w:r w:rsidRPr="00D37354">
        <w:t xml:space="preserve"> language articles </w:t>
      </w:r>
    </w:p>
    <w:p w14:paraId="45CFD1FB" w14:textId="05BFAA53" w:rsidR="00182C18" w:rsidRPr="00183E4D" w:rsidRDefault="00182C18" w:rsidP="00AA708D">
      <w:pPr>
        <w:jc w:val="both"/>
      </w:pPr>
      <w:r w:rsidRPr="00183E4D">
        <w:t xml:space="preserve">Studies that </w:t>
      </w:r>
      <w:r w:rsidR="00A77580">
        <w:t>were excluded</w:t>
      </w:r>
      <w:r w:rsidRPr="00183E4D">
        <w:t xml:space="preserve"> are listed </w:t>
      </w:r>
      <w:r w:rsidR="00B435E9" w:rsidRPr="00183E4D">
        <w:t xml:space="preserve">as Excluded Studies </w:t>
      </w:r>
      <w:r w:rsidRPr="00183E4D">
        <w:t xml:space="preserve">in </w:t>
      </w:r>
      <w:r w:rsidRPr="00E52D23">
        <w:t xml:space="preserve">Appendix </w:t>
      </w:r>
      <w:r w:rsidR="00A77580" w:rsidRPr="00E52D23">
        <w:t>E</w:t>
      </w:r>
      <w:r w:rsidRPr="00183E4D">
        <w:t>.</w:t>
      </w:r>
      <w:r w:rsidR="00B435E9" w:rsidRPr="00183E4D">
        <w:t xml:space="preserve"> All other studies that met the inclusion criteria are listed in </w:t>
      </w:r>
      <w:r w:rsidR="00B435E9" w:rsidRPr="002C6694">
        <w:t>Appendix C.</w:t>
      </w:r>
    </w:p>
    <w:p w14:paraId="0C686504" w14:textId="77777777" w:rsidR="004A2D94" w:rsidRDefault="004A2D94" w:rsidP="004A2D94">
      <w:pPr>
        <w:keepNext/>
        <w:jc w:val="center"/>
      </w:pPr>
      <w:r>
        <w:rPr>
          <w:noProof/>
        </w:rPr>
        <w:lastRenderedPageBreak/>
        <w:drawing>
          <wp:inline distT="0" distB="0" distL="0" distR="0" wp14:anchorId="43FD7C34" wp14:editId="189423FB">
            <wp:extent cx="5695948" cy="7088036"/>
            <wp:effectExtent l="0" t="0" r="0" b="0"/>
            <wp:docPr id="7" name="Picture 7" descr="Figure 3 Summary of the process used to identify and select studies on MR-IGRT for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Summary of the process used to identify and select studies on MR-IGRT for the assessment"/>
                    <pic:cNvPicPr/>
                  </pic:nvPicPr>
                  <pic:blipFill>
                    <a:blip r:embed="rId25">
                      <a:extLst>
                        <a:ext uri="{28A0092B-C50C-407E-A947-70E740481C1C}">
                          <a14:useLocalDpi xmlns:a14="http://schemas.microsoft.com/office/drawing/2010/main" val="0"/>
                        </a:ext>
                      </a:extLst>
                    </a:blip>
                    <a:stretch>
                      <a:fillRect/>
                    </a:stretch>
                  </pic:blipFill>
                  <pic:spPr>
                    <a:xfrm>
                      <a:off x="0" y="0"/>
                      <a:ext cx="5695948" cy="7088036"/>
                    </a:xfrm>
                    <a:prstGeom prst="rect">
                      <a:avLst/>
                    </a:prstGeom>
                  </pic:spPr>
                </pic:pic>
              </a:graphicData>
            </a:graphic>
          </wp:inline>
        </w:drawing>
      </w:r>
    </w:p>
    <w:p w14:paraId="1BF7F10B" w14:textId="42B186C1" w:rsidR="004A2D94" w:rsidRDefault="004A2D94" w:rsidP="004A2D94">
      <w:pPr>
        <w:pStyle w:val="Caption"/>
        <w:jc w:val="center"/>
      </w:pPr>
      <w:bookmarkStart w:id="296" w:name="_Ref59011428"/>
      <w:bookmarkStart w:id="297" w:name="_Toc89857962"/>
      <w:r>
        <w:t xml:space="preserve">Figure </w:t>
      </w:r>
      <w:r w:rsidR="00211285">
        <w:fldChar w:fldCharType="begin"/>
      </w:r>
      <w:r w:rsidR="00211285">
        <w:instrText xml:space="preserve"> SEQ Figure \* ARABIC </w:instrText>
      </w:r>
      <w:r w:rsidR="00211285">
        <w:fldChar w:fldCharType="separate"/>
      </w:r>
      <w:r w:rsidR="00451350">
        <w:rPr>
          <w:noProof/>
        </w:rPr>
        <w:t>3</w:t>
      </w:r>
      <w:r w:rsidR="00211285">
        <w:rPr>
          <w:noProof/>
        </w:rPr>
        <w:fldChar w:fldCharType="end"/>
      </w:r>
      <w:bookmarkEnd w:id="296"/>
      <w:r>
        <w:tab/>
      </w:r>
      <w:r w:rsidRPr="008464E0">
        <w:t>Summary of the process used to identify and select studies on MR-IGRT for the assessment</w:t>
      </w:r>
      <w:bookmarkEnd w:id="297"/>
    </w:p>
    <w:p w14:paraId="50B7770E" w14:textId="721AE24C" w:rsidR="00182C18" w:rsidRPr="00183E4D" w:rsidRDefault="00182C18" w:rsidP="004A2D94">
      <w:pPr>
        <w:jc w:val="center"/>
      </w:pPr>
    </w:p>
    <w:p w14:paraId="63A964BC" w14:textId="77777777" w:rsidR="004A2D94" w:rsidRDefault="004A2D94" w:rsidP="004A2D94">
      <w:pPr>
        <w:keepNext/>
        <w:jc w:val="center"/>
      </w:pPr>
      <w:r>
        <w:rPr>
          <w:noProof/>
        </w:rPr>
        <w:lastRenderedPageBreak/>
        <w:drawing>
          <wp:inline distT="0" distB="0" distL="0" distR="0" wp14:anchorId="2F6FE02D" wp14:editId="0ABCDF74">
            <wp:extent cx="5679489" cy="7067548"/>
            <wp:effectExtent l="0" t="0" r="0" b="0"/>
            <wp:docPr id="4" name="Picture 4" descr="Figure 4 Summary of the process used to identify and select studies on CBCT-IGRT and dosimetric outcomes for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Summary of the process used to identify and select studies on CBCT-IGRT and dosimetric outcomes for the assessment"/>
                    <pic:cNvPicPr/>
                  </pic:nvPicPr>
                  <pic:blipFill>
                    <a:blip r:embed="rId26">
                      <a:extLst>
                        <a:ext uri="{28A0092B-C50C-407E-A947-70E740481C1C}">
                          <a14:useLocalDpi xmlns:a14="http://schemas.microsoft.com/office/drawing/2010/main" val="0"/>
                        </a:ext>
                      </a:extLst>
                    </a:blip>
                    <a:stretch>
                      <a:fillRect/>
                    </a:stretch>
                  </pic:blipFill>
                  <pic:spPr>
                    <a:xfrm>
                      <a:off x="0" y="0"/>
                      <a:ext cx="5679489" cy="7067548"/>
                    </a:xfrm>
                    <a:prstGeom prst="rect">
                      <a:avLst/>
                    </a:prstGeom>
                  </pic:spPr>
                </pic:pic>
              </a:graphicData>
            </a:graphic>
          </wp:inline>
        </w:drawing>
      </w:r>
    </w:p>
    <w:p w14:paraId="2081CC31" w14:textId="4EFFBDB8" w:rsidR="00EC5A82" w:rsidRDefault="004A2D94" w:rsidP="004A2D94">
      <w:pPr>
        <w:pStyle w:val="Caption"/>
      </w:pPr>
      <w:bookmarkStart w:id="298" w:name="_Ref59011431"/>
      <w:bookmarkStart w:id="299" w:name="_Toc89857963"/>
      <w:r>
        <w:t xml:space="preserve">Figure </w:t>
      </w:r>
      <w:r w:rsidR="00211285">
        <w:fldChar w:fldCharType="begin"/>
      </w:r>
      <w:r w:rsidR="00211285">
        <w:instrText xml:space="preserve"> SEQ Figure \* ARABIC </w:instrText>
      </w:r>
      <w:r w:rsidR="00211285">
        <w:fldChar w:fldCharType="separate"/>
      </w:r>
      <w:r w:rsidR="00451350">
        <w:rPr>
          <w:noProof/>
        </w:rPr>
        <w:t>4</w:t>
      </w:r>
      <w:r w:rsidR="00211285">
        <w:rPr>
          <w:noProof/>
        </w:rPr>
        <w:fldChar w:fldCharType="end"/>
      </w:r>
      <w:bookmarkEnd w:id="298"/>
      <w:r>
        <w:tab/>
      </w:r>
      <w:r w:rsidRPr="000A6E48">
        <w:t>Summary of the process used to identify and select studies on CBCT-IGRT and dosimetric outcomes for the assessme</w:t>
      </w:r>
      <w:r>
        <w:t>nt</w:t>
      </w:r>
      <w:bookmarkEnd w:id="299"/>
    </w:p>
    <w:p w14:paraId="76A11151" w14:textId="07A0CF74" w:rsidR="00B435E9" w:rsidRPr="00183E4D" w:rsidRDefault="00B435E9" w:rsidP="00AA708D">
      <w:pPr>
        <w:jc w:val="both"/>
        <w:rPr>
          <w:color w:val="000000"/>
        </w:rPr>
      </w:pPr>
      <w:r w:rsidRPr="00183E4D">
        <w:t>A profile of each included study</w:t>
      </w:r>
      <w:r w:rsidR="00E919E7">
        <w:t xml:space="preserve"> for MR-IGRT</w:t>
      </w:r>
      <w:r w:rsidRPr="00183E4D">
        <w:t xml:space="preserve"> is </w:t>
      </w:r>
      <w:r w:rsidR="008D77C9" w:rsidRPr="00183E4D">
        <w:t>given</w:t>
      </w:r>
      <w:r w:rsidRPr="00183E4D">
        <w:t xml:space="preserve"> in </w:t>
      </w:r>
      <w:r w:rsidRPr="002C6694">
        <w:fldChar w:fldCharType="begin"/>
      </w:r>
      <w:r w:rsidRPr="002C6694">
        <w:instrText xml:space="preserve"> REF _Ref364237249 \h  \* MERGEFORMAT </w:instrText>
      </w:r>
      <w:r w:rsidRPr="002C6694">
        <w:fldChar w:fldCharType="separate"/>
      </w:r>
      <w:r w:rsidR="00451350" w:rsidRPr="00183E4D">
        <w:t xml:space="preserve">Appendix </w:t>
      </w:r>
      <w:r w:rsidR="00451350">
        <w:t>C</w:t>
      </w:r>
      <w:r w:rsidRPr="002C6694">
        <w:fldChar w:fldCharType="end"/>
      </w:r>
      <w:r w:rsidR="004A45D6">
        <w:t xml:space="preserve"> </w:t>
      </w:r>
      <w:r w:rsidR="00237550">
        <w:t>,</w:t>
      </w:r>
      <w:r w:rsidRPr="00183E4D">
        <w:rPr>
          <w:color w:val="000000"/>
        </w:rPr>
        <w:t xml:space="preserve"> describ</w:t>
      </w:r>
      <w:r w:rsidR="00237550">
        <w:rPr>
          <w:color w:val="000000"/>
        </w:rPr>
        <w:t>ing</w:t>
      </w:r>
      <w:r w:rsidRPr="00183E4D">
        <w:rPr>
          <w:color w:val="000000"/>
        </w:rPr>
        <w:t xml:space="preserve"> the authors, publication year, study design and quality (level of evidence and risk of bias), study location, setting, length of </w:t>
      </w:r>
      <w:r w:rsidR="00225453" w:rsidRPr="00183E4D">
        <w:rPr>
          <w:color w:val="000000"/>
        </w:rPr>
        <w:t xml:space="preserve">patient </w:t>
      </w:r>
      <w:r w:rsidRPr="00183E4D">
        <w:rPr>
          <w:color w:val="000000"/>
        </w:rPr>
        <w:t>follow-up, study population characteristics, description of the intervention, description of the comparator</w:t>
      </w:r>
      <w:r w:rsidR="00D951FE">
        <w:rPr>
          <w:color w:val="000000"/>
        </w:rPr>
        <w:t>,</w:t>
      </w:r>
      <w:r w:rsidRPr="00183E4D">
        <w:rPr>
          <w:color w:val="000000"/>
        </w:rPr>
        <w:t xml:space="preserve"> and the relevant outcomes assessed. </w:t>
      </w:r>
      <w:r w:rsidR="001B6A91">
        <w:rPr>
          <w:color w:val="000000"/>
        </w:rPr>
        <w:t xml:space="preserve">Study characteristics are also summarised in a shorter format in </w:t>
      </w:r>
      <w:r w:rsidR="001B6A91" w:rsidRPr="00D975CD">
        <w:rPr>
          <w:color w:val="000000"/>
        </w:rPr>
        <w:t>Section B.4</w:t>
      </w:r>
      <w:r w:rsidR="001B6A91">
        <w:rPr>
          <w:color w:val="000000"/>
        </w:rPr>
        <w:t xml:space="preserve">. </w:t>
      </w:r>
    </w:p>
    <w:p w14:paraId="1C2258CC" w14:textId="77777777" w:rsidR="000D328F" w:rsidRPr="00183E4D" w:rsidRDefault="000D328F" w:rsidP="000D328F">
      <w:pPr>
        <w:pStyle w:val="Heading3"/>
        <w:jc w:val="both"/>
      </w:pPr>
      <w:bookmarkStart w:id="300" w:name="_Toc395200773"/>
      <w:bookmarkStart w:id="301" w:name="_Toc59018772"/>
      <w:bookmarkStart w:id="302" w:name="_Toc59020316"/>
      <w:bookmarkStart w:id="303" w:name="_Toc59439538"/>
      <w:bookmarkStart w:id="304" w:name="_Toc89857810"/>
      <w:r w:rsidRPr="00183E4D">
        <w:lastRenderedPageBreak/>
        <w:t>Appraisal of the evidence</w:t>
      </w:r>
      <w:bookmarkEnd w:id="300"/>
      <w:bookmarkEnd w:id="301"/>
      <w:bookmarkEnd w:id="302"/>
      <w:bookmarkEnd w:id="303"/>
      <w:bookmarkEnd w:id="304"/>
    </w:p>
    <w:p w14:paraId="6CB55410" w14:textId="479FB7EF" w:rsidR="000D328F" w:rsidRPr="00183E4D" w:rsidRDefault="000D328F" w:rsidP="000D328F">
      <w:pPr>
        <w:jc w:val="both"/>
      </w:pPr>
      <w:r w:rsidRPr="00183E4D">
        <w:t xml:space="preserve">Appraisal of the evidence was conducted in </w:t>
      </w:r>
      <w:r w:rsidR="00A17E9B">
        <w:t>four</w:t>
      </w:r>
      <w:r w:rsidRPr="00183E4D">
        <w:t xml:space="preserve"> stages:</w:t>
      </w:r>
    </w:p>
    <w:p w14:paraId="0366CE5F" w14:textId="57F3CA30" w:rsidR="000D328F" w:rsidRDefault="000D328F" w:rsidP="000D328F">
      <w:pPr>
        <w:jc w:val="both"/>
      </w:pPr>
      <w:r w:rsidRPr="00183E4D">
        <w:t xml:space="preserve">Stage 1: Appraisal of the </w:t>
      </w:r>
      <w:r w:rsidR="005071FD">
        <w:t>risk of bias within</w:t>
      </w:r>
      <w:r w:rsidRPr="00183E4D">
        <w:t xml:space="preserve"> individual studies (or systematic reviews) included in the review (</w:t>
      </w:r>
      <w:r w:rsidRPr="00D975CD">
        <w:t>Section B.3</w:t>
      </w:r>
      <w:r w:rsidRPr="00183E4D">
        <w:t>)</w:t>
      </w:r>
      <w:r w:rsidR="00D81026">
        <w:t>.</w:t>
      </w:r>
    </w:p>
    <w:p w14:paraId="1A07BD00" w14:textId="6FA9AB6A" w:rsidR="008001D1" w:rsidRDefault="001769AB" w:rsidP="000D328F">
      <w:pPr>
        <w:jc w:val="both"/>
      </w:pPr>
      <w:r>
        <w:t xml:space="preserve">Stage 2: </w:t>
      </w:r>
      <w:r w:rsidR="008001D1">
        <w:t xml:space="preserve">Extraction of the pre-specified outcomes for this </w:t>
      </w:r>
      <w:r w:rsidR="00DC7996">
        <w:t xml:space="preserve">assessment, narrative synthesis </w:t>
      </w:r>
      <w:r w:rsidR="00213B43">
        <w:t xml:space="preserve">to determine an estimate of effect </w:t>
      </w:r>
      <w:r w:rsidR="00DC7996">
        <w:t>per outcome</w:t>
      </w:r>
      <w:r w:rsidR="00A17E9B">
        <w:t>.</w:t>
      </w:r>
    </w:p>
    <w:p w14:paraId="35EA5C1A" w14:textId="1339BBE9" w:rsidR="00DC7996" w:rsidRDefault="001769AB" w:rsidP="000D328F">
      <w:pPr>
        <w:jc w:val="both"/>
      </w:pPr>
      <w:r>
        <w:t xml:space="preserve">Stage 3: </w:t>
      </w:r>
      <w:r w:rsidR="00DC7996">
        <w:t xml:space="preserve">Rating the </w:t>
      </w:r>
      <w:r w:rsidR="00421694">
        <w:t xml:space="preserve">overall </w:t>
      </w:r>
      <w:r w:rsidR="00DC7996">
        <w:t xml:space="preserve">quality of the evidence per outcome across studies, based on the </w:t>
      </w:r>
      <w:r w:rsidR="00421694">
        <w:t xml:space="preserve">study limitations (risk of bias), imprecision, inconsistency of results, indirectness of evidence, </w:t>
      </w:r>
      <w:r w:rsidR="006606AA">
        <w:t xml:space="preserve">and the </w:t>
      </w:r>
      <w:r w:rsidR="00421694">
        <w:t>likelihood of publication bias</w:t>
      </w:r>
      <w:r w:rsidR="008D6611">
        <w:t>. This was done</w:t>
      </w:r>
      <w:r w:rsidR="00C04EB0">
        <w:t xml:space="preserve"> to provide an indication of the confidence in the estimate of effect in the context of Australian clinical practice </w:t>
      </w:r>
      <w:r w:rsidR="00272E24">
        <w:t xml:space="preserve">(Evidence profile tables, </w:t>
      </w:r>
      <w:r w:rsidR="00272E24">
        <w:fldChar w:fldCharType="begin"/>
      </w:r>
      <w:r w:rsidR="00272E24">
        <w:instrText xml:space="preserve"> REF _Ref421017583 \h </w:instrText>
      </w:r>
      <w:r w:rsidR="00272E24">
        <w:fldChar w:fldCharType="separate"/>
      </w:r>
      <w:r w:rsidR="00451350">
        <w:t xml:space="preserve">Appendix </w:t>
      </w:r>
      <w:r w:rsidR="00451350">
        <w:rPr>
          <w:noProof/>
        </w:rPr>
        <w:t>D</w:t>
      </w:r>
      <w:r w:rsidR="00272E24">
        <w:fldChar w:fldCharType="end"/>
      </w:r>
      <w:r w:rsidR="00272E24">
        <w:t>)</w:t>
      </w:r>
      <w:r w:rsidR="00421694">
        <w:t xml:space="preserve">. </w:t>
      </w:r>
    </w:p>
    <w:p w14:paraId="7ADC26A3" w14:textId="07D97A45" w:rsidR="000D328F" w:rsidRPr="00183E4D" w:rsidRDefault="001769AB" w:rsidP="000D328F">
      <w:pPr>
        <w:jc w:val="both"/>
      </w:pPr>
      <w:r>
        <w:t xml:space="preserve">Stage 4: </w:t>
      </w:r>
      <w:r w:rsidR="000D328F" w:rsidRPr="00183E4D">
        <w:t xml:space="preserve">Integration of this evidence for conclusions about the net clinical benefit of the intervention in the context of Australian clinical practice </w:t>
      </w:r>
      <w:r w:rsidR="000B688F" w:rsidRPr="00183E4D">
        <w:t>(</w:t>
      </w:r>
      <w:r w:rsidR="000B688F" w:rsidRPr="00D975CD">
        <w:t>Sections B.6-8</w:t>
      </w:r>
      <w:r w:rsidR="000B688F" w:rsidRPr="00183E4D">
        <w:t>)</w:t>
      </w:r>
      <w:r w:rsidR="00A749E0">
        <w:t>.</w:t>
      </w:r>
    </w:p>
    <w:p w14:paraId="6AC32935" w14:textId="5A0F3E37" w:rsidR="009A76F8" w:rsidRDefault="009A76F8" w:rsidP="00D66F81">
      <w:pPr>
        <w:pStyle w:val="Heading2"/>
        <w:numPr>
          <w:ilvl w:val="1"/>
          <w:numId w:val="9"/>
        </w:numPr>
      </w:pPr>
      <w:bookmarkStart w:id="305" w:name="_Toc59018773"/>
      <w:bookmarkStart w:id="306" w:name="_Toc59020317"/>
      <w:bookmarkStart w:id="307" w:name="_Toc59439539"/>
      <w:bookmarkStart w:id="308" w:name="_Toc89857811"/>
      <w:r w:rsidRPr="00183E4D">
        <w:t>Risk of Bias</w:t>
      </w:r>
      <w:r w:rsidR="00B435E9" w:rsidRPr="00183E4D">
        <w:t xml:space="preserve"> Assessment</w:t>
      </w:r>
      <w:bookmarkStart w:id="309" w:name="_Toc381796464"/>
      <w:bookmarkEnd w:id="305"/>
      <w:bookmarkEnd w:id="306"/>
      <w:bookmarkEnd w:id="307"/>
      <w:bookmarkEnd w:id="308"/>
    </w:p>
    <w:p w14:paraId="15D2B19A" w14:textId="490991E0" w:rsidR="007821D3" w:rsidRDefault="00D81026" w:rsidP="007821D3">
      <w:r>
        <w:t xml:space="preserve">The </w:t>
      </w:r>
      <w:r w:rsidR="00F012E0">
        <w:t>Newcastle Ottawa Scale (NOS)</w:t>
      </w:r>
      <w:r w:rsidR="0036393C">
        <w:t xml:space="preserve"> was </w:t>
      </w:r>
      <w:r w:rsidR="00867A38">
        <w:t xml:space="preserve">used </w:t>
      </w:r>
      <w:r w:rsidR="00867A38" w:rsidDel="00D81026">
        <w:t>for</w:t>
      </w:r>
      <w:r>
        <w:t xml:space="preserve"> assessing the quality of the included comparative cohort study</w:t>
      </w:r>
      <w:r w:rsidR="00131FE3">
        <w:t xml:space="preserve"> </w:t>
      </w:r>
      <w:r w:rsidR="000C77B0">
        <w:fldChar w:fldCharType="begin"/>
      </w:r>
      <w:r w:rsidR="000C77B0">
        <w:instrText xml:space="preserve"> ADDIN EN.CITE &lt;EndNote&gt;&lt;Cite&gt;&lt;Author&gt;Wells&lt;/Author&gt;&lt;Year&gt;2000&lt;/Year&gt;&lt;RecNum&gt;10&lt;/RecNum&gt;&lt;DisplayText&gt;(Wells et al., 2000)&lt;/DisplayText&gt;&lt;record&gt;&lt;rec-number&gt;10&lt;/rec-number&gt;&lt;foreign-keys&gt;&lt;key app="EN" db-id="sx5wsdwv795wvue959xxw0ptaewvdezxxp05" timestamp="1604450619"&gt;10&lt;/key&gt;&lt;/foreign-keys&gt;&lt;ref-type name="Journal Article"&gt;17&lt;/ref-type&gt;&lt;contributors&gt;&lt;authors&gt;&lt;author&gt;Wells, George&lt;/author&gt;&lt;author&gt;Shea, Beverley&lt;/author&gt;&lt;author&gt;O&amp;apos;Connell, D.&lt;/author&gt;&lt;author&gt;Peterson, je&lt;/author&gt;&lt;author&gt;Welch, Vivian&lt;/author&gt;&lt;author&gt;Losos, M.&lt;/author&gt;&lt;author&gt;Tugwell, Peter&lt;/author&gt;&lt;/authors&gt;&lt;/contributors&gt;&lt;titles&gt;&lt;title&gt;The Newcastle–Ottawa Scale (NOS) for Assessing the Quality of Non-Randomized Studies in Meta-Analysis&lt;/title&gt;&lt;secondary-title&gt;</w:instrText>
      </w:r>
      <w:r w:rsidR="000C77B0">
        <w:rPr>
          <w:rFonts w:ascii="Malgun Gothic" w:eastAsia="Malgun Gothic" w:hAnsi="Malgun Gothic" w:cs="Malgun Gothic" w:hint="eastAsia"/>
        </w:rPr>
        <w:instrText>ᅟ</w:instrText>
      </w:r>
      <w:r w:rsidR="000C77B0">
        <w:instrText>&lt;/secondary-title&gt;&lt;/titles&gt;&lt;volume&gt;</w:instrText>
      </w:r>
      <w:r w:rsidR="000C77B0">
        <w:rPr>
          <w:rFonts w:ascii="Malgun Gothic" w:eastAsia="Malgun Gothic" w:hAnsi="Malgun Gothic" w:cs="Malgun Gothic" w:hint="eastAsia"/>
        </w:rPr>
        <w:instrText>ᅟ</w:instrText>
      </w:r>
      <w:r w:rsidR="000C77B0">
        <w:instrText>&lt;/volume&gt;&lt;dates&gt;&lt;year&gt;2000&lt;/year&gt;&lt;pub-dates&gt;&lt;date&gt;01/01&lt;/date&gt;&lt;/pub-dates&gt;&lt;/dates&gt;&lt;urls&gt;&lt;/urls&gt;&lt;/record&gt;&lt;/Cite&gt;&lt;/EndNote&gt;</w:instrText>
      </w:r>
      <w:r w:rsidR="000C77B0">
        <w:fldChar w:fldCharType="separate"/>
      </w:r>
      <w:r w:rsidR="000C77B0">
        <w:rPr>
          <w:noProof/>
        </w:rPr>
        <w:t>(</w:t>
      </w:r>
      <w:hyperlink w:anchor="_ENREF_82" w:tooltip="Wells, 2000 #10" w:history="1">
        <w:r w:rsidR="008B6FC0">
          <w:rPr>
            <w:noProof/>
          </w:rPr>
          <w:t>Wells et al., 2000</w:t>
        </w:r>
      </w:hyperlink>
      <w:r w:rsidR="000C77B0">
        <w:rPr>
          <w:noProof/>
        </w:rPr>
        <w:t>)</w:t>
      </w:r>
      <w:r w:rsidR="000C77B0">
        <w:fldChar w:fldCharType="end"/>
      </w:r>
      <w:r>
        <w:t xml:space="preserve">. </w:t>
      </w:r>
      <w:r w:rsidR="00F012E0">
        <w:t xml:space="preserve">The quality of </w:t>
      </w:r>
      <w:r>
        <w:t xml:space="preserve">the </w:t>
      </w:r>
      <w:r w:rsidR="00F012E0">
        <w:t>single</w:t>
      </w:r>
      <w:r>
        <w:t>-</w:t>
      </w:r>
      <w:r w:rsidR="00F012E0">
        <w:t>ar</w:t>
      </w:r>
      <w:r w:rsidR="0025457C">
        <w:t xml:space="preserve">m case series was assessed with the Three-Minute Checklist </w:t>
      </w:r>
      <w:r w:rsidR="000C77B0">
        <w:fldChar w:fldCharType="begin"/>
      </w:r>
      <w:r w:rsidR="001F781A">
        <w:instrText xml:space="preserve"> ADDIN EN.CITE &lt;EndNote&gt;&lt;Cite&gt;&lt;Author&gt;Chan&lt;/Author&gt;&lt;Year&gt;2011&lt;/Year&gt;&lt;RecNum&gt;12&lt;/RecNum&gt;&lt;DisplayText&gt;(Chan &amp;amp; Bhandari, 2011)&lt;/DisplayText&gt;&lt;record&gt;&lt;rec-number&gt;12&lt;/rec-number&gt;&lt;foreign-keys&gt;&lt;key app="EN" db-id="sx5wsdwv795wvue959xxw0ptaewvdezxxp05" timestamp="1604450974"&gt;12&lt;/key&gt;&lt;/foreign-keys&gt;&lt;ref-type name="Journal Article"&gt;17&lt;/ref-type&gt;&lt;contributors&gt;&lt;authors&gt;&lt;author&gt;Chan, K.&lt;/author&gt;&lt;author&gt;Bhandari, M.&lt;/author&gt;&lt;/authors&gt;&lt;/contributors&gt;&lt;auth-address&gt;McMaster University, Hamilton, Canada.&lt;/auth-address&gt;&lt;titles&gt;&lt;title&gt;Three-minute critical appraisal of a case series article&lt;/title&gt;&lt;secondary-title&gt;Indian J Orthop&lt;/secondary-title&gt;&lt;/titles&gt;&lt;pages&gt;103-4&lt;/pages&gt;&lt;volume&gt;45&lt;/volume&gt;&lt;number&gt;2&lt;/number&gt;&lt;edition&gt;2011/03/25&lt;/edition&gt;&lt;dates&gt;&lt;year&gt;2011&lt;/year&gt;&lt;pub-dates&gt;&lt;date&gt;Mar&lt;/date&gt;&lt;/pub-dates&gt;&lt;/dates&gt;&lt;isbn&gt;1998-3727 (Electronic)&amp;#xD;0019-5413 (Linking)&lt;/isbn&gt;&lt;accession-num&gt;21430861&lt;/accession-num&gt;&lt;urls&gt;&lt;related-urls&gt;&lt;url&gt;https://www.ncbi.nlm.nih.gov/pubmed/21430861&lt;/url&gt;&lt;/related-urls&gt;&lt;/urls&gt;&lt;custom2&gt;PMC3051113&lt;/custom2&gt;&lt;electronic-resource-num&gt;10.4103/0019-5413.77126&lt;/electronic-resource-num&gt;&lt;/record&gt;&lt;/Cite&gt;&lt;/EndNote&gt;</w:instrText>
      </w:r>
      <w:r w:rsidR="000C77B0">
        <w:fldChar w:fldCharType="separate"/>
      </w:r>
      <w:r w:rsidR="001F781A">
        <w:rPr>
          <w:noProof/>
        </w:rPr>
        <w:t>(</w:t>
      </w:r>
      <w:hyperlink w:anchor="_ENREF_20" w:tooltip="Chan, 2011 #12" w:history="1">
        <w:r w:rsidR="001F781A">
          <w:rPr>
            <w:noProof/>
          </w:rPr>
          <w:t>Chan &amp; Bhandari, 2011</w:t>
        </w:r>
      </w:hyperlink>
      <w:r w:rsidR="001F781A">
        <w:rPr>
          <w:noProof/>
        </w:rPr>
        <w:t>)</w:t>
      </w:r>
      <w:r w:rsidR="000C77B0">
        <w:fldChar w:fldCharType="end"/>
      </w:r>
      <w:r w:rsidR="000D1C56">
        <w:t>, which was found to be the most applicable to the studies available</w:t>
      </w:r>
      <w:r w:rsidR="0025457C">
        <w:t>.</w:t>
      </w:r>
    </w:p>
    <w:p w14:paraId="193993D5" w14:textId="1357922E" w:rsidR="007842C1" w:rsidRDefault="0036393C" w:rsidP="007821D3">
      <w:r>
        <w:t xml:space="preserve">The single </w:t>
      </w:r>
      <w:r w:rsidR="00913821">
        <w:t>identified</w:t>
      </w:r>
      <w:r>
        <w:t xml:space="preserve"> comparative cohort study </w:t>
      </w:r>
      <w:r w:rsidR="00ED2E3E">
        <w:t xml:space="preserve">by </w:t>
      </w: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BE0E13">
        <w:t xml:space="preserve"> </w:t>
      </w:r>
      <w:r w:rsidR="005245A5">
        <w:t>scored 5 points on the</w:t>
      </w:r>
      <w:r w:rsidR="00BE0E13">
        <w:t xml:space="preserve"> NO</w:t>
      </w:r>
      <w:r w:rsidR="00D81D54">
        <w:t>S</w:t>
      </w:r>
      <w:r w:rsidR="007842C1">
        <w:rPr>
          <w:rStyle w:val="FootnoteReference"/>
        </w:rPr>
        <w:footnoteReference w:id="4"/>
      </w:r>
      <w:r w:rsidR="00BE0E13">
        <w:t xml:space="preserve">. </w:t>
      </w:r>
      <w:r w:rsidR="005245A5">
        <w:t xml:space="preserve">To aid interpretation, the score was translated </w:t>
      </w:r>
      <w:r w:rsidR="00D81026">
        <w:t xml:space="preserve">according </w:t>
      </w:r>
      <w:r w:rsidR="005245A5">
        <w:t>to the Agency for Healthcare Research and Quality (AHRQ) standards</w:t>
      </w:r>
      <w:r w:rsidR="005245A5">
        <w:rPr>
          <w:rStyle w:val="FootnoteReference"/>
        </w:rPr>
        <w:footnoteReference w:id="5"/>
      </w:r>
      <w:r w:rsidR="00F13185">
        <w:t>, indicating a fair quality score</w:t>
      </w:r>
      <w:r w:rsidR="007842C1">
        <w:t>.</w:t>
      </w:r>
      <w:r w:rsidR="005245A5">
        <w:t xml:space="preserve"> </w:t>
      </w:r>
      <w:r w:rsidR="00BE0E13">
        <w:t>The quality assessment for this study is summarised in</w:t>
      </w:r>
      <w:r w:rsidR="000731CD">
        <w:t xml:space="preserve"> </w:t>
      </w:r>
      <w:r w:rsidR="000731CD">
        <w:fldChar w:fldCharType="begin"/>
      </w:r>
      <w:r w:rsidR="000731CD">
        <w:instrText xml:space="preserve"> REF _Ref55387613 \h </w:instrText>
      </w:r>
      <w:r w:rsidR="000731CD">
        <w:fldChar w:fldCharType="separate"/>
      </w:r>
      <w:r w:rsidR="00451350">
        <w:t xml:space="preserve">Table </w:t>
      </w:r>
      <w:r w:rsidR="00451350">
        <w:rPr>
          <w:noProof/>
        </w:rPr>
        <w:t>13</w:t>
      </w:r>
      <w:r w:rsidR="000731CD">
        <w:fldChar w:fldCharType="end"/>
      </w:r>
      <w:r w:rsidR="000731CD">
        <w:t>.</w:t>
      </w:r>
      <w:r w:rsidR="00973A7C">
        <w:t xml:space="preserve"> </w:t>
      </w:r>
      <w:r w:rsidR="007842C1">
        <w:t xml:space="preserve">One score was not awarded in the Selection </w:t>
      </w:r>
      <w:r w:rsidR="005E1C87">
        <w:t xml:space="preserve">domain </w:t>
      </w:r>
      <w:r w:rsidR="00D66F81">
        <w:t xml:space="preserve">was not awarded </w:t>
      </w:r>
      <w:r w:rsidR="005E1C87">
        <w:t>as only</w:t>
      </w:r>
      <w:r w:rsidR="007842C1">
        <w:t xml:space="preserve"> patients</w:t>
      </w:r>
      <w:r w:rsidR="002A5A21">
        <w:t xml:space="preserve"> with lung cancer</w:t>
      </w:r>
      <w:r w:rsidR="007842C1">
        <w:t xml:space="preserve"> treated with </w:t>
      </w:r>
      <w:r w:rsidR="007842C1" w:rsidRPr="007842C1">
        <w:t>SBRT</w:t>
      </w:r>
      <w:r w:rsidR="007842C1">
        <w:t xml:space="preserve"> </w:t>
      </w:r>
      <w:r w:rsidR="005E1C87">
        <w:t>using the tri-</w:t>
      </w:r>
      <w:r w:rsidR="005E1C87">
        <w:rPr>
          <w:vertAlign w:val="superscript"/>
        </w:rPr>
        <w:t>60</w:t>
      </w:r>
      <w:r w:rsidR="005E1C87">
        <w:t xml:space="preserve">Co system were included in the study. </w:t>
      </w:r>
      <w:r w:rsidR="007842C1">
        <w:t>The non-exposed cohort was drawn from the same community and treated at the same location during the same period.</w:t>
      </w:r>
      <w:r w:rsidR="005E1C87">
        <w:t xml:space="preserve"> Exposure was ascertained from treatment records. Patients were matched at a 1:1 ratio in the following order of importance:</w:t>
      </w:r>
      <w:r w:rsidR="005E1C87" w:rsidRPr="005E1C87">
        <w:t xml:space="preserve"> dose/fractionation, tumour size, tumour location, and age.</w:t>
      </w:r>
      <w:r w:rsidR="005E1C87">
        <w:t xml:space="preserve"> Investigators used </w:t>
      </w:r>
      <w:r w:rsidR="005E1C87" w:rsidRPr="005E1C87">
        <w:t xml:space="preserve">CT images and deformable registration </w:t>
      </w:r>
      <w:r w:rsidR="00253C5E" w:rsidRPr="005E1C87">
        <w:t>software to</w:t>
      </w:r>
      <w:r w:rsidR="005E1C87" w:rsidRPr="005E1C87">
        <w:t xml:space="preserve"> determine lung density change</w:t>
      </w:r>
      <w:r w:rsidR="005E1C87">
        <w:t>, however</w:t>
      </w:r>
      <w:r w:rsidR="008919C5">
        <w:t>,</w:t>
      </w:r>
      <w:r w:rsidR="005E1C87">
        <w:t xml:space="preserve"> it is not clear if they were blinded. Moreover, the study was retrospective</w:t>
      </w:r>
      <w:r w:rsidR="008919C5">
        <w:t>,</w:t>
      </w:r>
      <w:r w:rsidR="005E1C87">
        <w:t xml:space="preserve"> and </w:t>
      </w:r>
      <w:r w:rsidR="00253C5E">
        <w:t xml:space="preserve">the second </w:t>
      </w:r>
      <w:r w:rsidR="00685CA7">
        <w:t xml:space="preserve">follow-up </w:t>
      </w:r>
      <w:r w:rsidR="00253C5E">
        <w:t xml:space="preserve">CT scan had a </w:t>
      </w:r>
      <w:r w:rsidR="001C336F">
        <w:t>wide</w:t>
      </w:r>
      <w:r w:rsidR="00766141">
        <w:t xml:space="preserve"> timing</w:t>
      </w:r>
      <w:r w:rsidR="00253C5E">
        <w:t xml:space="preserve"> range </w:t>
      </w:r>
      <w:r w:rsidR="00B7767B">
        <w:t>(</w:t>
      </w:r>
      <w:r w:rsidR="00253C5E">
        <w:t>16</w:t>
      </w:r>
      <w:r w:rsidR="00B7767B">
        <w:t>-</w:t>
      </w:r>
      <w:r w:rsidR="00253C5E">
        <w:t xml:space="preserve">31 weeks </w:t>
      </w:r>
      <w:r w:rsidR="00D81026">
        <w:t xml:space="preserve">after the </w:t>
      </w:r>
      <w:r w:rsidR="00253C5E">
        <w:t>end of radiation therapy treatment</w:t>
      </w:r>
      <w:r w:rsidR="00B7767B">
        <w:t>)</w:t>
      </w:r>
      <w:r w:rsidR="00253C5E">
        <w:t xml:space="preserve">. </w:t>
      </w:r>
    </w:p>
    <w:p w14:paraId="0AF088AC" w14:textId="0C47BDF6" w:rsidR="00BE0E13" w:rsidRDefault="00BE0E13" w:rsidP="00AB743A">
      <w:pPr>
        <w:pStyle w:val="Caption"/>
        <w:keepNext/>
      </w:pPr>
      <w:bookmarkStart w:id="310" w:name="_Ref55387613"/>
      <w:bookmarkStart w:id="311" w:name="_Toc89857884"/>
      <w:r>
        <w:t xml:space="preserve">Table </w:t>
      </w:r>
      <w:r w:rsidR="00211285">
        <w:fldChar w:fldCharType="begin"/>
      </w:r>
      <w:r w:rsidR="00211285">
        <w:instrText xml:space="preserve"> SEQ Table \* ARABIC </w:instrText>
      </w:r>
      <w:r w:rsidR="00211285">
        <w:fldChar w:fldCharType="separate"/>
      </w:r>
      <w:r w:rsidR="00451350">
        <w:rPr>
          <w:noProof/>
        </w:rPr>
        <w:t>13</w:t>
      </w:r>
      <w:r w:rsidR="00211285">
        <w:rPr>
          <w:noProof/>
        </w:rPr>
        <w:fldChar w:fldCharType="end"/>
      </w:r>
      <w:bookmarkEnd w:id="310"/>
      <w:r>
        <w:tab/>
        <w:t>Assessment of the quality of the included cohort study</w:t>
      </w:r>
      <w:r w:rsidR="005813EA">
        <w:t xml:space="preserve"> using NOS</w:t>
      </w:r>
      <w:bookmarkEnd w:id="311"/>
    </w:p>
    <w:tbl>
      <w:tblPr>
        <w:tblStyle w:val="TableGrid1"/>
        <w:tblW w:w="5000" w:type="pct"/>
        <w:tblCellMar>
          <w:left w:w="28" w:type="dxa"/>
          <w:right w:w="28" w:type="dxa"/>
        </w:tblCellMar>
        <w:tblLook w:val="04A0" w:firstRow="1" w:lastRow="0" w:firstColumn="1" w:lastColumn="0" w:noHBand="0" w:noVBand="1"/>
        <w:tblCaption w:val="Table 13 Assessment of the quality of the included cohort study using NOS"/>
        <w:tblDescription w:val="This table provides assessment of the quality of th included cohort using NOS rating."/>
      </w:tblPr>
      <w:tblGrid>
        <w:gridCol w:w="1500"/>
        <w:gridCol w:w="1506"/>
        <w:gridCol w:w="1502"/>
        <w:gridCol w:w="1504"/>
        <w:gridCol w:w="1502"/>
        <w:gridCol w:w="1502"/>
      </w:tblGrid>
      <w:tr w:rsidR="00D81D54" w:rsidRPr="00D81D54" w14:paraId="6398B2EE" w14:textId="77777777" w:rsidTr="005E18C3">
        <w:trPr>
          <w:cnfStyle w:val="100000000000" w:firstRow="1" w:lastRow="0" w:firstColumn="0" w:lastColumn="0" w:oddVBand="0" w:evenVBand="0" w:oddHBand="0" w:evenHBand="0" w:firstRowFirstColumn="0" w:firstRowLastColumn="0" w:lastRowFirstColumn="0" w:lastRowLastColumn="0"/>
        </w:trPr>
        <w:tc>
          <w:tcPr>
            <w:tcW w:w="832" w:type="pct"/>
            <w:shd w:val="clear" w:color="auto" w:fill="auto"/>
            <w:vAlign w:val="center"/>
          </w:tcPr>
          <w:p w14:paraId="4B32D1E3" w14:textId="11CCAB6D" w:rsidR="00D81D54" w:rsidRPr="005C3B2B" w:rsidRDefault="00D81D54" w:rsidP="005C3B2B">
            <w:pPr>
              <w:pStyle w:val="Tabletext1"/>
              <w:rPr>
                <w:b/>
                <w:bCs/>
                <w:snapToGrid w:val="0"/>
              </w:rPr>
            </w:pPr>
            <w:r w:rsidRPr="005C3B2B">
              <w:rPr>
                <w:b/>
                <w:bCs/>
                <w:snapToGrid w:val="0"/>
              </w:rPr>
              <w:t>Study</w:t>
            </w:r>
          </w:p>
        </w:tc>
        <w:tc>
          <w:tcPr>
            <w:tcW w:w="835" w:type="pct"/>
            <w:shd w:val="clear" w:color="auto" w:fill="auto"/>
          </w:tcPr>
          <w:p w14:paraId="010C58B2" w14:textId="09EF094D" w:rsidR="00D81D54" w:rsidRPr="005C3B2B" w:rsidRDefault="00D81D54" w:rsidP="005C3B2B">
            <w:pPr>
              <w:pStyle w:val="Tabletext1"/>
              <w:jc w:val="center"/>
              <w:rPr>
                <w:b/>
                <w:bCs/>
              </w:rPr>
            </w:pPr>
            <w:r w:rsidRPr="005C3B2B">
              <w:rPr>
                <w:b/>
                <w:bCs/>
              </w:rPr>
              <w:t>Selection score</w:t>
            </w:r>
          </w:p>
          <w:p w14:paraId="77AACF6C" w14:textId="51B35AFC" w:rsidR="00D81D54" w:rsidRPr="005C3B2B" w:rsidRDefault="00D81D54" w:rsidP="005C3B2B">
            <w:pPr>
              <w:pStyle w:val="Tabletext1"/>
              <w:jc w:val="center"/>
              <w:rPr>
                <w:b/>
                <w:bCs/>
                <w:snapToGrid w:val="0"/>
              </w:rPr>
            </w:pPr>
            <w:r w:rsidRPr="005C3B2B">
              <w:rPr>
                <w:b/>
                <w:bCs/>
              </w:rPr>
              <w:t>(max =4)</w:t>
            </w:r>
          </w:p>
        </w:tc>
        <w:tc>
          <w:tcPr>
            <w:tcW w:w="833" w:type="pct"/>
            <w:shd w:val="clear" w:color="auto" w:fill="auto"/>
          </w:tcPr>
          <w:p w14:paraId="6EE459E4" w14:textId="39071873" w:rsidR="00D81D54" w:rsidRPr="005C3B2B" w:rsidRDefault="00D81D54" w:rsidP="005C3B2B">
            <w:pPr>
              <w:pStyle w:val="Tabletext1"/>
              <w:jc w:val="center"/>
              <w:rPr>
                <w:b/>
                <w:bCs/>
                <w:snapToGrid w:val="0"/>
              </w:rPr>
            </w:pPr>
            <w:r w:rsidRPr="005C3B2B">
              <w:rPr>
                <w:b/>
                <w:bCs/>
              </w:rPr>
              <w:t>Comparability score (max =2)</w:t>
            </w:r>
          </w:p>
        </w:tc>
        <w:tc>
          <w:tcPr>
            <w:tcW w:w="834" w:type="pct"/>
            <w:shd w:val="clear" w:color="auto" w:fill="auto"/>
          </w:tcPr>
          <w:p w14:paraId="56AB0161" w14:textId="324473D7" w:rsidR="00D81D54" w:rsidRPr="005C3B2B" w:rsidRDefault="00D81D54" w:rsidP="005C3B2B">
            <w:pPr>
              <w:pStyle w:val="Tabletext1"/>
              <w:jc w:val="center"/>
              <w:rPr>
                <w:b/>
                <w:bCs/>
              </w:rPr>
            </w:pPr>
            <w:r w:rsidRPr="005C3B2B">
              <w:rPr>
                <w:b/>
                <w:bCs/>
              </w:rPr>
              <w:t>Outcome score</w:t>
            </w:r>
          </w:p>
          <w:p w14:paraId="4959832D" w14:textId="7960DBCC" w:rsidR="00D81D54" w:rsidRPr="005C3B2B" w:rsidRDefault="00D81D54" w:rsidP="005C3B2B">
            <w:pPr>
              <w:pStyle w:val="Tabletext1"/>
              <w:jc w:val="center"/>
              <w:rPr>
                <w:b/>
                <w:bCs/>
                <w:snapToGrid w:val="0"/>
              </w:rPr>
            </w:pPr>
            <w:r w:rsidRPr="005C3B2B">
              <w:rPr>
                <w:b/>
                <w:bCs/>
              </w:rPr>
              <w:t>(max =3)</w:t>
            </w:r>
          </w:p>
        </w:tc>
        <w:tc>
          <w:tcPr>
            <w:tcW w:w="833" w:type="pct"/>
            <w:shd w:val="clear" w:color="auto" w:fill="auto"/>
          </w:tcPr>
          <w:p w14:paraId="254B2C20" w14:textId="071CC0AC" w:rsidR="00D81D54" w:rsidRPr="005C3B2B" w:rsidRDefault="00D81D54" w:rsidP="005C3B2B">
            <w:pPr>
              <w:pStyle w:val="Tabletext1"/>
              <w:jc w:val="center"/>
              <w:rPr>
                <w:b/>
                <w:bCs/>
              </w:rPr>
            </w:pPr>
            <w:r w:rsidRPr="005C3B2B">
              <w:rPr>
                <w:b/>
                <w:bCs/>
              </w:rPr>
              <w:t>Total score</w:t>
            </w:r>
          </w:p>
          <w:p w14:paraId="0A0A3F3A" w14:textId="4FE88704" w:rsidR="00D81D54" w:rsidRPr="005C3B2B" w:rsidRDefault="00D81D54" w:rsidP="005C3B2B">
            <w:pPr>
              <w:pStyle w:val="Tabletext1"/>
              <w:jc w:val="center"/>
              <w:rPr>
                <w:b/>
                <w:bCs/>
                <w:snapToGrid w:val="0"/>
              </w:rPr>
            </w:pPr>
            <w:r w:rsidRPr="005C3B2B">
              <w:rPr>
                <w:b/>
                <w:bCs/>
              </w:rPr>
              <w:t>(max =9)</w:t>
            </w:r>
          </w:p>
        </w:tc>
        <w:tc>
          <w:tcPr>
            <w:tcW w:w="833" w:type="pct"/>
            <w:shd w:val="clear" w:color="auto" w:fill="auto"/>
          </w:tcPr>
          <w:p w14:paraId="46283A6F" w14:textId="731A5F78" w:rsidR="00D81D54" w:rsidRPr="005C3B2B" w:rsidRDefault="00D81D54" w:rsidP="005C3B2B">
            <w:pPr>
              <w:pStyle w:val="Tabletext1"/>
              <w:jc w:val="center"/>
              <w:rPr>
                <w:b/>
                <w:bCs/>
                <w:snapToGrid w:val="0"/>
              </w:rPr>
            </w:pPr>
            <w:r w:rsidRPr="005C3B2B">
              <w:rPr>
                <w:b/>
                <w:bCs/>
              </w:rPr>
              <w:t>Study quality</w:t>
            </w:r>
          </w:p>
        </w:tc>
      </w:tr>
      <w:tr w:rsidR="00D81D54" w:rsidRPr="00183E4D" w14:paraId="5EB224DC" w14:textId="77777777" w:rsidTr="005E18C3">
        <w:tc>
          <w:tcPr>
            <w:tcW w:w="832" w:type="pct"/>
            <w:shd w:val="clear" w:color="auto" w:fill="auto"/>
            <w:vAlign w:val="center"/>
          </w:tcPr>
          <w:p w14:paraId="74152DD9" w14:textId="218FAA35" w:rsidR="00D81D54" w:rsidRPr="00D81D54" w:rsidRDefault="00211285" w:rsidP="005C3B2B">
            <w:pPr>
              <w:pStyle w:val="Tabletext1"/>
              <w:rPr>
                <w:snapToGrid w:val="0"/>
              </w:rPr>
            </w:pPr>
            <w:hyperlink w:anchor="_ENREF_46" w:tooltip="Kim, 2018 #19" w:history="1">
              <w:r w:rsidR="001F781A">
                <w:rPr>
                  <w:snapToGrid w:val="0"/>
                </w:rPr>
                <w:fldChar w:fldCharType="begin"/>
              </w:r>
              <w:r w:rsidR="001F781A">
                <w:rPr>
                  <w:snapToGrid w:val="0"/>
                </w:rPr>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rPr>
                  <w:snapToGrid w:val="0"/>
                </w:rPr>
                <w:fldChar w:fldCharType="separate"/>
              </w:r>
              <w:r w:rsidR="001F781A">
                <w:rPr>
                  <w:noProof/>
                  <w:snapToGrid w:val="0"/>
                </w:rPr>
                <w:t>E. Kim et al. (2018)</w:t>
              </w:r>
              <w:r w:rsidR="001F781A">
                <w:rPr>
                  <w:snapToGrid w:val="0"/>
                </w:rPr>
                <w:fldChar w:fldCharType="end"/>
              </w:r>
            </w:hyperlink>
          </w:p>
        </w:tc>
        <w:tc>
          <w:tcPr>
            <w:tcW w:w="835" w:type="pct"/>
            <w:shd w:val="clear" w:color="auto" w:fill="auto"/>
          </w:tcPr>
          <w:p w14:paraId="6B8CD26B" w14:textId="4A4FF929" w:rsidR="00D81D54" w:rsidRPr="00D81D54" w:rsidRDefault="00D81D54" w:rsidP="005C3B2B">
            <w:pPr>
              <w:pStyle w:val="Tabletext1"/>
              <w:jc w:val="center"/>
              <w:rPr>
                <w:snapToGrid w:val="0"/>
              </w:rPr>
            </w:pPr>
            <w:r>
              <w:rPr>
                <w:snapToGrid w:val="0"/>
              </w:rPr>
              <w:t>3 stars</w:t>
            </w:r>
          </w:p>
        </w:tc>
        <w:tc>
          <w:tcPr>
            <w:tcW w:w="833" w:type="pct"/>
            <w:shd w:val="clear" w:color="auto" w:fill="auto"/>
          </w:tcPr>
          <w:p w14:paraId="587069F6" w14:textId="0E288C93" w:rsidR="00D81D54" w:rsidRPr="00D81D54" w:rsidRDefault="00D81D54" w:rsidP="005C3B2B">
            <w:pPr>
              <w:pStyle w:val="Tabletext1"/>
              <w:jc w:val="center"/>
              <w:rPr>
                <w:snapToGrid w:val="0"/>
              </w:rPr>
            </w:pPr>
            <w:r>
              <w:rPr>
                <w:snapToGrid w:val="0"/>
              </w:rPr>
              <w:t>1 star</w:t>
            </w:r>
          </w:p>
        </w:tc>
        <w:tc>
          <w:tcPr>
            <w:tcW w:w="834" w:type="pct"/>
            <w:shd w:val="clear" w:color="auto" w:fill="auto"/>
          </w:tcPr>
          <w:p w14:paraId="6B9DEA37" w14:textId="2B483003" w:rsidR="00D81D54" w:rsidRPr="00D81D54" w:rsidRDefault="00D81D54" w:rsidP="005C3B2B">
            <w:pPr>
              <w:pStyle w:val="Tabletext1"/>
              <w:jc w:val="center"/>
              <w:rPr>
                <w:snapToGrid w:val="0"/>
              </w:rPr>
            </w:pPr>
            <w:r>
              <w:rPr>
                <w:snapToGrid w:val="0"/>
              </w:rPr>
              <w:t>1 star</w:t>
            </w:r>
          </w:p>
        </w:tc>
        <w:tc>
          <w:tcPr>
            <w:tcW w:w="833" w:type="pct"/>
            <w:shd w:val="clear" w:color="auto" w:fill="auto"/>
          </w:tcPr>
          <w:p w14:paraId="242F36BE" w14:textId="18C25E94" w:rsidR="00D81D54" w:rsidRPr="00D81D54" w:rsidRDefault="00D81D54" w:rsidP="005C3B2B">
            <w:pPr>
              <w:pStyle w:val="Tabletext1"/>
              <w:jc w:val="center"/>
              <w:rPr>
                <w:snapToGrid w:val="0"/>
              </w:rPr>
            </w:pPr>
            <w:r>
              <w:rPr>
                <w:snapToGrid w:val="0"/>
              </w:rPr>
              <w:t>5 stars</w:t>
            </w:r>
          </w:p>
        </w:tc>
        <w:tc>
          <w:tcPr>
            <w:tcW w:w="833" w:type="pct"/>
            <w:shd w:val="clear" w:color="auto" w:fill="auto"/>
          </w:tcPr>
          <w:p w14:paraId="4253ED1E" w14:textId="5F1BC824" w:rsidR="00D81D54" w:rsidRPr="00D81D54" w:rsidRDefault="00D81D54" w:rsidP="005C3B2B">
            <w:pPr>
              <w:pStyle w:val="Tabletext1"/>
              <w:jc w:val="center"/>
              <w:rPr>
                <w:snapToGrid w:val="0"/>
              </w:rPr>
            </w:pPr>
            <w:r>
              <w:rPr>
                <w:snapToGrid w:val="0"/>
              </w:rPr>
              <w:t xml:space="preserve">Fair </w:t>
            </w:r>
            <w:r w:rsidR="000731CD">
              <w:rPr>
                <w:snapToGrid w:val="0"/>
              </w:rPr>
              <w:t>quality*</w:t>
            </w:r>
          </w:p>
        </w:tc>
      </w:tr>
    </w:tbl>
    <w:p w14:paraId="42577645" w14:textId="0E1C34DA" w:rsidR="000731CD" w:rsidRDefault="000731CD" w:rsidP="000731CD">
      <w:pPr>
        <w:pStyle w:val="Tablenotes0"/>
        <w:jc w:val="left"/>
      </w:pPr>
      <w:r>
        <w:t>*</w:t>
      </w:r>
      <w:r w:rsidR="00D81D54">
        <w:t>Thresholds for converting the NOS rating to AHRQ standards</w:t>
      </w:r>
      <w:r w:rsidR="005245A5">
        <w:t>:</w:t>
      </w:r>
      <w:r w:rsidR="00D81D54">
        <w:t xml:space="preserve"> </w:t>
      </w:r>
      <w:r w:rsidR="005245A5">
        <w:br/>
      </w:r>
      <w:r w:rsidR="00D81D54">
        <w:t>Good quality: 3 or 4 stars in Selection domain AND 1 or 2 stars in Comparability domain AND 2 or 3 stars in Outcome domain</w:t>
      </w:r>
      <w:r w:rsidR="00D81D54">
        <w:br/>
        <w:t>Fair quality: 2 stars in Selection domain AND 1 or 2 stars in Comparability domain AND 2 or 3 stars in Outcome domain</w:t>
      </w:r>
      <w:r w:rsidR="00D81D54">
        <w:br/>
        <w:t>Poor quality: 0 or 1 star in Selection domain OR 0 stars in Comparability domain OR 0 or 1 stars in Outcome domain</w:t>
      </w:r>
    </w:p>
    <w:p w14:paraId="797BDFCC" w14:textId="6958DA76" w:rsidR="005E18C3" w:rsidRDefault="00471F9F" w:rsidP="00471F9F">
      <w:r>
        <w:t xml:space="preserve">A </w:t>
      </w:r>
      <w:r w:rsidR="005A7365">
        <w:t xml:space="preserve">study quality </w:t>
      </w:r>
      <w:r>
        <w:t>summary</w:t>
      </w:r>
      <w:r w:rsidR="005813EA" w:rsidDel="005A7365">
        <w:t xml:space="preserve"> </w:t>
      </w:r>
      <w:r w:rsidR="005813EA">
        <w:t xml:space="preserve">for the included </w:t>
      </w:r>
      <w:r w:rsidR="004D14E9">
        <w:t>case series</w:t>
      </w:r>
      <w:r w:rsidR="005813EA">
        <w:t xml:space="preserve"> </w:t>
      </w:r>
      <w:r w:rsidR="0047474C">
        <w:t xml:space="preserve">on MR-IGRT </w:t>
      </w:r>
      <w:r w:rsidR="005813EA">
        <w:t xml:space="preserve">is shown in </w:t>
      </w:r>
      <w:r w:rsidR="00DF3D72">
        <w:fldChar w:fldCharType="begin"/>
      </w:r>
      <w:r w:rsidR="00DF3D72">
        <w:instrText xml:space="preserve"> REF _Ref55392934 \h </w:instrText>
      </w:r>
      <w:r w:rsidR="00DF3D72">
        <w:fldChar w:fldCharType="separate"/>
      </w:r>
      <w:r w:rsidR="00451350">
        <w:t xml:space="preserve">Table </w:t>
      </w:r>
      <w:r w:rsidR="00451350">
        <w:rPr>
          <w:noProof/>
        </w:rPr>
        <w:t>14</w:t>
      </w:r>
      <w:r w:rsidR="00DF3D72">
        <w:fldChar w:fldCharType="end"/>
      </w:r>
      <w:r w:rsidR="00DF3D72">
        <w:t xml:space="preserve">. </w:t>
      </w:r>
      <w:r w:rsidR="00583219">
        <w:t xml:space="preserve">Eight </w:t>
      </w:r>
      <w:r w:rsidR="004D14E9">
        <w:t>case series</w:t>
      </w:r>
      <w:r w:rsidR="00583219" w:rsidDel="005A7365">
        <w:t xml:space="preserve"> </w:t>
      </w:r>
      <w:r w:rsidR="00583219">
        <w:t>collected data</w:t>
      </w:r>
      <w:r w:rsidR="005A7365" w:rsidRPr="005A7365">
        <w:t xml:space="preserve"> </w:t>
      </w:r>
      <w:r w:rsidR="005A7365">
        <w:t>prospectively</w:t>
      </w:r>
      <w:r w:rsidR="00583219">
        <w:t>, however</w:t>
      </w:r>
      <w:r w:rsidR="005A7365">
        <w:t>,</w:t>
      </w:r>
      <w:r w:rsidR="00583219">
        <w:t xml:space="preserve"> none of the include</w:t>
      </w:r>
      <w:r w:rsidR="00C861A7">
        <w:t>d</w:t>
      </w:r>
      <w:r w:rsidR="00583219">
        <w:t xml:space="preserve"> </w:t>
      </w:r>
      <w:r w:rsidR="004D14E9">
        <w:t>case series</w:t>
      </w:r>
      <w:r w:rsidR="00583219">
        <w:t xml:space="preserve"> met all the criteria</w:t>
      </w:r>
      <w:r w:rsidR="00C861A7">
        <w:t xml:space="preserve"> on the Three-Minute Checklist</w:t>
      </w:r>
      <w:r w:rsidR="00583219">
        <w:t xml:space="preserve">. Two </w:t>
      </w:r>
      <w:r w:rsidR="00A67E1E">
        <w:t>studies met</w:t>
      </w:r>
      <w:r w:rsidR="00583219">
        <w:t xml:space="preserve"> 7/8</w:t>
      </w:r>
      <w:r w:rsidR="00A67E1E">
        <w:t xml:space="preserve"> criteria of the checklist</w:t>
      </w:r>
      <w:r w:rsidR="00583219">
        <w:t>,</w:t>
      </w:r>
      <w:r w:rsidR="00925DFC">
        <w:t xml:space="preserve"> only</w:t>
      </w:r>
      <w:r w:rsidR="00583219">
        <w:t xml:space="preserve"> lacking a specified time interval for patient recruitment. </w:t>
      </w:r>
      <w:r w:rsidR="001125F3">
        <w:t>Four</w:t>
      </w:r>
      <w:r w:rsidR="005A7365">
        <w:t xml:space="preserve"> studies were judged to meet 4/8 or 5/8 criteria, suggesting fair study quality. </w:t>
      </w:r>
      <w:r w:rsidR="00583219">
        <w:t>Five studies scored 3/8 or less</w:t>
      </w:r>
      <w:r w:rsidR="005A7365">
        <w:t>,</w:t>
      </w:r>
      <w:r w:rsidR="00583219">
        <w:t xml:space="preserve"> indicating low quality</w:t>
      </w:r>
      <w:r w:rsidR="00A67E1E">
        <w:t xml:space="preserve">. </w:t>
      </w:r>
    </w:p>
    <w:p w14:paraId="6975B123" w14:textId="77777777" w:rsidR="00211285" w:rsidRDefault="00C613A2" w:rsidP="00211285">
      <w:r>
        <w:t>T</w:t>
      </w:r>
      <w:r w:rsidR="00A55F26">
        <w:t xml:space="preserve">he quality </w:t>
      </w:r>
      <w:r>
        <w:t xml:space="preserve">assessment </w:t>
      </w:r>
      <w:r w:rsidR="00A55F26">
        <w:t xml:space="preserve">of the included studies on CBCT-IGRT was not undertaken </w:t>
      </w:r>
      <w:r>
        <w:t xml:space="preserve">since the naïve comparison is of extremely limited use for making conclusions </w:t>
      </w:r>
      <w:r w:rsidR="00C91A0E">
        <w:t>for the outcomes relevant to</w:t>
      </w:r>
      <w:r>
        <w:t xml:space="preserve"> this assessment.</w:t>
      </w:r>
      <w:bookmarkStart w:id="312" w:name="_Ref55392934"/>
      <w:bookmarkStart w:id="313" w:name="_Toc89857885"/>
    </w:p>
    <w:p w14:paraId="2DE1D1F7" w14:textId="7B11F85A" w:rsidR="005813EA" w:rsidRDefault="005813EA" w:rsidP="00211285">
      <w:pPr>
        <w:pStyle w:val="Caption"/>
        <w:keepNext/>
      </w:pPr>
      <w:r>
        <w:t xml:space="preserve">Table </w:t>
      </w:r>
      <w:r w:rsidR="00211285">
        <w:fldChar w:fldCharType="begin"/>
      </w:r>
      <w:r w:rsidR="00211285">
        <w:instrText xml:space="preserve"> SEQ Table \* ARABIC </w:instrText>
      </w:r>
      <w:r w:rsidR="00211285">
        <w:fldChar w:fldCharType="separate"/>
      </w:r>
      <w:r w:rsidR="00451350">
        <w:t>14</w:t>
      </w:r>
      <w:r w:rsidR="00211285">
        <w:fldChar w:fldCharType="end"/>
      </w:r>
      <w:bookmarkEnd w:id="312"/>
      <w:r>
        <w:tab/>
        <w:t xml:space="preserve">Assessment of the quality of the included </w:t>
      </w:r>
      <w:r w:rsidR="004D14E9">
        <w:t>case series</w:t>
      </w:r>
      <w:r>
        <w:t xml:space="preserve"> </w:t>
      </w:r>
      <w:r w:rsidR="0047474C">
        <w:t xml:space="preserve">on MR-IGRT </w:t>
      </w:r>
      <w:r>
        <w:t>using the Three-Minute Checklist</w:t>
      </w:r>
      <w:bookmarkEnd w:id="313"/>
    </w:p>
    <w:tbl>
      <w:tblPr>
        <w:tblStyle w:val="TableGrid1"/>
        <w:tblW w:w="5000" w:type="pct"/>
        <w:tblLayout w:type="fixed"/>
        <w:tblCellMar>
          <w:left w:w="28" w:type="dxa"/>
          <w:right w:w="28" w:type="dxa"/>
        </w:tblCellMar>
        <w:tblLook w:val="04A0" w:firstRow="1" w:lastRow="0" w:firstColumn="1" w:lastColumn="0" w:noHBand="0" w:noVBand="1"/>
        <w:tblCaption w:val="Table 14 Assessment of the quality of the included case series on MR-IGRT using the Three-Minute Checklist"/>
        <w:tblDescription w:val="This table provides assessment of the quality of the included case series on MR-IGRT using Three-Minute Checklist."/>
      </w:tblPr>
      <w:tblGrid>
        <w:gridCol w:w="901"/>
        <w:gridCol w:w="901"/>
        <w:gridCol w:w="901"/>
        <w:gridCol w:w="901"/>
        <w:gridCol w:w="902"/>
        <w:gridCol w:w="902"/>
        <w:gridCol w:w="902"/>
        <w:gridCol w:w="902"/>
        <w:gridCol w:w="902"/>
        <w:gridCol w:w="902"/>
      </w:tblGrid>
      <w:tr w:rsidR="00065942" w:rsidRPr="00D81D54" w14:paraId="65FC1DCF" w14:textId="762A88D5" w:rsidTr="00211285">
        <w:trPr>
          <w:cnfStyle w:val="100000000000" w:firstRow="1" w:lastRow="0" w:firstColumn="0" w:lastColumn="0" w:oddVBand="0" w:evenVBand="0" w:oddHBand="0" w:evenHBand="0" w:firstRowFirstColumn="0" w:firstRowLastColumn="0" w:lastRowFirstColumn="0" w:lastRowLastColumn="0"/>
          <w:cantSplit/>
          <w:tblHeader/>
        </w:trPr>
        <w:tc>
          <w:tcPr>
            <w:tcW w:w="500" w:type="pct"/>
            <w:shd w:val="clear" w:color="auto" w:fill="auto"/>
          </w:tcPr>
          <w:p w14:paraId="748588C4" w14:textId="1C31B282" w:rsidR="00583219" w:rsidRPr="00D81D54" w:rsidRDefault="00583219" w:rsidP="005E18C3">
            <w:pPr>
              <w:pStyle w:val="TableHeading"/>
              <w:rPr>
                <w:snapToGrid w:val="0"/>
                <w:lang w:eastAsia="en-US"/>
              </w:rPr>
            </w:pPr>
            <w:bookmarkStart w:id="314" w:name="_Hlk55460411"/>
            <w:r>
              <w:rPr>
                <w:snapToGrid w:val="0"/>
                <w:lang w:eastAsia="en-US"/>
              </w:rPr>
              <w:t>S</w:t>
            </w:r>
            <w:r w:rsidRPr="00D81D54">
              <w:rPr>
                <w:snapToGrid w:val="0"/>
                <w:lang w:eastAsia="en-US"/>
              </w:rPr>
              <w:t>tudy</w:t>
            </w:r>
          </w:p>
        </w:tc>
        <w:tc>
          <w:tcPr>
            <w:tcW w:w="500" w:type="pct"/>
            <w:shd w:val="clear" w:color="auto" w:fill="auto"/>
          </w:tcPr>
          <w:p w14:paraId="4A8D988D" w14:textId="36D5E4EF" w:rsidR="00583219" w:rsidRPr="00D81D54" w:rsidRDefault="00583219" w:rsidP="005E18C3">
            <w:pPr>
              <w:pStyle w:val="TableHeading"/>
              <w:jc w:val="center"/>
              <w:rPr>
                <w:snapToGrid w:val="0"/>
                <w:lang w:eastAsia="en-US"/>
              </w:rPr>
            </w:pPr>
            <w:r w:rsidRPr="005813EA">
              <w:t>Clear study objective/</w:t>
            </w:r>
            <w:r>
              <w:t xml:space="preserve"> </w:t>
            </w:r>
            <w:r w:rsidRPr="005813EA">
              <w:t>question</w:t>
            </w:r>
          </w:p>
        </w:tc>
        <w:tc>
          <w:tcPr>
            <w:tcW w:w="500" w:type="pct"/>
            <w:shd w:val="clear" w:color="auto" w:fill="auto"/>
          </w:tcPr>
          <w:p w14:paraId="3522298C" w14:textId="7FC7E1EF" w:rsidR="00583219" w:rsidRPr="00D81D54" w:rsidRDefault="00583219" w:rsidP="005E18C3">
            <w:pPr>
              <w:pStyle w:val="TableHeading"/>
              <w:jc w:val="center"/>
              <w:rPr>
                <w:snapToGrid w:val="0"/>
                <w:lang w:eastAsia="en-US"/>
              </w:rPr>
            </w:pPr>
            <w:r w:rsidRPr="005813EA">
              <w:t>Well defined study protocol</w:t>
            </w:r>
          </w:p>
        </w:tc>
        <w:tc>
          <w:tcPr>
            <w:tcW w:w="500" w:type="pct"/>
            <w:shd w:val="clear" w:color="auto" w:fill="auto"/>
          </w:tcPr>
          <w:p w14:paraId="0162EC54" w14:textId="40F7AE43" w:rsidR="00583219" w:rsidRPr="00D81D54" w:rsidRDefault="00583219" w:rsidP="005E18C3">
            <w:pPr>
              <w:pStyle w:val="TableHeading"/>
              <w:jc w:val="center"/>
              <w:rPr>
                <w:snapToGrid w:val="0"/>
                <w:lang w:eastAsia="en-US"/>
              </w:rPr>
            </w:pPr>
            <w:r w:rsidRPr="005813EA">
              <w:t>Explicit inclusion and exclusion criteria</w:t>
            </w:r>
          </w:p>
        </w:tc>
        <w:tc>
          <w:tcPr>
            <w:tcW w:w="500" w:type="pct"/>
            <w:shd w:val="clear" w:color="auto" w:fill="auto"/>
          </w:tcPr>
          <w:p w14:paraId="640656A3" w14:textId="7F8B7EC6" w:rsidR="00583219" w:rsidRPr="00D81D54" w:rsidRDefault="00583219" w:rsidP="005E18C3">
            <w:pPr>
              <w:pStyle w:val="TableHeading"/>
              <w:jc w:val="center"/>
              <w:rPr>
                <w:snapToGrid w:val="0"/>
                <w:lang w:eastAsia="en-US"/>
              </w:rPr>
            </w:pPr>
            <w:r w:rsidRPr="005813EA">
              <w:t>Specified time interval for patient recruitment</w:t>
            </w:r>
          </w:p>
        </w:tc>
        <w:tc>
          <w:tcPr>
            <w:tcW w:w="500" w:type="pct"/>
            <w:shd w:val="clear" w:color="auto" w:fill="auto"/>
          </w:tcPr>
          <w:p w14:paraId="6236A8F1" w14:textId="45F98E16" w:rsidR="00583219" w:rsidRPr="00D81D54" w:rsidRDefault="00583219" w:rsidP="005E18C3">
            <w:pPr>
              <w:pStyle w:val="TableHeading"/>
              <w:jc w:val="center"/>
              <w:rPr>
                <w:snapToGrid w:val="0"/>
                <w:lang w:eastAsia="en-US"/>
              </w:rPr>
            </w:pPr>
            <w:r w:rsidRPr="005813EA">
              <w:t>Consecutive patient enrolment</w:t>
            </w:r>
          </w:p>
        </w:tc>
        <w:tc>
          <w:tcPr>
            <w:tcW w:w="500" w:type="pct"/>
          </w:tcPr>
          <w:p w14:paraId="4E5A9495" w14:textId="2F055731" w:rsidR="00583219" w:rsidRDefault="00583219" w:rsidP="005E18C3">
            <w:pPr>
              <w:pStyle w:val="TableHeading"/>
              <w:jc w:val="center"/>
            </w:pPr>
            <w:r w:rsidRPr="005813EA">
              <w:t>Clinically relevant outcomes</w:t>
            </w:r>
          </w:p>
        </w:tc>
        <w:tc>
          <w:tcPr>
            <w:tcW w:w="500" w:type="pct"/>
          </w:tcPr>
          <w:p w14:paraId="327F43BA" w14:textId="55B8413F" w:rsidR="00583219" w:rsidRPr="005813EA" w:rsidRDefault="00583219" w:rsidP="005E18C3">
            <w:pPr>
              <w:pStyle w:val="TableHeading"/>
              <w:jc w:val="center"/>
            </w:pPr>
            <w:r w:rsidRPr="005813EA">
              <w:t>Prospective outcome data collection</w:t>
            </w:r>
          </w:p>
        </w:tc>
        <w:tc>
          <w:tcPr>
            <w:tcW w:w="500" w:type="pct"/>
          </w:tcPr>
          <w:p w14:paraId="44CDD67F" w14:textId="18ABF61D" w:rsidR="00583219" w:rsidRPr="005813EA" w:rsidRDefault="00583219" w:rsidP="005E18C3">
            <w:pPr>
              <w:pStyle w:val="TableHeading"/>
              <w:jc w:val="center"/>
            </w:pPr>
            <w:r w:rsidRPr="005813EA">
              <w:t>High follow-up rate</w:t>
            </w:r>
          </w:p>
        </w:tc>
        <w:tc>
          <w:tcPr>
            <w:tcW w:w="500" w:type="pct"/>
          </w:tcPr>
          <w:p w14:paraId="58D0486A" w14:textId="7F3B2D30" w:rsidR="00583219" w:rsidRPr="00C861A7" w:rsidRDefault="00C861A7" w:rsidP="005E18C3">
            <w:pPr>
              <w:pStyle w:val="TableHeading"/>
              <w:jc w:val="center"/>
              <w:rPr>
                <w:vertAlign w:val="superscript"/>
              </w:rPr>
            </w:pPr>
            <w:r>
              <w:t xml:space="preserve">Study </w:t>
            </w:r>
            <w:r w:rsidR="006B7182">
              <w:t>q</w:t>
            </w:r>
            <w:r>
              <w:t>uality</w:t>
            </w:r>
            <w:r>
              <w:rPr>
                <w:vertAlign w:val="superscript"/>
              </w:rPr>
              <w:t>a</w:t>
            </w:r>
          </w:p>
        </w:tc>
      </w:tr>
      <w:tr w:rsidR="009F0FD1" w:rsidRPr="006E373A" w14:paraId="30DC2454" w14:textId="77777777"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58CBC600" w14:textId="10C1CD84" w:rsidR="009F0FD1" w:rsidRPr="006E373A" w:rsidRDefault="00211285" w:rsidP="009F0FD1">
            <w:pPr>
              <w:pStyle w:val="Tabletext1"/>
              <w:rPr>
                <w:snapToGrid w:val="0"/>
              </w:rPr>
            </w:pPr>
            <w:hyperlink w:anchor="_ENREF_1" w:tooltip="Alongi, 2020 #13" w:history="1">
              <w:r w:rsidR="008B6FC0">
                <w:rPr>
                  <w:snapToGrid w:val="0"/>
                </w:rPr>
                <w:fldChar w:fldCharType="begin"/>
              </w:r>
              <w:r w:rsidR="008B6FC0">
                <w:rPr>
                  <w:snapToGrid w:val="0"/>
                </w:rPr>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rPr>
                  <w:snapToGrid w:val="0"/>
                </w:rPr>
                <w:fldChar w:fldCharType="separate"/>
              </w:r>
              <w:r w:rsidR="008B6FC0">
                <w:rPr>
                  <w:noProof/>
                  <w:snapToGrid w:val="0"/>
                </w:rPr>
                <w:t>Alongi et al. (2020)</w:t>
              </w:r>
              <w:r w:rsidR="008B6FC0">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C77D507" w14:textId="4BDB6DE5"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C343E04" w14:textId="3C13CAC6"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B3BFC71" w14:textId="5E56ECF0"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7503E7D" w14:textId="47CC9951"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7A072B" w14:textId="0F228202"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071DA94" w14:textId="39E24870"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ADB576E" w14:textId="3901D5FE"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BB5CD83" w14:textId="167B3AEE"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tcPr>
          <w:p w14:paraId="2899D70F" w14:textId="10908525" w:rsidR="009F0FD1" w:rsidRDefault="009F0FD1" w:rsidP="009F0FD1">
            <w:pPr>
              <w:pStyle w:val="Tabletext1"/>
              <w:jc w:val="center"/>
              <w:rPr>
                <w:snapToGrid w:val="0"/>
              </w:rPr>
            </w:pPr>
            <w:r>
              <w:rPr>
                <w:snapToGrid w:val="0"/>
              </w:rPr>
              <w:t xml:space="preserve">Fair </w:t>
            </w:r>
          </w:p>
        </w:tc>
      </w:tr>
      <w:tr w:rsidR="009F0FD1" w:rsidRPr="006E373A" w14:paraId="19D6332C" w14:textId="49770038"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42B083D4" w14:textId="75F602F6" w:rsidR="009F0FD1" w:rsidRPr="006E373A" w:rsidRDefault="00211285" w:rsidP="009F0FD1">
            <w:pPr>
              <w:pStyle w:val="Tabletext1"/>
              <w:rPr>
                <w:snapToGrid w:val="0"/>
              </w:rPr>
            </w:pPr>
            <w:hyperlink w:anchor="_ENREF_21" w:tooltip="Chen, 2018 #24" w:history="1">
              <w:r w:rsidR="008B6FC0">
                <w:rPr>
                  <w:snapToGrid w:val="0"/>
                </w:rPr>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rPr>
                  <w:snapToGrid w:val="0"/>
                </w:rPr>
                <w:instrText xml:space="preserve"> ADDIN EN.CITE </w:instrText>
              </w:r>
              <w:r w:rsidR="008B6FC0">
                <w:rPr>
                  <w:snapToGrid w:val="0"/>
                </w:rPr>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rPr>
                  <w:snapToGrid w:val="0"/>
                </w:rPr>
                <w:instrText xml:space="preserve"> ADDIN EN.CITE.DATA </w:instrText>
              </w:r>
              <w:r w:rsidR="008B6FC0">
                <w:rPr>
                  <w:snapToGrid w:val="0"/>
                </w:rPr>
              </w:r>
              <w:r w:rsidR="008B6FC0">
                <w:rPr>
                  <w:snapToGrid w:val="0"/>
                </w:rPr>
                <w:fldChar w:fldCharType="end"/>
              </w:r>
              <w:r w:rsidR="008B6FC0">
                <w:rPr>
                  <w:snapToGrid w:val="0"/>
                </w:rPr>
              </w:r>
              <w:r w:rsidR="008B6FC0">
                <w:rPr>
                  <w:snapToGrid w:val="0"/>
                </w:rPr>
                <w:fldChar w:fldCharType="separate"/>
              </w:r>
              <w:r w:rsidR="008B6FC0">
                <w:rPr>
                  <w:noProof/>
                  <w:snapToGrid w:val="0"/>
                </w:rPr>
                <w:t>Chen et al. (2018)</w:t>
              </w:r>
              <w:r w:rsidR="008B6FC0">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8BE4332" w14:textId="0E91524E"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248D37"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34A255C"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E8824F9" w14:textId="7777777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7FF232D"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1F52A19"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55CD621" w14:textId="7C45D4BC"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58F69AE"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tcPr>
          <w:p w14:paraId="75504BE4" w14:textId="1D58EC63" w:rsidR="009F0FD1" w:rsidRPr="006E373A" w:rsidRDefault="009F0FD1" w:rsidP="009F0FD1">
            <w:pPr>
              <w:pStyle w:val="Tabletext1"/>
              <w:jc w:val="center"/>
              <w:rPr>
                <w:snapToGrid w:val="0"/>
              </w:rPr>
            </w:pPr>
            <w:r>
              <w:rPr>
                <w:snapToGrid w:val="0"/>
              </w:rPr>
              <w:t xml:space="preserve">Good </w:t>
            </w:r>
          </w:p>
        </w:tc>
      </w:tr>
      <w:tr w:rsidR="009F0FD1" w:rsidRPr="006E373A" w14:paraId="74C1CAAC" w14:textId="77777777"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4956393E" w14:textId="79DC988A" w:rsidR="009F0FD1" w:rsidRPr="006E373A" w:rsidRDefault="00211285" w:rsidP="009F0FD1">
            <w:pPr>
              <w:pStyle w:val="Tabletext1"/>
              <w:rPr>
                <w:snapToGrid w:val="0"/>
              </w:rPr>
            </w:pPr>
            <w:hyperlink w:anchor="_ENREF_27" w:tooltip="Feldman, 2019 #15" w:history="1">
              <w:r w:rsidR="001F781A">
                <w:rPr>
                  <w:snapToGrid w:val="0"/>
                </w:rPr>
                <w:fldChar w:fldCharType="begin"/>
              </w:r>
              <w:r w:rsidR="001F781A">
                <w:rPr>
                  <w:snapToGrid w:val="0"/>
                </w:rPr>
                <w:instrText xml:space="preserve"> ADDIN EN.CITE &lt;EndNote&gt;&lt;Cite AuthorYear="1"&gt;&lt;Author&gt;Feldman&lt;/Author&gt;&lt;Year&gt;2019&lt;/Year&gt;&lt;RecNum&gt;15&lt;/RecNum&gt;&lt;DisplayText&gt;Feldman, Modh, Glide-Hurst, Chetty, and Movsas (2019)&lt;/DisplayText&gt;&lt;record&gt;&lt;rec-number&gt;15&lt;/rec-number&gt;&lt;foreign-keys&gt;&lt;key app="EN" db-id="sx5wsdwv795wvue959xxw0ptaewvdezxxp05" timestamp="1604454185"&gt;15&lt;/key&gt;&lt;/foreign-keys&gt;&lt;ref-type name="Journal Article"&gt;17&lt;/ref-type&gt;&lt;contributors&gt;&lt;authors&gt;&lt;author&gt;Feldman, A. M.&lt;/author&gt;&lt;author&gt;Modh, A.&lt;/author&gt;&lt;author&gt;Glide-Hurst, C.&lt;/author&gt;&lt;author&gt;Chetty, I. J.&lt;/author&gt;&lt;author&gt;Movsas, B.&lt;/author&gt;&lt;/authors&gt;&lt;/contributors&gt;&lt;titles&gt;&lt;title&gt;Real-time Magnetic Resonance-guided Liver Stereotactic Body Radiation Therapy: An Institutional Report Using a Magnetic Resonance-Linac System&lt;/title&gt;&lt;secondary-title&gt;Cureus&lt;/secondary-title&gt;&lt;/titles&gt;&lt;pages&gt;e5774&lt;/pages&gt;&lt;volume&gt;11&lt;/volume&gt;&lt;number&gt;9&lt;/number&gt;&lt;dates&gt;&lt;year&gt;2019&lt;/year&gt;&lt;/dates&gt;&lt;accession-num&gt;31723533&lt;/accession-num&gt;&lt;urls&gt;&lt;related-urls&gt;&lt;url&gt;http://ezproxy.library.usyd.edu.au/login?url=http://ovidsp.ovid.com/ovidweb.cgi?T=JS&amp;amp;CSC=Y&amp;amp;NEWS=N&amp;amp;PAGE=fulltext&amp;amp;D=prem3&amp;amp;AN=31723533https://sydney.alma.exlibrisgroup.com/openurl/61USYD_INST/61USYD_INST:sydney?sid=OVID:medline&amp;amp;id=pmid:31723533&amp;amp;id=doi:10.775&lt;/url&gt;&lt;url&gt;https://www.ncbi.nlm.nih.gov/pmc/articles/PMC6825488/pdf/cureus-0011-00000005774.pdf&lt;/url&gt;&lt;/related-urls&gt;&lt;/urls&gt;&lt;custom2&gt;single arm safety SBRT&lt;/custom2&gt;&lt;electronic-resource-num&gt;https://dx.doi.org/10.7759/cureus.5774&lt;/electronic-resource-num&gt;&lt;/record&gt;&lt;/Cite&gt;&lt;/EndNote&gt;</w:instrText>
              </w:r>
              <w:r w:rsidR="001F781A">
                <w:rPr>
                  <w:snapToGrid w:val="0"/>
                </w:rPr>
                <w:fldChar w:fldCharType="separate"/>
              </w:r>
              <w:r w:rsidR="001F781A">
                <w:rPr>
                  <w:noProof/>
                  <w:snapToGrid w:val="0"/>
                </w:rPr>
                <w:t>Feldman, Modh, Glide-Hurst, Chetty, and Movsas (2019)</w:t>
              </w:r>
              <w:r w:rsidR="001F781A">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BDED2FF" w14:textId="538F05E8"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E514172" w14:textId="30E26D2C"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E48B731" w14:textId="79830D4B"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6A8812F" w14:textId="33A1EE0F"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970AC42" w14:textId="66367A02"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28D450E" w14:textId="52F38048"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09F0534" w14:textId="628D3706"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F974A92" w14:textId="5E84DE75"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tcPr>
          <w:p w14:paraId="2A14A319" w14:textId="2A572352" w:rsidR="009F0FD1" w:rsidRDefault="009F0FD1" w:rsidP="009F0FD1">
            <w:pPr>
              <w:pStyle w:val="Tabletext1"/>
              <w:jc w:val="center"/>
              <w:rPr>
                <w:snapToGrid w:val="0"/>
              </w:rPr>
            </w:pPr>
            <w:r>
              <w:rPr>
                <w:snapToGrid w:val="0"/>
              </w:rPr>
              <w:t xml:space="preserve">Poor </w:t>
            </w:r>
          </w:p>
        </w:tc>
      </w:tr>
      <w:tr w:rsidR="009F0FD1" w:rsidRPr="006E373A" w14:paraId="2E8C1A0D" w14:textId="77777777"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681FBF69" w14:textId="1ED4EC08" w:rsidR="009F0FD1" w:rsidRPr="006E373A" w:rsidRDefault="00211285" w:rsidP="009F0FD1">
            <w:pPr>
              <w:pStyle w:val="Tabletext1"/>
              <w:rPr>
                <w:snapToGrid w:val="0"/>
              </w:rPr>
            </w:pPr>
            <w:hyperlink w:anchor="_ENREF_28" w:tooltip="Finazzi, 2020 #16" w:history="1">
              <w:r w:rsidR="001F781A">
                <w:rPr>
                  <w:snapToGrid w:val="0"/>
                </w:rPr>
                <w:fldChar w:fldCharType="begin"/>
              </w:r>
              <w:r w:rsidR="001F781A">
                <w:rPr>
                  <w:snapToGrid w:val="0"/>
                </w:rPr>
                <w:instrText xml:space="preserve"> ADDIN EN.CITE &lt;EndNote&gt;&lt;Cite AuthorYear="1"&gt;&lt;Author&gt;Finazzi&lt;/Author&gt;&lt;Year&gt;2020&lt;/Year&gt;&lt;RecNum&gt;16&lt;/RecNum&gt;&lt;DisplayText&gt;Finazzi,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1F781A">
                <w:rPr>
                  <w:snapToGrid w:val="0"/>
                </w:rPr>
                <w:fldChar w:fldCharType="separate"/>
              </w:r>
              <w:r w:rsidR="001F781A">
                <w:rPr>
                  <w:noProof/>
                  <w:snapToGrid w:val="0"/>
                </w:rPr>
                <w:t>Finazzi, Haasbeek, et al. (2020)</w:t>
              </w:r>
              <w:r w:rsidR="001F781A">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4FF172E" w14:textId="14FEBA06"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9291919" w14:textId="0B3339BF"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8B4C8AB" w14:textId="473B0564"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A833A3C" w14:textId="3E4A9F3A"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75E0224" w14:textId="4FCB3C00"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C84D9C0" w14:textId="42C9B43A"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FA256D7" w14:textId="4F13E1F2"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1EA69DE" w14:textId="48CFE8B1"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tcPr>
          <w:p w14:paraId="48EC5BD7" w14:textId="6B1E97BA" w:rsidR="009F0FD1" w:rsidRDefault="009F0FD1" w:rsidP="009F0FD1">
            <w:pPr>
              <w:pStyle w:val="Tabletext1"/>
              <w:jc w:val="center"/>
              <w:rPr>
                <w:snapToGrid w:val="0"/>
              </w:rPr>
            </w:pPr>
            <w:r>
              <w:rPr>
                <w:snapToGrid w:val="0"/>
              </w:rPr>
              <w:t xml:space="preserve">Fair </w:t>
            </w:r>
          </w:p>
        </w:tc>
      </w:tr>
      <w:tr w:rsidR="009F0FD1" w:rsidRPr="006E373A" w14:paraId="00777D28" w14:textId="77777777"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3B3DAFDE" w14:textId="696FB928" w:rsidR="009F0FD1" w:rsidRPr="006E373A" w:rsidRDefault="00211285" w:rsidP="009F0FD1">
            <w:pPr>
              <w:pStyle w:val="Tabletext1"/>
              <w:rPr>
                <w:snapToGrid w:val="0"/>
              </w:rPr>
            </w:pPr>
            <w:hyperlink w:anchor="_ENREF_29" w:tooltip="Finazzi, 2020 #17" w:history="1">
              <w:r w:rsidR="001F781A">
                <w:rPr>
                  <w:snapToGrid w:val="0"/>
                </w:rPr>
                <w:fldChar w:fldCharType="begin"/>
              </w:r>
              <w:r w:rsidR="001F781A">
                <w:rPr>
                  <w:snapToGrid w:val="0"/>
                </w:rPr>
                <w:instrText xml:space="preserve"> ADDIN EN.CITE &lt;EndNote&gt;&lt;Cite AuthorYear="1"&gt;&lt;Author&gt;Finazzi&lt;/Author&gt;&lt;Year&gt;2020&lt;/Year&gt;&lt;RecNum&gt;17&lt;/RecNum&gt;&lt;DisplayText&gt;Finazzi, van Sornsen de Koste, et al. (2020)&lt;/DisplayText&gt;&lt;record&gt;&lt;rec-number&gt;17&lt;/rec-number&gt;&lt;foreign-keys&gt;&lt;key app="EN" db-id="sx5wsdwv795wvue959xxw0ptaewvdezxxp05" timestamp="1604454186"&gt;17&lt;/key&gt;&lt;/foreign-keys&gt;&lt;ref-type name="Journal Article"&gt;17&lt;/ref-type&gt;&lt;contributors&gt;&lt;authors&gt;&lt;author&gt;Finazzi, T.&lt;/author&gt;&lt;author&gt;van Sornsen de Koste, J. R.&lt;/author&gt;&lt;author&gt;Palacios, M. A.&lt;/author&gt;&lt;author&gt;Spoelstra, F. O. B.&lt;/author&gt;&lt;author&gt;Slotman, B. J.&lt;/author&gt;&lt;author&gt;Haasbeek, C. J. A.&lt;/author&gt;&lt;author&gt;Senan, S.&lt;/author&gt;&lt;/authors&gt;&lt;/contributors&gt;&lt;titles&gt;&lt;title&gt;Delivery of magnetic resonance-guided single-fraction stereotactic lung radiotherapy&lt;/title&gt;&lt;secondary-title&gt;Physics and Imaging in Radiation Oncology&lt;/secondary-title&gt;&lt;/titles&gt;&lt;pages&gt;17-23&lt;/pages&gt;&lt;volume&gt;14&lt;/volume&gt;&lt;dates&gt;&lt;year&gt;2020&lt;/year&gt;&lt;/dates&gt;&lt;accession-num&gt;2005948675&lt;/accession-num&gt;&lt;urls&gt;&lt;related-urls&gt;&lt;url&gt;https://www.journals.elsevier.com/physics-and-imaging-in-radiation-oncology/http://ezproxy.library.usyd.edu.au/login?url=http://ovidsp.ovid.com/ovidweb.cgi?T=JS&amp;amp;CSC=Y&amp;amp;NEWS=N&amp;amp;PAGE=fulltext&amp;amp;D=emexb&amp;amp;AN=2005948675https://sydney.alma.exlibrisgroup.com/openurl/&lt;/url&gt;&lt;/related-urls&gt;&lt;/urls&gt;&lt;custom2&gt;single arm safety SBRT&lt;/custom2&gt;&lt;electronic-resource-num&gt;http://dx.doi.org/10.1016/j.phro.2020.05.002&lt;/electronic-resource-num&gt;&lt;/record&gt;&lt;/Cite&gt;&lt;/EndNote&gt;</w:instrText>
              </w:r>
              <w:r w:rsidR="001F781A">
                <w:rPr>
                  <w:snapToGrid w:val="0"/>
                </w:rPr>
                <w:fldChar w:fldCharType="separate"/>
              </w:r>
              <w:r w:rsidR="001F781A">
                <w:rPr>
                  <w:noProof/>
                  <w:snapToGrid w:val="0"/>
                </w:rPr>
                <w:t>Finazzi, van Sornsen de Koste, et al. (2020)</w:t>
              </w:r>
              <w:r w:rsidR="001F781A">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890B310" w14:textId="63A88F28"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232375D" w14:textId="5488E7C4"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B82E0BA" w14:textId="23303C2C"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6F3EF73" w14:textId="0C81220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735EB3D" w14:textId="5103294E"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A8E628A" w14:textId="0154691C"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367511A" w14:textId="1E510D7F"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D9F2DC8" w14:textId="267F8F11"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tcPr>
          <w:p w14:paraId="0EAC3B9C" w14:textId="06A03A8F" w:rsidR="009F0FD1" w:rsidRDefault="009F0FD1" w:rsidP="009F0FD1">
            <w:pPr>
              <w:pStyle w:val="Tabletext1"/>
              <w:jc w:val="center"/>
              <w:rPr>
                <w:snapToGrid w:val="0"/>
              </w:rPr>
            </w:pPr>
            <w:r>
              <w:rPr>
                <w:snapToGrid w:val="0"/>
              </w:rPr>
              <w:t xml:space="preserve">Poor </w:t>
            </w:r>
          </w:p>
        </w:tc>
      </w:tr>
      <w:tr w:rsidR="009F0FD1" w:rsidRPr="006E373A" w14:paraId="7DCE825C" w14:textId="247C6B15"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4975D54F" w14:textId="7E1F33F4" w:rsidR="009F0FD1" w:rsidRPr="006E373A" w:rsidRDefault="00211285" w:rsidP="009F0FD1">
            <w:pPr>
              <w:pStyle w:val="Tabletext1"/>
              <w:rPr>
                <w:snapToGrid w:val="0"/>
              </w:rPr>
            </w:pPr>
            <w:hyperlink w:anchor="_ENREF_37" w:tooltip="Henke, 2018 #18" w:history="1">
              <w:r w:rsidR="008B6FC0">
                <w:rPr>
                  <w:snapToGrid w:val="0"/>
                </w:rPr>
                <w:fldChar w:fldCharType="begin"/>
              </w:r>
              <w:r w:rsidR="008B6FC0">
                <w:rPr>
                  <w:snapToGrid w:val="0"/>
                </w:rPr>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rPr>
                  <w:snapToGrid w:val="0"/>
                </w:rPr>
                <w:fldChar w:fldCharType="separate"/>
              </w:r>
              <w:r w:rsidR="008B6FC0">
                <w:rPr>
                  <w:noProof/>
                  <w:snapToGrid w:val="0"/>
                </w:rPr>
                <w:t>Henke et al. (2018)</w:t>
              </w:r>
              <w:r w:rsidR="008B6FC0">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88505A0" w14:textId="62EBA51F"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235A15E"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E7C6F9C"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6D2930F" w14:textId="7777777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76062B2" w14:textId="7777777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7B6FBA4"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E0862B" w14:textId="4D76896E"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D87CCF5" w14:textId="77777777"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tcPr>
          <w:p w14:paraId="5424C4D7" w14:textId="77715699" w:rsidR="009F0FD1" w:rsidRPr="006E373A" w:rsidRDefault="009F0FD1" w:rsidP="009F0FD1">
            <w:pPr>
              <w:pStyle w:val="Tabletext1"/>
              <w:jc w:val="center"/>
              <w:rPr>
                <w:snapToGrid w:val="0"/>
              </w:rPr>
            </w:pPr>
            <w:r>
              <w:rPr>
                <w:snapToGrid w:val="0"/>
              </w:rPr>
              <w:t xml:space="preserve">Good </w:t>
            </w:r>
          </w:p>
        </w:tc>
      </w:tr>
      <w:tr w:rsidR="009F0FD1" w:rsidRPr="006E373A" w14:paraId="74F3DD16" w14:textId="77777777"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00D60D6A" w14:textId="0E192496" w:rsidR="009F0FD1" w:rsidRPr="006E373A" w:rsidRDefault="00211285" w:rsidP="009F0FD1">
            <w:pPr>
              <w:pStyle w:val="Tabletext1"/>
              <w:rPr>
                <w:snapToGrid w:val="0"/>
              </w:rPr>
            </w:pPr>
            <w:hyperlink w:anchor="_ENREF_48" w:tooltip="Kluter, 2020 #20" w:history="1">
              <w:r w:rsidR="008B6FC0">
                <w:rPr>
                  <w:snapToGrid w:val="0"/>
                </w:rPr>
                <w:fldChar w:fldCharType="begin"/>
              </w:r>
              <w:r w:rsidR="008B6FC0">
                <w:rPr>
                  <w:snapToGrid w:val="0"/>
                </w:rPr>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rPr>
                  <w:snapToGrid w:val="0"/>
                </w:rPr>
                <w:fldChar w:fldCharType="separate"/>
              </w:r>
              <w:r w:rsidR="008B6FC0">
                <w:rPr>
                  <w:noProof/>
                  <w:snapToGrid w:val="0"/>
                </w:rPr>
                <w:t>Kluter et al. (2020)</w:t>
              </w:r>
              <w:r w:rsidR="008B6FC0">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ECD52BB" w14:textId="7EC715F5"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5EBA4C2" w14:textId="36A2531D"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C1C56C5" w14:textId="0C5B43CC"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6398CCF" w14:textId="2444AECB"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8DBBD19" w14:textId="79F278BC"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0F24CCA" w14:textId="660EC014"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A7899A7" w14:textId="5EEB9BCD"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FAB8552" w14:textId="0FC4EDD4" w:rsidR="009F0FD1"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tcPr>
          <w:p w14:paraId="62265E13" w14:textId="10E49624" w:rsidR="009F0FD1" w:rsidRDefault="009F0FD1" w:rsidP="009F0FD1">
            <w:pPr>
              <w:pStyle w:val="Tabletext1"/>
              <w:jc w:val="center"/>
              <w:rPr>
                <w:snapToGrid w:val="0"/>
              </w:rPr>
            </w:pPr>
            <w:r>
              <w:rPr>
                <w:snapToGrid w:val="0"/>
              </w:rPr>
              <w:t xml:space="preserve">Fair </w:t>
            </w:r>
          </w:p>
        </w:tc>
      </w:tr>
      <w:tr w:rsidR="009F0FD1" w:rsidRPr="006E373A" w14:paraId="38B583AE" w14:textId="5DA82E99"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0C7E9730" w14:textId="759D353A" w:rsidR="009F0FD1" w:rsidRPr="006E373A" w:rsidRDefault="00211285" w:rsidP="009F0FD1">
            <w:pPr>
              <w:pStyle w:val="Tabletext1"/>
              <w:rPr>
                <w:snapToGrid w:val="0"/>
              </w:rPr>
            </w:pPr>
            <w:hyperlink w:anchor="_ENREF_60" w:tooltip="Rosenberg, 2019 #25" w:history="1">
              <w:r w:rsidR="008B6FC0">
                <w:rPr>
                  <w:snapToGrid w:val="0"/>
                </w:rPr>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rPr>
                  <w:snapToGrid w:val="0"/>
                </w:rPr>
                <w:instrText xml:space="preserve"> ADDIN EN.CITE </w:instrText>
              </w:r>
              <w:r w:rsidR="008B6FC0">
                <w:rPr>
                  <w:snapToGrid w:val="0"/>
                </w:rPr>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rPr>
                  <w:snapToGrid w:val="0"/>
                </w:rPr>
                <w:instrText xml:space="preserve"> ADDIN EN.CITE.DATA </w:instrText>
              </w:r>
              <w:r w:rsidR="008B6FC0">
                <w:rPr>
                  <w:snapToGrid w:val="0"/>
                </w:rPr>
              </w:r>
              <w:r w:rsidR="008B6FC0">
                <w:rPr>
                  <w:snapToGrid w:val="0"/>
                </w:rPr>
                <w:fldChar w:fldCharType="end"/>
              </w:r>
              <w:r w:rsidR="008B6FC0">
                <w:rPr>
                  <w:snapToGrid w:val="0"/>
                </w:rPr>
              </w:r>
              <w:r w:rsidR="008B6FC0">
                <w:rPr>
                  <w:snapToGrid w:val="0"/>
                </w:rPr>
                <w:fldChar w:fldCharType="separate"/>
              </w:r>
              <w:r w:rsidR="008B6FC0">
                <w:rPr>
                  <w:noProof/>
                  <w:snapToGrid w:val="0"/>
                </w:rPr>
                <w:t>Rosenberg et al. (2019)</w:t>
              </w:r>
              <w:r w:rsidR="008B6FC0">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F7ABAD1" w14:textId="4FE40A38"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25DCE79" w14:textId="7A68F349"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3C6DD2F" w14:textId="274A3BC5"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F203D20" w14:textId="65E3BEF8"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2D5C195" w14:textId="6D22181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D701325" w14:textId="50032F0E"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F9B5E1E" w14:textId="2530F9F0"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676700C" w14:textId="62F13B76"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tcPr>
          <w:p w14:paraId="18107E79" w14:textId="5B82FE73" w:rsidR="009F0FD1" w:rsidRPr="006E373A" w:rsidRDefault="009F0FD1" w:rsidP="009F0FD1">
            <w:pPr>
              <w:pStyle w:val="Tabletext1"/>
              <w:jc w:val="center"/>
              <w:rPr>
                <w:snapToGrid w:val="0"/>
              </w:rPr>
            </w:pPr>
            <w:r>
              <w:rPr>
                <w:snapToGrid w:val="0"/>
              </w:rPr>
              <w:t>Fair</w:t>
            </w:r>
            <w:r w:rsidRPr="004D1564">
              <w:rPr>
                <w:snapToGrid w:val="0"/>
              </w:rPr>
              <w:t xml:space="preserve"> </w:t>
            </w:r>
          </w:p>
        </w:tc>
      </w:tr>
      <w:tr w:rsidR="009F0FD1" w:rsidRPr="006E373A" w14:paraId="1D95B270" w14:textId="4BD0A818"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268985DA" w14:textId="2B0FEEC1" w:rsidR="009F0FD1" w:rsidRPr="006E373A" w:rsidRDefault="00211285" w:rsidP="009F0FD1">
            <w:pPr>
              <w:pStyle w:val="Tabletext1"/>
              <w:rPr>
                <w:snapToGrid w:val="0"/>
              </w:rPr>
            </w:pPr>
            <w:hyperlink w:anchor="_ENREF_61" w:tooltip="Rudra, 2019 #22" w:history="1">
              <w:r w:rsidR="008B6FC0">
                <w:rPr>
                  <w:snapToGrid w:val="0"/>
                </w:rPr>
                <w:fldChar w:fldCharType="begin"/>
              </w:r>
              <w:r w:rsidR="008B6FC0">
                <w:rPr>
                  <w:snapToGrid w:val="0"/>
                </w:rPr>
                <w:instrText xml:space="preserve"> ADDIN EN.CITE &lt;EndNote&gt;&lt;Cite AuthorYear="1"&gt;&lt;Author&gt;Rudra&lt;/Author&gt;&lt;Year&gt;2019&lt;/Year&gt;&lt;RecNum&gt;22&lt;/RecNum&gt;&lt;DisplayText&gt;Rudra et al. (2019)&lt;/DisplayText&gt;&lt;record&gt;&lt;rec-number&gt;22&lt;/rec-number&gt;&lt;foreign-keys&gt;&lt;key app="EN" db-id="sx5wsdwv795wvue959xxw0ptaewvdezxxp05" timestamp="1604454187"&gt;22&lt;/key&gt;&lt;/foreign-keys&gt;&lt;ref-type name="Journal Article"&gt;17&lt;/ref-type&gt;&lt;contributors&gt;&lt;authors&gt;&lt;author&gt;Rudra, S.&lt;/author&gt;&lt;author&gt;Jiang, N.&lt;/author&gt;&lt;author&gt;Rosenberg, S. A.&lt;/author&gt;&lt;author&gt;Olsen, J. R.&lt;/author&gt;&lt;author&gt;Roach, M. C.&lt;/author&gt;&lt;author&gt;Wan, L.&lt;/author&gt;&lt;author&gt;Portelance, L.&lt;/author&gt;&lt;author&gt;Mellon, E. A.&lt;/author&gt;&lt;author&gt;Bruynzeel, A.&lt;/author&gt;&lt;author&gt;Lagerwaard, F.&lt;/author&gt;&lt;author&gt;Bassetti, M. F.&lt;/author&gt;&lt;author&gt;Parikh, P. J.&lt;/author&gt;&lt;author&gt;Lee, P. P.&lt;/author&gt;&lt;/authors&gt;&lt;/contributors&gt;&lt;titles&gt;&lt;title&gt;Using adaptive magnetic resonance image-guided radiation therapy for treatment of inoperable pancreatic cancer&lt;/title&gt;&lt;secondary-title&gt;Cancer Med&lt;/secondary-title&gt;&lt;/titles&gt;&lt;pages&gt;2123-2132&lt;/pages&gt;&lt;volume&gt;8&lt;/volume&gt;&lt;number&gt;5&lt;/number&gt;&lt;dates&gt;&lt;year&gt;2019&lt;/year&gt;&lt;/dates&gt;&lt;accession-num&gt;30932367&lt;/accession-num&gt;&lt;urls&gt;&lt;related-urls&gt;&lt;url&gt;http://ezproxy.library.usyd.edu.au/login?url=http://ovidsp.ovid.com/ovidweb.cgi?T=JS&amp;amp;CSC=Y&amp;amp;NEWS=N&amp;amp;PAGE=fulltext&amp;amp;D=medl&amp;amp;AN=30932367https://sydney.alma.exlibrisgroup.com/openurl/61USYD_INST/61USYD_INST:sydney?sid=OVID:medline&amp;amp;id=pmid:30932367&amp;amp;id=doi:10.1002&lt;/url&gt;&lt;url&gt;https://www.ncbi.nlm.nih.gov/pmc/articles/PMC6536981/pdf/CAM4-8-2123.pdf&lt;/url&gt;&lt;/related-urls&gt;&lt;/urls&gt;&lt;custom2&gt;Include- Single Arm, Safety&lt;/custom2&gt;&lt;electronic-resource-num&gt;https://dx.doi.org/10.1002/cam4.2100&lt;/electronic-resource-num&gt;&lt;/record&gt;&lt;/Cite&gt;&lt;/EndNote&gt;</w:instrText>
              </w:r>
              <w:r w:rsidR="008B6FC0">
                <w:rPr>
                  <w:snapToGrid w:val="0"/>
                </w:rPr>
                <w:fldChar w:fldCharType="separate"/>
              </w:r>
              <w:r w:rsidR="008B6FC0">
                <w:rPr>
                  <w:noProof/>
                  <w:snapToGrid w:val="0"/>
                </w:rPr>
                <w:t>Rudra et al. (2019)</w:t>
              </w:r>
              <w:r w:rsidR="008B6FC0">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4E0B54B" w14:textId="7E55E525"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B97C175" w14:textId="4044AC62"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7E57CB8" w14:textId="259613D4"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9EE892B" w14:textId="098378E5"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F1106CB" w14:textId="13C1AA9B"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B3E8139" w14:textId="07BAC5BE"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7F03BA1" w14:textId="2340BDCD"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62C53BF" w14:textId="05BE28A9"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tcPr>
          <w:p w14:paraId="1ECD8D24" w14:textId="6B2A7DEF" w:rsidR="009F0FD1" w:rsidRPr="006E373A" w:rsidRDefault="009F0FD1" w:rsidP="009F0FD1">
            <w:pPr>
              <w:pStyle w:val="Tabletext1"/>
              <w:jc w:val="center"/>
              <w:rPr>
                <w:snapToGrid w:val="0"/>
              </w:rPr>
            </w:pPr>
            <w:r>
              <w:rPr>
                <w:snapToGrid w:val="0"/>
              </w:rPr>
              <w:t xml:space="preserve">Poor </w:t>
            </w:r>
          </w:p>
        </w:tc>
      </w:tr>
      <w:tr w:rsidR="009F0FD1" w:rsidRPr="006E373A" w14:paraId="0A448FF7" w14:textId="4EAC718C"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12EB2378" w14:textId="1D471F2F" w:rsidR="009F0FD1" w:rsidRPr="006E373A" w:rsidRDefault="00211285" w:rsidP="009F0FD1">
            <w:pPr>
              <w:pStyle w:val="Tabletext1"/>
              <w:rPr>
                <w:snapToGrid w:val="0"/>
              </w:rPr>
            </w:pPr>
            <w:hyperlink w:anchor="_ENREF_70" w:tooltip="Tetar, 2018 #26" w:history="1">
              <w:r w:rsidR="001F781A">
                <w:rPr>
                  <w:snapToGrid w:val="0"/>
                </w:rPr>
                <w:fldChar w:fldCharType="begin"/>
              </w:r>
              <w:r w:rsidR="001F781A">
                <w:rPr>
                  <w:snapToGrid w:val="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rPr>
                  <w:snapToGrid w:val="0"/>
                </w:rPr>
                <w:fldChar w:fldCharType="separate"/>
              </w:r>
              <w:r w:rsidR="001F781A">
                <w:rPr>
                  <w:noProof/>
                  <w:snapToGrid w:val="0"/>
                </w:rPr>
                <w:t>S. Tetar et al. (2018)</w:t>
              </w:r>
              <w:r w:rsidR="001F781A">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BC6F95" w14:textId="4485AF18"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511A1CA" w14:textId="579AF3B9"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078831F" w14:textId="6E84EF66"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A4B13B5" w14:textId="7CE10B2C"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D3FB941" w14:textId="60767F35"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0B2DCCA" w14:textId="3CFB0792"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8CCF3B2" w14:textId="055E346C" w:rsidR="009F0FD1" w:rsidRPr="006E373A" w:rsidRDefault="009F0FD1" w:rsidP="009F0FD1">
            <w:pPr>
              <w:pStyle w:val="Tabletext1"/>
              <w:jc w:val="center"/>
              <w:rPr>
                <w:snapToGrid w:val="0"/>
              </w:rPr>
            </w:pPr>
            <w:r w:rsidRPr="006E373A">
              <w:rPr>
                <w:snapToGrid w:val="0"/>
              </w:rPr>
              <w:t>Yes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9ADC3FD" w14:textId="0A0DD88C" w:rsidR="009F0FD1" w:rsidRPr="006E373A" w:rsidRDefault="009F0FD1" w:rsidP="009F0FD1">
            <w:pPr>
              <w:pStyle w:val="Tabletext1"/>
              <w:jc w:val="center"/>
              <w:rPr>
                <w:snapToGrid w:val="0"/>
              </w:rPr>
            </w:pPr>
            <w:r>
              <w:rPr>
                <w:snapToGrid w:val="0"/>
              </w:rPr>
              <w:t>Unclear</w:t>
            </w:r>
          </w:p>
        </w:tc>
        <w:tc>
          <w:tcPr>
            <w:tcW w:w="500" w:type="pct"/>
            <w:tcBorders>
              <w:top w:val="single" w:sz="4" w:space="0" w:color="auto"/>
              <w:left w:val="single" w:sz="4" w:space="0" w:color="auto"/>
              <w:bottom w:val="single" w:sz="4" w:space="0" w:color="auto"/>
              <w:right w:val="single" w:sz="4" w:space="0" w:color="auto"/>
            </w:tcBorders>
          </w:tcPr>
          <w:p w14:paraId="488CEF09" w14:textId="50392702" w:rsidR="009F0FD1" w:rsidRPr="006E373A" w:rsidRDefault="009F0FD1" w:rsidP="009F0FD1">
            <w:pPr>
              <w:pStyle w:val="Tabletext1"/>
              <w:jc w:val="center"/>
              <w:rPr>
                <w:snapToGrid w:val="0"/>
              </w:rPr>
            </w:pPr>
            <w:r>
              <w:rPr>
                <w:snapToGrid w:val="0"/>
              </w:rPr>
              <w:t>Poor</w:t>
            </w:r>
            <w:r w:rsidRPr="004D1564">
              <w:rPr>
                <w:snapToGrid w:val="0"/>
              </w:rPr>
              <w:t xml:space="preserve"> </w:t>
            </w:r>
          </w:p>
        </w:tc>
      </w:tr>
      <w:tr w:rsidR="009F0FD1" w:rsidRPr="006E373A" w14:paraId="60AB621E" w14:textId="61BB0AAD" w:rsidTr="00211285">
        <w:trPr>
          <w:cantSplit/>
        </w:trPr>
        <w:tc>
          <w:tcPr>
            <w:tcW w:w="500" w:type="pct"/>
            <w:tcBorders>
              <w:top w:val="single" w:sz="4" w:space="0" w:color="auto"/>
              <w:left w:val="single" w:sz="4" w:space="0" w:color="auto"/>
              <w:bottom w:val="single" w:sz="4" w:space="0" w:color="auto"/>
              <w:right w:val="single" w:sz="4" w:space="0" w:color="auto"/>
            </w:tcBorders>
            <w:shd w:val="clear" w:color="auto" w:fill="auto"/>
          </w:tcPr>
          <w:p w14:paraId="03539C0C" w14:textId="4C8402F9" w:rsidR="009F0FD1" w:rsidRPr="006E373A" w:rsidRDefault="00211285" w:rsidP="009F0FD1">
            <w:pPr>
              <w:pStyle w:val="Tabletext1"/>
              <w:rPr>
                <w:snapToGrid w:val="0"/>
              </w:rPr>
            </w:pPr>
            <w:hyperlink w:anchor="_ENREF_71" w:tooltip="Tetar, 2019 #23" w:history="1">
              <w:r w:rsidR="001F781A">
                <w:rPr>
                  <w:snapToGrid w:val="0"/>
                </w:rPr>
                <w:fldChar w:fldCharType="begin"/>
              </w:r>
              <w:r w:rsidR="001F781A">
                <w:rPr>
                  <w:snapToGrid w:val="0"/>
                </w:rPr>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1F781A">
                <w:rPr>
                  <w:snapToGrid w:val="0"/>
                </w:rPr>
                <w:fldChar w:fldCharType="separate"/>
              </w:r>
              <w:r w:rsidR="001F781A">
                <w:rPr>
                  <w:noProof/>
                  <w:snapToGrid w:val="0"/>
                </w:rPr>
                <w:t>S. U. Tetar et al. (2019)</w:t>
              </w:r>
              <w:r w:rsidR="001F781A">
                <w:rPr>
                  <w:snapToGrid w:val="0"/>
                </w:rPr>
                <w:fldChar w:fldCharType="end"/>
              </w:r>
            </w:hyperlink>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9963D5E" w14:textId="59BC6FDC"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BD2427" w14:textId="7777777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A20D751" w14:textId="2D1C3E8A"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8F10E85" w14:textId="7777777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2C70B30" w14:textId="7777777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905087B" w14:textId="2F97F206"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1231A92" w14:textId="732CAB5D" w:rsidR="009F0FD1" w:rsidRPr="006E373A" w:rsidRDefault="009F0FD1" w:rsidP="009F0FD1">
            <w:pPr>
              <w:pStyle w:val="Tabletext1"/>
              <w:jc w:val="center"/>
              <w:rPr>
                <w:snapToGrid w:val="0"/>
              </w:rPr>
            </w:pPr>
            <w:r w:rsidRPr="006E373A">
              <w:rPr>
                <w:snapToGrid w:val="0"/>
              </w:rPr>
              <w:t>No</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ABF1C3F" w14:textId="77777777" w:rsidR="009F0FD1" w:rsidRPr="006E373A" w:rsidRDefault="009F0FD1" w:rsidP="009F0FD1">
            <w:pPr>
              <w:pStyle w:val="Tabletext1"/>
              <w:jc w:val="center"/>
              <w:rPr>
                <w:snapToGrid w:val="0"/>
              </w:rPr>
            </w:pPr>
            <w:r w:rsidRPr="006E373A">
              <w:rPr>
                <w:snapToGrid w:val="0"/>
              </w:rPr>
              <w:t>Unclear</w:t>
            </w:r>
          </w:p>
        </w:tc>
        <w:tc>
          <w:tcPr>
            <w:tcW w:w="500" w:type="pct"/>
            <w:tcBorders>
              <w:top w:val="single" w:sz="4" w:space="0" w:color="auto"/>
              <w:left w:val="single" w:sz="4" w:space="0" w:color="auto"/>
              <w:bottom w:val="single" w:sz="4" w:space="0" w:color="auto"/>
              <w:right w:val="single" w:sz="4" w:space="0" w:color="auto"/>
            </w:tcBorders>
          </w:tcPr>
          <w:p w14:paraId="5F9589F4" w14:textId="4ACC6465" w:rsidR="009F0FD1" w:rsidRPr="006E373A" w:rsidRDefault="009F0FD1" w:rsidP="009F0FD1">
            <w:pPr>
              <w:pStyle w:val="Tabletext1"/>
              <w:jc w:val="center"/>
              <w:rPr>
                <w:snapToGrid w:val="0"/>
              </w:rPr>
            </w:pPr>
            <w:r>
              <w:rPr>
                <w:snapToGrid w:val="0"/>
              </w:rPr>
              <w:t xml:space="preserve">Poor </w:t>
            </w:r>
          </w:p>
        </w:tc>
      </w:tr>
    </w:tbl>
    <w:bookmarkEnd w:id="314"/>
    <w:p w14:paraId="0A616178" w14:textId="77777777" w:rsidR="00211285" w:rsidRDefault="00C861A7" w:rsidP="00211285">
      <w:pPr>
        <w:pStyle w:val="Tablenotes0"/>
        <w:jc w:val="left"/>
      </w:pPr>
      <w:r w:rsidRPr="00CC59D2">
        <w:rPr>
          <w:vertAlign w:val="superscript"/>
        </w:rPr>
        <w:t>a</w:t>
      </w:r>
      <w:r w:rsidR="005E18C3">
        <w:rPr>
          <w:vertAlign w:val="superscript"/>
        </w:rPr>
        <w:t xml:space="preserve"> </w:t>
      </w:r>
      <w:r w:rsidR="00CC59D2">
        <w:t xml:space="preserve">The Three-Minute Checklist conversion to quality (developed for this assessment): </w:t>
      </w:r>
      <w:r w:rsidR="00CC59D2">
        <w:br/>
        <w:t>Good quality: at least 6 of 8 criteria met</w:t>
      </w:r>
      <w:r w:rsidR="0032309D">
        <w:t xml:space="preserve">; </w:t>
      </w:r>
      <w:r w:rsidR="00CC59D2">
        <w:t>Fair quality: 4 or 5 criteria met</w:t>
      </w:r>
      <w:r w:rsidR="0032309D">
        <w:t xml:space="preserve">; </w:t>
      </w:r>
      <w:r w:rsidR="00CC59D2">
        <w:t>Poor quality: 3 or less criteria met</w:t>
      </w:r>
      <w:bookmarkStart w:id="315" w:name="_Ref56004371"/>
      <w:bookmarkStart w:id="316" w:name="_Toc59018774"/>
      <w:bookmarkStart w:id="317" w:name="_Toc59020318"/>
      <w:bookmarkStart w:id="318" w:name="_Toc59439540"/>
      <w:bookmarkStart w:id="319" w:name="_Toc89857812"/>
      <w:bookmarkEnd w:id="309"/>
    </w:p>
    <w:p w14:paraId="4E29DB6B" w14:textId="54E50086" w:rsidR="008D77C9" w:rsidRPr="00183E4D" w:rsidRDefault="008D77C9" w:rsidP="00211285">
      <w:pPr>
        <w:pStyle w:val="Heading2"/>
        <w:numPr>
          <w:ilvl w:val="1"/>
          <w:numId w:val="9"/>
        </w:numPr>
      </w:pPr>
      <w:r w:rsidRPr="00183E4D">
        <w:t>Characteristics of the Evidence Base</w:t>
      </w:r>
      <w:bookmarkEnd w:id="315"/>
      <w:bookmarkEnd w:id="316"/>
      <w:bookmarkEnd w:id="317"/>
      <w:bookmarkEnd w:id="318"/>
      <w:bookmarkEnd w:id="319"/>
    </w:p>
    <w:p w14:paraId="0A3418D9" w14:textId="205DBC35" w:rsidR="00CC59D2" w:rsidRDefault="007E502B" w:rsidP="00CC59D2">
      <w:r>
        <w:t xml:space="preserve">No randomised controlled trials comparing MR-IGRT with CBCT-IGRT were identified in the literature search. </w:t>
      </w:r>
    </w:p>
    <w:p w14:paraId="4D37245D" w14:textId="0D6099CF" w:rsidR="00C80120" w:rsidRDefault="007E502B" w:rsidP="00C80120">
      <w:r>
        <w:t xml:space="preserve">One comparative retrospective cohort study </w:t>
      </w:r>
      <w:r w:rsidR="000C77B0">
        <w:fldChar w:fldCharType="begin"/>
      </w:r>
      <w:r w:rsidR="001F781A">
        <w:instrText xml:space="preserve"> ADDIN EN.CITE &lt;EndNote&gt;&lt;Cite&gt;&lt;Author&gt;Kim&lt;/Author&gt;&lt;Year&gt;2018&lt;/Year&gt;&lt;RecNum&gt;19&lt;/RecNum&gt;&lt;DisplayText&gt;(E.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0C77B0">
        <w:fldChar w:fldCharType="separate"/>
      </w:r>
      <w:r w:rsidR="001F781A">
        <w:rPr>
          <w:noProof/>
        </w:rPr>
        <w:t>(</w:t>
      </w:r>
      <w:hyperlink w:anchor="_ENREF_46" w:tooltip="Kim, 2018 #19" w:history="1">
        <w:r w:rsidR="001F781A">
          <w:rPr>
            <w:noProof/>
          </w:rPr>
          <w:t>E. Kim et al., 2018</w:t>
        </w:r>
      </w:hyperlink>
      <w:r w:rsidR="001F781A">
        <w:rPr>
          <w:noProof/>
        </w:rPr>
        <w:t>)</w:t>
      </w:r>
      <w:r w:rsidR="000C77B0">
        <w:fldChar w:fldCharType="end"/>
      </w:r>
      <w:r>
        <w:t>, and 1</w:t>
      </w:r>
      <w:r w:rsidR="001125F3">
        <w:t>1</w:t>
      </w:r>
      <w:r>
        <w:t xml:space="preserve"> </w:t>
      </w:r>
      <w:r w:rsidR="004D14E9">
        <w:t>case series</w:t>
      </w:r>
      <w:r>
        <w:t xml:space="preserve"> reports </w:t>
      </w:r>
      <w:r w:rsidR="000C77B0">
        <w:fldChar w:fldCharType="begin">
          <w:fldData xml:space="preserve">PEVuZE5vdGU+PENpdGU+PEF1dGhvcj5BbG9uZ2k8L0F1dGhvcj48WWVhcj4yMDIwPC9ZZWFyPjxS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</w:fldData>
        </w:fldChar>
      </w:r>
      <w:r w:rsidR="000C77B0">
        <w:instrText xml:space="preserve"> ADDIN EN.CITE </w:instrText>
      </w:r>
      <w:r w:rsidR="000C77B0">
        <w:fldChar w:fldCharType="begin">
          <w:fldData xml:space="preserve">PEVuZE5vdGU+PENpdGU+PEF1dGhvcj5BbG9uZ2k8L0F1dGhvcj48WWVhcj4yMDIwPC9ZZWFyPjxS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</w:fldData>
        </w:fldChar>
      </w:r>
      <w:r w:rsidR="000C77B0">
        <w:instrText xml:space="preserve"> ADDIN EN.CITE.DATA </w:instrText>
      </w:r>
      <w:r w:rsidR="000C77B0">
        <w:fldChar w:fldCharType="end"/>
      </w:r>
      <w:r w:rsidR="000C77B0">
        <w:fldChar w:fldCharType="separate"/>
      </w:r>
      <w:r w:rsidR="000C77B0">
        <w:rPr>
          <w:noProof/>
        </w:rPr>
        <w:t>(</w:t>
      </w:r>
      <w:hyperlink w:anchor="_ENREF_1" w:tooltip="Alongi, 2020 #13" w:history="1">
        <w:r w:rsidR="008B6FC0">
          <w:rPr>
            <w:noProof/>
          </w:rPr>
          <w:t>Alongi et al., 2020</w:t>
        </w:r>
      </w:hyperlink>
      <w:r w:rsidR="000C77B0">
        <w:rPr>
          <w:noProof/>
        </w:rPr>
        <w:t xml:space="preserve">; </w:t>
      </w:r>
      <w:hyperlink w:anchor="_ENREF_21" w:tooltip="Chen, 2018 #24" w:history="1">
        <w:r w:rsidR="008B6FC0">
          <w:rPr>
            <w:noProof/>
          </w:rPr>
          <w:t>Chen et al., 2018</w:t>
        </w:r>
      </w:hyperlink>
      <w:r w:rsidR="000C77B0">
        <w:rPr>
          <w:noProof/>
        </w:rPr>
        <w:t xml:space="preserve">; </w:t>
      </w:r>
      <w:hyperlink w:anchor="_ENREF_27" w:tooltip="Feldman, 2019 #15" w:history="1">
        <w:r w:rsidR="008B6FC0">
          <w:rPr>
            <w:noProof/>
          </w:rPr>
          <w:t>Feldman et al., 2019</w:t>
        </w:r>
      </w:hyperlink>
      <w:r w:rsidR="000C77B0">
        <w:rPr>
          <w:noProof/>
        </w:rPr>
        <w:t xml:space="preserve">; </w:t>
      </w:r>
      <w:hyperlink w:anchor="_ENREF_28" w:tooltip="Finazzi, 2020 #16" w:history="1">
        <w:r w:rsidR="008B6FC0">
          <w:rPr>
            <w:noProof/>
          </w:rPr>
          <w:t>Finazzi</w:t>
        </w:r>
        <w:r w:rsidR="001F781A">
          <w:rPr>
            <w:noProof/>
          </w:rPr>
          <w:t>, Haasbeek,</w:t>
        </w:r>
        <w:r w:rsidR="008B6FC0">
          <w:rPr>
            <w:noProof/>
          </w:rPr>
          <w:t xml:space="preserve"> et al., </w:t>
        </w:r>
        <w:r w:rsidR="001F781A">
          <w:rPr>
            <w:noProof/>
          </w:rPr>
          <w:t>2020</w:t>
        </w:r>
      </w:hyperlink>
      <w:r w:rsidR="000C77B0">
        <w:rPr>
          <w:noProof/>
        </w:rPr>
        <w:t xml:space="preserve">; </w:t>
      </w:r>
      <w:hyperlink w:anchor="_ENREF_29" w:tooltip="Finazzi, 2020 #17" w:history="1">
        <w:r w:rsidR="008B6FC0">
          <w:rPr>
            <w:noProof/>
          </w:rPr>
          <w:t>Finazzi</w:t>
        </w:r>
        <w:r w:rsidR="001F781A">
          <w:rPr>
            <w:noProof/>
          </w:rPr>
          <w:t>, van Sornsen de Koste,</w:t>
        </w:r>
        <w:r w:rsidR="008B6FC0">
          <w:rPr>
            <w:noProof/>
          </w:rPr>
          <w:t xml:space="preserve"> et al., </w:t>
        </w:r>
        <w:r w:rsidR="001F781A">
          <w:rPr>
            <w:noProof/>
          </w:rPr>
          <w:t>2020</w:t>
        </w:r>
      </w:hyperlink>
      <w:r w:rsidR="000C77B0">
        <w:rPr>
          <w:noProof/>
        </w:rPr>
        <w:t xml:space="preserve">; </w:t>
      </w:r>
      <w:hyperlink w:anchor="_ENREF_37" w:tooltip="Henke, 2018 #18" w:history="1">
        <w:r w:rsidR="008B6FC0">
          <w:rPr>
            <w:noProof/>
          </w:rPr>
          <w:t>Henke et al., 2018</w:t>
        </w:r>
      </w:hyperlink>
      <w:r w:rsidR="000C77B0">
        <w:rPr>
          <w:noProof/>
        </w:rPr>
        <w:t xml:space="preserve">; </w:t>
      </w:r>
      <w:hyperlink w:anchor="_ENREF_48" w:tooltip="Kluter, 2020 #20" w:history="1">
        <w:r w:rsidR="008B6FC0">
          <w:rPr>
            <w:noProof/>
          </w:rPr>
          <w:t>Kluter et al., 2020</w:t>
        </w:r>
      </w:hyperlink>
      <w:r w:rsidR="000C77B0">
        <w:rPr>
          <w:noProof/>
        </w:rPr>
        <w:t xml:space="preserve">; </w:t>
      </w:r>
      <w:hyperlink w:anchor="_ENREF_60" w:tooltip="Rosenberg, 2019 #25" w:history="1">
        <w:r w:rsidR="008B6FC0">
          <w:rPr>
            <w:noProof/>
          </w:rPr>
          <w:t>Rosenberg et al., 2019</w:t>
        </w:r>
      </w:hyperlink>
      <w:r w:rsidR="000C77B0">
        <w:rPr>
          <w:noProof/>
        </w:rPr>
        <w:t xml:space="preserve">; </w:t>
      </w:r>
      <w:hyperlink w:anchor="_ENREF_61" w:tooltip="Rudra, 2019 #22" w:history="1">
        <w:r w:rsidR="008B6FC0">
          <w:rPr>
            <w:noProof/>
          </w:rPr>
          <w:t>Rudra et al., 2019</w:t>
        </w:r>
      </w:hyperlink>
      <w:r w:rsidR="000C77B0">
        <w:rPr>
          <w:noProof/>
        </w:rPr>
        <w:t xml:space="preserve">; </w:t>
      </w:r>
      <w:hyperlink w:anchor="_ENREF_70" w:tooltip="Tetar, 2018 #26" w:history="1">
        <w:r w:rsidR="001F781A">
          <w:rPr>
            <w:noProof/>
          </w:rPr>
          <w:t xml:space="preserve">S. </w:t>
        </w:r>
        <w:r w:rsidR="008B6FC0">
          <w:rPr>
            <w:noProof/>
          </w:rPr>
          <w:t>Tetar et al., 2018</w:t>
        </w:r>
      </w:hyperlink>
      <w:r w:rsidR="000C77B0">
        <w:rPr>
          <w:noProof/>
        </w:rPr>
        <w:t xml:space="preserve">; </w:t>
      </w:r>
      <w:hyperlink w:anchor="_ENREF_71" w:tooltip="Tetar, 2019 #23" w:history="1">
        <w:r w:rsidR="001F781A">
          <w:rPr>
            <w:noProof/>
          </w:rPr>
          <w:t xml:space="preserve">S. U. </w:t>
        </w:r>
        <w:r w:rsidR="008B6FC0">
          <w:rPr>
            <w:noProof/>
          </w:rPr>
          <w:t>Tetar et al., 2019</w:t>
        </w:r>
      </w:hyperlink>
      <w:r w:rsidR="000C77B0">
        <w:rPr>
          <w:noProof/>
        </w:rPr>
        <w:t>)</w:t>
      </w:r>
      <w:r w:rsidR="000C77B0">
        <w:fldChar w:fldCharType="end"/>
      </w:r>
      <w:r w:rsidR="00C80120">
        <w:t xml:space="preserve"> </w:t>
      </w:r>
      <w:r>
        <w:t>were included in the assessment of MR-IGRT</w:t>
      </w:r>
      <w:r w:rsidR="00C80120">
        <w:t xml:space="preserve">. </w:t>
      </w:r>
      <w:r w:rsidR="008D77C9" w:rsidRPr="00C80120">
        <w:t xml:space="preserve">See </w:t>
      </w:r>
      <w:r w:rsidR="008D77C9" w:rsidRPr="00D975CD">
        <w:t>Appendix C</w:t>
      </w:r>
      <w:r w:rsidR="008D77C9" w:rsidRPr="00183E4D">
        <w:t xml:space="preserve"> for details on the individual studies included in the evidence base.</w:t>
      </w:r>
      <w:r w:rsidR="00DB3295" w:rsidRPr="00183E4D">
        <w:t xml:space="preserve"> A summary is provided </w:t>
      </w:r>
      <w:r w:rsidR="00B337FA">
        <w:t xml:space="preserve">in </w:t>
      </w:r>
      <w:r w:rsidR="00B337FA" w:rsidRPr="00C80120">
        <w:fldChar w:fldCharType="begin"/>
      </w:r>
      <w:r w:rsidR="00B337FA" w:rsidRPr="00C80120">
        <w:instrText xml:space="preserve"> REF _Ref399236533 \h </w:instrText>
      </w:r>
      <w:r w:rsidR="00C80120">
        <w:instrText xml:space="preserve"> \* MERGEFORMAT </w:instrText>
      </w:r>
      <w:r w:rsidR="00B337FA" w:rsidRPr="00C80120">
        <w:fldChar w:fldCharType="separate"/>
      </w:r>
      <w:r w:rsidR="00451350" w:rsidRPr="005963A4">
        <w:t xml:space="preserve">Table </w:t>
      </w:r>
      <w:r w:rsidR="00451350">
        <w:rPr>
          <w:noProof/>
        </w:rPr>
        <w:t>15</w:t>
      </w:r>
      <w:r w:rsidR="00B337FA" w:rsidRPr="00C80120">
        <w:fldChar w:fldCharType="end"/>
      </w:r>
      <w:r w:rsidR="00EC02A4">
        <w:t>.</w:t>
      </w:r>
      <w:r w:rsidR="00EA09F9">
        <w:t xml:space="preserve"> </w:t>
      </w:r>
      <w:r w:rsidR="00E86441">
        <w:t xml:space="preserve">MR-IGRT was administered using </w:t>
      </w:r>
      <w:r w:rsidR="00E86441" w:rsidRPr="00E86441">
        <w:t xml:space="preserve">the </w:t>
      </w:r>
      <w:r w:rsidR="0073261C">
        <w:t xml:space="preserve">ViewRay system (either the older technology with </w:t>
      </w:r>
      <w:r w:rsidR="00E86441" w:rsidRPr="00E86441">
        <w:t>tri-</w:t>
      </w:r>
      <w:r w:rsidR="00E86441" w:rsidRPr="00E86441">
        <w:rPr>
          <w:vertAlign w:val="superscript"/>
        </w:rPr>
        <w:t>60</w:t>
      </w:r>
      <w:r w:rsidR="00E86441" w:rsidRPr="00E86441">
        <w:t xml:space="preserve">Co </w:t>
      </w:r>
      <w:r w:rsidR="00E86441">
        <w:t>source</w:t>
      </w:r>
      <w:r w:rsidR="0073261C">
        <w:t xml:space="preserve"> or the newer MR-linac)</w:t>
      </w:r>
      <w:r w:rsidR="00E86441">
        <w:t xml:space="preserve"> </w:t>
      </w:r>
      <w:r w:rsidR="005A7365">
        <w:t xml:space="preserve">in all included studies </w:t>
      </w:r>
      <w:r w:rsidR="00E86441">
        <w:t>except</w:t>
      </w:r>
      <w:r w:rsidR="005A7365">
        <w:t xml:space="preserve"> for</w:t>
      </w:r>
      <w:r w:rsidR="00E86441">
        <w:t xml:space="preserve"> </w:t>
      </w:r>
      <w:r w:rsidR="00EC02A4">
        <w:t>one</w:t>
      </w:r>
      <w:r w:rsidR="005A7365">
        <w:t>,</w:t>
      </w:r>
      <w:r w:rsidR="00E86441">
        <w:t xml:space="preserve"> in which patients were treated with </w:t>
      </w:r>
      <w:r w:rsidR="005A7365">
        <w:t xml:space="preserve">Elekta </w:t>
      </w:r>
      <w:r w:rsidR="00E86441">
        <w:t xml:space="preserve">Unity MR-linac </w:t>
      </w:r>
      <w:r w:rsidR="000C77B0">
        <w:fldChar w:fldCharType="begin"/>
      </w:r>
      <w:r w:rsidR="000C77B0">
        <w:instrText xml:space="preserve"> ADDIN EN.CITE &lt;EndNote&gt;&lt;Cite&gt;&lt;Author&gt;Alongi&lt;/Author&gt;&lt;Year&gt;2020&lt;/Year&gt;&lt;RecNum&gt;13&lt;/RecNum&gt;&lt;DisplayText&gt;(Alongi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0C77B0">
        <w:fldChar w:fldCharType="separate"/>
      </w:r>
      <w:r w:rsidR="000C77B0">
        <w:rPr>
          <w:noProof/>
        </w:rPr>
        <w:t>(</w:t>
      </w:r>
      <w:hyperlink w:anchor="_ENREF_1" w:tooltip="Alongi, 2020 #13" w:history="1">
        <w:r w:rsidR="008B6FC0">
          <w:rPr>
            <w:noProof/>
          </w:rPr>
          <w:t>Alongi et al., 2020</w:t>
        </w:r>
      </w:hyperlink>
      <w:r w:rsidR="000C77B0">
        <w:rPr>
          <w:noProof/>
        </w:rPr>
        <w:t>)</w:t>
      </w:r>
      <w:r w:rsidR="000C77B0">
        <w:fldChar w:fldCharType="end"/>
      </w:r>
      <w:r w:rsidR="00E86441">
        <w:t>.</w:t>
      </w:r>
      <w:r w:rsidR="00D704F0">
        <w:t xml:space="preserve"> </w:t>
      </w:r>
      <w:r w:rsidR="000D1C56">
        <w:t xml:space="preserve">In the Ratified PICO, the PASC considered that the available MR-linac technologies were not interchangeable and differed in field and beam strength; and that the differences in MRI field strength would have implications for image resolution and acquisition times. The </w:t>
      </w:r>
      <w:r w:rsidR="008F4472">
        <w:t>Applicant</w:t>
      </w:r>
      <w:r w:rsidR="000D1C56">
        <w:t xml:space="preserve"> as well as t</w:t>
      </w:r>
      <w:r w:rsidR="00D704F0">
        <w:t xml:space="preserve">he ACPSEM </w:t>
      </w:r>
      <w:r w:rsidR="000D1C56">
        <w:t>considered</w:t>
      </w:r>
      <w:r w:rsidR="00D704F0">
        <w:t xml:space="preserve"> that while the beam characteristics of the tri-</w:t>
      </w:r>
      <w:r w:rsidR="00D704F0" w:rsidRPr="000D1C56">
        <w:rPr>
          <w:vertAlign w:val="superscript"/>
        </w:rPr>
        <w:t>60</w:t>
      </w:r>
      <w:r w:rsidR="00D704F0">
        <w:t xml:space="preserve">Co device differed from </w:t>
      </w:r>
      <w:r w:rsidR="007F7201">
        <w:t>an</w:t>
      </w:r>
      <w:r w:rsidR="00D704F0">
        <w:t xml:space="preserve"> MR-linac, the results of these studies were probably a good indicator of what MR imaging and EBRT could achieve. </w:t>
      </w:r>
    </w:p>
    <w:p w14:paraId="4E4FB1BF" w14:textId="4DB3504E" w:rsidR="00E964A4" w:rsidRDefault="005A7365" w:rsidP="00C80120">
      <w:r>
        <w:t>P</w:t>
      </w:r>
      <w:r w:rsidR="00E964A4">
        <w:t>atients</w:t>
      </w:r>
      <w:r>
        <w:t xml:space="preserve"> in </w:t>
      </w:r>
      <w:r w:rsidR="00925A87">
        <w:t xml:space="preserve">the comparative cohort study </w:t>
      </w:r>
      <w:r w:rsidR="000C77B0">
        <w:fldChar w:fldCharType="begin"/>
      </w:r>
      <w:r w:rsidR="001F781A">
        <w:instrText xml:space="preserve"> ADDIN EN.CITE &lt;EndNote&gt;&lt;Cite&gt;&lt;Author&gt;Kim&lt;/Author&gt;&lt;Year&gt;2018&lt;/Year&gt;&lt;RecNum&gt;19&lt;/RecNum&gt;&lt;DisplayText&gt;(E.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0C77B0">
        <w:fldChar w:fldCharType="separate"/>
      </w:r>
      <w:r w:rsidR="001F781A">
        <w:rPr>
          <w:noProof/>
        </w:rPr>
        <w:t>(</w:t>
      </w:r>
      <w:hyperlink w:anchor="_ENREF_46" w:tooltip="Kim, 2018 #19" w:history="1">
        <w:r w:rsidR="001F781A">
          <w:rPr>
            <w:noProof/>
          </w:rPr>
          <w:t>E. Kim et al., 2018</w:t>
        </w:r>
      </w:hyperlink>
      <w:r w:rsidR="001F781A">
        <w:rPr>
          <w:noProof/>
        </w:rPr>
        <w:t>)</w:t>
      </w:r>
      <w:r w:rsidR="000C77B0">
        <w:fldChar w:fldCharType="end"/>
      </w:r>
      <w:r w:rsidR="00925A87">
        <w:t xml:space="preserve"> and in </w:t>
      </w:r>
      <w:r w:rsidR="003E59C3">
        <w:t xml:space="preserve">eight </w:t>
      </w:r>
      <w:r>
        <w:t xml:space="preserve">of the </w:t>
      </w:r>
      <w:r w:rsidR="002A3DF1">
        <w:t>1</w:t>
      </w:r>
      <w:r w:rsidR="00215D40">
        <w:t>1</w:t>
      </w:r>
      <w:r w:rsidR="002A3DF1">
        <w:t xml:space="preserve"> </w:t>
      </w:r>
      <w:r>
        <w:t>case series</w:t>
      </w:r>
      <w:r w:rsidR="00E964A4">
        <w:t xml:space="preserve"> included in the evidence base were treated with the SBRT technique. Two studies included patients with various techniques </w:t>
      </w:r>
      <w:r w:rsidR="000C77B0">
        <w:fldChar w:fldCharType="begin">
          <w:fldData xml:space="preserve">PEVuZE5vdGU+PENpdGU+PEF1dGhvcj5LbHV0ZXI8L0F1dGhvcj48WWVhcj4yMDIwPC9ZZWFyPjxS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</w:fldData>
        </w:fldChar>
      </w:r>
      <w:r w:rsidR="000C77B0">
        <w:instrText xml:space="preserve"> ADDIN EN.CITE </w:instrText>
      </w:r>
      <w:r w:rsidR="000C77B0">
        <w:fldChar w:fldCharType="begin">
          <w:fldData xml:space="preserve">PEVuZE5vdGU+PENpdGU+PEF1dGhvcj5LbHV0ZXI8L0F1dGhvcj48WWVhcj4yMDIwPC9ZZWFyPjxS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</w:fldData>
        </w:fldChar>
      </w:r>
      <w:r w:rsidR="000C77B0">
        <w:instrText xml:space="preserve"> ADDIN EN.CITE.DATA </w:instrText>
      </w:r>
      <w:r w:rsidR="000C77B0">
        <w:fldChar w:fldCharType="end"/>
      </w:r>
      <w:r w:rsidR="000C77B0">
        <w:fldChar w:fldCharType="separate"/>
      </w:r>
      <w:r w:rsidR="000C77B0">
        <w:rPr>
          <w:noProof/>
        </w:rPr>
        <w:t>(</w:t>
      </w:r>
      <w:hyperlink w:anchor="_ENREF_48" w:tooltip="Kluter, 2020 #20" w:history="1">
        <w:r w:rsidR="008B6FC0">
          <w:rPr>
            <w:noProof/>
          </w:rPr>
          <w:t>Kluter et al., 2020</w:t>
        </w:r>
      </w:hyperlink>
      <w:r w:rsidR="000C77B0">
        <w:rPr>
          <w:noProof/>
        </w:rPr>
        <w:t xml:space="preserve">; </w:t>
      </w:r>
      <w:hyperlink w:anchor="_ENREF_61" w:tooltip="Rudra, 2019 #22" w:history="1">
        <w:r w:rsidR="008B6FC0">
          <w:rPr>
            <w:noProof/>
          </w:rPr>
          <w:t>Rudra et al., 2019</w:t>
        </w:r>
      </w:hyperlink>
      <w:r w:rsidR="000C77B0">
        <w:rPr>
          <w:noProof/>
        </w:rPr>
        <w:t>)</w:t>
      </w:r>
      <w:r w:rsidR="000C77B0">
        <w:fldChar w:fldCharType="end"/>
      </w:r>
      <w:r>
        <w:t>,</w:t>
      </w:r>
      <w:r w:rsidR="00E964A4">
        <w:t xml:space="preserve"> and </w:t>
      </w:r>
      <w:r>
        <w:t xml:space="preserve">IMRT technique was used </w:t>
      </w:r>
      <w:r w:rsidR="00E964A4">
        <w:t xml:space="preserve">in one </w:t>
      </w:r>
      <w:r>
        <w:t>study</w:t>
      </w:r>
      <w:r w:rsidR="00E964A4" w:rsidDel="005A7365">
        <w:t xml:space="preserve"> </w:t>
      </w:r>
      <w:r w:rsidR="000C77B0">
        <w:fldChar w:fldCharType="begin">
          <w:fldData xml:space="preserve">PEVuZE5vdGU+PENpdGU+PEF1dGhvcj5DaGVuPC9BdXRob3I+PFllYXI+MjAxODwvWWVhcj48UmVj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</w:fldData>
        </w:fldChar>
      </w:r>
      <w:r w:rsidR="000C77B0">
        <w:instrText xml:space="preserve"> ADDIN EN.CITE </w:instrText>
      </w:r>
      <w:r w:rsidR="000C77B0">
        <w:fldChar w:fldCharType="begin">
          <w:fldData xml:space="preserve">PEVuZE5vdGU+PENpdGU+PEF1dGhvcj5DaGVuPC9BdXRob3I+PFllYXI+MjAxODwvWWVhcj48UmVj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</w:fldData>
        </w:fldChar>
      </w:r>
      <w:r w:rsidR="000C77B0">
        <w:instrText xml:space="preserve"> ADDIN EN.CITE.DATA </w:instrText>
      </w:r>
      <w:r w:rsidR="000C77B0">
        <w:fldChar w:fldCharType="end"/>
      </w:r>
      <w:r w:rsidR="000C77B0">
        <w:fldChar w:fldCharType="separate"/>
      </w:r>
      <w:r w:rsidR="000C77B0">
        <w:rPr>
          <w:noProof/>
        </w:rPr>
        <w:t>(</w:t>
      </w:r>
      <w:hyperlink w:anchor="_ENREF_21" w:tooltip="Chen, 2018 #24" w:history="1">
        <w:r w:rsidR="008B6FC0">
          <w:rPr>
            <w:noProof/>
          </w:rPr>
          <w:t>Chen et al., 2018</w:t>
        </w:r>
      </w:hyperlink>
      <w:r w:rsidR="000C77B0">
        <w:rPr>
          <w:noProof/>
        </w:rPr>
        <w:t>)</w:t>
      </w:r>
      <w:r w:rsidR="000C77B0">
        <w:fldChar w:fldCharType="end"/>
      </w:r>
      <w:r w:rsidR="00E964A4">
        <w:t xml:space="preserve">. </w:t>
      </w:r>
    </w:p>
    <w:p w14:paraId="4DB9E8B2" w14:textId="731C8FE8" w:rsidR="00884F6E" w:rsidRDefault="00C80120" w:rsidP="00C80120">
      <w:r>
        <w:t xml:space="preserve">The retrospective cohort study </w:t>
      </w:r>
      <w:r w:rsidR="00E964A4">
        <w:t xml:space="preserve">by </w:t>
      </w: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E964A4">
        <w:t xml:space="preserve"> </w:t>
      </w:r>
      <w:r w:rsidR="00884F6E">
        <w:t xml:space="preserve">has limited contribution to the overall evidence </w:t>
      </w:r>
      <w:r w:rsidR="00E964A4">
        <w:t xml:space="preserve">base </w:t>
      </w:r>
      <w:r w:rsidR="00884F6E">
        <w:t xml:space="preserve">as the study only reported on lung density changes as a predictive parameter for radiation induced lung damage (RILD) following </w:t>
      </w:r>
      <w:r w:rsidR="005A7365">
        <w:t xml:space="preserve">SBRT </w:t>
      </w:r>
      <w:r w:rsidR="00884F6E">
        <w:t>treatment for lung cancer using MR-IGRT</w:t>
      </w:r>
      <w:r w:rsidR="001804B5">
        <w:t xml:space="preserve"> or CBCT-IGRT</w:t>
      </w:r>
      <w:r w:rsidR="00884F6E">
        <w:t xml:space="preserve">. </w:t>
      </w:r>
      <w:r w:rsidR="006C7E7E">
        <w:t>The</w:t>
      </w:r>
      <w:r w:rsidR="00884F6E">
        <w:t xml:space="preserve"> study</w:t>
      </w:r>
      <w:r w:rsidR="006C7E7E">
        <w:t xml:space="preserve"> also reported on dose-volumetric parameters</w:t>
      </w:r>
      <w:r w:rsidR="00884F6E">
        <w:t xml:space="preserve">. </w:t>
      </w:r>
    </w:p>
    <w:p w14:paraId="516F4D84" w14:textId="130970C7" w:rsidR="005C3A65" w:rsidRDefault="005C3A65" w:rsidP="00C80120">
      <w:r>
        <w:t xml:space="preserve">Dosimetric outcomes were reported in </w:t>
      </w:r>
      <w:r w:rsidR="006C7E7E">
        <w:t xml:space="preserve">four </w:t>
      </w:r>
      <w:r>
        <w:t xml:space="preserve">studies </w:t>
      </w:r>
      <w:r w:rsidR="000C77B0">
        <w:fldChar w:fldCharType="begin">
          <w:fldData xml:space="preserve">PEVuZE5vdGU+PENpdGU+PEF1dGhvcj5XaW5rZWw8L0F1dGhvcj48WWVhcj4yMDE4PC9ZZWFyPjxS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</w:fldData>
        </w:fldChar>
      </w:r>
      <w:r w:rsidR="000C77B0">
        <w:instrText xml:space="preserve"> ADDIN EN.CITE </w:instrText>
      </w:r>
      <w:r w:rsidR="000C77B0">
        <w:fldChar w:fldCharType="begin">
          <w:fldData xml:space="preserve">PEVuZE5vdGU+PENpdGU+PEF1dGhvcj5XaW5rZWw8L0F1dGhvcj48WWVhcj4yMDE4PC9ZZWFyPjxS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</w:fldData>
        </w:fldChar>
      </w:r>
      <w:r w:rsidR="000C77B0">
        <w:instrText xml:space="preserve"> ADDIN EN.CITE.DATA </w:instrText>
      </w:r>
      <w:r w:rsidR="000C77B0">
        <w:fldChar w:fldCharType="end"/>
      </w:r>
      <w:r w:rsidR="000C77B0">
        <w:fldChar w:fldCharType="separate"/>
      </w:r>
      <w:r w:rsidR="000C77B0">
        <w:rPr>
          <w:noProof/>
        </w:rPr>
        <w:t>(</w:t>
      </w:r>
      <w:hyperlink w:anchor="_ENREF_46" w:tooltip="Kim, 2018 #19" w:history="1">
        <w:r w:rsidR="001F781A">
          <w:rPr>
            <w:noProof/>
          </w:rPr>
          <w:t xml:space="preserve">E. </w:t>
        </w:r>
        <w:r w:rsidR="008B6FC0">
          <w:rPr>
            <w:noProof/>
          </w:rPr>
          <w:t>Kim et al., 2018</w:t>
        </w:r>
      </w:hyperlink>
      <w:r w:rsidR="000C77B0">
        <w:rPr>
          <w:noProof/>
        </w:rPr>
        <w:t xml:space="preserve">; </w:t>
      </w:r>
      <w:hyperlink w:anchor="_ENREF_77" w:tooltip="van de Schoot, 2019 #85" w:history="1">
        <w:r w:rsidR="008B6FC0">
          <w:rPr>
            <w:noProof/>
          </w:rPr>
          <w:t>van de Schoot et al., 2019</w:t>
        </w:r>
      </w:hyperlink>
      <w:r w:rsidR="000C77B0">
        <w:rPr>
          <w:noProof/>
        </w:rPr>
        <w:t xml:space="preserve">; </w:t>
      </w:r>
      <w:hyperlink w:anchor="_ENREF_83" w:tooltip="Winkel, 2020 #91" w:history="1">
        <w:r w:rsidR="008B6FC0">
          <w:rPr>
            <w:noProof/>
          </w:rPr>
          <w:t>Winkel et al., 2020</w:t>
        </w:r>
      </w:hyperlink>
      <w:r w:rsidR="000C77B0">
        <w:rPr>
          <w:noProof/>
        </w:rPr>
        <w:t xml:space="preserve">; </w:t>
      </w:r>
      <w:hyperlink w:anchor="_ENREF_84" w:tooltip="Winkel, 2018 #82" w:history="1">
        <w:r w:rsidR="008B6FC0">
          <w:rPr>
            <w:noProof/>
          </w:rPr>
          <w:t>Winkel et al., 2018</w:t>
        </w:r>
      </w:hyperlink>
      <w:r w:rsidR="000C77B0">
        <w:rPr>
          <w:noProof/>
        </w:rPr>
        <w:t>)</w:t>
      </w:r>
      <w:r w:rsidR="000C77B0">
        <w:fldChar w:fldCharType="end"/>
      </w:r>
      <w:r w:rsidR="007D5971">
        <w:t>.</w:t>
      </w:r>
    </w:p>
    <w:p w14:paraId="686508CC" w14:textId="50706E6D" w:rsidR="00DB3295" w:rsidRDefault="00DB3295" w:rsidP="00C82CED">
      <w:pPr>
        <w:pStyle w:val="Caption"/>
        <w:rPr>
          <w:snapToGrid w:val="0"/>
          <w:lang w:eastAsia="en-US"/>
        </w:rPr>
      </w:pPr>
      <w:bookmarkStart w:id="320" w:name="_Ref399236533"/>
      <w:bookmarkStart w:id="321" w:name="_Toc89857886"/>
      <w:r w:rsidRPr="005963A4">
        <w:t xml:space="preserve">Table </w:t>
      </w:r>
      <w:r w:rsidR="00211285">
        <w:fldChar w:fldCharType="begin"/>
      </w:r>
      <w:r w:rsidR="00211285">
        <w:instrText xml:space="preserve"> SEQ Table \* ARABIC </w:instrText>
      </w:r>
      <w:r w:rsidR="00211285">
        <w:fldChar w:fldCharType="separate"/>
      </w:r>
      <w:r w:rsidR="00451350">
        <w:rPr>
          <w:noProof/>
        </w:rPr>
        <w:t>15</w:t>
      </w:r>
      <w:r w:rsidR="00211285">
        <w:rPr>
          <w:noProof/>
        </w:rPr>
        <w:fldChar w:fldCharType="end"/>
      </w:r>
      <w:bookmarkEnd w:id="320"/>
      <w:r w:rsidRPr="005963A4">
        <w:tab/>
      </w:r>
      <w:r w:rsidRPr="005963A4">
        <w:rPr>
          <w:snapToGrid w:val="0"/>
          <w:lang w:eastAsia="en-US"/>
        </w:rPr>
        <w:t>Key features of the included evidence</w:t>
      </w:r>
      <w:r w:rsidR="00E16BE4" w:rsidRPr="005963A4">
        <w:rPr>
          <w:snapToGrid w:val="0"/>
          <w:lang w:eastAsia="en-US"/>
        </w:rPr>
        <w:t xml:space="preserve"> </w:t>
      </w:r>
      <w:r w:rsidR="005963A4">
        <w:rPr>
          <w:snapToGrid w:val="0"/>
          <w:lang w:eastAsia="en-US"/>
        </w:rPr>
        <w:t>on MR-IGRT</w:t>
      </w:r>
      <w:bookmarkEnd w:id="321"/>
    </w:p>
    <w:tbl>
      <w:tblPr>
        <w:tblStyle w:val="TableGrid1"/>
        <w:tblW w:w="5000" w:type="pct"/>
        <w:tblCellMar>
          <w:left w:w="28" w:type="dxa"/>
          <w:right w:w="28" w:type="dxa"/>
        </w:tblCellMar>
        <w:tblLook w:val="04A0" w:firstRow="1" w:lastRow="0" w:firstColumn="1" w:lastColumn="0" w:noHBand="0" w:noVBand="1"/>
        <w:tblCaption w:val="Table 15 Key features of the included evidence on MR-IGRT"/>
        <w:tblDescription w:val="This table provides key features of the included evidence on MR-IGRT."/>
      </w:tblPr>
      <w:tblGrid>
        <w:gridCol w:w="1276"/>
        <w:gridCol w:w="698"/>
        <w:gridCol w:w="1542"/>
        <w:gridCol w:w="1032"/>
        <w:gridCol w:w="1791"/>
        <w:gridCol w:w="1316"/>
        <w:gridCol w:w="1361"/>
      </w:tblGrid>
      <w:tr w:rsidR="007C2672" w:rsidRPr="00CE45B9" w14:paraId="408B1DF3" w14:textId="77777777" w:rsidTr="009F0FD1">
        <w:trPr>
          <w:cnfStyle w:val="100000000000" w:firstRow="1" w:lastRow="0" w:firstColumn="0" w:lastColumn="0" w:oddVBand="0" w:evenVBand="0" w:oddHBand="0" w:evenHBand="0" w:firstRowFirstColumn="0" w:firstRowLastColumn="0" w:lastRowFirstColumn="0" w:lastRowLastColumn="0"/>
          <w:cantSplit/>
          <w:tblHeader/>
        </w:trPr>
        <w:tc>
          <w:tcPr>
            <w:tcW w:w="708" w:type="pct"/>
            <w:shd w:val="clear" w:color="auto" w:fill="auto"/>
            <w:vAlign w:val="center"/>
          </w:tcPr>
          <w:p w14:paraId="22C257E9" w14:textId="1F01C288" w:rsidR="007C2672" w:rsidRPr="00FD468F" w:rsidRDefault="007C2672" w:rsidP="00C82CED">
            <w:pPr>
              <w:pStyle w:val="Tabletext1"/>
              <w:keepNext/>
              <w:rPr>
                <w:snapToGrid w:val="0"/>
                <w:lang w:eastAsia="en-US"/>
              </w:rPr>
            </w:pPr>
            <w:r w:rsidRPr="005C3A65">
              <w:rPr>
                <w:b/>
                <w:snapToGrid w:val="0"/>
                <w:lang w:eastAsia="en-US"/>
              </w:rPr>
              <w:t>Study</w:t>
            </w:r>
          </w:p>
        </w:tc>
        <w:tc>
          <w:tcPr>
            <w:tcW w:w="387" w:type="pct"/>
            <w:shd w:val="clear" w:color="auto" w:fill="auto"/>
            <w:vAlign w:val="center"/>
          </w:tcPr>
          <w:p w14:paraId="3B8361D9" w14:textId="77777777" w:rsidR="007C2672" w:rsidRPr="00FD468F" w:rsidRDefault="007C2672" w:rsidP="00C6168E">
            <w:pPr>
              <w:pStyle w:val="Tabletext1"/>
              <w:keepNext/>
              <w:jc w:val="center"/>
              <w:rPr>
                <w:snapToGrid w:val="0"/>
                <w:lang w:eastAsia="en-US"/>
              </w:rPr>
            </w:pPr>
            <w:r w:rsidRPr="005C3A65">
              <w:rPr>
                <w:b/>
                <w:snapToGrid w:val="0"/>
                <w:lang w:eastAsia="en-US"/>
              </w:rPr>
              <w:t>N</w:t>
            </w:r>
          </w:p>
        </w:tc>
        <w:tc>
          <w:tcPr>
            <w:tcW w:w="855" w:type="pct"/>
            <w:shd w:val="clear" w:color="auto" w:fill="auto"/>
            <w:vAlign w:val="center"/>
          </w:tcPr>
          <w:p w14:paraId="3A4D8CB0" w14:textId="2E020836" w:rsidR="007C2672" w:rsidRPr="00FD468F" w:rsidRDefault="007C2672" w:rsidP="00C6168E">
            <w:pPr>
              <w:pStyle w:val="Tabletext1"/>
              <w:keepNext/>
              <w:jc w:val="center"/>
              <w:rPr>
                <w:snapToGrid w:val="0"/>
                <w:lang w:eastAsia="en-US"/>
              </w:rPr>
            </w:pPr>
            <w:r w:rsidRPr="005C3A65">
              <w:rPr>
                <w:b/>
                <w:snapToGrid w:val="0"/>
                <w:lang w:eastAsia="en-US"/>
              </w:rPr>
              <w:t>Design/</w:t>
            </w:r>
          </w:p>
        </w:tc>
        <w:tc>
          <w:tcPr>
            <w:tcW w:w="572" w:type="pct"/>
            <w:shd w:val="clear" w:color="auto" w:fill="auto"/>
            <w:vAlign w:val="center"/>
          </w:tcPr>
          <w:p w14:paraId="4C1B0105" w14:textId="686893EE" w:rsidR="007C2672" w:rsidRPr="00D92D56" w:rsidRDefault="00F40776" w:rsidP="00C6168E">
            <w:pPr>
              <w:pStyle w:val="Tabletext1"/>
              <w:keepNext/>
              <w:jc w:val="center"/>
              <w:rPr>
                <w:b/>
                <w:bCs/>
                <w:snapToGrid w:val="0"/>
                <w:lang w:eastAsia="en-US"/>
              </w:rPr>
            </w:pPr>
            <w:r w:rsidRPr="00D92D56">
              <w:rPr>
                <w:b/>
                <w:bCs/>
                <w:snapToGrid w:val="0"/>
                <w:lang w:eastAsia="en-US"/>
              </w:rPr>
              <w:t>Radiation delivery</w:t>
            </w:r>
          </w:p>
        </w:tc>
        <w:tc>
          <w:tcPr>
            <w:tcW w:w="993" w:type="pct"/>
            <w:shd w:val="clear" w:color="auto" w:fill="auto"/>
            <w:vAlign w:val="center"/>
          </w:tcPr>
          <w:p w14:paraId="430308CA" w14:textId="77777777" w:rsidR="007C2672" w:rsidRPr="00FD468F" w:rsidRDefault="007C2672" w:rsidP="00C6168E">
            <w:pPr>
              <w:pStyle w:val="Tabletext1"/>
              <w:keepNext/>
              <w:jc w:val="center"/>
              <w:rPr>
                <w:snapToGrid w:val="0"/>
                <w:lang w:eastAsia="en-US"/>
              </w:rPr>
            </w:pPr>
            <w:r w:rsidRPr="005C3A65">
              <w:rPr>
                <w:b/>
                <w:snapToGrid w:val="0"/>
                <w:lang w:eastAsia="en-US"/>
              </w:rPr>
              <w:t>Patient population</w:t>
            </w:r>
          </w:p>
        </w:tc>
        <w:tc>
          <w:tcPr>
            <w:tcW w:w="730" w:type="pct"/>
            <w:shd w:val="clear" w:color="auto" w:fill="auto"/>
            <w:vAlign w:val="center"/>
          </w:tcPr>
          <w:p w14:paraId="6674FD67" w14:textId="77777777" w:rsidR="007C2672" w:rsidRPr="00FD468F" w:rsidRDefault="007C2672" w:rsidP="00C6168E">
            <w:pPr>
              <w:pStyle w:val="Tabletext1"/>
              <w:keepNext/>
              <w:jc w:val="center"/>
              <w:rPr>
                <w:snapToGrid w:val="0"/>
                <w:lang w:eastAsia="en-US"/>
              </w:rPr>
            </w:pPr>
            <w:r w:rsidRPr="005C3A65">
              <w:rPr>
                <w:b/>
                <w:snapToGrid w:val="0"/>
                <w:lang w:eastAsia="en-US"/>
              </w:rPr>
              <w:t>Key outcome(s)</w:t>
            </w:r>
          </w:p>
        </w:tc>
        <w:tc>
          <w:tcPr>
            <w:tcW w:w="755" w:type="pct"/>
            <w:shd w:val="clear" w:color="auto" w:fill="auto"/>
            <w:vAlign w:val="center"/>
          </w:tcPr>
          <w:p w14:paraId="312A5852" w14:textId="77777777" w:rsidR="007C2672" w:rsidRPr="00FD468F" w:rsidRDefault="007C2672" w:rsidP="00C6168E">
            <w:pPr>
              <w:pStyle w:val="Tabletext1"/>
              <w:keepNext/>
              <w:jc w:val="center"/>
              <w:rPr>
                <w:snapToGrid w:val="0"/>
                <w:lang w:eastAsia="en-US"/>
              </w:rPr>
            </w:pPr>
            <w:r w:rsidRPr="005C3A65">
              <w:rPr>
                <w:b/>
                <w:snapToGrid w:val="0"/>
                <w:lang w:eastAsia="en-US"/>
              </w:rPr>
              <w:t>Result used in economic model</w:t>
            </w:r>
          </w:p>
        </w:tc>
      </w:tr>
      <w:tr w:rsidR="007C2672" w:rsidRPr="00CE45B9" w14:paraId="74492BF7" w14:textId="77777777" w:rsidTr="009F0FD1">
        <w:trPr>
          <w:cantSplit/>
        </w:trPr>
        <w:tc>
          <w:tcPr>
            <w:tcW w:w="708" w:type="pct"/>
            <w:shd w:val="clear" w:color="auto" w:fill="auto"/>
            <w:vAlign w:val="center"/>
          </w:tcPr>
          <w:p w14:paraId="3408DD27" w14:textId="6C383EAF" w:rsidR="007C2672" w:rsidRPr="00CE45B9" w:rsidRDefault="00211285" w:rsidP="00C82CED">
            <w:pPr>
              <w:pStyle w:val="Tabletext1"/>
              <w:rPr>
                <w:snapToGrid w:val="0"/>
              </w:rPr>
            </w:pPr>
            <w:hyperlink w:anchor="_ENREF_46" w:tooltip="Kim, 2018 #19" w:history="1">
              <w:r w:rsidR="001F781A">
                <w:rPr>
                  <w:snapToGrid w:val="0"/>
                </w:rPr>
                <w:fldChar w:fldCharType="begin"/>
              </w:r>
              <w:r w:rsidR="001F781A">
                <w:rPr>
                  <w:snapToGrid w:val="0"/>
                </w:rPr>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rPr>
                  <w:snapToGrid w:val="0"/>
                </w:rPr>
                <w:fldChar w:fldCharType="separate"/>
              </w:r>
              <w:r w:rsidR="001F781A">
                <w:rPr>
                  <w:noProof/>
                  <w:snapToGrid w:val="0"/>
                </w:rPr>
                <w:t>E. Kim et al. (2018)</w:t>
              </w:r>
              <w:r w:rsidR="001F781A">
                <w:rPr>
                  <w:snapToGrid w:val="0"/>
                </w:rPr>
                <w:fldChar w:fldCharType="end"/>
              </w:r>
            </w:hyperlink>
          </w:p>
        </w:tc>
        <w:tc>
          <w:tcPr>
            <w:tcW w:w="387" w:type="pct"/>
            <w:shd w:val="clear" w:color="auto" w:fill="auto"/>
            <w:vAlign w:val="center"/>
          </w:tcPr>
          <w:p w14:paraId="7E6B4407" w14:textId="77777777" w:rsidR="007C2672" w:rsidRPr="00CE45B9" w:rsidRDefault="007C2672" w:rsidP="00C6168E">
            <w:pPr>
              <w:pStyle w:val="Tabletext1"/>
              <w:jc w:val="center"/>
              <w:rPr>
                <w:snapToGrid w:val="0"/>
              </w:rPr>
            </w:pPr>
            <w:r>
              <w:rPr>
                <w:snapToGrid w:val="0"/>
              </w:rPr>
              <w:t>16</w:t>
            </w:r>
          </w:p>
        </w:tc>
        <w:tc>
          <w:tcPr>
            <w:tcW w:w="855" w:type="pct"/>
            <w:shd w:val="clear" w:color="auto" w:fill="auto"/>
            <w:vAlign w:val="center"/>
          </w:tcPr>
          <w:p w14:paraId="741DB893" w14:textId="77777777" w:rsidR="007C2672" w:rsidRPr="00CE45B9" w:rsidRDefault="007C2672" w:rsidP="00C6168E">
            <w:pPr>
              <w:pStyle w:val="Tabletext1"/>
              <w:jc w:val="center"/>
              <w:rPr>
                <w:snapToGrid w:val="0"/>
              </w:rPr>
            </w:pPr>
            <w:r>
              <w:rPr>
                <w:snapToGrid w:val="0"/>
              </w:rPr>
              <w:t>Retrospective matched Coh</w:t>
            </w:r>
          </w:p>
        </w:tc>
        <w:tc>
          <w:tcPr>
            <w:tcW w:w="572" w:type="pct"/>
            <w:shd w:val="clear" w:color="auto" w:fill="auto"/>
            <w:vAlign w:val="center"/>
          </w:tcPr>
          <w:p w14:paraId="333EDF4E" w14:textId="5C486319" w:rsidR="007C2672" w:rsidRPr="00CE45B9" w:rsidRDefault="00F40776" w:rsidP="00C6168E">
            <w:pPr>
              <w:pStyle w:val="Tabletext1"/>
              <w:jc w:val="center"/>
              <w:rPr>
                <w:snapToGrid w:val="0"/>
              </w:rPr>
            </w:pPr>
            <w:r>
              <w:rPr>
                <w:snapToGrid w:val="0"/>
              </w:rPr>
              <w:t>SBRT</w:t>
            </w:r>
          </w:p>
        </w:tc>
        <w:tc>
          <w:tcPr>
            <w:tcW w:w="993" w:type="pct"/>
            <w:shd w:val="clear" w:color="auto" w:fill="auto"/>
            <w:vAlign w:val="center"/>
          </w:tcPr>
          <w:p w14:paraId="0E098F93" w14:textId="42E6EC8F" w:rsidR="007C2672" w:rsidRPr="00CE45B9" w:rsidRDefault="007C2672" w:rsidP="00C6168E">
            <w:pPr>
              <w:pStyle w:val="Tabletext1"/>
              <w:jc w:val="center"/>
              <w:rPr>
                <w:snapToGrid w:val="0"/>
              </w:rPr>
            </w:pPr>
            <w:r>
              <w:rPr>
                <w:snapToGrid w:val="0"/>
              </w:rPr>
              <w:t>Lung cancer</w:t>
            </w:r>
            <w:r w:rsidR="00231C4C">
              <w:rPr>
                <w:snapToGrid w:val="0"/>
              </w:rPr>
              <w:t>, early stage or lung meta</w:t>
            </w:r>
            <w:r w:rsidR="007763F9">
              <w:rPr>
                <w:snapToGrid w:val="0"/>
              </w:rPr>
              <w:t>stases</w:t>
            </w:r>
          </w:p>
        </w:tc>
        <w:tc>
          <w:tcPr>
            <w:tcW w:w="730" w:type="pct"/>
            <w:shd w:val="clear" w:color="auto" w:fill="auto"/>
            <w:vAlign w:val="center"/>
          </w:tcPr>
          <w:p w14:paraId="19D7B2AE" w14:textId="77777777" w:rsidR="004A7617" w:rsidRDefault="004A7617" w:rsidP="00C6168E">
            <w:pPr>
              <w:pStyle w:val="Tabletext1"/>
              <w:jc w:val="center"/>
              <w:rPr>
                <w:snapToGrid w:val="0"/>
              </w:rPr>
            </w:pPr>
            <w:r>
              <w:rPr>
                <w:snapToGrid w:val="0"/>
              </w:rPr>
              <w:t>Toxicity (lung density change*)</w:t>
            </w:r>
          </w:p>
          <w:p w14:paraId="1FD5C4E2" w14:textId="6C383407" w:rsidR="007C2672" w:rsidRPr="00CE45B9" w:rsidRDefault="001D4A84" w:rsidP="00C6168E">
            <w:pPr>
              <w:pStyle w:val="Tabletext1"/>
              <w:jc w:val="center"/>
              <w:rPr>
                <w:snapToGrid w:val="0"/>
              </w:rPr>
            </w:pPr>
            <w:r>
              <w:rPr>
                <w:snapToGrid w:val="0"/>
              </w:rPr>
              <w:t>Dose-volumetric parameters</w:t>
            </w:r>
          </w:p>
        </w:tc>
        <w:tc>
          <w:tcPr>
            <w:tcW w:w="755" w:type="pct"/>
            <w:shd w:val="clear" w:color="auto" w:fill="auto"/>
            <w:vAlign w:val="center"/>
          </w:tcPr>
          <w:p w14:paraId="66EEDAB4" w14:textId="77777777" w:rsidR="007C2672" w:rsidRPr="00CE45B9" w:rsidRDefault="007C2672" w:rsidP="00C6168E">
            <w:pPr>
              <w:pStyle w:val="Tabletext1"/>
              <w:jc w:val="center"/>
              <w:rPr>
                <w:snapToGrid w:val="0"/>
              </w:rPr>
            </w:pPr>
            <w:r>
              <w:rPr>
                <w:snapToGrid w:val="0"/>
              </w:rPr>
              <w:t>Not used</w:t>
            </w:r>
          </w:p>
        </w:tc>
      </w:tr>
      <w:tr w:rsidR="009F0FD1" w14:paraId="2C7410B6" w14:textId="77777777" w:rsidTr="009F0FD1">
        <w:trPr>
          <w:cantSplit/>
        </w:trPr>
        <w:tc>
          <w:tcPr>
            <w:tcW w:w="708" w:type="pct"/>
            <w:shd w:val="clear" w:color="auto" w:fill="auto"/>
            <w:vAlign w:val="center"/>
          </w:tcPr>
          <w:p w14:paraId="29C01887" w14:textId="44C9A8D9" w:rsidR="009F0FD1" w:rsidRDefault="00211285" w:rsidP="009F0FD1">
            <w:pPr>
              <w:pStyle w:val="Tabletext1"/>
              <w:rPr>
                <w:snapToGrid w:val="0"/>
              </w:rPr>
            </w:pPr>
            <w:hyperlink w:anchor="_ENREF_1" w:tooltip="Alongi, 2020 #13" w:history="1">
              <w:r w:rsidR="008B6FC0">
                <w:rPr>
                  <w:snapToGrid w:val="0"/>
                </w:rPr>
                <w:fldChar w:fldCharType="begin"/>
              </w:r>
              <w:r w:rsidR="008B6FC0">
                <w:rPr>
                  <w:snapToGrid w:val="0"/>
                </w:rPr>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rPr>
                  <w:snapToGrid w:val="0"/>
                </w:rPr>
                <w:fldChar w:fldCharType="separate"/>
              </w:r>
              <w:r w:rsidR="008B6FC0">
                <w:rPr>
                  <w:noProof/>
                  <w:snapToGrid w:val="0"/>
                </w:rPr>
                <w:t>Alongi et al. (2020)</w:t>
              </w:r>
              <w:r w:rsidR="008B6FC0">
                <w:rPr>
                  <w:snapToGrid w:val="0"/>
                </w:rPr>
                <w:fldChar w:fldCharType="end"/>
              </w:r>
            </w:hyperlink>
          </w:p>
        </w:tc>
        <w:tc>
          <w:tcPr>
            <w:tcW w:w="387" w:type="pct"/>
            <w:shd w:val="clear" w:color="auto" w:fill="auto"/>
            <w:vAlign w:val="center"/>
          </w:tcPr>
          <w:p w14:paraId="4979AC23" w14:textId="1D3E76D1" w:rsidR="009F0FD1" w:rsidRDefault="009F0FD1" w:rsidP="00C6168E">
            <w:pPr>
              <w:pStyle w:val="Tabletext1"/>
              <w:jc w:val="center"/>
              <w:rPr>
                <w:snapToGrid w:val="0"/>
              </w:rPr>
            </w:pPr>
            <w:r>
              <w:rPr>
                <w:snapToGrid w:val="0"/>
              </w:rPr>
              <w:t>25</w:t>
            </w:r>
          </w:p>
        </w:tc>
        <w:tc>
          <w:tcPr>
            <w:tcW w:w="855" w:type="pct"/>
            <w:shd w:val="clear" w:color="auto" w:fill="auto"/>
            <w:vAlign w:val="center"/>
          </w:tcPr>
          <w:p w14:paraId="5BCDA44A" w14:textId="00610220" w:rsidR="009F0FD1" w:rsidRDefault="009F0FD1" w:rsidP="00C6168E">
            <w:pPr>
              <w:pStyle w:val="Tabletext1"/>
              <w:jc w:val="center"/>
              <w:rPr>
                <w:snapToGrid w:val="0"/>
              </w:rPr>
            </w:pPr>
            <w:r>
              <w:rPr>
                <w:snapToGrid w:val="0"/>
              </w:rPr>
              <w:t>Prospective CS</w:t>
            </w:r>
          </w:p>
        </w:tc>
        <w:tc>
          <w:tcPr>
            <w:tcW w:w="572" w:type="pct"/>
            <w:shd w:val="clear" w:color="auto" w:fill="auto"/>
            <w:vAlign w:val="center"/>
          </w:tcPr>
          <w:p w14:paraId="7B248219" w14:textId="600EA44D" w:rsidR="009F0FD1" w:rsidRDefault="009F0FD1" w:rsidP="00C6168E">
            <w:pPr>
              <w:pStyle w:val="Tabletext1"/>
              <w:jc w:val="center"/>
              <w:rPr>
                <w:snapToGrid w:val="0"/>
              </w:rPr>
            </w:pPr>
            <w:r>
              <w:rPr>
                <w:snapToGrid w:val="0"/>
              </w:rPr>
              <w:t>SBRT</w:t>
            </w:r>
          </w:p>
        </w:tc>
        <w:tc>
          <w:tcPr>
            <w:tcW w:w="993" w:type="pct"/>
            <w:shd w:val="clear" w:color="auto" w:fill="auto"/>
            <w:vAlign w:val="center"/>
          </w:tcPr>
          <w:p w14:paraId="429FE368" w14:textId="2CC1FF3B" w:rsidR="009F0FD1" w:rsidRDefault="009F0FD1" w:rsidP="00C6168E">
            <w:pPr>
              <w:pStyle w:val="Tabletext1"/>
              <w:jc w:val="center"/>
              <w:rPr>
                <w:snapToGrid w:val="0"/>
              </w:rPr>
            </w:pPr>
            <w:r>
              <w:rPr>
                <w:snapToGrid w:val="0"/>
              </w:rPr>
              <w:t>Prostate cancer, low and intermediate risk</w:t>
            </w:r>
          </w:p>
        </w:tc>
        <w:tc>
          <w:tcPr>
            <w:tcW w:w="730" w:type="pct"/>
            <w:shd w:val="clear" w:color="auto" w:fill="auto"/>
            <w:vAlign w:val="center"/>
          </w:tcPr>
          <w:p w14:paraId="13D7A623" w14:textId="77777777" w:rsidR="009F0FD1" w:rsidRDefault="009F0FD1" w:rsidP="00C6168E">
            <w:pPr>
              <w:pStyle w:val="Tabletext1"/>
              <w:jc w:val="center"/>
              <w:rPr>
                <w:snapToGrid w:val="0"/>
              </w:rPr>
            </w:pPr>
            <w:r>
              <w:rPr>
                <w:snapToGrid w:val="0"/>
              </w:rPr>
              <w:t>Toxicity</w:t>
            </w:r>
          </w:p>
          <w:p w14:paraId="0AE3DD08" w14:textId="300DEF69" w:rsidR="009F0FD1" w:rsidRDefault="009F0FD1" w:rsidP="00C6168E">
            <w:pPr>
              <w:pStyle w:val="Tabletext1"/>
              <w:jc w:val="center"/>
              <w:rPr>
                <w:snapToGrid w:val="0"/>
              </w:rPr>
            </w:pPr>
            <w:r>
              <w:rPr>
                <w:snapToGrid w:val="0"/>
              </w:rPr>
              <w:t>Q</w:t>
            </w:r>
            <w:r w:rsidR="00E03DB6">
              <w:rPr>
                <w:snapToGrid w:val="0"/>
              </w:rPr>
              <w:t>o</w:t>
            </w:r>
            <w:r>
              <w:rPr>
                <w:snapToGrid w:val="0"/>
              </w:rPr>
              <w:t>L</w:t>
            </w:r>
          </w:p>
        </w:tc>
        <w:tc>
          <w:tcPr>
            <w:tcW w:w="755" w:type="pct"/>
            <w:shd w:val="clear" w:color="auto" w:fill="auto"/>
            <w:vAlign w:val="center"/>
          </w:tcPr>
          <w:p w14:paraId="62A343FC" w14:textId="3DAC71C0" w:rsidR="009F0FD1" w:rsidRDefault="009F0FD1" w:rsidP="00C6168E">
            <w:pPr>
              <w:pStyle w:val="Tabletext1"/>
              <w:jc w:val="center"/>
              <w:rPr>
                <w:snapToGrid w:val="0"/>
              </w:rPr>
            </w:pPr>
            <w:r>
              <w:rPr>
                <w:snapToGrid w:val="0"/>
              </w:rPr>
              <w:t>Not used</w:t>
            </w:r>
          </w:p>
        </w:tc>
      </w:tr>
      <w:tr w:rsidR="009F0FD1" w14:paraId="3B75E4C0" w14:textId="77777777" w:rsidTr="009F0FD1">
        <w:trPr>
          <w:cantSplit/>
        </w:trPr>
        <w:tc>
          <w:tcPr>
            <w:tcW w:w="708" w:type="pct"/>
            <w:shd w:val="clear" w:color="auto" w:fill="auto"/>
            <w:vAlign w:val="center"/>
          </w:tcPr>
          <w:p w14:paraId="46441E25" w14:textId="075F6E9E" w:rsidR="009F0FD1" w:rsidRDefault="00211285" w:rsidP="009F0FD1">
            <w:pPr>
              <w:pStyle w:val="Tabletext1"/>
              <w:rPr>
                <w:snapToGrid w:val="0"/>
              </w:rPr>
            </w:pPr>
            <w:hyperlink w:anchor="_ENREF_21" w:tooltip="Chen, 2018 #24" w:history="1">
              <w:r w:rsidR="008B6FC0">
                <w:rPr>
                  <w:snapToGrid w:val="0"/>
                </w:rPr>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rPr>
                  <w:snapToGrid w:val="0"/>
                </w:rPr>
                <w:instrText xml:space="preserve"> ADDIN EN.CITE </w:instrText>
              </w:r>
              <w:r w:rsidR="008B6FC0">
                <w:rPr>
                  <w:snapToGrid w:val="0"/>
                </w:rPr>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rPr>
                  <w:snapToGrid w:val="0"/>
                </w:rPr>
                <w:instrText xml:space="preserve"> ADDIN EN.CITE.DATA </w:instrText>
              </w:r>
              <w:r w:rsidR="008B6FC0">
                <w:rPr>
                  <w:snapToGrid w:val="0"/>
                </w:rPr>
              </w:r>
              <w:r w:rsidR="008B6FC0">
                <w:rPr>
                  <w:snapToGrid w:val="0"/>
                </w:rPr>
                <w:fldChar w:fldCharType="end"/>
              </w:r>
              <w:r w:rsidR="008B6FC0">
                <w:rPr>
                  <w:snapToGrid w:val="0"/>
                </w:rPr>
              </w:r>
              <w:r w:rsidR="008B6FC0">
                <w:rPr>
                  <w:snapToGrid w:val="0"/>
                </w:rPr>
                <w:fldChar w:fldCharType="separate"/>
              </w:r>
              <w:r w:rsidR="008B6FC0">
                <w:rPr>
                  <w:noProof/>
                  <w:snapToGrid w:val="0"/>
                </w:rPr>
                <w:t>Chen et al. (2018)</w:t>
              </w:r>
              <w:r w:rsidR="008B6FC0">
                <w:rPr>
                  <w:snapToGrid w:val="0"/>
                </w:rPr>
                <w:fldChar w:fldCharType="end"/>
              </w:r>
            </w:hyperlink>
          </w:p>
        </w:tc>
        <w:tc>
          <w:tcPr>
            <w:tcW w:w="387" w:type="pct"/>
            <w:shd w:val="clear" w:color="auto" w:fill="auto"/>
            <w:vAlign w:val="center"/>
          </w:tcPr>
          <w:p w14:paraId="3E454C7B" w14:textId="2C922421" w:rsidR="009F0FD1" w:rsidRDefault="009F0FD1" w:rsidP="00C6168E">
            <w:pPr>
              <w:pStyle w:val="Tabletext1"/>
              <w:jc w:val="center"/>
              <w:rPr>
                <w:snapToGrid w:val="0"/>
              </w:rPr>
            </w:pPr>
            <w:r>
              <w:rPr>
                <w:snapToGrid w:val="0"/>
              </w:rPr>
              <w:t>18</w:t>
            </w:r>
          </w:p>
        </w:tc>
        <w:tc>
          <w:tcPr>
            <w:tcW w:w="855" w:type="pct"/>
            <w:shd w:val="clear" w:color="auto" w:fill="auto"/>
            <w:vAlign w:val="center"/>
          </w:tcPr>
          <w:p w14:paraId="0393D8C3" w14:textId="7D80D961" w:rsidR="009F0FD1" w:rsidRDefault="009F0FD1" w:rsidP="00C6168E">
            <w:pPr>
              <w:pStyle w:val="Tabletext1"/>
              <w:jc w:val="center"/>
              <w:rPr>
                <w:snapToGrid w:val="0"/>
              </w:rPr>
            </w:pPr>
            <w:r>
              <w:rPr>
                <w:snapToGrid w:val="0"/>
              </w:rPr>
              <w:t>Prospective CS</w:t>
            </w:r>
          </w:p>
        </w:tc>
        <w:tc>
          <w:tcPr>
            <w:tcW w:w="572" w:type="pct"/>
            <w:shd w:val="clear" w:color="auto" w:fill="auto"/>
            <w:vAlign w:val="center"/>
          </w:tcPr>
          <w:p w14:paraId="59EF6EA8" w14:textId="29694B6F" w:rsidR="009F0FD1" w:rsidRDefault="009F0FD1" w:rsidP="00C6168E">
            <w:pPr>
              <w:pStyle w:val="Tabletext1"/>
              <w:jc w:val="center"/>
              <w:rPr>
                <w:snapToGrid w:val="0"/>
              </w:rPr>
            </w:pPr>
            <w:r>
              <w:rPr>
                <w:snapToGrid w:val="0"/>
              </w:rPr>
              <w:t>IMRT</w:t>
            </w:r>
          </w:p>
        </w:tc>
        <w:tc>
          <w:tcPr>
            <w:tcW w:w="993" w:type="pct"/>
            <w:shd w:val="clear" w:color="auto" w:fill="auto"/>
            <w:vAlign w:val="center"/>
          </w:tcPr>
          <w:p w14:paraId="5174F740" w14:textId="1CC83BBB" w:rsidR="009F0FD1" w:rsidRDefault="009F0FD1" w:rsidP="00C6168E">
            <w:pPr>
              <w:pStyle w:val="Tabletext1"/>
              <w:jc w:val="center"/>
              <w:rPr>
                <w:snapToGrid w:val="0"/>
              </w:rPr>
            </w:pPr>
            <w:r>
              <w:rPr>
                <w:snapToGrid w:val="0"/>
              </w:rPr>
              <w:t>H</w:t>
            </w:r>
            <w:r w:rsidRPr="00EC1AF7">
              <w:rPr>
                <w:snapToGrid w:val="0"/>
              </w:rPr>
              <w:t>ead and neck</w:t>
            </w:r>
            <w:r>
              <w:rPr>
                <w:snapToGrid w:val="0"/>
              </w:rPr>
              <w:t xml:space="preserve"> cancer</w:t>
            </w:r>
          </w:p>
        </w:tc>
        <w:tc>
          <w:tcPr>
            <w:tcW w:w="730" w:type="pct"/>
            <w:shd w:val="clear" w:color="auto" w:fill="auto"/>
            <w:vAlign w:val="center"/>
          </w:tcPr>
          <w:p w14:paraId="48A8494D" w14:textId="77777777" w:rsidR="009F0FD1" w:rsidRDefault="009F0FD1" w:rsidP="00C6168E">
            <w:pPr>
              <w:pStyle w:val="Tabletext1"/>
              <w:jc w:val="center"/>
              <w:rPr>
                <w:snapToGrid w:val="0"/>
              </w:rPr>
            </w:pPr>
            <w:r>
              <w:rPr>
                <w:snapToGrid w:val="0"/>
              </w:rPr>
              <w:t>Toxicity</w:t>
            </w:r>
          </w:p>
          <w:p w14:paraId="7B10FD0A" w14:textId="477FA25D" w:rsidR="009F0FD1" w:rsidRDefault="009F0FD1" w:rsidP="00C6168E">
            <w:pPr>
              <w:pStyle w:val="Tabletext1"/>
              <w:jc w:val="center"/>
              <w:rPr>
                <w:snapToGrid w:val="0"/>
              </w:rPr>
            </w:pPr>
            <w:r>
              <w:rPr>
                <w:snapToGrid w:val="0"/>
              </w:rPr>
              <w:t>OS</w:t>
            </w:r>
          </w:p>
          <w:p w14:paraId="55C86251" w14:textId="77777777" w:rsidR="009F0FD1" w:rsidRDefault="009F0FD1" w:rsidP="00C6168E">
            <w:pPr>
              <w:pStyle w:val="Tabletext1"/>
              <w:jc w:val="center"/>
              <w:rPr>
                <w:snapToGrid w:val="0"/>
              </w:rPr>
            </w:pPr>
            <w:r>
              <w:rPr>
                <w:snapToGrid w:val="0"/>
              </w:rPr>
              <w:t>PFS</w:t>
            </w:r>
          </w:p>
          <w:p w14:paraId="0F3E3263" w14:textId="21A6513C" w:rsidR="009F0FD1" w:rsidRDefault="009F0FD1" w:rsidP="00C6168E">
            <w:pPr>
              <w:pStyle w:val="Tabletext1"/>
              <w:jc w:val="center"/>
              <w:rPr>
                <w:snapToGrid w:val="0"/>
              </w:rPr>
            </w:pPr>
            <w:r>
              <w:rPr>
                <w:snapToGrid w:val="0"/>
              </w:rPr>
              <w:t>Patient-reported Q</w:t>
            </w:r>
            <w:r w:rsidR="00E03DB6">
              <w:rPr>
                <w:snapToGrid w:val="0"/>
              </w:rPr>
              <w:t>o</w:t>
            </w:r>
            <w:r>
              <w:rPr>
                <w:snapToGrid w:val="0"/>
              </w:rPr>
              <w:t>L</w:t>
            </w:r>
          </w:p>
        </w:tc>
        <w:tc>
          <w:tcPr>
            <w:tcW w:w="755" w:type="pct"/>
            <w:shd w:val="clear" w:color="auto" w:fill="auto"/>
            <w:vAlign w:val="center"/>
          </w:tcPr>
          <w:p w14:paraId="601FB52A" w14:textId="1150DE6A" w:rsidR="009F0FD1" w:rsidRDefault="009F0FD1" w:rsidP="00C6168E">
            <w:pPr>
              <w:pStyle w:val="Tabletext1"/>
              <w:jc w:val="center"/>
              <w:rPr>
                <w:snapToGrid w:val="0"/>
              </w:rPr>
            </w:pPr>
            <w:r>
              <w:rPr>
                <w:snapToGrid w:val="0"/>
              </w:rPr>
              <w:t>Not used</w:t>
            </w:r>
          </w:p>
        </w:tc>
      </w:tr>
      <w:tr w:rsidR="009F0FD1" w14:paraId="35BD1CB1" w14:textId="77777777" w:rsidTr="009F0FD1">
        <w:trPr>
          <w:cantSplit/>
        </w:trPr>
        <w:tc>
          <w:tcPr>
            <w:tcW w:w="708" w:type="pct"/>
            <w:shd w:val="clear" w:color="auto" w:fill="auto"/>
            <w:vAlign w:val="center"/>
          </w:tcPr>
          <w:p w14:paraId="72C67BA2" w14:textId="73235872" w:rsidR="009F0FD1" w:rsidRDefault="00211285" w:rsidP="009F0FD1">
            <w:pPr>
              <w:pStyle w:val="Tabletext1"/>
              <w:rPr>
                <w:snapToGrid w:val="0"/>
              </w:rPr>
            </w:pPr>
            <w:hyperlink w:anchor="_ENREF_27" w:tooltip="Feldman, 2019 #15" w:history="1">
              <w:r w:rsidR="008B6FC0">
                <w:rPr>
                  <w:snapToGrid w:val="0"/>
                </w:rPr>
                <w:fldChar w:fldCharType="begin"/>
              </w:r>
              <w:r w:rsidR="008B6FC0">
                <w:rPr>
                  <w:snapToGrid w:val="0"/>
                </w:rPr>
                <w:instrText xml:space="preserve"> ADDIN EN.CITE &lt;EndNote&gt;&lt;Cite AuthorYear="1"&gt;&lt;Author&gt;Feldman&lt;/Author&gt;&lt;Year&gt;2019&lt;/Year&gt;&lt;RecNum&gt;15&lt;/RecNum&gt;&lt;DisplayText&gt;Feldman et al. (2019)&lt;/DisplayText&gt;&lt;record&gt;&lt;rec-number&gt;15&lt;/rec-number&gt;&lt;foreign-keys&gt;&lt;key app="EN" db-id="sx5wsdwv795wvue959xxw0ptaewvdezxxp05" timestamp="1604454185"&gt;15&lt;/key&gt;&lt;/foreign-keys&gt;&lt;ref-type name="Journal Article"&gt;17&lt;/ref-type&gt;&lt;contributors&gt;&lt;authors&gt;&lt;author&gt;Feldman, A. M.&lt;/author&gt;&lt;author&gt;Modh, A.&lt;/author&gt;&lt;author&gt;Glide-Hurst, C.&lt;/author&gt;&lt;author&gt;Chetty, I. J.&lt;/author&gt;&lt;author&gt;Movsas, B.&lt;/author&gt;&lt;/authors&gt;&lt;/contributors&gt;&lt;titles&gt;&lt;title&gt;Real-time Magnetic Resonance-guided Liver Stereotactic Body Radiation Therapy: An Institutional Report Using a Magnetic Resonance-Linac System&lt;/title&gt;&lt;secondary-title&gt;Cureus&lt;/secondary-title&gt;&lt;/titles&gt;&lt;pages&gt;e5774&lt;/pages&gt;&lt;volume&gt;11&lt;/volume&gt;&lt;number&gt;9&lt;/number&gt;&lt;dates&gt;&lt;year&gt;2019&lt;/year&gt;&lt;/dates&gt;&lt;accession-num&gt;31723533&lt;/accession-num&gt;&lt;urls&gt;&lt;related-urls&gt;&lt;url&gt;http://ezproxy.library.usyd.edu.au/login?url=http://ovidsp.ovid.com/ovidweb.cgi?T=JS&amp;amp;CSC=Y&amp;amp;NEWS=N&amp;amp;PAGE=fulltext&amp;amp;D=prem3&amp;amp;AN=31723533https://sydney.alma.exlibrisgroup.com/openurl/61USYD_INST/61USYD_INST:sydney?sid=OVID:medline&amp;amp;id=pmid:31723533&amp;amp;id=doi:10.775&lt;/url&gt;&lt;url&gt;https://www.ncbi.nlm.nih.gov/pmc/articles/PMC6825488/pdf/cureus-0011-00000005774.pdf&lt;/url&gt;&lt;/related-urls&gt;&lt;/urls&gt;&lt;custom2&gt;single arm safety SBRT&lt;/custom2&gt;&lt;electronic-resource-num&gt;https://dx.doi.org/10.7759/cureus.5774&lt;/electronic-resource-num&gt;&lt;/record&gt;&lt;/Cite&gt;&lt;/EndNote&gt;</w:instrText>
              </w:r>
              <w:r w:rsidR="008B6FC0">
                <w:rPr>
                  <w:snapToGrid w:val="0"/>
                </w:rPr>
                <w:fldChar w:fldCharType="separate"/>
              </w:r>
              <w:r w:rsidR="008B6FC0">
                <w:rPr>
                  <w:noProof/>
                  <w:snapToGrid w:val="0"/>
                </w:rPr>
                <w:t>Feldman et al. (2019)</w:t>
              </w:r>
              <w:r w:rsidR="008B6FC0">
                <w:rPr>
                  <w:snapToGrid w:val="0"/>
                </w:rPr>
                <w:fldChar w:fldCharType="end"/>
              </w:r>
            </w:hyperlink>
          </w:p>
        </w:tc>
        <w:tc>
          <w:tcPr>
            <w:tcW w:w="387" w:type="pct"/>
            <w:shd w:val="clear" w:color="auto" w:fill="auto"/>
            <w:vAlign w:val="center"/>
          </w:tcPr>
          <w:p w14:paraId="4381ECD6" w14:textId="75F561AB" w:rsidR="009F0FD1" w:rsidRDefault="009F0FD1" w:rsidP="00C6168E">
            <w:pPr>
              <w:pStyle w:val="Tabletext1"/>
              <w:jc w:val="center"/>
              <w:rPr>
                <w:snapToGrid w:val="0"/>
              </w:rPr>
            </w:pPr>
            <w:r>
              <w:rPr>
                <w:snapToGrid w:val="0"/>
              </w:rPr>
              <w:t>29</w:t>
            </w:r>
          </w:p>
        </w:tc>
        <w:tc>
          <w:tcPr>
            <w:tcW w:w="855" w:type="pct"/>
            <w:shd w:val="clear" w:color="auto" w:fill="auto"/>
            <w:vAlign w:val="center"/>
          </w:tcPr>
          <w:p w14:paraId="6A67B8AA" w14:textId="61B0C100" w:rsidR="009F0FD1" w:rsidRDefault="009F0FD1" w:rsidP="00C6168E">
            <w:pPr>
              <w:pStyle w:val="Tabletext1"/>
              <w:jc w:val="center"/>
              <w:rPr>
                <w:snapToGrid w:val="0"/>
              </w:rPr>
            </w:pPr>
            <w:r>
              <w:rPr>
                <w:snapToGrid w:val="0"/>
              </w:rPr>
              <w:t>Retrospective CS</w:t>
            </w:r>
          </w:p>
        </w:tc>
        <w:tc>
          <w:tcPr>
            <w:tcW w:w="572" w:type="pct"/>
            <w:shd w:val="clear" w:color="auto" w:fill="auto"/>
            <w:vAlign w:val="center"/>
          </w:tcPr>
          <w:p w14:paraId="28243351" w14:textId="068496BE" w:rsidR="009F0FD1" w:rsidRDefault="009F0FD1" w:rsidP="00C6168E">
            <w:pPr>
              <w:pStyle w:val="Tabletext1"/>
              <w:jc w:val="center"/>
              <w:rPr>
                <w:snapToGrid w:val="0"/>
              </w:rPr>
            </w:pPr>
            <w:r>
              <w:rPr>
                <w:snapToGrid w:val="0"/>
              </w:rPr>
              <w:t>SBRT</w:t>
            </w:r>
          </w:p>
        </w:tc>
        <w:tc>
          <w:tcPr>
            <w:tcW w:w="993" w:type="pct"/>
            <w:shd w:val="clear" w:color="auto" w:fill="auto"/>
            <w:vAlign w:val="center"/>
          </w:tcPr>
          <w:p w14:paraId="0FD170F0" w14:textId="2797990B" w:rsidR="009F0FD1" w:rsidRDefault="009F0FD1" w:rsidP="00C6168E">
            <w:pPr>
              <w:pStyle w:val="Tabletext1"/>
              <w:jc w:val="center"/>
              <w:rPr>
                <w:snapToGrid w:val="0"/>
              </w:rPr>
            </w:pPr>
            <w:r>
              <w:rPr>
                <w:snapToGrid w:val="0"/>
              </w:rPr>
              <w:t>Liver tumours, o</w:t>
            </w:r>
            <w:r w:rsidRPr="00DC5319">
              <w:rPr>
                <w:snapToGrid w:val="0"/>
              </w:rPr>
              <w:t xml:space="preserve">ne or more biopsy-proven unresectable </w:t>
            </w:r>
            <w:r>
              <w:rPr>
                <w:snapToGrid w:val="0"/>
              </w:rPr>
              <w:t xml:space="preserve">HCC </w:t>
            </w:r>
            <w:r w:rsidRPr="00DC5319">
              <w:rPr>
                <w:snapToGrid w:val="0"/>
              </w:rPr>
              <w:t xml:space="preserve">or </w:t>
            </w:r>
            <w:r>
              <w:rPr>
                <w:snapToGrid w:val="0"/>
              </w:rPr>
              <w:t>liver metastases</w:t>
            </w:r>
          </w:p>
        </w:tc>
        <w:tc>
          <w:tcPr>
            <w:tcW w:w="730" w:type="pct"/>
            <w:shd w:val="clear" w:color="auto" w:fill="auto"/>
            <w:vAlign w:val="center"/>
          </w:tcPr>
          <w:p w14:paraId="70E657BD" w14:textId="4A8B6377" w:rsidR="009F0FD1" w:rsidRDefault="009F0FD1" w:rsidP="00C6168E">
            <w:pPr>
              <w:pStyle w:val="Tabletext1"/>
              <w:jc w:val="center"/>
              <w:rPr>
                <w:snapToGrid w:val="0"/>
              </w:rPr>
            </w:pPr>
            <w:r>
              <w:rPr>
                <w:snapToGrid w:val="0"/>
              </w:rPr>
              <w:t>Toxicity</w:t>
            </w:r>
          </w:p>
        </w:tc>
        <w:tc>
          <w:tcPr>
            <w:tcW w:w="755" w:type="pct"/>
            <w:shd w:val="clear" w:color="auto" w:fill="auto"/>
            <w:vAlign w:val="center"/>
          </w:tcPr>
          <w:p w14:paraId="4FC0E279" w14:textId="6073B32E" w:rsidR="009F0FD1" w:rsidRDefault="009F0FD1" w:rsidP="00C6168E">
            <w:pPr>
              <w:pStyle w:val="Tabletext1"/>
              <w:jc w:val="center"/>
              <w:rPr>
                <w:snapToGrid w:val="0"/>
              </w:rPr>
            </w:pPr>
            <w:r>
              <w:rPr>
                <w:snapToGrid w:val="0"/>
              </w:rPr>
              <w:t>Not used</w:t>
            </w:r>
          </w:p>
        </w:tc>
      </w:tr>
      <w:tr w:rsidR="009F0FD1" w14:paraId="6A3FD13E" w14:textId="77777777" w:rsidTr="009F0FD1">
        <w:trPr>
          <w:cantSplit/>
        </w:trPr>
        <w:tc>
          <w:tcPr>
            <w:tcW w:w="708" w:type="pct"/>
            <w:shd w:val="clear" w:color="auto" w:fill="auto"/>
            <w:vAlign w:val="center"/>
          </w:tcPr>
          <w:p w14:paraId="01AC503C" w14:textId="2E04FE55" w:rsidR="009F0FD1" w:rsidRDefault="00211285" w:rsidP="009F0FD1">
            <w:pPr>
              <w:pStyle w:val="Tabletext1"/>
              <w:rPr>
                <w:snapToGrid w:val="0"/>
              </w:rPr>
            </w:pPr>
            <w:hyperlink w:anchor="_ENREF_28" w:tooltip="Finazzi, 2020 #16" w:history="1">
              <w:r w:rsidR="001F781A">
                <w:rPr>
                  <w:snapToGrid w:val="0"/>
                </w:rPr>
                <w:fldChar w:fldCharType="begin"/>
              </w:r>
              <w:r w:rsidR="001F781A">
                <w:rPr>
                  <w:snapToGrid w:val="0"/>
                </w:rPr>
                <w:instrText xml:space="preserve"> ADDIN EN.CITE &lt;EndNote&gt;&lt;Cite AuthorYear="1"&gt;&lt;Author&gt;Finazzi&lt;/Author&gt;&lt;Year&gt;2020&lt;/Year&gt;&lt;RecNum&gt;16&lt;/RecNum&gt;&lt;DisplayText&gt;Finazzi,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1F781A">
                <w:rPr>
                  <w:snapToGrid w:val="0"/>
                </w:rPr>
                <w:fldChar w:fldCharType="separate"/>
              </w:r>
              <w:r w:rsidR="001F781A">
                <w:rPr>
                  <w:noProof/>
                  <w:snapToGrid w:val="0"/>
                </w:rPr>
                <w:t>Finazzi, Haasbeek, et al. (2020)</w:t>
              </w:r>
              <w:r w:rsidR="001F781A">
                <w:rPr>
                  <w:snapToGrid w:val="0"/>
                </w:rPr>
                <w:fldChar w:fldCharType="end"/>
              </w:r>
            </w:hyperlink>
          </w:p>
        </w:tc>
        <w:tc>
          <w:tcPr>
            <w:tcW w:w="387" w:type="pct"/>
            <w:shd w:val="clear" w:color="auto" w:fill="auto"/>
            <w:vAlign w:val="center"/>
          </w:tcPr>
          <w:p w14:paraId="4A8EC40B" w14:textId="77777777" w:rsidR="009F0FD1" w:rsidRDefault="009F0FD1" w:rsidP="00C6168E">
            <w:pPr>
              <w:pStyle w:val="Tabletext1"/>
              <w:jc w:val="center"/>
              <w:rPr>
                <w:snapToGrid w:val="0"/>
              </w:rPr>
            </w:pPr>
            <w:r>
              <w:rPr>
                <w:snapToGrid w:val="0"/>
              </w:rPr>
              <w:t>50</w:t>
            </w:r>
          </w:p>
        </w:tc>
        <w:tc>
          <w:tcPr>
            <w:tcW w:w="855" w:type="pct"/>
            <w:shd w:val="clear" w:color="auto" w:fill="auto"/>
            <w:vAlign w:val="center"/>
          </w:tcPr>
          <w:p w14:paraId="6203C751" w14:textId="77777777" w:rsidR="009F0FD1" w:rsidRDefault="009F0FD1" w:rsidP="00C6168E">
            <w:pPr>
              <w:pStyle w:val="Tabletext1"/>
              <w:jc w:val="center"/>
              <w:rPr>
                <w:snapToGrid w:val="0"/>
              </w:rPr>
            </w:pPr>
            <w:r>
              <w:rPr>
                <w:snapToGrid w:val="0"/>
              </w:rPr>
              <w:t>Retrospective CS</w:t>
            </w:r>
          </w:p>
        </w:tc>
        <w:tc>
          <w:tcPr>
            <w:tcW w:w="572" w:type="pct"/>
            <w:shd w:val="clear" w:color="auto" w:fill="auto"/>
            <w:vAlign w:val="center"/>
          </w:tcPr>
          <w:p w14:paraId="46025FCB" w14:textId="7DD7004D" w:rsidR="009F0FD1" w:rsidRDefault="009F0FD1" w:rsidP="00C6168E">
            <w:pPr>
              <w:pStyle w:val="Tabletext1"/>
              <w:jc w:val="center"/>
              <w:rPr>
                <w:snapToGrid w:val="0"/>
              </w:rPr>
            </w:pPr>
            <w:r>
              <w:rPr>
                <w:snapToGrid w:val="0"/>
              </w:rPr>
              <w:t>SBRT</w:t>
            </w:r>
          </w:p>
        </w:tc>
        <w:tc>
          <w:tcPr>
            <w:tcW w:w="993" w:type="pct"/>
            <w:shd w:val="clear" w:color="auto" w:fill="auto"/>
            <w:vAlign w:val="center"/>
          </w:tcPr>
          <w:p w14:paraId="6421C1C4" w14:textId="3C338ADA" w:rsidR="009F0FD1" w:rsidRPr="00A158EF" w:rsidRDefault="009F0FD1" w:rsidP="00C6168E">
            <w:pPr>
              <w:pStyle w:val="Tabletext1"/>
              <w:jc w:val="center"/>
              <w:rPr>
                <w:snapToGrid w:val="0"/>
              </w:rPr>
            </w:pPr>
            <w:r>
              <w:rPr>
                <w:snapToGrid w:val="0"/>
              </w:rPr>
              <w:t>Lung cancer at high risk of toxicity, primary or lung metastases</w:t>
            </w:r>
          </w:p>
        </w:tc>
        <w:tc>
          <w:tcPr>
            <w:tcW w:w="730" w:type="pct"/>
            <w:shd w:val="clear" w:color="auto" w:fill="auto"/>
            <w:vAlign w:val="center"/>
          </w:tcPr>
          <w:p w14:paraId="4D107089" w14:textId="206290DC" w:rsidR="009F0FD1" w:rsidRDefault="009F0FD1" w:rsidP="00C6168E">
            <w:pPr>
              <w:pStyle w:val="Tabletext1"/>
              <w:jc w:val="center"/>
              <w:rPr>
                <w:snapToGrid w:val="0"/>
              </w:rPr>
            </w:pPr>
            <w:r>
              <w:rPr>
                <w:snapToGrid w:val="0"/>
              </w:rPr>
              <w:t>Toxicity</w:t>
            </w:r>
          </w:p>
          <w:p w14:paraId="7E135FEE" w14:textId="64EF5804" w:rsidR="009F0FD1" w:rsidRDefault="009F0FD1" w:rsidP="00C6168E">
            <w:pPr>
              <w:pStyle w:val="Tabletext1"/>
              <w:jc w:val="center"/>
              <w:rPr>
                <w:snapToGrid w:val="0"/>
              </w:rPr>
            </w:pPr>
            <w:r>
              <w:rPr>
                <w:snapToGrid w:val="0"/>
              </w:rPr>
              <w:t>OS</w:t>
            </w:r>
          </w:p>
          <w:p w14:paraId="48542499" w14:textId="77777777" w:rsidR="009F0FD1" w:rsidRDefault="009F0FD1" w:rsidP="00C6168E">
            <w:pPr>
              <w:pStyle w:val="Tabletext1"/>
              <w:jc w:val="center"/>
              <w:rPr>
                <w:snapToGrid w:val="0"/>
              </w:rPr>
            </w:pPr>
            <w:r>
              <w:rPr>
                <w:snapToGrid w:val="0"/>
              </w:rPr>
              <w:t>DFS</w:t>
            </w:r>
          </w:p>
          <w:p w14:paraId="0A369C53" w14:textId="0500DA43" w:rsidR="009F0FD1" w:rsidRDefault="009F0FD1" w:rsidP="00C6168E">
            <w:pPr>
              <w:pStyle w:val="Tabletext1"/>
              <w:jc w:val="center"/>
              <w:rPr>
                <w:snapToGrid w:val="0"/>
              </w:rPr>
            </w:pPr>
            <w:r>
              <w:rPr>
                <w:snapToGrid w:val="0"/>
              </w:rPr>
              <w:t>LC</w:t>
            </w:r>
          </w:p>
        </w:tc>
        <w:tc>
          <w:tcPr>
            <w:tcW w:w="755" w:type="pct"/>
            <w:shd w:val="clear" w:color="auto" w:fill="auto"/>
            <w:vAlign w:val="center"/>
          </w:tcPr>
          <w:p w14:paraId="6C17DB2A" w14:textId="77777777" w:rsidR="009F0FD1" w:rsidRDefault="009F0FD1" w:rsidP="00C6168E">
            <w:pPr>
              <w:pStyle w:val="Tabletext1"/>
              <w:jc w:val="center"/>
              <w:rPr>
                <w:snapToGrid w:val="0"/>
              </w:rPr>
            </w:pPr>
            <w:r>
              <w:rPr>
                <w:snapToGrid w:val="0"/>
              </w:rPr>
              <w:t>Not used</w:t>
            </w:r>
          </w:p>
        </w:tc>
      </w:tr>
      <w:tr w:rsidR="009F0FD1" w14:paraId="43452205" w14:textId="77777777" w:rsidTr="009F0FD1">
        <w:trPr>
          <w:cantSplit/>
        </w:trPr>
        <w:tc>
          <w:tcPr>
            <w:tcW w:w="708" w:type="pct"/>
            <w:shd w:val="clear" w:color="auto" w:fill="auto"/>
            <w:vAlign w:val="center"/>
          </w:tcPr>
          <w:p w14:paraId="2D4B2273" w14:textId="109DD288" w:rsidR="009F0FD1" w:rsidRDefault="00211285" w:rsidP="009F0FD1">
            <w:pPr>
              <w:pStyle w:val="Tabletext1"/>
              <w:rPr>
                <w:snapToGrid w:val="0"/>
              </w:rPr>
            </w:pPr>
            <w:hyperlink w:anchor="_ENREF_29" w:tooltip="Finazzi, 2020 #17" w:history="1">
              <w:r w:rsidR="001F781A">
                <w:rPr>
                  <w:snapToGrid w:val="0"/>
                </w:rPr>
                <w:fldChar w:fldCharType="begin"/>
              </w:r>
              <w:r w:rsidR="001F781A">
                <w:rPr>
                  <w:snapToGrid w:val="0"/>
                </w:rPr>
                <w:instrText xml:space="preserve"> ADDIN EN.CITE &lt;EndNote&gt;&lt;Cite AuthorYear="1"&gt;&lt;Author&gt;Finazzi&lt;/Author&gt;&lt;Year&gt;2020&lt;/Year&gt;&lt;RecNum&gt;17&lt;/RecNum&gt;&lt;DisplayText&gt;Finazzi, van Sornsen de Koste, et al. (2020)&lt;/DisplayText&gt;&lt;record&gt;&lt;rec-number&gt;17&lt;/rec-number&gt;&lt;foreign-keys&gt;&lt;key app="EN" db-id="sx5wsdwv795wvue959xxw0ptaewvdezxxp05" timestamp="1604454186"&gt;17&lt;/key&gt;&lt;/foreign-keys&gt;&lt;ref-type name="Journal Article"&gt;17&lt;/ref-type&gt;&lt;contributors&gt;&lt;authors&gt;&lt;author&gt;Finazzi, T.&lt;/author&gt;&lt;author&gt;van Sornsen de Koste, J. R.&lt;/author&gt;&lt;author&gt;Palacios, M. A.&lt;/author&gt;&lt;author&gt;Spoelstra, F. O. B.&lt;/author&gt;&lt;author&gt;Slotman, B. J.&lt;/author&gt;&lt;author&gt;Haasbeek, C. J. A.&lt;/author&gt;&lt;author&gt;Senan, S.&lt;/author&gt;&lt;/authors&gt;&lt;/contributors&gt;&lt;titles&gt;&lt;title&gt;Delivery of magnetic resonance-guided single-fraction stereotactic lung radiotherapy&lt;/title&gt;&lt;secondary-title&gt;Physics and Imaging in Radiation Oncology&lt;/secondary-title&gt;&lt;/titles&gt;&lt;pages&gt;17-23&lt;/pages&gt;&lt;volume&gt;14&lt;/volume&gt;&lt;dates&gt;&lt;year&gt;2020&lt;/year&gt;&lt;/dates&gt;&lt;accession-num&gt;2005948675&lt;/accession-num&gt;&lt;urls&gt;&lt;related-urls&gt;&lt;url&gt;https://www.journals.elsevier.com/physics-and-imaging-in-radiation-oncology/http://ezproxy.library.usyd.edu.au/login?url=http://ovidsp.ovid.com/ovidweb.cgi?T=JS&amp;amp;CSC=Y&amp;amp;NEWS=N&amp;amp;PAGE=fulltext&amp;amp;D=emexb&amp;amp;AN=2005948675https://sydney.alma.exlibrisgroup.com/openurl/&lt;/url&gt;&lt;/related-urls&gt;&lt;/urls&gt;&lt;custom2&gt;single arm safety SBRT&lt;/custom2&gt;&lt;electronic-resource-num&gt;http://dx.doi.org/10.1016/j.phro.2020.05.002&lt;/electronic-resource-num&gt;&lt;/record&gt;&lt;/Cite&gt;&lt;/EndNote&gt;</w:instrText>
              </w:r>
              <w:r w:rsidR="001F781A">
                <w:rPr>
                  <w:snapToGrid w:val="0"/>
                </w:rPr>
                <w:fldChar w:fldCharType="separate"/>
              </w:r>
              <w:r w:rsidR="001F781A">
                <w:rPr>
                  <w:noProof/>
                  <w:snapToGrid w:val="0"/>
                </w:rPr>
                <w:t>Finazzi, van Sornsen de Koste, et al. (2020)</w:t>
              </w:r>
              <w:r w:rsidR="001F781A">
                <w:rPr>
                  <w:snapToGrid w:val="0"/>
                </w:rPr>
                <w:fldChar w:fldCharType="end"/>
              </w:r>
            </w:hyperlink>
          </w:p>
        </w:tc>
        <w:tc>
          <w:tcPr>
            <w:tcW w:w="387" w:type="pct"/>
            <w:shd w:val="clear" w:color="auto" w:fill="auto"/>
            <w:vAlign w:val="center"/>
          </w:tcPr>
          <w:p w14:paraId="367550F9" w14:textId="77777777" w:rsidR="009F0FD1" w:rsidRDefault="009F0FD1" w:rsidP="00C6168E">
            <w:pPr>
              <w:pStyle w:val="Tabletext1"/>
              <w:jc w:val="center"/>
              <w:rPr>
                <w:snapToGrid w:val="0"/>
              </w:rPr>
            </w:pPr>
            <w:r>
              <w:rPr>
                <w:snapToGrid w:val="0"/>
              </w:rPr>
              <w:t>10</w:t>
            </w:r>
          </w:p>
        </w:tc>
        <w:tc>
          <w:tcPr>
            <w:tcW w:w="855" w:type="pct"/>
            <w:shd w:val="clear" w:color="auto" w:fill="auto"/>
            <w:vAlign w:val="center"/>
          </w:tcPr>
          <w:p w14:paraId="4DB026F7" w14:textId="77777777" w:rsidR="009F0FD1" w:rsidRDefault="009F0FD1" w:rsidP="00C6168E">
            <w:pPr>
              <w:pStyle w:val="Tabletext1"/>
              <w:jc w:val="center"/>
              <w:rPr>
                <w:snapToGrid w:val="0"/>
              </w:rPr>
            </w:pPr>
            <w:r>
              <w:rPr>
                <w:snapToGrid w:val="0"/>
              </w:rPr>
              <w:t>Prospective CS</w:t>
            </w:r>
          </w:p>
        </w:tc>
        <w:tc>
          <w:tcPr>
            <w:tcW w:w="572" w:type="pct"/>
            <w:shd w:val="clear" w:color="auto" w:fill="auto"/>
            <w:vAlign w:val="center"/>
          </w:tcPr>
          <w:p w14:paraId="79D3A8A5" w14:textId="005BFC3A" w:rsidR="009F0FD1" w:rsidRDefault="009F0FD1" w:rsidP="00C6168E">
            <w:pPr>
              <w:pStyle w:val="Tabletext1"/>
              <w:jc w:val="center"/>
              <w:rPr>
                <w:snapToGrid w:val="0"/>
              </w:rPr>
            </w:pPr>
            <w:r>
              <w:rPr>
                <w:snapToGrid w:val="0"/>
              </w:rPr>
              <w:t>Single-fraction SBRT</w:t>
            </w:r>
          </w:p>
        </w:tc>
        <w:tc>
          <w:tcPr>
            <w:tcW w:w="993" w:type="pct"/>
            <w:shd w:val="clear" w:color="auto" w:fill="auto"/>
            <w:vAlign w:val="center"/>
          </w:tcPr>
          <w:p w14:paraId="47F9B6C1" w14:textId="63E7E84D" w:rsidR="009F0FD1" w:rsidRPr="00A158EF" w:rsidRDefault="009F0FD1" w:rsidP="00C6168E">
            <w:pPr>
              <w:pStyle w:val="Tabletext1"/>
              <w:jc w:val="center"/>
              <w:rPr>
                <w:snapToGrid w:val="0"/>
              </w:rPr>
            </w:pPr>
            <w:r>
              <w:rPr>
                <w:snapToGrid w:val="0"/>
              </w:rPr>
              <w:t>Lung cancer, early stage</w:t>
            </w:r>
          </w:p>
        </w:tc>
        <w:tc>
          <w:tcPr>
            <w:tcW w:w="730" w:type="pct"/>
            <w:shd w:val="clear" w:color="auto" w:fill="auto"/>
            <w:vAlign w:val="center"/>
          </w:tcPr>
          <w:p w14:paraId="51E4EAD8" w14:textId="77777777" w:rsidR="009F0FD1" w:rsidRDefault="009F0FD1" w:rsidP="00C6168E">
            <w:pPr>
              <w:pStyle w:val="Tabletext1"/>
              <w:jc w:val="center"/>
              <w:rPr>
                <w:snapToGrid w:val="0"/>
              </w:rPr>
            </w:pPr>
            <w:r>
              <w:rPr>
                <w:snapToGrid w:val="0"/>
              </w:rPr>
              <w:t>Toxicity</w:t>
            </w:r>
          </w:p>
          <w:p w14:paraId="56124D6A" w14:textId="77777777" w:rsidR="009F0FD1" w:rsidRDefault="009F0FD1" w:rsidP="00C6168E">
            <w:pPr>
              <w:pStyle w:val="Tabletext1"/>
              <w:jc w:val="center"/>
              <w:rPr>
                <w:snapToGrid w:val="0"/>
              </w:rPr>
            </w:pPr>
            <w:r>
              <w:rPr>
                <w:snapToGrid w:val="0"/>
              </w:rPr>
              <w:t>Local recurrence</w:t>
            </w:r>
          </w:p>
        </w:tc>
        <w:tc>
          <w:tcPr>
            <w:tcW w:w="755" w:type="pct"/>
            <w:shd w:val="clear" w:color="auto" w:fill="auto"/>
            <w:vAlign w:val="center"/>
          </w:tcPr>
          <w:p w14:paraId="1730B965" w14:textId="77777777" w:rsidR="009F0FD1" w:rsidRDefault="009F0FD1" w:rsidP="00C6168E">
            <w:pPr>
              <w:pStyle w:val="Tabletext1"/>
              <w:jc w:val="center"/>
              <w:rPr>
                <w:snapToGrid w:val="0"/>
              </w:rPr>
            </w:pPr>
            <w:r>
              <w:rPr>
                <w:snapToGrid w:val="0"/>
              </w:rPr>
              <w:t>Not used</w:t>
            </w:r>
          </w:p>
        </w:tc>
      </w:tr>
      <w:tr w:rsidR="009F0FD1" w14:paraId="72F35DE7" w14:textId="77777777" w:rsidTr="009F0FD1">
        <w:trPr>
          <w:cantSplit/>
        </w:trPr>
        <w:tc>
          <w:tcPr>
            <w:tcW w:w="708" w:type="pct"/>
            <w:shd w:val="clear" w:color="auto" w:fill="auto"/>
            <w:vAlign w:val="center"/>
          </w:tcPr>
          <w:p w14:paraId="7861D87E" w14:textId="11A2621B" w:rsidR="009F0FD1" w:rsidRDefault="00211285" w:rsidP="009F0FD1">
            <w:pPr>
              <w:pStyle w:val="Tabletext1"/>
              <w:rPr>
                <w:snapToGrid w:val="0"/>
              </w:rPr>
            </w:pPr>
            <w:hyperlink w:anchor="_ENREF_37" w:tooltip="Henke, 2018 #18" w:history="1">
              <w:r w:rsidR="008B6FC0">
                <w:rPr>
                  <w:snapToGrid w:val="0"/>
                </w:rPr>
                <w:fldChar w:fldCharType="begin"/>
              </w:r>
              <w:r w:rsidR="008B6FC0">
                <w:rPr>
                  <w:snapToGrid w:val="0"/>
                </w:rPr>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rPr>
                  <w:snapToGrid w:val="0"/>
                </w:rPr>
                <w:fldChar w:fldCharType="separate"/>
              </w:r>
              <w:r w:rsidR="008B6FC0">
                <w:rPr>
                  <w:noProof/>
                  <w:snapToGrid w:val="0"/>
                </w:rPr>
                <w:t>Henke et al. (2018)</w:t>
              </w:r>
              <w:r w:rsidR="008B6FC0">
                <w:rPr>
                  <w:snapToGrid w:val="0"/>
                </w:rPr>
                <w:fldChar w:fldCharType="end"/>
              </w:r>
            </w:hyperlink>
          </w:p>
        </w:tc>
        <w:tc>
          <w:tcPr>
            <w:tcW w:w="387" w:type="pct"/>
            <w:shd w:val="clear" w:color="auto" w:fill="auto"/>
            <w:vAlign w:val="center"/>
          </w:tcPr>
          <w:p w14:paraId="5CBB5BEC" w14:textId="7F93B8F9" w:rsidR="009F0FD1" w:rsidRDefault="009F0FD1" w:rsidP="00C6168E">
            <w:pPr>
              <w:pStyle w:val="Tabletext1"/>
              <w:jc w:val="center"/>
              <w:rPr>
                <w:snapToGrid w:val="0"/>
              </w:rPr>
            </w:pPr>
            <w:r>
              <w:rPr>
                <w:snapToGrid w:val="0"/>
              </w:rPr>
              <w:t>20</w:t>
            </w:r>
          </w:p>
        </w:tc>
        <w:tc>
          <w:tcPr>
            <w:tcW w:w="855" w:type="pct"/>
            <w:shd w:val="clear" w:color="auto" w:fill="auto"/>
            <w:vAlign w:val="center"/>
          </w:tcPr>
          <w:p w14:paraId="1AC25A35" w14:textId="612C2BBB" w:rsidR="009F0FD1" w:rsidRDefault="009F0FD1" w:rsidP="00C6168E">
            <w:pPr>
              <w:pStyle w:val="Tabletext1"/>
              <w:jc w:val="center"/>
              <w:rPr>
                <w:snapToGrid w:val="0"/>
              </w:rPr>
            </w:pPr>
            <w:r>
              <w:rPr>
                <w:snapToGrid w:val="0"/>
              </w:rPr>
              <w:t>Prospective CS</w:t>
            </w:r>
          </w:p>
        </w:tc>
        <w:tc>
          <w:tcPr>
            <w:tcW w:w="572" w:type="pct"/>
            <w:shd w:val="clear" w:color="auto" w:fill="auto"/>
            <w:vAlign w:val="center"/>
          </w:tcPr>
          <w:p w14:paraId="2D0B6531" w14:textId="52C7CAC2" w:rsidR="009F0FD1" w:rsidRDefault="009F0FD1" w:rsidP="00C6168E">
            <w:pPr>
              <w:pStyle w:val="Tabletext1"/>
              <w:jc w:val="center"/>
              <w:rPr>
                <w:snapToGrid w:val="0"/>
              </w:rPr>
            </w:pPr>
            <w:r>
              <w:rPr>
                <w:snapToGrid w:val="0"/>
              </w:rPr>
              <w:t>SBRT</w:t>
            </w:r>
          </w:p>
        </w:tc>
        <w:tc>
          <w:tcPr>
            <w:tcW w:w="993" w:type="pct"/>
            <w:shd w:val="clear" w:color="auto" w:fill="auto"/>
            <w:vAlign w:val="center"/>
          </w:tcPr>
          <w:p w14:paraId="2935DCA6" w14:textId="55BA5535" w:rsidR="009F0FD1" w:rsidRDefault="009F0FD1" w:rsidP="00C6168E">
            <w:pPr>
              <w:pStyle w:val="Tabletext1"/>
              <w:jc w:val="center"/>
              <w:rPr>
                <w:snapToGrid w:val="0"/>
              </w:rPr>
            </w:pPr>
            <w:r>
              <w:rPr>
                <w:snapToGrid w:val="0"/>
              </w:rPr>
              <w:t>Abdominal malignancies, liver or non-liver, o</w:t>
            </w:r>
            <w:r w:rsidRPr="00AF183C">
              <w:rPr>
                <w:snapToGrid w:val="0"/>
              </w:rPr>
              <w:t>ligometastatic or</w:t>
            </w:r>
            <w:r>
              <w:rPr>
                <w:snapToGrid w:val="0"/>
              </w:rPr>
              <w:t xml:space="preserve"> </w:t>
            </w:r>
            <w:r w:rsidRPr="00AF183C">
              <w:rPr>
                <w:snapToGrid w:val="0"/>
              </w:rPr>
              <w:t xml:space="preserve">unresectable primary </w:t>
            </w:r>
            <w:r>
              <w:rPr>
                <w:snapToGrid w:val="0"/>
              </w:rPr>
              <w:t>malignancies</w:t>
            </w:r>
          </w:p>
        </w:tc>
        <w:tc>
          <w:tcPr>
            <w:tcW w:w="730" w:type="pct"/>
            <w:shd w:val="clear" w:color="auto" w:fill="auto"/>
            <w:vAlign w:val="center"/>
          </w:tcPr>
          <w:p w14:paraId="3251E75E" w14:textId="77777777" w:rsidR="009F0FD1" w:rsidRDefault="009F0FD1" w:rsidP="00C6168E">
            <w:pPr>
              <w:pStyle w:val="Tabletext1"/>
              <w:jc w:val="center"/>
              <w:rPr>
                <w:snapToGrid w:val="0"/>
              </w:rPr>
            </w:pPr>
            <w:r>
              <w:rPr>
                <w:snapToGrid w:val="0"/>
              </w:rPr>
              <w:t>Toxicity</w:t>
            </w:r>
          </w:p>
          <w:p w14:paraId="0B25BD8B" w14:textId="6863BF33" w:rsidR="009F0FD1" w:rsidRDefault="009F0FD1" w:rsidP="00C6168E">
            <w:pPr>
              <w:pStyle w:val="Tabletext1"/>
              <w:jc w:val="center"/>
              <w:rPr>
                <w:snapToGrid w:val="0"/>
              </w:rPr>
            </w:pPr>
            <w:r>
              <w:rPr>
                <w:snapToGrid w:val="0"/>
              </w:rPr>
              <w:t>OS</w:t>
            </w:r>
          </w:p>
          <w:p w14:paraId="41E54068" w14:textId="55AAE569" w:rsidR="009F0FD1" w:rsidRDefault="009F0FD1" w:rsidP="00C6168E">
            <w:pPr>
              <w:pStyle w:val="Tabletext1"/>
              <w:jc w:val="center"/>
              <w:rPr>
                <w:snapToGrid w:val="0"/>
              </w:rPr>
            </w:pPr>
            <w:r>
              <w:rPr>
                <w:snapToGrid w:val="0"/>
              </w:rPr>
              <w:t>PFS</w:t>
            </w:r>
          </w:p>
          <w:p w14:paraId="67BF0511" w14:textId="04872638" w:rsidR="009F0FD1" w:rsidRDefault="009F0FD1" w:rsidP="00C6168E">
            <w:pPr>
              <w:pStyle w:val="Tabletext1"/>
              <w:jc w:val="center"/>
              <w:rPr>
                <w:snapToGrid w:val="0"/>
              </w:rPr>
            </w:pPr>
            <w:r>
              <w:rPr>
                <w:snapToGrid w:val="0"/>
              </w:rPr>
              <w:t>Patient-reported Q</w:t>
            </w:r>
            <w:r w:rsidR="00E03DB6">
              <w:rPr>
                <w:snapToGrid w:val="0"/>
              </w:rPr>
              <w:t>o</w:t>
            </w:r>
            <w:r>
              <w:rPr>
                <w:snapToGrid w:val="0"/>
              </w:rPr>
              <w:t>L</w:t>
            </w:r>
          </w:p>
        </w:tc>
        <w:tc>
          <w:tcPr>
            <w:tcW w:w="755" w:type="pct"/>
            <w:shd w:val="clear" w:color="auto" w:fill="auto"/>
            <w:vAlign w:val="center"/>
          </w:tcPr>
          <w:p w14:paraId="26324E52" w14:textId="6B600ADA" w:rsidR="009F0FD1" w:rsidRDefault="009F0FD1" w:rsidP="00C6168E">
            <w:pPr>
              <w:pStyle w:val="Tabletext1"/>
              <w:jc w:val="center"/>
              <w:rPr>
                <w:snapToGrid w:val="0"/>
              </w:rPr>
            </w:pPr>
            <w:r>
              <w:rPr>
                <w:snapToGrid w:val="0"/>
              </w:rPr>
              <w:t>Not used</w:t>
            </w:r>
          </w:p>
        </w:tc>
      </w:tr>
      <w:tr w:rsidR="009F0FD1" w:rsidRPr="00CE45B9" w14:paraId="619FF867" w14:textId="77777777" w:rsidTr="009F0FD1">
        <w:trPr>
          <w:cantSplit/>
        </w:trPr>
        <w:tc>
          <w:tcPr>
            <w:tcW w:w="708" w:type="pct"/>
            <w:shd w:val="clear" w:color="auto" w:fill="auto"/>
            <w:vAlign w:val="center"/>
          </w:tcPr>
          <w:p w14:paraId="3628973F" w14:textId="1D9A7037" w:rsidR="009F0FD1" w:rsidRPr="00CE45B9" w:rsidRDefault="00211285" w:rsidP="009F0FD1">
            <w:pPr>
              <w:pStyle w:val="Tabletext1"/>
              <w:rPr>
                <w:snapToGrid w:val="0"/>
              </w:rPr>
            </w:pPr>
            <w:hyperlink w:anchor="_ENREF_48" w:tooltip="Kluter, 2020 #20" w:history="1">
              <w:r w:rsidR="008B6FC0">
                <w:rPr>
                  <w:snapToGrid w:val="0"/>
                </w:rPr>
                <w:fldChar w:fldCharType="begin"/>
              </w:r>
              <w:r w:rsidR="008B6FC0">
                <w:rPr>
                  <w:snapToGrid w:val="0"/>
                </w:rPr>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rPr>
                  <w:snapToGrid w:val="0"/>
                </w:rPr>
                <w:fldChar w:fldCharType="separate"/>
              </w:r>
              <w:r w:rsidR="008B6FC0">
                <w:rPr>
                  <w:noProof/>
                  <w:snapToGrid w:val="0"/>
                </w:rPr>
                <w:t>Kluter et al. (2020)</w:t>
              </w:r>
              <w:r w:rsidR="008B6FC0">
                <w:rPr>
                  <w:snapToGrid w:val="0"/>
                </w:rPr>
                <w:fldChar w:fldCharType="end"/>
              </w:r>
            </w:hyperlink>
          </w:p>
        </w:tc>
        <w:tc>
          <w:tcPr>
            <w:tcW w:w="387" w:type="pct"/>
            <w:shd w:val="clear" w:color="auto" w:fill="auto"/>
            <w:vAlign w:val="center"/>
          </w:tcPr>
          <w:p w14:paraId="64724674" w14:textId="3E040146" w:rsidR="009F0FD1" w:rsidRPr="00CE45B9" w:rsidRDefault="009F0FD1" w:rsidP="00C6168E">
            <w:pPr>
              <w:pStyle w:val="Tabletext1"/>
              <w:jc w:val="center"/>
              <w:rPr>
                <w:snapToGrid w:val="0"/>
              </w:rPr>
            </w:pPr>
            <w:r>
              <w:rPr>
                <w:snapToGrid w:val="0"/>
              </w:rPr>
              <w:t>43</w:t>
            </w:r>
          </w:p>
        </w:tc>
        <w:tc>
          <w:tcPr>
            <w:tcW w:w="855" w:type="pct"/>
            <w:shd w:val="clear" w:color="auto" w:fill="auto"/>
            <w:vAlign w:val="center"/>
          </w:tcPr>
          <w:p w14:paraId="0F05AC88" w14:textId="3AB1A163" w:rsidR="009F0FD1" w:rsidRPr="00CE45B9" w:rsidRDefault="009F0FD1" w:rsidP="00C6168E">
            <w:pPr>
              <w:pStyle w:val="Tabletext1"/>
              <w:jc w:val="center"/>
              <w:rPr>
                <w:snapToGrid w:val="0"/>
              </w:rPr>
            </w:pPr>
            <w:r>
              <w:rPr>
                <w:snapToGrid w:val="0"/>
              </w:rPr>
              <w:t>Prospective CS</w:t>
            </w:r>
          </w:p>
        </w:tc>
        <w:tc>
          <w:tcPr>
            <w:tcW w:w="572" w:type="pct"/>
            <w:shd w:val="clear" w:color="auto" w:fill="auto"/>
            <w:vAlign w:val="center"/>
          </w:tcPr>
          <w:p w14:paraId="67B88F75" w14:textId="182FDDD7" w:rsidR="009F0FD1" w:rsidRPr="005E18C3" w:rsidRDefault="009F0FD1" w:rsidP="00C6168E">
            <w:pPr>
              <w:pStyle w:val="Tabletext1"/>
              <w:jc w:val="center"/>
              <w:rPr>
                <w:snapToGrid w:val="0"/>
              </w:rPr>
            </w:pPr>
            <w:r>
              <w:rPr>
                <w:snapToGrid w:val="0"/>
              </w:rPr>
              <w:t>SBRT, other non-specified</w:t>
            </w:r>
          </w:p>
        </w:tc>
        <w:tc>
          <w:tcPr>
            <w:tcW w:w="993" w:type="pct"/>
            <w:shd w:val="clear" w:color="auto" w:fill="auto"/>
            <w:vAlign w:val="center"/>
          </w:tcPr>
          <w:p w14:paraId="2E64623B" w14:textId="689CCB9A" w:rsidR="009F0FD1" w:rsidRPr="00CE45B9" w:rsidRDefault="009F0FD1" w:rsidP="00C6168E">
            <w:pPr>
              <w:pStyle w:val="Tabletext1"/>
              <w:jc w:val="center"/>
              <w:rPr>
                <w:snapToGrid w:val="0"/>
              </w:rPr>
            </w:pPr>
            <w:r>
              <w:rPr>
                <w:snapToGrid w:val="0"/>
              </w:rPr>
              <w:t xml:space="preserve">Various malignancies </w:t>
            </w:r>
            <w:r>
              <w:t>and metastases</w:t>
            </w:r>
          </w:p>
        </w:tc>
        <w:tc>
          <w:tcPr>
            <w:tcW w:w="730" w:type="pct"/>
            <w:shd w:val="clear" w:color="auto" w:fill="auto"/>
            <w:vAlign w:val="center"/>
          </w:tcPr>
          <w:p w14:paraId="623BB5D9" w14:textId="77777777" w:rsidR="009F0FD1" w:rsidRDefault="009F0FD1" w:rsidP="00C6168E">
            <w:pPr>
              <w:pStyle w:val="Tabletext1"/>
              <w:jc w:val="center"/>
              <w:rPr>
                <w:snapToGrid w:val="0"/>
              </w:rPr>
            </w:pPr>
            <w:r>
              <w:rPr>
                <w:snapToGrid w:val="0"/>
              </w:rPr>
              <w:t>Toxicity</w:t>
            </w:r>
          </w:p>
          <w:p w14:paraId="69A51702" w14:textId="27BC3D0B" w:rsidR="009F0FD1" w:rsidRPr="00CE45B9" w:rsidRDefault="009F0FD1" w:rsidP="00C6168E">
            <w:pPr>
              <w:pStyle w:val="Tabletext1"/>
              <w:jc w:val="center"/>
              <w:rPr>
                <w:snapToGrid w:val="0"/>
              </w:rPr>
            </w:pPr>
            <w:r>
              <w:rPr>
                <w:snapToGrid w:val="0"/>
              </w:rPr>
              <w:t>Patient tolerance</w:t>
            </w:r>
          </w:p>
        </w:tc>
        <w:tc>
          <w:tcPr>
            <w:tcW w:w="755" w:type="pct"/>
            <w:shd w:val="clear" w:color="auto" w:fill="auto"/>
            <w:vAlign w:val="center"/>
          </w:tcPr>
          <w:p w14:paraId="7D708B61" w14:textId="7F5E3BC5" w:rsidR="009F0FD1" w:rsidRPr="00CE45B9" w:rsidRDefault="009F0FD1" w:rsidP="00C6168E">
            <w:pPr>
              <w:pStyle w:val="Tabletext1"/>
              <w:jc w:val="center"/>
              <w:rPr>
                <w:snapToGrid w:val="0"/>
              </w:rPr>
            </w:pPr>
            <w:r>
              <w:rPr>
                <w:snapToGrid w:val="0"/>
              </w:rPr>
              <w:t>Not used</w:t>
            </w:r>
          </w:p>
        </w:tc>
      </w:tr>
      <w:tr w:rsidR="009F0FD1" w:rsidRPr="00CE45B9" w14:paraId="1FE6C6D2" w14:textId="77777777" w:rsidTr="009F0FD1">
        <w:trPr>
          <w:cantSplit/>
        </w:trPr>
        <w:tc>
          <w:tcPr>
            <w:tcW w:w="708" w:type="pct"/>
            <w:shd w:val="clear" w:color="auto" w:fill="auto"/>
            <w:vAlign w:val="center"/>
          </w:tcPr>
          <w:p w14:paraId="51098479" w14:textId="48CFAF9E" w:rsidR="009F0FD1" w:rsidRPr="00CE45B9" w:rsidRDefault="00211285" w:rsidP="009F0FD1">
            <w:pPr>
              <w:pStyle w:val="Tabletext1"/>
              <w:rPr>
                <w:snapToGrid w:val="0"/>
              </w:rPr>
            </w:pPr>
            <w:hyperlink w:anchor="_ENREF_60" w:tooltip="Rosenberg, 2019 #25" w:history="1">
              <w:r w:rsidR="008B6FC0">
                <w:rPr>
                  <w:snapToGrid w:val="0"/>
                </w:rPr>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rPr>
                  <w:snapToGrid w:val="0"/>
                </w:rPr>
                <w:instrText xml:space="preserve"> ADDIN EN.CITE </w:instrText>
              </w:r>
              <w:r w:rsidR="008B6FC0">
                <w:rPr>
                  <w:snapToGrid w:val="0"/>
                </w:rPr>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rPr>
                  <w:snapToGrid w:val="0"/>
                </w:rPr>
                <w:instrText xml:space="preserve"> ADDIN EN.CITE.DATA </w:instrText>
              </w:r>
              <w:r w:rsidR="008B6FC0">
                <w:rPr>
                  <w:snapToGrid w:val="0"/>
                </w:rPr>
              </w:r>
              <w:r w:rsidR="008B6FC0">
                <w:rPr>
                  <w:snapToGrid w:val="0"/>
                </w:rPr>
                <w:fldChar w:fldCharType="end"/>
              </w:r>
              <w:r w:rsidR="008B6FC0">
                <w:rPr>
                  <w:snapToGrid w:val="0"/>
                </w:rPr>
              </w:r>
              <w:r w:rsidR="008B6FC0">
                <w:rPr>
                  <w:snapToGrid w:val="0"/>
                </w:rPr>
                <w:fldChar w:fldCharType="separate"/>
              </w:r>
              <w:r w:rsidR="008B6FC0">
                <w:rPr>
                  <w:noProof/>
                  <w:snapToGrid w:val="0"/>
                </w:rPr>
                <w:t>Rosenberg et al. (2019)</w:t>
              </w:r>
              <w:r w:rsidR="008B6FC0">
                <w:rPr>
                  <w:snapToGrid w:val="0"/>
                </w:rPr>
                <w:fldChar w:fldCharType="end"/>
              </w:r>
            </w:hyperlink>
          </w:p>
        </w:tc>
        <w:tc>
          <w:tcPr>
            <w:tcW w:w="387" w:type="pct"/>
            <w:shd w:val="clear" w:color="auto" w:fill="auto"/>
            <w:vAlign w:val="center"/>
          </w:tcPr>
          <w:p w14:paraId="32840C4F" w14:textId="6F982757" w:rsidR="009F0FD1" w:rsidRPr="00CE45B9" w:rsidRDefault="009F0FD1" w:rsidP="00C6168E">
            <w:pPr>
              <w:pStyle w:val="Tabletext1"/>
              <w:jc w:val="center"/>
              <w:rPr>
                <w:snapToGrid w:val="0"/>
              </w:rPr>
            </w:pPr>
            <w:r>
              <w:rPr>
                <w:snapToGrid w:val="0"/>
              </w:rPr>
              <w:t>26</w:t>
            </w:r>
          </w:p>
        </w:tc>
        <w:tc>
          <w:tcPr>
            <w:tcW w:w="855" w:type="pct"/>
            <w:shd w:val="clear" w:color="auto" w:fill="auto"/>
            <w:vAlign w:val="center"/>
          </w:tcPr>
          <w:p w14:paraId="0ED8F145" w14:textId="3B2A1A35" w:rsidR="009F0FD1" w:rsidRPr="00CE45B9" w:rsidRDefault="009F0FD1" w:rsidP="00C6168E">
            <w:pPr>
              <w:pStyle w:val="Tabletext1"/>
              <w:jc w:val="center"/>
              <w:rPr>
                <w:snapToGrid w:val="0"/>
              </w:rPr>
            </w:pPr>
            <w:r>
              <w:rPr>
                <w:snapToGrid w:val="0"/>
              </w:rPr>
              <w:t>Prospective CS</w:t>
            </w:r>
          </w:p>
        </w:tc>
        <w:tc>
          <w:tcPr>
            <w:tcW w:w="572" w:type="pct"/>
            <w:shd w:val="clear" w:color="auto" w:fill="auto"/>
            <w:vAlign w:val="center"/>
          </w:tcPr>
          <w:p w14:paraId="33AC8AE1" w14:textId="5D27FD62" w:rsidR="009F0FD1" w:rsidRPr="00CE45B9" w:rsidRDefault="009F0FD1" w:rsidP="00C6168E">
            <w:pPr>
              <w:pStyle w:val="Tabletext1"/>
              <w:jc w:val="center"/>
              <w:rPr>
                <w:snapToGrid w:val="0"/>
              </w:rPr>
            </w:pPr>
            <w:r>
              <w:rPr>
                <w:snapToGrid w:val="0"/>
              </w:rPr>
              <w:t>SBRT</w:t>
            </w:r>
          </w:p>
        </w:tc>
        <w:tc>
          <w:tcPr>
            <w:tcW w:w="993" w:type="pct"/>
            <w:shd w:val="clear" w:color="auto" w:fill="auto"/>
            <w:vAlign w:val="center"/>
          </w:tcPr>
          <w:p w14:paraId="7D58B705" w14:textId="78C0FF36" w:rsidR="009F0FD1" w:rsidRPr="00CE45B9" w:rsidRDefault="009F0FD1" w:rsidP="00C6168E">
            <w:pPr>
              <w:pStyle w:val="Tabletext1"/>
              <w:jc w:val="center"/>
              <w:rPr>
                <w:snapToGrid w:val="0"/>
              </w:rPr>
            </w:pPr>
            <w:r>
              <w:t>Liver cancer, HCC or liver metastases</w:t>
            </w:r>
          </w:p>
        </w:tc>
        <w:tc>
          <w:tcPr>
            <w:tcW w:w="730" w:type="pct"/>
            <w:shd w:val="clear" w:color="auto" w:fill="auto"/>
            <w:vAlign w:val="center"/>
          </w:tcPr>
          <w:p w14:paraId="1F0BC3AA" w14:textId="62308C84" w:rsidR="009F0FD1" w:rsidRDefault="009F0FD1" w:rsidP="00C6168E">
            <w:pPr>
              <w:pStyle w:val="Tabletext1"/>
              <w:jc w:val="center"/>
              <w:rPr>
                <w:snapToGrid w:val="0"/>
              </w:rPr>
            </w:pPr>
            <w:r>
              <w:rPr>
                <w:snapToGrid w:val="0"/>
              </w:rPr>
              <w:t>OS</w:t>
            </w:r>
          </w:p>
          <w:p w14:paraId="4F72407D" w14:textId="215E0CC7" w:rsidR="009F0FD1" w:rsidRPr="00CE45B9" w:rsidRDefault="009F0FD1" w:rsidP="00C6168E">
            <w:pPr>
              <w:pStyle w:val="Tabletext1"/>
              <w:jc w:val="center"/>
              <w:rPr>
                <w:snapToGrid w:val="0"/>
              </w:rPr>
            </w:pPr>
            <w:r>
              <w:rPr>
                <w:snapToGrid w:val="0"/>
              </w:rPr>
              <w:t>PFS</w:t>
            </w:r>
          </w:p>
        </w:tc>
        <w:tc>
          <w:tcPr>
            <w:tcW w:w="755" w:type="pct"/>
            <w:shd w:val="clear" w:color="auto" w:fill="auto"/>
            <w:vAlign w:val="center"/>
          </w:tcPr>
          <w:p w14:paraId="6D20D70C" w14:textId="301CF4BA" w:rsidR="009F0FD1" w:rsidRPr="00CE45B9" w:rsidRDefault="009F0FD1" w:rsidP="00C6168E">
            <w:pPr>
              <w:pStyle w:val="Tabletext1"/>
              <w:jc w:val="center"/>
              <w:rPr>
                <w:snapToGrid w:val="0"/>
              </w:rPr>
            </w:pPr>
            <w:r>
              <w:rPr>
                <w:snapToGrid w:val="0"/>
              </w:rPr>
              <w:t>Not used</w:t>
            </w:r>
          </w:p>
        </w:tc>
      </w:tr>
      <w:tr w:rsidR="009F0FD1" w14:paraId="3D86661E" w14:textId="77777777" w:rsidTr="009F0FD1">
        <w:trPr>
          <w:cantSplit/>
        </w:trPr>
        <w:tc>
          <w:tcPr>
            <w:tcW w:w="708" w:type="pct"/>
            <w:shd w:val="clear" w:color="auto" w:fill="auto"/>
            <w:vAlign w:val="center"/>
          </w:tcPr>
          <w:p w14:paraId="76461F6E" w14:textId="62911EBB" w:rsidR="009F0FD1" w:rsidRDefault="00211285" w:rsidP="009F0FD1">
            <w:pPr>
              <w:pStyle w:val="Tabletext1"/>
              <w:rPr>
                <w:snapToGrid w:val="0"/>
              </w:rPr>
            </w:pPr>
            <w:hyperlink w:anchor="_ENREF_61" w:tooltip="Rudra, 2019 #22" w:history="1">
              <w:r w:rsidR="008B6FC0">
                <w:rPr>
                  <w:snapToGrid w:val="0"/>
                </w:rPr>
                <w:fldChar w:fldCharType="begin"/>
              </w:r>
              <w:r w:rsidR="008B6FC0">
                <w:rPr>
                  <w:snapToGrid w:val="0"/>
                </w:rPr>
                <w:instrText xml:space="preserve"> ADDIN EN.CITE &lt;EndNote&gt;&lt;Cite AuthorYear="1"&gt;&lt;Author&gt;Rudra&lt;/Author&gt;&lt;Year&gt;2019&lt;/Year&gt;&lt;RecNum&gt;22&lt;/RecNum&gt;&lt;DisplayText&gt;Rudra et al. (2019)&lt;/DisplayText&gt;&lt;record&gt;&lt;rec-number&gt;22&lt;/rec-number&gt;&lt;foreign-keys&gt;&lt;key app="EN" db-id="sx5wsdwv795wvue959xxw0ptaewvdezxxp05" timestamp="1604454187"&gt;22&lt;/key&gt;&lt;/foreign-keys&gt;&lt;ref-type name="Journal Article"&gt;17&lt;/ref-type&gt;&lt;contributors&gt;&lt;authors&gt;&lt;author&gt;Rudra, S.&lt;/author&gt;&lt;author&gt;Jiang, N.&lt;/author&gt;&lt;author&gt;Rosenberg, S. A.&lt;/author&gt;&lt;author&gt;Olsen, J. R.&lt;/author&gt;&lt;author&gt;Roach, M. C.&lt;/author&gt;&lt;author&gt;Wan, L.&lt;/author&gt;&lt;author&gt;Portelance, L.&lt;/author&gt;&lt;author&gt;Mellon, E. A.&lt;/author&gt;&lt;author&gt;Bruynzeel, A.&lt;/author&gt;&lt;author&gt;Lagerwaard, F.&lt;/author&gt;&lt;author&gt;Bassetti, M. F.&lt;/author&gt;&lt;author&gt;Parikh, P. J.&lt;/author&gt;&lt;author&gt;Lee, P. P.&lt;/author&gt;&lt;/authors&gt;&lt;/contributors&gt;&lt;titles&gt;&lt;title&gt;Using adaptive magnetic resonance image-guided radiation therapy for treatment of inoperable pancreatic cancer&lt;/title&gt;&lt;secondary-title&gt;Cancer Med&lt;/secondary-title&gt;&lt;/titles&gt;&lt;pages&gt;2123-2132&lt;/pages&gt;&lt;volume&gt;8&lt;/volume&gt;&lt;number&gt;5&lt;/number&gt;&lt;dates&gt;&lt;year&gt;2019&lt;/year&gt;&lt;/dates&gt;&lt;accession-num&gt;30932367&lt;/accession-num&gt;&lt;urls&gt;&lt;related-urls&gt;&lt;url&gt;http://ezproxy.library.usyd.edu.au/login?url=http://ovidsp.ovid.com/ovidweb.cgi?T=JS&amp;amp;CSC=Y&amp;amp;NEWS=N&amp;amp;PAGE=fulltext&amp;amp;D=medl&amp;amp;AN=30932367https://sydney.alma.exlibrisgroup.com/openurl/61USYD_INST/61USYD_INST:sydney?sid=OVID:medline&amp;amp;id=pmid:30932367&amp;amp;id=doi:10.1002&lt;/url&gt;&lt;url&gt;https://www.ncbi.nlm.nih.gov/pmc/articles/PMC6536981/pdf/CAM4-8-2123.pdf&lt;/url&gt;&lt;/related-urls&gt;&lt;/urls&gt;&lt;custom2&gt;Include- Single Arm, Safety&lt;/custom2&gt;&lt;electronic-resource-num&gt;https://dx.doi.org/10.1002/cam4.2100&lt;/electronic-resource-num&gt;&lt;/record&gt;&lt;/Cite&gt;&lt;/EndNote&gt;</w:instrText>
              </w:r>
              <w:r w:rsidR="008B6FC0">
                <w:rPr>
                  <w:snapToGrid w:val="0"/>
                </w:rPr>
                <w:fldChar w:fldCharType="separate"/>
              </w:r>
              <w:r w:rsidR="008B6FC0">
                <w:rPr>
                  <w:noProof/>
                  <w:snapToGrid w:val="0"/>
                </w:rPr>
                <w:t>Rudra et al. (2019)</w:t>
              </w:r>
              <w:r w:rsidR="008B6FC0">
                <w:rPr>
                  <w:snapToGrid w:val="0"/>
                </w:rPr>
                <w:fldChar w:fldCharType="end"/>
              </w:r>
            </w:hyperlink>
          </w:p>
        </w:tc>
        <w:tc>
          <w:tcPr>
            <w:tcW w:w="387" w:type="pct"/>
            <w:shd w:val="clear" w:color="auto" w:fill="auto"/>
            <w:vAlign w:val="center"/>
          </w:tcPr>
          <w:p w14:paraId="7B30C7E4" w14:textId="35C1E7E3" w:rsidR="009F0FD1" w:rsidRDefault="009F0FD1" w:rsidP="00C6168E">
            <w:pPr>
              <w:pStyle w:val="Tabletext1"/>
              <w:jc w:val="center"/>
              <w:rPr>
                <w:snapToGrid w:val="0"/>
              </w:rPr>
            </w:pPr>
            <w:r>
              <w:rPr>
                <w:snapToGrid w:val="0"/>
              </w:rPr>
              <w:t>44</w:t>
            </w:r>
          </w:p>
        </w:tc>
        <w:tc>
          <w:tcPr>
            <w:tcW w:w="855" w:type="pct"/>
            <w:shd w:val="clear" w:color="auto" w:fill="auto"/>
            <w:vAlign w:val="center"/>
          </w:tcPr>
          <w:p w14:paraId="197160E7" w14:textId="6AE9CFBF" w:rsidR="009F0FD1" w:rsidRDefault="009F0FD1" w:rsidP="00C6168E">
            <w:pPr>
              <w:pStyle w:val="Tabletext1"/>
              <w:jc w:val="center"/>
              <w:rPr>
                <w:snapToGrid w:val="0"/>
              </w:rPr>
            </w:pPr>
            <w:r>
              <w:rPr>
                <w:snapToGrid w:val="0"/>
              </w:rPr>
              <w:t>Retrospective Coh</w:t>
            </w:r>
          </w:p>
        </w:tc>
        <w:tc>
          <w:tcPr>
            <w:tcW w:w="572" w:type="pct"/>
            <w:shd w:val="clear" w:color="auto" w:fill="auto"/>
            <w:vAlign w:val="center"/>
          </w:tcPr>
          <w:p w14:paraId="2D9F4720" w14:textId="26D3BBE3" w:rsidR="009F0FD1" w:rsidRDefault="009F0FD1" w:rsidP="00C6168E">
            <w:pPr>
              <w:pStyle w:val="Tabletext1"/>
              <w:jc w:val="center"/>
              <w:rPr>
                <w:snapToGrid w:val="0"/>
              </w:rPr>
            </w:pPr>
            <w:r>
              <w:t>SBRT (conventional fractionated, conventional SBRT, high-dose SBRT, hypo-fractionated)</w:t>
            </w:r>
          </w:p>
        </w:tc>
        <w:tc>
          <w:tcPr>
            <w:tcW w:w="993" w:type="pct"/>
            <w:shd w:val="clear" w:color="auto" w:fill="auto"/>
            <w:vAlign w:val="center"/>
          </w:tcPr>
          <w:p w14:paraId="52785BDC" w14:textId="23DBC3B7" w:rsidR="009F0FD1" w:rsidRDefault="009F0FD1" w:rsidP="00C6168E">
            <w:pPr>
              <w:pStyle w:val="Tabletext1"/>
              <w:jc w:val="center"/>
              <w:rPr>
                <w:snapToGrid w:val="0"/>
              </w:rPr>
            </w:pPr>
            <w:r>
              <w:rPr>
                <w:snapToGrid w:val="0"/>
              </w:rPr>
              <w:t>P</w:t>
            </w:r>
            <w:r w:rsidRPr="00524A7A">
              <w:rPr>
                <w:snapToGrid w:val="0"/>
              </w:rPr>
              <w:t>ancreatic cancer</w:t>
            </w:r>
            <w:r>
              <w:rPr>
                <w:snapToGrid w:val="0"/>
              </w:rPr>
              <w:t>, b</w:t>
            </w:r>
            <w:r w:rsidRPr="00524A7A">
              <w:rPr>
                <w:snapToGrid w:val="0"/>
              </w:rPr>
              <w:t>iopsy</w:t>
            </w:r>
            <w:r w:rsidRPr="00524A7A">
              <w:rPr>
                <w:rFonts w:ascii="Cambria Math" w:hAnsi="Cambria Math" w:cs="Cambria Math"/>
                <w:snapToGrid w:val="0"/>
              </w:rPr>
              <w:t>‐</w:t>
            </w:r>
            <w:r w:rsidRPr="00524A7A">
              <w:rPr>
                <w:snapToGrid w:val="0"/>
              </w:rPr>
              <w:t>proven, inoperable</w:t>
            </w:r>
          </w:p>
        </w:tc>
        <w:tc>
          <w:tcPr>
            <w:tcW w:w="730" w:type="pct"/>
            <w:shd w:val="clear" w:color="auto" w:fill="auto"/>
            <w:vAlign w:val="center"/>
          </w:tcPr>
          <w:p w14:paraId="4791F560" w14:textId="40F00B90" w:rsidR="009F0FD1" w:rsidRDefault="009F0FD1" w:rsidP="00C6168E">
            <w:pPr>
              <w:pStyle w:val="Tabletext1"/>
              <w:jc w:val="center"/>
              <w:rPr>
                <w:snapToGrid w:val="0"/>
              </w:rPr>
            </w:pPr>
            <w:r>
              <w:rPr>
                <w:snapToGrid w:val="0"/>
              </w:rPr>
              <w:t>Toxicity</w:t>
            </w:r>
          </w:p>
        </w:tc>
        <w:tc>
          <w:tcPr>
            <w:tcW w:w="755" w:type="pct"/>
            <w:shd w:val="clear" w:color="auto" w:fill="auto"/>
            <w:vAlign w:val="center"/>
          </w:tcPr>
          <w:p w14:paraId="457F3E50" w14:textId="53F8631C" w:rsidR="009F0FD1" w:rsidRDefault="009F0FD1" w:rsidP="00C6168E">
            <w:pPr>
              <w:pStyle w:val="Tabletext1"/>
              <w:jc w:val="center"/>
              <w:rPr>
                <w:snapToGrid w:val="0"/>
              </w:rPr>
            </w:pPr>
            <w:r>
              <w:rPr>
                <w:snapToGrid w:val="0"/>
              </w:rPr>
              <w:t>Not used</w:t>
            </w:r>
          </w:p>
        </w:tc>
      </w:tr>
      <w:tr w:rsidR="009F0FD1" w:rsidRPr="00CE45B9" w14:paraId="39B0E264" w14:textId="77777777" w:rsidTr="009F0FD1">
        <w:trPr>
          <w:cantSplit/>
        </w:trPr>
        <w:tc>
          <w:tcPr>
            <w:tcW w:w="708" w:type="pct"/>
            <w:shd w:val="clear" w:color="auto" w:fill="auto"/>
            <w:vAlign w:val="center"/>
          </w:tcPr>
          <w:p w14:paraId="736629A6" w14:textId="7454E012" w:rsidR="009F0FD1" w:rsidRPr="00CE45B9" w:rsidRDefault="00211285" w:rsidP="009F0FD1">
            <w:pPr>
              <w:pStyle w:val="Tabletext1"/>
              <w:rPr>
                <w:snapToGrid w:val="0"/>
              </w:rPr>
            </w:pPr>
            <w:hyperlink w:anchor="_ENREF_70" w:tooltip="Tetar, 2018 #26" w:history="1">
              <w:r w:rsidR="001F781A">
                <w:rPr>
                  <w:snapToGrid w:val="0"/>
                </w:rPr>
                <w:fldChar w:fldCharType="begin"/>
              </w:r>
              <w:r w:rsidR="001F781A">
                <w:rPr>
                  <w:snapToGrid w:val="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rPr>
                  <w:snapToGrid w:val="0"/>
                </w:rPr>
                <w:fldChar w:fldCharType="separate"/>
              </w:r>
              <w:r w:rsidR="001F781A">
                <w:rPr>
                  <w:noProof/>
                  <w:snapToGrid w:val="0"/>
                </w:rPr>
                <w:t>S. Tetar et al. (2018)</w:t>
              </w:r>
              <w:r w:rsidR="001F781A">
                <w:rPr>
                  <w:snapToGrid w:val="0"/>
                </w:rPr>
                <w:fldChar w:fldCharType="end"/>
              </w:r>
            </w:hyperlink>
          </w:p>
        </w:tc>
        <w:tc>
          <w:tcPr>
            <w:tcW w:w="387" w:type="pct"/>
            <w:shd w:val="clear" w:color="auto" w:fill="auto"/>
            <w:vAlign w:val="center"/>
          </w:tcPr>
          <w:p w14:paraId="31902CBC" w14:textId="20F99012" w:rsidR="009F0FD1" w:rsidRPr="00CE45B9" w:rsidRDefault="009F0FD1" w:rsidP="00C6168E">
            <w:pPr>
              <w:pStyle w:val="Tabletext1"/>
              <w:jc w:val="center"/>
              <w:rPr>
                <w:snapToGrid w:val="0"/>
              </w:rPr>
            </w:pPr>
            <w:r>
              <w:rPr>
                <w:snapToGrid w:val="0"/>
              </w:rPr>
              <w:t>150</w:t>
            </w:r>
          </w:p>
        </w:tc>
        <w:tc>
          <w:tcPr>
            <w:tcW w:w="855" w:type="pct"/>
            <w:shd w:val="clear" w:color="auto" w:fill="auto"/>
            <w:vAlign w:val="center"/>
          </w:tcPr>
          <w:p w14:paraId="03110729" w14:textId="2118C7A0" w:rsidR="009F0FD1" w:rsidRPr="00CE45B9" w:rsidRDefault="009F0FD1" w:rsidP="00C6168E">
            <w:pPr>
              <w:pStyle w:val="Tabletext1"/>
              <w:jc w:val="center"/>
              <w:rPr>
                <w:snapToGrid w:val="0"/>
              </w:rPr>
            </w:pPr>
            <w:r>
              <w:rPr>
                <w:snapToGrid w:val="0"/>
              </w:rPr>
              <w:t>Prospective CS</w:t>
            </w:r>
          </w:p>
        </w:tc>
        <w:tc>
          <w:tcPr>
            <w:tcW w:w="572" w:type="pct"/>
            <w:shd w:val="clear" w:color="auto" w:fill="auto"/>
            <w:vAlign w:val="center"/>
          </w:tcPr>
          <w:p w14:paraId="3F4C61B9" w14:textId="7B8B7DB7" w:rsidR="009F0FD1" w:rsidRPr="00CE45B9" w:rsidRDefault="009F0FD1" w:rsidP="00C6168E">
            <w:pPr>
              <w:pStyle w:val="Tabletext1"/>
              <w:jc w:val="center"/>
              <w:rPr>
                <w:snapToGrid w:val="0"/>
              </w:rPr>
            </w:pPr>
            <w:r>
              <w:rPr>
                <w:snapToGrid w:val="0"/>
              </w:rPr>
              <w:t>SBRT</w:t>
            </w:r>
          </w:p>
        </w:tc>
        <w:tc>
          <w:tcPr>
            <w:tcW w:w="993" w:type="pct"/>
            <w:shd w:val="clear" w:color="auto" w:fill="auto"/>
            <w:vAlign w:val="center"/>
          </w:tcPr>
          <w:p w14:paraId="704DC807" w14:textId="2C3B9E52" w:rsidR="009F0FD1" w:rsidRPr="00CE45B9" w:rsidRDefault="009F0FD1" w:rsidP="00C6168E">
            <w:pPr>
              <w:pStyle w:val="Tabletext1"/>
              <w:jc w:val="center"/>
              <w:rPr>
                <w:snapToGrid w:val="0"/>
              </w:rPr>
            </w:pPr>
            <w:r>
              <w:t>Cancer patients (majority prostate cancer)</w:t>
            </w:r>
          </w:p>
        </w:tc>
        <w:tc>
          <w:tcPr>
            <w:tcW w:w="730" w:type="pct"/>
            <w:shd w:val="clear" w:color="auto" w:fill="auto"/>
            <w:vAlign w:val="center"/>
          </w:tcPr>
          <w:p w14:paraId="72FFB2DF" w14:textId="06358955" w:rsidR="009F0FD1" w:rsidRPr="00CE45B9" w:rsidRDefault="009F0FD1" w:rsidP="00C6168E">
            <w:pPr>
              <w:pStyle w:val="Tabletext1"/>
              <w:jc w:val="center"/>
              <w:rPr>
                <w:snapToGrid w:val="0"/>
              </w:rPr>
            </w:pPr>
            <w:r>
              <w:rPr>
                <w:snapToGrid w:val="0"/>
              </w:rPr>
              <w:t>Patient-reported outcomes</w:t>
            </w:r>
          </w:p>
        </w:tc>
        <w:tc>
          <w:tcPr>
            <w:tcW w:w="755" w:type="pct"/>
            <w:shd w:val="clear" w:color="auto" w:fill="auto"/>
            <w:vAlign w:val="center"/>
          </w:tcPr>
          <w:p w14:paraId="567DF871" w14:textId="4EE237AD" w:rsidR="009F0FD1" w:rsidRPr="00CE45B9" w:rsidRDefault="009F0FD1" w:rsidP="00C6168E">
            <w:pPr>
              <w:pStyle w:val="Tabletext1"/>
              <w:jc w:val="center"/>
              <w:rPr>
                <w:snapToGrid w:val="0"/>
              </w:rPr>
            </w:pPr>
            <w:r>
              <w:rPr>
                <w:snapToGrid w:val="0"/>
              </w:rPr>
              <w:t>Not used</w:t>
            </w:r>
          </w:p>
        </w:tc>
      </w:tr>
      <w:tr w:rsidR="009F0FD1" w:rsidRPr="00CE45B9" w14:paraId="4B9C54E1" w14:textId="77777777" w:rsidTr="009F0FD1">
        <w:trPr>
          <w:cantSplit/>
        </w:trPr>
        <w:tc>
          <w:tcPr>
            <w:tcW w:w="708" w:type="pct"/>
            <w:shd w:val="clear" w:color="auto" w:fill="auto"/>
            <w:vAlign w:val="center"/>
          </w:tcPr>
          <w:p w14:paraId="51E9D9EA" w14:textId="77250135" w:rsidR="009F0FD1" w:rsidRPr="00CE45B9" w:rsidRDefault="00211285" w:rsidP="009F0FD1">
            <w:pPr>
              <w:pStyle w:val="Tabletext1"/>
              <w:rPr>
                <w:snapToGrid w:val="0"/>
              </w:rPr>
            </w:pPr>
            <w:hyperlink w:anchor="_ENREF_71" w:tooltip="Tetar, 2019 #23" w:history="1">
              <w:r w:rsidR="001F781A">
                <w:rPr>
                  <w:snapToGrid w:val="0"/>
                </w:rPr>
                <w:fldChar w:fldCharType="begin"/>
              </w:r>
              <w:r w:rsidR="001F781A">
                <w:rPr>
                  <w:snapToGrid w:val="0"/>
                </w:rPr>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1F781A">
                <w:rPr>
                  <w:snapToGrid w:val="0"/>
                </w:rPr>
                <w:fldChar w:fldCharType="separate"/>
              </w:r>
              <w:r w:rsidR="001F781A">
                <w:rPr>
                  <w:noProof/>
                  <w:snapToGrid w:val="0"/>
                </w:rPr>
                <w:t>S. U. Tetar et al. (2019)</w:t>
              </w:r>
              <w:r w:rsidR="001F781A">
                <w:rPr>
                  <w:snapToGrid w:val="0"/>
                </w:rPr>
                <w:fldChar w:fldCharType="end"/>
              </w:r>
            </w:hyperlink>
          </w:p>
        </w:tc>
        <w:tc>
          <w:tcPr>
            <w:tcW w:w="387" w:type="pct"/>
            <w:shd w:val="clear" w:color="auto" w:fill="auto"/>
            <w:vAlign w:val="center"/>
          </w:tcPr>
          <w:p w14:paraId="7436041B" w14:textId="1A416B65" w:rsidR="009F0FD1" w:rsidRPr="00CE45B9" w:rsidRDefault="009F0FD1" w:rsidP="00C6168E">
            <w:pPr>
              <w:pStyle w:val="Tabletext1"/>
              <w:jc w:val="center"/>
              <w:rPr>
                <w:snapToGrid w:val="0"/>
              </w:rPr>
            </w:pPr>
            <w:r>
              <w:rPr>
                <w:snapToGrid w:val="0"/>
              </w:rPr>
              <w:t>140</w:t>
            </w:r>
          </w:p>
        </w:tc>
        <w:tc>
          <w:tcPr>
            <w:tcW w:w="855" w:type="pct"/>
            <w:shd w:val="clear" w:color="auto" w:fill="auto"/>
            <w:vAlign w:val="center"/>
          </w:tcPr>
          <w:p w14:paraId="57487838" w14:textId="5AC1BA90" w:rsidR="009F0FD1" w:rsidRPr="00CE45B9" w:rsidRDefault="009F0FD1" w:rsidP="00C6168E">
            <w:pPr>
              <w:pStyle w:val="Tabletext1"/>
              <w:jc w:val="center"/>
              <w:rPr>
                <w:snapToGrid w:val="0"/>
              </w:rPr>
            </w:pPr>
            <w:r>
              <w:rPr>
                <w:snapToGrid w:val="0"/>
              </w:rPr>
              <w:t>Retrospective CS</w:t>
            </w:r>
          </w:p>
        </w:tc>
        <w:tc>
          <w:tcPr>
            <w:tcW w:w="572" w:type="pct"/>
            <w:shd w:val="clear" w:color="auto" w:fill="auto"/>
            <w:vAlign w:val="center"/>
          </w:tcPr>
          <w:p w14:paraId="1238D24A" w14:textId="3162C68C" w:rsidR="009F0FD1" w:rsidRPr="00CE45B9" w:rsidRDefault="009F0FD1" w:rsidP="00C6168E">
            <w:pPr>
              <w:pStyle w:val="Tabletext1"/>
              <w:jc w:val="center"/>
              <w:rPr>
                <w:snapToGrid w:val="0"/>
              </w:rPr>
            </w:pPr>
            <w:r>
              <w:rPr>
                <w:snapToGrid w:val="0"/>
              </w:rPr>
              <w:t>SBRT</w:t>
            </w:r>
          </w:p>
        </w:tc>
        <w:tc>
          <w:tcPr>
            <w:tcW w:w="993" w:type="pct"/>
            <w:shd w:val="clear" w:color="auto" w:fill="auto"/>
            <w:vAlign w:val="center"/>
          </w:tcPr>
          <w:p w14:paraId="28E82179" w14:textId="407D3FA6" w:rsidR="009F0FD1" w:rsidRPr="00CE45B9" w:rsidRDefault="009F0FD1" w:rsidP="00C6168E">
            <w:pPr>
              <w:pStyle w:val="Tabletext1"/>
              <w:jc w:val="center"/>
              <w:rPr>
                <w:snapToGrid w:val="0"/>
              </w:rPr>
            </w:pPr>
            <w:r>
              <w:rPr>
                <w:snapToGrid w:val="0"/>
              </w:rPr>
              <w:t>Prostate cancer</w:t>
            </w:r>
          </w:p>
        </w:tc>
        <w:tc>
          <w:tcPr>
            <w:tcW w:w="730" w:type="pct"/>
            <w:shd w:val="clear" w:color="auto" w:fill="auto"/>
            <w:vAlign w:val="center"/>
          </w:tcPr>
          <w:p w14:paraId="6C58E876" w14:textId="122BC5D0" w:rsidR="009F0FD1" w:rsidRPr="00CE45B9" w:rsidRDefault="009F0FD1" w:rsidP="00C6168E">
            <w:pPr>
              <w:pStyle w:val="Tabletext1"/>
              <w:jc w:val="center"/>
              <w:rPr>
                <w:snapToGrid w:val="0"/>
              </w:rPr>
            </w:pPr>
            <w:r>
              <w:rPr>
                <w:snapToGrid w:val="0"/>
              </w:rPr>
              <w:t>Patient-reported experience</w:t>
            </w:r>
          </w:p>
        </w:tc>
        <w:tc>
          <w:tcPr>
            <w:tcW w:w="755" w:type="pct"/>
            <w:shd w:val="clear" w:color="auto" w:fill="auto"/>
            <w:vAlign w:val="center"/>
          </w:tcPr>
          <w:p w14:paraId="29DAD7FA" w14:textId="487A165F" w:rsidR="009F0FD1" w:rsidRPr="00CE45B9" w:rsidRDefault="009F0FD1" w:rsidP="00C6168E">
            <w:pPr>
              <w:pStyle w:val="Tabletext1"/>
              <w:jc w:val="center"/>
              <w:rPr>
                <w:snapToGrid w:val="0"/>
              </w:rPr>
            </w:pPr>
            <w:r>
              <w:rPr>
                <w:snapToGrid w:val="0"/>
              </w:rPr>
              <w:t>Not used</w:t>
            </w:r>
          </w:p>
        </w:tc>
      </w:tr>
      <w:tr w:rsidR="009F0FD1" w:rsidRPr="00CE45B9" w14:paraId="1379AAB9" w14:textId="77777777" w:rsidTr="009F0FD1">
        <w:trPr>
          <w:cantSplit/>
        </w:trPr>
        <w:tc>
          <w:tcPr>
            <w:tcW w:w="708" w:type="pct"/>
            <w:shd w:val="clear" w:color="auto" w:fill="auto"/>
            <w:vAlign w:val="center"/>
          </w:tcPr>
          <w:p w14:paraId="07A4F2E1" w14:textId="61AC3308" w:rsidR="009F0FD1" w:rsidRDefault="00211285" w:rsidP="009F0FD1">
            <w:pPr>
              <w:pStyle w:val="Tabletext1"/>
              <w:rPr>
                <w:snapToGrid w:val="0"/>
              </w:rPr>
            </w:pPr>
            <w:hyperlink w:anchor="_ENREF_77" w:tooltip="van de Schoot, 2019 #85" w:history="1">
              <w:r w:rsidR="008B6FC0">
                <w:rPr>
                  <w:snapToGrid w:val="0"/>
                </w:rPr>
                <w:fldChar w:fldCharType="begin"/>
              </w:r>
              <w:r w:rsidR="008B6FC0">
                <w:rPr>
                  <w:snapToGrid w:val="0"/>
                </w:rPr>
                <w:instrText xml:space="preserve"> ADDIN EN.CITE &lt;EndNote&gt;&lt;Cite AuthorYear="1"&gt;&lt;Author&gt;van de Schoot&lt;/Author&gt;&lt;Year&gt;2019&lt;/Year&gt;&lt;RecNum&gt;85&lt;/RecNum&gt;&lt;DisplayText&gt;van de Schoot et al. (2019)&lt;/DisplayText&gt;&lt;record&gt;&lt;rec-number&gt;85&lt;/rec-number&gt;&lt;foreign-keys&gt;&lt;key app="EN" db-id="sx5wsdwv795wvue959xxw0ptaewvdezxxp05" timestamp="1604961079"&gt;85&lt;/key&gt;&lt;/foreign-keys&gt;&lt;ref-type name="Journal Article"&gt;17&lt;/ref-type&gt;&lt;contributors&gt;&lt;authors&gt;&lt;author&gt;van de Schoot, A. J. A. J.&lt;/author&gt;&lt;author&gt;van den Wollenberg, W.&lt;/author&gt;&lt;author&gt;Carbaat, C.&lt;/author&gt;&lt;author&gt;de Ruiter, P.&lt;/author&gt;&lt;author&gt;Nowee, M. E.&lt;/author&gt;&lt;author&gt;Pos, F.&lt;/author&gt;&lt;author&gt;van Triest, B.&lt;/author&gt;&lt;author&gt;Sonke, J. J.&lt;/author&gt;&lt;author&gt;Janssen, T. M.&lt;/author&gt;&lt;/authors&gt;&lt;/contributors&gt;&lt;titles&gt;&lt;title&gt;Evaluation of plan quality in radiotherapy planning with an MR-linac&lt;/title&gt;&lt;secondary-title&gt;Physics and Imaging in Radiation Oncology&lt;/secondary-title&gt;&lt;/titles&gt;&lt;pages&gt;19-24&lt;/pages&gt;&lt;volume&gt;10&lt;/volume&gt;&lt;dates&gt;&lt;year&gt;2019&lt;/year&gt;&lt;/dates&gt;&lt;accession-num&gt;2001862328&lt;/accession-num&gt;&lt;urls&gt;&lt;related-urls&gt;&lt;url&gt;https://www.journals.elsevier.com/physics-and-imaging-in-radiation-oncology/http://ezproxy.library.usyd.edu.au/login?url=http://ovidsp.ovid.com/ovidweb.cgi?T=JS&amp;amp;CSC=Y&amp;amp;NEWS=N&amp;amp;PAGE=fulltext&amp;amp;D=emexa&amp;amp;AN=2001862328https://sydney.alma.exlibrisgroup.com/openurl/&lt;/url&gt;&lt;/related-urls&gt;&lt;/urls&gt;&lt;electronic-resource-num&gt;http://dx.doi.org/10.1016/j.phro.2019.04.004&lt;/electronic-resource-num&gt;&lt;/record&gt;&lt;/Cite&gt;&lt;/EndNote&gt;</w:instrText>
              </w:r>
              <w:r w:rsidR="008B6FC0">
                <w:rPr>
                  <w:snapToGrid w:val="0"/>
                </w:rPr>
                <w:fldChar w:fldCharType="separate"/>
              </w:r>
              <w:r w:rsidR="008B6FC0">
                <w:rPr>
                  <w:noProof/>
                  <w:snapToGrid w:val="0"/>
                </w:rPr>
                <w:t>van de Schoot et al. (2019)</w:t>
              </w:r>
              <w:r w:rsidR="008B6FC0">
                <w:rPr>
                  <w:snapToGrid w:val="0"/>
                </w:rPr>
                <w:fldChar w:fldCharType="end"/>
              </w:r>
            </w:hyperlink>
          </w:p>
        </w:tc>
        <w:tc>
          <w:tcPr>
            <w:tcW w:w="387" w:type="pct"/>
            <w:shd w:val="clear" w:color="auto" w:fill="auto"/>
            <w:vAlign w:val="center"/>
          </w:tcPr>
          <w:p w14:paraId="5E0645B4" w14:textId="770B29AB" w:rsidR="009F0FD1" w:rsidRDefault="009F0FD1" w:rsidP="00C6168E">
            <w:pPr>
              <w:pStyle w:val="Tabletext1"/>
              <w:jc w:val="center"/>
              <w:rPr>
                <w:snapToGrid w:val="0"/>
              </w:rPr>
            </w:pPr>
            <w:r>
              <w:rPr>
                <w:snapToGrid w:val="0"/>
              </w:rPr>
              <w:t>16</w:t>
            </w:r>
          </w:p>
        </w:tc>
        <w:tc>
          <w:tcPr>
            <w:tcW w:w="855" w:type="pct"/>
            <w:shd w:val="clear" w:color="auto" w:fill="auto"/>
            <w:vAlign w:val="center"/>
          </w:tcPr>
          <w:p w14:paraId="31ACEB6D" w14:textId="0FBCA014" w:rsidR="009F0FD1" w:rsidRDefault="009F0FD1" w:rsidP="00C6168E">
            <w:pPr>
              <w:pStyle w:val="Tabletext1"/>
              <w:jc w:val="center"/>
              <w:rPr>
                <w:snapToGrid w:val="0"/>
              </w:rPr>
            </w:pPr>
            <w:r>
              <w:rPr>
                <w:snapToGrid w:val="0"/>
              </w:rPr>
              <w:t>Retrospective review</w:t>
            </w:r>
          </w:p>
        </w:tc>
        <w:tc>
          <w:tcPr>
            <w:tcW w:w="572" w:type="pct"/>
            <w:shd w:val="clear" w:color="auto" w:fill="auto"/>
            <w:vAlign w:val="center"/>
          </w:tcPr>
          <w:p w14:paraId="51D070B0" w14:textId="45202B0D" w:rsidR="009F0FD1" w:rsidRDefault="009F0FD1" w:rsidP="00C6168E">
            <w:pPr>
              <w:pStyle w:val="Tabletext1"/>
              <w:jc w:val="center"/>
              <w:rPr>
                <w:snapToGrid w:val="0"/>
              </w:rPr>
            </w:pPr>
            <w:r>
              <w:rPr>
                <w:snapToGrid w:val="0"/>
              </w:rPr>
              <w:t>NA</w:t>
            </w:r>
          </w:p>
        </w:tc>
        <w:tc>
          <w:tcPr>
            <w:tcW w:w="993" w:type="pct"/>
            <w:shd w:val="clear" w:color="auto" w:fill="auto"/>
            <w:vAlign w:val="center"/>
          </w:tcPr>
          <w:p w14:paraId="448003B4" w14:textId="34507F53" w:rsidR="009F0FD1" w:rsidRDefault="009F0FD1" w:rsidP="00C6168E">
            <w:pPr>
              <w:pStyle w:val="Tabletext1"/>
              <w:jc w:val="center"/>
              <w:rPr>
                <w:snapToGrid w:val="0"/>
              </w:rPr>
            </w:pPr>
            <w:r>
              <w:rPr>
                <w:snapToGrid w:val="0"/>
              </w:rPr>
              <w:t>Rectal and prostate cancer</w:t>
            </w:r>
          </w:p>
        </w:tc>
        <w:tc>
          <w:tcPr>
            <w:tcW w:w="730" w:type="pct"/>
            <w:shd w:val="clear" w:color="auto" w:fill="auto"/>
            <w:vAlign w:val="center"/>
          </w:tcPr>
          <w:p w14:paraId="7E1ADC37" w14:textId="2BDC7085" w:rsidR="009F0FD1" w:rsidRDefault="009F0FD1" w:rsidP="00C6168E">
            <w:pPr>
              <w:pStyle w:val="Tabletext1"/>
              <w:jc w:val="center"/>
              <w:rPr>
                <w:snapToGrid w:val="0"/>
              </w:rPr>
            </w:pPr>
            <w:r>
              <w:rPr>
                <w:snapToGrid w:val="0"/>
              </w:rPr>
              <w:t>Dosimetric outcomes</w:t>
            </w:r>
          </w:p>
        </w:tc>
        <w:tc>
          <w:tcPr>
            <w:tcW w:w="755" w:type="pct"/>
            <w:shd w:val="clear" w:color="auto" w:fill="auto"/>
            <w:vAlign w:val="center"/>
          </w:tcPr>
          <w:p w14:paraId="677F234A" w14:textId="42D55CE2" w:rsidR="009F0FD1" w:rsidRDefault="009F0FD1" w:rsidP="00C6168E">
            <w:pPr>
              <w:pStyle w:val="Tabletext1"/>
              <w:jc w:val="center"/>
              <w:rPr>
                <w:snapToGrid w:val="0"/>
              </w:rPr>
            </w:pPr>
            <w:r>
              <w:rPr>
                <w:snapToGrid w:val="0"/>
              </w:rPr>
              <w:t>Not used</w:t>
            </w:r>
          </w:p>
        </w:tc>
      </w:tr>
      <w:tr w:rsidR="009F0FD1" w:rsidRPr="00CE45B9" w14:paraId="646B6DAB" w14:textId="77777777" w:rsidTr="009F0FD1">
        <w:trPr>
          <w:cantSplit/>
        </w:trPr>
        <w:tc>
          <w:tcPr>
            <w:tcW w:w="708" w:type="pct"/>
            <w:shd w:val="clear" w:color="auto" w:fill="auto"/>
            <w:vAlign w:val="center"/>
          </w:tcPr>
          <w:p w14:paraId="47712B62" w14:textId="262E9F96" w:rsidR="009F0FD1" w:rsidRDefault="00211285" w:rsidP="009F0FD1">
            <w:pPr>
              <w:pStyle w:val="Tabletext1"/>
              <w:rPr>
                <w:snapToGrid w:val="0"/>
              </w:rPr>
            </w:pPr>
            <w:hyperlink w:anchor="_ENREF_84" w:tooltip="Winkel, 2018 #82" w:history="1">
              <w:r w:rsidR="008B6FC0">
                <w:rPr>
                  <w:snapToGrid w:val="0"/>
                </w:rPr>
                <w:fldChar w:fldCharType="begin"/>
              </w:r>
              <w:r w:rsidR="008B6FC0">
                <w:rPr>
                  <w:snapToGrid w:val="0"/>
                </w:rPr>
                <w:instrText xml:space="preserve"> ADDIN EN.CITE &lt;EndNote&gt;&lt;Cite AuthorYear="1"&gt;&lt;Author&gt;Winkel&lt;/Author&gt;&lt;Year&gt;2018&lt;/Year&gt;&lt;RecNum&gt;82&lt;/RecNum&gt;&lt;DisplayText&gt;Winkel et al. (2018)&lt;/DisplayText&gt;&lt;record&gt;&lt;rec-number&gt;82&lt;/rec-number&gt;&lt;foreign-keys&gt;&lt;key app="EN" db-id="sx5wsdwv795wvue959xxw0ptaewvdezxxp05" timestamp="1604876399"&gt;82&lt;/key&gt;&lt;/foreign-keys&gt;&lt;ref-type name="Journal Article"&gt;17&lt;/ref-type&gt;&lt;contributors&gt;&lt;authors&gt;&lt;author&gt;Winkel, D.&lt;/author&gt;&lt;author&gt;Kroon, P. S.&lt;/author&gt;&lt;author&gt;Werensteijn-Honingh, A. M.&lt;/author&gt;&lt;author&gt;Bol, G. H.&lt;/author&gt;&lt;author&gt;Raaymakers, B. W.&lt;/author&gt;&lt;author&gt;Jurgenliemk-Schulz, I. M.&lt;/author&gt;&lt;/authors&gt;&lt;/contributors&gt;&lt;titles&gt;&lt;title&gt;Simulated dosimetric impact of online replanning for stereotactic body radiation therapy of lymph node oligometastases on the 1.5T MR-linac&lt;/title&gt;&lt;secondary-title&gt;Acta Oncol&lt;/secondary-title&gt;&lt;/titles&gt;&lt;pages&gt;1705-1712&lt;/pages&gt;&lt;volume&gt;57&lt;/volume&gt;&lt;number&gt;12&lt;/number&gt;&lt;dates&gt;&lt;year&gt;2018&lt;/year&gt;&lt;/dates&gt;&lt;accession-num&gt;30280631&lt;/accession-num&gt;&lt;urls&gt;&lt;related-urls&gt;&lt;url&gt;http://ezproxy.library.usyd.edu.au/login?url=http://ovidsp.ovid.com/ovidweb.cgi?T=JS&amp;amp;CSC=Y&amp;amp;NEWS=N&amp;amp;PAGE=fulltext&amp;amp;D=med15&amp;amp;AN=30280631https://sydney.alma.exlibrisgroup.com/openurl/61USYD_INST/61USYD_INST:sydney?sid=OVID:medline&amp;amp;id=pmid:30280631&amp;amp;id=doi:10.108&lt;/url&gt;&lt;url&gt;https://www.tandfonline.com/doi/pdf/10.1080/0284186X.2018.1512152?needAccess=true&lt;/url&gt;&lt;/related-urls&gt;&lt;/urls&gt;&lt;electronic-resource-num&gt;https://dx.doi.org/10.1080/0284186X.2018.1512152&lt;/electronic-resource-num&gt;&lt;/record&gt;&lt;/Cite&gt;&lt;/EndNote&gt;</w:instrText>
              </w:r>
              <w:r w:rsidR="008B6FC0">
                <w:rPr>
                  <w:snapToGrid w:val="0"/>
                </w:rPr>
                <w:fldChar w:fldCharType="separate"/>
              </w:r>
              <w:r w:rsidR="008B6FC0">
                <w:rPr>
                  <w:noProof/>
                  <w:snapToGrid w:val="0"/>
                </w:rPr>
                <w:t>Winkel et al. (2018)</w:t>
              </w:r>
              <w:r w:rsidR="008B6FC0">
                <w:rPr>
                  <w:snapToGrid w:val="0"/>
                </w:rPr>
                <w:fldChar w:fldCharType="end"/>
              </w:r>
            </w:hyperlink>
          </w:p>
        </w:tc>
        <w:tc>
          <w:tcPr>
            <w:tcW w:w="387" w:type="pct"/>
            <w:shd w:val="clear" w:color="auto" w:fill="auto"/>
            <w:vAlign w:val="center"/>
          </w:tcPr>
          <w:p w14:paraId="42032043" w14:textId="485A192F" w:rsidR="009F0FD1" w:rsidRDefault="009F0FD1" w:rsidP="00C6168E">
            <w:pPr>
              <w:pStyle w:val="Tabletext1"/>
              <w:jc w:val="center"/>
              <w:rPr>
                <w:snapToGrid w:val="0"/>
              </w:rPr>
            </w:pPr>
            <w:r>
              <w:rPr>
                <w:snapToGrid w:val="0"/>
              </w:rPr>
              <w:t>5</w:t>
            </w:r>
          </w:p>
        </w:tc>
        <w:tc>
          <w:tcPr>
            <w:tcW w:w="855" w:type="pct"/>
            <w:shd w:val="clear" w:color="auto" w:fill="auto"/>
            <w:vAlign w:val="center"/>
          </w:tcPr>
          <w:p w14:paraId="0CF97280" w14:textId="4384F8A4" w:rsidR="009F0FD1" w:rsidRDefault="009F0FD1" w:rsidP="00C6168E">
            <w:pPr>
              <w:pStyle w:val="Tabletext1"/>
              <w:jc w:val="center"/>
              <w:rPr>
                <w:snapToGrid w:val="0"/>
              </w:rPr>
            </w:pPr>
            <w:r>
              <w:rPr>
                <w:snapToGrid w:val="0"/>
              </w:rPr>
              <w:t>Retrospective review</w:t>
            </w:r>
          </w:p>
        </w:tc>
        <w:tc>
          <w:tcPr>
            <w:tcW w:w="572" w:type="pct"/>
            <w:shd w:val="clear" w:color="auto" w:fill="auto"/>
            <w:vAlign w:val="center"/>
          </w:tcPr>
          <w:p w14:paraId="58AA48E7" w14:textId="5F4379E0" w:rsidR="009F0FD1" w:rsidRPr="00CE45B9" w:rsidRDefault="009F0FD1" w:rsidP="00C6168E">
            <w:pPr>
              <w:pStyle w:val="Tabletext1"/>
              <w:jc w:val="center"/>
              <w:rPr>
                <w:snapToGrid w:val="0"/>
              </w:rPr>
            </w:pPr>
            <w:r>
              <w:rPr>
                <w:snapToGrid w:val="0"/>
              </w:rPr>
              <w:t>NA</w:t>
            </w:r>
          </w:p>
        </w:tc>
        <w:tc>
          <w:tcPr>
            <w:tcW w:w="993" w:type="pct"/>
            <w:shd w:val="clear" w:color="auto" w:fill="auto"/>
            <w:vAlign w:val="center"/>
          </w:tcPr>
          <w:p w14:paraId="17BBACCC" w14:textId="3AA77F76" w:rsidR="009F0FD1" w:rsidRDefault="009F0FD1" w:rsidP="00C6168E">
            <w:pPr>
              <w:pStyle w:val="Tabletext1"/>
              <w:jc w:val="center"/>
              <w:rPr>
                <w:snapToGrid w:val="0"/>
              </w:rPr>
            </w:pPr>
            <w:r>
              <w:t>Pelvic and para-aortic lymph nodes</w:t>
            </w:r>
          </w:p>
        </w:tc>
        <w:tc>
          <w:tcPr>
            <w:tcW w:w="730" w:type="pct"/>
            <w:shd w:val="clear" w:color="auto" w:fill="auto"/>
            <w:vAlign w:val="center"/>
          </w:tcPr>
          <w:p w14:paraId="15E0D0A6" w14:textId="46D199B9" w:rsidR="009F0FD1" w:rsidRPr="00CE45B9" w:rsidRDefault="009F0FD1" w:rsidP="00C6168E">
            <w:pPr>
              <w:pStyle w:val="Tabletext1"/>
              <w:jc w:val="center"/>
              <w:rPr>
                <w:snapToGrid w:val="0"/>
              </w:rPr>
            </w:pPr>
            <w:r>
              <w:rPr>
                <w:snapToGrid w:val="0"/>
              </w:rPr>
              <w:t>Dosimetric outcomes</w:t>
            </w:r>
          </w:p>
        </w:tc>
        <w:tc>
          <w:tcPr>
            <w:tcW w:w="755" w:type="pct"/>
            <w:shd w:val="clear" w:color="auto" w:fill="auto"/>
            <w:vAlign w:val="center"/>
          </w:tcPr>
          <w:p w14:paraId="6CB12F2B" w14:textId="72032F76" w:rsidR="009F0FD1" w:rsidRPr="00CE45B9" w:rsidRDefault="009F0FD1" w:rsidP="00C6168E">
            <w:pPr>
              <w:pStyle w:val="Tabletext1"/>
              <w:jc w:val="center"/>
              <w:rPr>
                <w:snapToGrid w:val="0"/>
              </w:rPr>
            </w:pPr>
            <w:r>
              <w:rPr>
                <w:snapToGrid w:val="0"/>
              </w:rPr>
              <w:t>Not used</w:t>
            </w:r>
          </w:p>
        </w:tc>
      </w:tr>
      <w:tr w:rsidR="00340972" w:rsidRPr="00CE45B9" w14:paraId="78522D8D" w14:textId="77777777" w:rsidTr="009F0FD1">
        <w:trPr>
          <w:cantSplit/>
        </w:trPr>
        <w:tc>
          <w:tcPr>
            <w:tcW w:w="708" w:type="pct"/>
            <w:shd w:val="clear" w:color="auto" w:fill="auto"/>
            <w:vAlign w:val="center"/>
          </w:tcPr>
          <w:p w14:paraId="29B7EA45" w14:textId="65AD03A0" w:rsidR="00340972" w:rsidRPr="009F0FD1" w:rsidRDefault="00211285" w:rsidP="00C6168E">
            <w:pPr>
              <w:pStyle w:val="Tabletext1"/>
              <w:keepNext/>
              <w:keepLines/>
              <w:rPr>
                <w:snapToGrid w:val="0"/>
                <w:vertAlign w:val="superscript"/>
              </w:rPr>
            </w:pPr>
            <w:hyperlink w:anchor="_ENREF_83" w:tooltip="Winkel, 2020 #91" w:history="1">
              <w:r w:rsidR="008B6FC0">
                <w:rPr>
                  <w:snapToGrid w:val="0"/>
                </w:rPr>
                <w:fldChar w:fldCharType="begin"/>
              </w:r>
              <w:r w:rsidR="008B6FC0">
                <w:rPr>
                  <w:snapToGrid w:val="0"/>
                </w:rPr>
                <w:instrText xml:space="preserve"> ADDIN EN.CITE &lt;EndNote&gt;&lt;Cite AuthorYear="1"&gt;&lt;Author&gt;Winkel&lt;/Author&gt;&lt;Year&gt;2020&lt;/Year&gt;&lt;RecNum&gt;91&lt;/RecNum&gt;&lt;DisplayText&gt;Winkel et al. (2020)&lt;/DisplayText&gt;&lt;record&gt;&lt;rec-number&gt;91&lt;/rec-number&gt;&lt;foreign-keys&gt;&lt;key app="EN" db-id="sx5wsdwv795wvue959xxw0ptaewvdezxxp05" timestamp="1607576001"&gt;91&lt;/key&gt;&lt;/foreign-keys&gt;&lt;ref-type name="Journal Article"&gt;17&lt;/ref-type&gt;&lt;contributors&gt;&lt;authors&gt;&lt;author&gt;Winkel, D.&lt;/author&gt;&lt;author&gt;Bol, G. H.&lt;/author&gt;&lt;author&gt;Werensteijn-Honingh, A. M.&lt;/author&gt;&lt;author&gt;Intven, M. P. W.&lt;/author&gt;&lt;author&gt;Eppinga, W. S. C.&lt;/author&gt;&lt;author&gt;Hes, J.&lt;/author&gt;&lt;author&gt;Snoeren, L. M. W.&lt;/author&gt;&lt;author&gt;Sikkes, G. G.&lt;/author&gt;&lt;author&gt;Gadellaa-van Hooijdonk, C. G. M.&lt;/author&gt;&lt;author&gt;Raaymakers, B. W.&lt;/author&gt;&lt;author&gt;Jürgenliemk-Schulz, I. M.&lt;/author&gt;&lt;author&gt;Kroon, P. S.&lt;/author&gt;&lt;/authors&gt;&lt;/contributors&gt;&lt;auth-address&gt;Department of Radiotherapy, University Medical Center, Utrecht, The Netherlands. Electronic address: d.winkel-2@umcutrecht.nl.&amp;#xD;Department of Radiotherapy, University Medical Center, Utrecht, The Netherlands.&lt;/auth-address&gt;&lt;titles&gt;&lt;title&gt;Target coverage and dose criteria based evaluation of the first clinical 1.5T MR-linac SBRT treatments of lymph node oligometastases compared with conventional CBCT-linac treatment&lt;/title&gt;&lt;secondary-title&gt;Radiother Oncol&lt;/secondary-title&gt;&lt;/titles&gt;&lt;pages&gt;118-125&lt;/pages&gt;&lt;volume&gt;146&lt;/volume&gt;&lt;edition&gt;2020/03/09&lt;/edition&gt;&lt;keywords&gt;&lt;keyword&gt;Lymph node oligometastases&lt;/keyword&gt;&lt;keyword&gt;MR-linac&lt;/keyword&gt;&lt;keyword&gt;MRI-guided radiotherapy&lt;/keyword&gt;&lt;keyword&gt;Online plan adaptation&lt;/keyword&gt;&lt;keyword&gt;Radiotherapy&lt;/keyword&gt;&lt;/keywords&gt;&lt;dates&gt;&lt;year&gt;2020&lt;/year&gt;&lt;pub-dates&gt;&lt;date&gt;May&lt;/date&gt;&lt;/pub-dates&gt;&lt;/dates&gt;&lt;isbn&gt;0167-8140&lt;/isbn&gt;&lt;accession-num&gt;32146257&lt;/accession-num&gt;&lt;urls&gt;&lt;/urls&gt;&lt;electronic-resource-num&gt;10.1016/j.radonc.2020.02.011&lt;/electronic-resource-num&gt;&lt;remote-database-provider&gt;NLM&lt;/remote-database-provider&gt;&lt;language&gt;eng&lt;/language&gt;&lt;/record&gt;&lt;/Cite&gt;&lt;/EndNote&gt;</w:instrText>
              </w:r>
              <w:r w:rsidR="008B6FC0">
                <w:rPr>
                  <w:snapToGrid w:val="0"/>
                </w:rPr>
                <w:fldChar w:fldCharType="separate"/>
              </w:r>
              <w:r w:rsidR="008B6FC0">
                <w:rPr>
                  <w:noProof/>
                  <w:snapToGrid w:val="0"/>
                </w:rPr>
                <w:t>Winkel et al. (2020)</w:t>
              </w:r>
              <w:r w:rsidR="008B6FC0">
                <w:rPr>
                  <w:snapToGrid w:val="0"/>
                </w:rPr>
                <w:fldChar w:fldCharType="end"/>
              </w:r>
            </w:hyperlink>
          </w:p>
        </w:tc>
        <w:tc>
          <w:tcPr>
            <w:tcW w:w="387" w:type="pct"/>
            <w:shd w:val="clear" w:color="auto" w:fill="auto"/>
            <w:vAlign w:val="center"/>
          </w:tcPr>
          <w:p w14:paraId="019FEE92" w14:textId="510C9108" w:rsidR="00340972" w:rsidRDefault="004562F9" w:rsidP="00C6168E">
            <w:pPr>
              <w:pStyle w:val="Tabletext1"/>
              <w:keepNext/>
              <w:keepLines/>
              <w:jc w:val="center"/>
              <w:rPr>
                <w:snapToGrid w:val="0"/>
              </w:rPr>
            </w:pPr>
            <w:r w:rsidRPr="00D621FF">
              <w:rPr>
                <w:snapToGrid w:val="0"/>
              </w:rPr>
              <w:t>2</w:t>
            </w:r>
            <w:r w:rsidRPr="00D621FF">
              <w:t>0</w:t>
            </w:r>
          </w:p>
        </w:tc>
        <w:tc>
          <w:tcPr>
            <w:tcW w:w="855" w:type="pct"/>
            <w:tcBorders>
              <w:bottom w:val="single" w:sz="4" w:space="0" w:color="auto"/>
            </w:tcBorders>
            <w:shd w:val="clear" w:color="auto" w:fill="auto"/>
            <w:vAlign w:val="center"/>
          </w:tcPr>
          <w:p w14:paraId="6F900F62" w14:textId="708077D3" w:rsidR="00340972" w:rsidRDefault="00B865FF" w:rsidP="00C6168E">
            <w:pPr>
              <w:pStyle w:val="Tabletext1"/>
              <w:keepNext/>
              <w:keepLines/>
              <w:jc w:val="center"/>
              <w:rPr>
                <w:snapToGrid w:val="0"/>
              </w:rPr>
            </w:pPr>
            <w:r w:rsidRPr="00D621FF">
              <w:rPr>
                <w:snapToGrid w:val="0"/>
              </w:rPr>
              <w:t>R</w:t>
            </w:r>
            <w:r w:rsidRPr="00D621FF">
              <w:t>etrospective review</w:t>
            </w:r>
          </w:p>
        </w:tc>
        <w:tc>
          <w:tcPr>
            <w:tcW w:w="572" w:type="pct"/>
            <w:tcBorders>
              <w:bottom w:val="single" w:sz="4" w:space="0" w:color="auto"/>
            </w:tcBorders>
            <w:shd w:val="clear" w:color="auto" w:fill="auto"/>
            <w:vAlign w:val="center"/>
          </w:tcPr>
          <w:p w14:paraId="04AB1339" w14:textId="760E5D85" w:rsidR="00340972" w:rsidRDefault="00D805CF" w:rsidP="00C6168E">
            <w:pPr>
              <w:pStyle w:val="Tabletext1"/>
              <w:keepNext/>
              <w:keepLines/>
              <w:jc w:val="center"/>
              <w:rPr>
                <w:snapToGrid w:val="0"/>
              </w:rPr>
            </w:pPr>
            <w:r w:rsidRPr="00D621FF">
              <w:rPr>
                <w:snapToGrid w:val="0"/>
              </w:rPr>
              <w:t>N</w:t>
            </w:r>
            <w:r w:rsidRPr="00D621FF">
              <w:t>A</w:t>
            </w:r>
          </w:p>
        </w:tc>
        <w:tc>
          <w:tcPr>
            <w:tcW w:w="993" w:type="pct"/>
            <w:shd w:val="clear" w:color="auto" w:fill="auto"/>
            <w:vAlign w:val="center"/>
          </w:tcPr>
          <w:p w14:paraId="320D3106" w14:textId="199AEDD5" w:rsidR="00340972" w:rsidRDefault="00BC66E9" w:rsidP="00C6168E">
            <w:pPr>
              <w:pStyle w:val="Tabletext1"/>
              <w:keepNext/>
              <w:keepLines/>
              <w:jc w:val="center"/>
              <w:rPr>
                <w:snapToGrid w:val="0"/>
              </w:rPr>
            </w:pPr>
            <w:r w:rsidRPr="00D621FF">
              <w:t>Pelvic and para-aortic lymph nodes</w:t>
            </w:r>
          </w:p>
        </w:tc>
        <w:tc>
          <w:tcPr>
            <w:tcW w:w="730" w:type="pct"/>
            <w:tcBorders>
              <w:bottom w:val="single" w:sz="4" w:space="0" w:color="auto"/>
            </w:tcBorders>
            <w:shd w:val="clear" w:color="auto" w:fill="auto"/>
            <w:vAlign w:val="center"/>
          </w:tcPr>
          <w:p w14:paraId="3F1E7950" w14:textId="53FCD6AD" w:rsidR="00340972" w:rsidRDefault="00340972" w:rsidP="00C6168E">
            <w:pPr>
              <w:pStyle w:val="Tabletext1"/>
              <w:keepNext/>
              <w:keepLines/>
              <w:jc w:val="center"/>
              <w:rPr>
                <w:snapToGrid w:val="0"/>
              </w:rPr>
            </w:pPr>
            <w:r>
              <w:rPr>
                <w:snapToGrid w:val="0"/>
              </w:rPr>
              <w:t>Dosimetric outcomes</w:t>
            </w:r>
          </w:p>
        </w:tc>
        <w:tc>
          <w:tcPr>
            <w:tcW w:w="755" w:type="pct"/>
            <w:shd w:val="clear" w:color="auto" w:fill="auto"/>
            <w:vAlign w:val="center"/>
          </w:tcPr>
          <w:p w14:paraId="0F20CC81" w14:textId="25C499E5" w:rsidR="00340972" w:rsidRDefault="00340972" w:rsidP="00C6168E">
            <w:pPr>
              <w:pStyle w:val="Tabletext1"/>
              <w:keepNext/>
              <w:keepLines/>
              <w:jc w:val="center"/>
              <w:rPr>
                <w:snapToGrid w:val="0"/>
              </w:rPr>
            </w:pPr>
            <w:r>
              <w:rPr>
                <w:snapToGrid w:val="0"/>
              </w:rPr>
              <w:t>Not used</w:t>
            </w:r>
          </w:p>
        </w:tc>
      </w:tr>
    </w:tbl>
    <w:p w14:paraId="4443FC66" w14:textId="71D9E78F" w:rsidR="00D0744E" w:rsidRDefault="007C2672" w:rsidP="00C6168E">
      <w:pPr>
        <w:pStyle w:val="TFAbbrevs0"/>
        <w:spacing w:before="0"/>
        <w:rPr>
          <w:rStyle w:val="TablenotesChar0"/>
        </w:rPr>
      </w:pPr>
      <w:r w:rsidRPr="00CE45B9">
        <w:rPr>
          <w:rStyle w:val="TablenotesChar0"/>
        </w:rPr>
        <w:t>Coh</w:t>
      </w:r>
      <w:r w:rsidR="004218E7">
        <w:rPr>
          <w:rStyle w:val="TablenotesChar0"/>
        </w:rPr>
        <w:t>=</w:t>
      </w:r>
      <w:r w:rsidRPr="00CE45B9">
        <w:rPr>
          <w:rStyle w:val="TablenotesChar0"/>
        </w:rPr>
        <w:t>cohort; CS</w:t>
      </w:r>
      <w:r w:rsidR="004218E7">
        <w:rPr>
          <w:rStyle w:val="TablenotesChar0"/>
        </w:rPr>
        <w:t>=</w:t>
      </w:r>
      <w:r w:rsidRPr="00CE45B9">
        <w:rPr>
          <w:rStyle w:val="TablenotesChar0"/>
        </w:rPr>
        <w:t xml:space="preserve">case series; </w:t>
      </w:r>
      <w:r w:rsidR="00FF649E">
        <w:rPr>
          <w:rStyle w:val="TablenotesChar0"/>
        </w:rPr>
        <w:t>DFS</w:t>
      </w:r>
      <w:r w:rsidR="004218E7">
        <w:rPr>
          <w:rStyle w:val="TablenotesChar0"/>
        </w:rPr>
        <w:t>=</w:t>
      </w:r>
      <w:r w:rsidR="00FF649E">
        <w:rPr>
          <w:rStyle w:val="TablenotesChar0"/>
        </w:rPr>
        <w:t xml:space="preserve">disease-free survival; </w:t>
      </w:r>
      <w:r w:rsidR="00B6683B">
        <w:rPr>
          <w:rStyle w:val="TablenotesChar0"/>
        </w:rPr>
        <w:t>HCC</w:t>
      </w:r>
      <w:r w:rsidR="004218E7">
        <w:rPr>
          <w:rStyle w:val="TablenotesChar0"/>
        </w:rPr>
        <w:t>=</w:t>
      </w:r>
      <w:r w:rsidR="00B6683B">
        <w:rPr>
          <w:rStyle w:val="TablenotesChar0"/>
        </w:rPr>
        <w:t xml:space="preserve">hepatocellular carcinoma; </w:t>
      </w:r>
      <w:r w:rsidR="00E66286">
        <w:rPr>
          <w:rStyle w:val="TablenotesChar0"/>
        </w:rPr>
        <w:t>IMRT</w:t>
      </w:r>
      <w:r w:rsidR="004218E7">
        <w:rPr>
          <w:rStyle w:val="TablenotesChar0"/>
        </w:rPr>
        <w:t>=</w:t>
      </w:r>
      <w:r w:rsidR="00E66286">
        <w:rPr>
          <w:rStyle w:val="TablenotesChar0"/>
        </w:rPr>
        <w:t xml:space="preserve">intensity modulated radiation therapy; </w:t>
      </w:r>
      <w:r w:rsidR="000101C7">
        <w:rPr>
          <w:rStyle w:val="TablenotesChar0"/>
        </w:rPr>
        <w:t>LC</w:t>
      </w:r>
      <w:r w:rsidR="004218E7">
        <w:rPr>
          <w:rStyle w:val="TablenotesChar0"/>
        </w:rPr>
        <w:t>=</w:t>
      </w:r>
      <w:r w:rsidR="000101C7">
        <w:rPr>
          <w:rStyle w:val="TablenotesChar0"/>
        </w:rPr>
        <w:t xml:space="preserve">local control; </w:t>
      </w:r>
      <w:r>
        <w:rPr>
          <w:rStyle w:val="TablenotesChar0"/>
        </w:rPr>
        <w:t>MR</w:t>
      </w:r>
      <w:r w:rsidR="0004212E">
        <w:rPr>
          <w:rStyle w:val="TablenotesChar0"/>
        </w:rPr>
        <w:t>-IGRT</w:t>
      </w:r>
      <w:r w:rsidR="004218E7">
        <w:rPr>
          <w:rStyle w:val="TablenotesChar0"/>
        </w:rPr>
        <w:t>=</w:t>
      </w:r>
      <w:r w:rsidR="0004212E">
        <w:rPr>
          <w:rStyle w:val="TablenotesChar0"/>
        </w:rPr>
        <w:t xml:space="preserve">magnetic resonance image guided radiation therapy; </w:t>
      </w:r>
      <w:r w:rsidR="005C3A65">
        <w:rPr>
          <w:rStyle w:val="TablenotesChar0"/>
        </w:rPr>
        <w:t>NA</w:t>
      </w:r>
      <w:r w:rsidR="004218E7">
        <w:rPr>
          <w:rStyle w:val="TablenotesChar0"/>
        </w:rPr>
        <w:t>=</w:t>
      </w:r>
      <w:r w:rsidR="005C3A65">
        <w:rPr>
          <w:rStyle w:val="TablenotesChar0"/>
        </w:rPr>
        <w:t xml:space="preserve">not assessed; </w:t>
      </w:r>
      <w:r w:rsidR="00FF649E">
        <w:rPr>
          <w:rStyle w:val="TablenotesChar0"/>
        </w:rPr>
        <w:t>OS</w:t>
      </w:r>
      <w:r w:rsidR="004218E7">
        <w:rPr>
          <w:rStyle w:val="TablenotesChar0"/>
        </w:rPr>
        <w:t>=</w:t>
      </w:r>
      <w:r w:rsidR="00FF649E">
        <w:rPr>
          <w:rStyle w:val="TablenotesChar0"/>
        </w:rPr>
        <w:t>overall survival;</w:t>
      </w:r>
      <w:r w:rsidR="00FC0794">
        <w:rPr>
          <w:rStyle w:val="TablenotesChar0"/>
        </w:rPr>
        <w:t xml:space="preserve"> PFS</w:t>
      </w:r>
      <w:r w:rsidR="004218E7">
        <w:rPr>
          <w:rStyle w:val="TablenotesChar0"/>
        </w:rPr>
        <w:t>=</w:t>
      </w:r>
      <w:r w:rsidR="00FC0794">
        <w:rPr>
          <w:rStyle w:val="TablenotesChar0"/>
        </w:rPr>
        <w:t>progression</w:t>
      </w:r>
      <w:r w:rsidR="007763F9">
        <w:rPr>
          <w:rStyle w:val="TablenotesChar0"/>
        </w:rPr>
        <w:t>-</w:t>
      </w:r>
      <w:r w:rsidR="00FC0794">
        <w:rPr>
          <w:rStyle w:val="TablenotesChar0"/>
        </w:rPr>
        <w:t>free survival;</w:t>
      </w:r>
      <w:r w:rsidR="00FC0794" w:rsidDel="007763F9">
        <w:rPr>
          <w:rStyle w:val="TablenotesChar0"/>
        </w:rPr>
        <w:t xml:space="preserve"> </w:t>
      </w:r>
      <w:r w:rsidR="0004212E">
        <w:rPr>
          <w:rStyle w:val="TablenotesChar0"/>
        </w:rPr>
        <w:t>SBRT</w:t>
      </w:r>
      <w:r w:rsidR="004218E7">
        <w:rPr>
          <w:rStyle w:val="TablenotesChar0"/>
        </w:rPr>
        <w:t>=</w:t>
      </w:r>
      <w:r w:rsidR="0004212E">
        <w:rPr>
          <w:rStyle w:val="TablenotesChar0"/>
        </w:rPr>
        <w:t xml:space="preserve">stereotactic body radiation therapy; </w:t>
      </w:r>
      <w:r>
        <w:rPr>
          <w:rStyle w:val="TablenotesChar0"/>
        </w:rPr>
        <w:t>Q</w:t>
      </w:r>
      <w:r w:rsidR="00E03DB6">
        <w:rPr>
          <w:rStyle w:val="TablenotesChar0"/>
        </w:rPr>
        <w:t>o</w:t>
      </w:r>
      <w:r>
        <w:rPr>
          <w:rStyle w:val="TablenotesChar0"/>
        </w:rPr>
        <w:t>L</w:t>
      </w:r>
      <w:r w:rsidR="004218E7">
        <w:rPr>
          <w:rStyle w:val="TablenotesChar0"/>
        </w:rPr>
        <w:t>=</w:t>
      </w:r>
      <w:r>
        <w:rPr>
          <w:rStyle w:val="TablenotesChar0"/>
        </w:rPr>
        <w:t>quality of life</w:t>
      </w:r>
      <w:r w:rsidR="00AB49CB">
        <w:rPr>
          <w:rStyle w:val="TablenotesChar0"/>
        </w:rPr>
        <w:br/>
      </w:r>
      <w:r>
        <w:rPr>
          <w:rStyle w:val="TablenotesChar0"/>
        </w:rPr>
        <w:t>*</w:t>
      </w:r>
      <w:r w:rsidRPr="00C817D8">
        <w:rPr>
          <w:rStyle w:val="TablenotesChar0"/>
        </w:rPr>
        <w:t xml:space="preserve">Lung density is regarded as an objective predictive parameter for clinical </w:t>
      </w:r>
      <w:r w:rsidR="00340972">
        <w:rPr>
          <w:rStyle w:val="TablenotesChar0"/>
        </w:rPr>
        <w:t xml:space="preserve">radiation-induced lung </w:t>
      </w:r>
      <w:r w:rsidR="001E587E">
        <w:rPr>
          <w:rStyle w:val="TablenotesChar0"/>
        </w:rPr>
        <w:t>damage</w:t>
      </w:r>
      <w:r w:rsidR="00340972">
        <w:rPr>
          <w:rStyle w:val="TablenotesChar0"/>
        </w:rPr>
        <w:t xml:space="preserve"> (</w:t>
      </w:r>
      <w:r w:rsidRPr="00C817D8">
        <w:rPr>
          <w:rStyle w:val="TablenotesChar0"/>
        </w:rPr>
        <w:t>RILD</w:t>
      </w:r>
      <w:r w:rsidR="00340972">
        <w:rPr>
          <w:rStyle w:val="TablenotesChar0"/>
        </w:rPr>
        <w:t>)</w:t>
      </w:r>
    </w:p>
    <w:p w14:paraId="65468F71" w14:textId="357F1B16" w:rsidR="00C01087" w:rsidRDefault="00315EDA" w:rsidP="00C01087">
      <w:r>
        <w:t>Fifty-four</w:t>
      </w:r>
      <w:r w:rsidR="00216177">
        <w:t xml:space="preserve"> </w:t>
      </w:r>
      <w:r w:rsidR="00997EDD">
        <w:t xml:space="preserve">studies </w:t>
      </w:r>
      <w:r w:rsidR="00CF7DC1">
        <w:t xml:space="preserve">on the safety and clinical effectiveness of </w:t>
      </w:r>
      <w:r w:rsidR="00165A12">
        <w:t xml:space="preserve">CBCT-IGRT were included </w:t>
      </w:r>
      <w:r w:rsidR="00C809C7">
        <w:t xml:space="preserve">in an attempt to perform </w:t>
      </w:r>
      <w:r w:rsidR="00165A12">
        <w:t xml:space="preserve">a naïve </w:t>
      </w:r>
      <w:r w:rsidR="007D5971">
        <w:t>comparison:</w:t>
      </w:r>
      <w:r w:rsidR="00165A12">
        <w:t xml:space="preserve"> </w:t>
      </w:r>
      <w:r w:rsidR="00751E04">
        <w:t xml:space="preserve">11 for lung </w:t>
      </w:r>
      <w:r w:rsidR="009F4CB2">
        <w:t xml:space="preserve">malignancies, 34 for prostate cancer, </w:t>
      </w:r>
      <w:r w:rsidR="007D5971">
        <w:t xml:space="preserve">eight for abdominal malignancies and one for head and neck cancer. </w:t>
      </w:r>
      <w:r w:rsidR="007377B0">
        <w:t xml:space="preserve">Their key features are </w:t>
      </w:r>
      <w:r w:rsidR="005D455A">
        <w:t xml:space="preserve">described in </w:t>
      </w:r>
      <w:r w:rsidR="005D455A">
        <w:fldChar w:fldCharType="begin"/>
      </w:r>
      <w:r w:rsidR="005D455A">
        <w:instrText xml:space="preserve"> REF _Ref55986667 \h </w:instrText>
      </w:r>
      <w:r w:rsidR="005D455A">
        <w:fldChar w:fldCharType="separate"/>
      </w:r>
      <w:r w:rsidR="00451350" w:rsidRPr="005963A4">
        <w:t xml:space="preserve">Table </w:t>
      </w:r>
      <w:r w:rsidR="00451350">
        <w:rPr>
          <w:noProof/>
        </w:rPr>
        <w:t>16</w:t>
      </w:r>
      <w:r w:rsidR="005D455A">
        <w:fldChar w:fldCharType="end"/>
      </w:r>
      <w:r w:rsidR="005D455A">
        <w:t>.</w:t>
      </w:r>
      <w:r w:rsidR="00A25514">
        <w:t xml:space="preserve"> Studies were either single-arm or comparative</w:t>
      </w:r>
      <w:r w:rsidR="00A175DE">
        <w:t xml:space="preserve"> in nature</w:t>
      </w:r>
      <w:r w:rsidR="00282890">
        <w:t xml:space="preserve">. </w:t>
      </w:r>
      <w:r w:rsidR="00F54618">
        <w:t>I</w:t>
      </w:r>
      <w:r w:rsidR="00A25514">
        <w:t xml:space="preserve">n comparative studies, only </w:t>
      </w:r>
      <w:r w:rsidR="00A62AA6">
        <w:t>the</w:t>
      </w:r>
      <w:r w:rsidR="00A25514">
        <w:t xml:space="preserve"> subset of patients relevant to the </w:t>
      </w:r>
      <w:r w:rsidR="00F36A57">
        <w:t xml:space="preserve">comparator (IGRT with daily </w:t>
      </w:r>
      <w:r w:rsidR="00F732F1">
        <w:t>CBCT confirmation) w</w:t>
      </w:r>
      <w:r w:rsidR="00FC0794">
        <w:t>ere</w:t>
      </w:r>
      <w:r w:rsidR="00F732F1">
        <w:t xml:space="preserve"> considered.</w:t>
      </w:r>
    </w:p>
    <w:p w14:paraId="18892D6E" w14:textId="04EA4C0D" w:rsidR="0071475D" w:rsidRDefault="0071475D" w:rsidP="0057095F">
      <w:pPr>
        <w:pStyle w:val="Caption"/>
        <w:keepNext/>
        <w:rPr>
          <w:snapToGrid w:val="0"/>
          <w:lang w:eastAsia="en-US"/>
        </w:rPr>
      </w:pPr>
      <w:bookmarkStart w:id="322" w:name="_Ref55986667"/>
      <w:bookmarkStart w:id="323" w:name="_Toc89857887"/>
      <w:r w:rsidRPr="005963A4">
        <w:t xml:space="preserve">Table </w:t>
      </w:r>
      <w:r w:rsidR="00211285">
        <w:fldChar w:fldCharType="begin"/>
      </w:r>
      <w:r w:rsidR="00211285">
        <w:instrText xml:space="preserve"> SEQ Table \* ARABIC </w:instrText>
      </w:r>
      <w:r w:rsidR="00211285">
        <w:fldChar w:fldCharType="separate"/>
      </w:r>
      <w:r w:rsidR="00451350">
        <w:rPr>
          <w:noProof/>
        </w:rPr>
        <w:t>16</w:t>
      </w:r>
      <w:r w:rsidR="00211285">
        <w:rPr>
          <w:noProof/>
        </w:rPr>
        <w:fldChar w:fldCharType="end"/>
      </w:r>
      <w:bookmarkEnd w:id="322"/>
      <w:r w:rsidRPr="005963A4">
        <w:tab/>
      </w:r>
      <w:r w:rsidRPr="005963A4">
        <w:rPr>
          <w:snapToGrid w:val="0"/>
          <w:lang w:eastAsia="en-US"/>
        </w:rPr>
        <w:t xml:space="preserve">Key features of the included evidence </w:t>
      </w:r>
      <w:r>
        <w:rPr>
          <w:snapToGrid w:val="0"/>
          <w:lang w:eastAsia="en-US"/>
        </w:rPr>
        <w:t xml:space="preserve">on </w:t>
      </w:r>
      <w:r w:rsidR="000F29EA">
        <w:rPr>
          <w:snapToGrid w:val="0"/>
          <w:lang w:eastAsia="en-US"/>
        </w:rPr>
        <w:t>CBCT</w:t>
      </w:r>
      <w:r>
        <w:rPr>
          <w:snapToGrid w:val="0"/>
          <w:lang w:eastAsia="en-US"/>
        </w:rPr>
        <w:t>-IGRT</w:t>
      </w:r>
      <w:bookmarkEnd w:id="323"/>
    </w:p>
    <w:tbl>
      <w:tblPr>
        <w:tblStyle w:val="TableGrid1"/>
        <w:tblW w:w="5000" w:type="pct"/>
        <w:tblCellMar>
          <w:left w:w="28" w:type="dxa"/>
          <w:right w:w="28" w:type="dxa"/>
        </w:tblCellMar>
        <w:tblLook w:val="04A0" w:firstRow="1" w:lastRow="0" w:firstColumn="1" w:lastColumn="0" w:noHBand="0" w:noVBand="1"/>
        <w:tblCaption w:val="Table 16 Key features of the included evidence on CBCT-IGRT"/>
        <w:tblDescription w:val="This table provides key features of the included evidence on CBCT-IGRT."/>
      </w:tblPr>
      <w:tblGrid>
        <w:gridCol w:w="1176"/>
        <w:gridCol w:w="1013"/>
        <w:gridCol w:w="1962"/>
        <w:gridCol w:w="1388"/>
        <w:gridCol w:w="1506"/>
        <w:gridCol w:w="1149"/>
        <w:gridCol w:w="822"/>
      </w:tblGrid>
      <w:tr w:rsidR="008B6FC0" w:rsidRPr="00CE45B9" w14:paraId="04D78FD3" w14:textId="77777777" w:rsidTr="001F64FE">
        <w:trPr>
          <w:cnfStyle w:val="100000000000" w:firstRow="1" w:lastRow="0" w:firstColumn="0" w:lastColumn="0" w:oddVBand="0" w:evenVBand="0" w:oddHBand="0" w:evenHBand="0" w:firstRowFirstColumn="0" w:firstRowLastColumn="0" w:lastRowFirstColumn="0" w:lastRowLastColumn="0"/>
          <w:cantSplit/>
          <w:tblHeader/>
        </w:trPr>
        <w:tc>
          <w:tcPr>
            <w:tcW w:w="652" w:type="pct"/>
            <w:shd w:val="clear" w:color="auto" w:fill="auto"/>
            <w:vAlign w:val="center"/>
          </w:tcPr>
          <w:p w14:paraId="61A0A5CF" w14:textId="77777777" w:rsidR="0071475D" w:rsidRPr="005C3B2B" w:rsidRDefault="0071475D" w:rsidP="005C3B2B">
            <w:pPr>
              <w:pStyle w:val="Tabletext1"/>
              <w:rPr>
                <w:b/>
                <w:bCs/>
              </w:rPr>
            </w:pPr>
            <w:r w:rsidRPr="005C3B2B">
              <w:rPr>
                <w:b/>
                <w:snapToGrid w:val="0"/>
                <w:lang w:eastAsia="en-US"/>
              </w:rPr>
              <w:t>Study</w:t>
            </w:r>
          </w:p>
        </w:tc>
        <w:tc>
          <w:tcPr>
            <w:tcW w:w="562" w:type="pct"/>
            <w:shd w:val="clear" w:color="auto" w:fill="auto"/>
            <w:vAlign w:val="center"/>
          </w:tcPr>
          <w:p w14:paraId="6B05CFA9" w14:textId="77777777" w:rsidR="0071475D" w:rsidRPr="005C3B2B" w:rsidRDefault="0071475D" w:rsidP="005C3B2B">
            <w:pPr>
              <w:pStyle w:val="Tabletext1"/>
              <w:jc w:val="center"/>
              <w:rPr>
                <w:b/>
                <w:bCs/>
              </w:rPr>
            </w:pPr>
            <w:r w:rsidRPr="005C3B2B">
              <w:rPr>
                <w:b/>
                <w:snapToGrid w:val="0"/>
                <w:lang w:eastAsia="en-US"/>
              </w:rPr>
              <w:t>N</w:t>
            </w:r>
          </w:p>
        </w:tc>
        <w:tc>
          <w:tcPr>
            <w:tcW w:w="1088" w:type="pct"/>
            <w:shd w:val="clear" w:color="auto" w:fill="auto"/>
            <w:vAlign w:val="center"/>
          </w:tcPr>
          <w:p w14:paraId="58FC81F3" w14:textId="6EE531EC" w:rsidR="0071475D" w:rsidRPr="005C3B2B" w:rsidRDefault="0071475D" w:rsidP="005C3B2B">
            <w:pPr>
              <w:pStyle w:val="Tabletext1"/>
              <w:jc w:val="center"/>
              <w:rPr>
                <w:b/>
                <w:bCs/>
              </w:rPr>
            </w:pPr>
            <w:r w:rsidRPr="005C3B2B">
              <w:rPr>
                <w:b/>
                <w:snapToGrid w:val="0"/>
                <w:lang w:eastAsia="en-US"/>
              </w:rPr>
              <w:t>Design</w:t>
            </w:r>
          </w:p>
        </w:tc>
        <w:tc>
          <w:tcPr>
            <w:tcW w:w="770" w:type="pct"/>
            <w:shd w:val="clear" w:color="auto" w:fill="auto"/>
            <w:vAlign w:val="center"/>
          </w:tcPr>
          <w:p w14:paraId="6A123558" w14:textId="764F099F" w:rsidR="0071475D" w:rsidRPr="005C3B2B" w:rsidRDefault="00004970" w:rsidP="005C3B2B">
            <w:pPr>
              <w:pStyle w:val="Tabletext1"/>
              <w:jc w:val="center"/>
              <w:rPr>
                <w:b/>
                <w:bCs/>
              </w:rPr>
            </w:pPr>
            <w:r w:rsidRPr="005C3B2B">
              <w:rPr>
                <w:b/>
                <w:snapToGrid w:val="0"/>
                <w:lang w:eastAsia="en-US"/>
              </w:rPr>
              <w:t>Radiation delivery</w:t>
            </w:r>
          </w:p>
        </w:tc>
        <w:tc>
          <w:tcPr>
            <w:tcW w:w="835" w:type="pct"/>
            <w:shd w:val="clear" w:color="auto" w:fill="auto"/>
            <w:vAlign w:val="center"/>
          </w:tcPr>
          <w:p w14:paraId="57956AA7" w14:textId="77777777" w:rsidR="0071475D" w:rsidRPr="005C3B2B" w:rsidRDefault="0071475D" w:rsidP="005C3B2B">
            <w:pPr>
              <w:pStyle w:val="Tabletext1"/>
              <w:jc w:val="center"/>
              <w:rPr>
                <w:b/>
                <w:bCs/>
              </w:rPr>
            </w:pPr>
            <w:r w:rsidRPr="005C3B2B">
              <w:rPr>
                <w:b/>
                <w:snapToGrid w:val="0"/>
                <w:lang w:eastAsia="en-US"/>
              </w:rPr>
              <w:t>Patient population</w:t>
            </w:r>
          </w:p>
        </w:tc>
        <w:tc>
          <w:tcPr>
            <w:tcW w:w="637" w:type="pct"/>
            <w:shd w:val="clear" w:color="auto" w:fill="auto"/>
            <w:vAlign w:val="center"/>
          </w:tcPr>
          <w:p w14:paraId="1A2961E9" w14:textId="77777777" w:rsidR="0071475D" w:rsidRPr="005C3B2B" w:rsidRDefault="0071475D" w:rsidP="005C3B2B">
            <w:pPr>
              <w:pStyle w:val="Tabletext1"/>
              <w:jc w:val="center"/>
              <w:rPr>
                <w:b/>
                <w:bCs/>
              </w:rPr>
            </w:pPr>
            <w:r w:rsidRPr="005C3B2B">
              <w:rPr>
                <w:b/>
                <w:snapToGrid w:val="0"/>
                <w:lang w:eastAsia="en-US"/>
              </w:rPr>
              <w:t>Key outcome(s)</w:t>
            </w:r>
          </w:p>
        </w:tc>
        <w:tc>
          <w:tcPr>
            <w:tcW w:w="456" w:type="pct"/>
            <w:shd w:val="clear" w:color="auto" w:fill="auto"/>
            <w:vAlign w:val="center"/>
          </w:tcPr>
          <w:p w14:paraId="409DE7EF" w14:textId="77777777" w:rsidR="0071475D" w:rsidRPr="005C3B2B" w:rsidRDefault="0071475D" w:rsidP="005C3B2B">
            <w:pPr>
              <w:pStyle w:val="Tabletext1"/>
              <w:jc w:val="center"/>
              <w:rPr>
                <w:b/>
                <w:bCs/>
              </w:rPr>
            </w:pPr>
            <w:r w:rsidRPr="005C3B2B">
              <w:rPr>
                <w:b/>
                <w:snapToGrid w:val="0"/>
                <w:lang w:eastAsia="en-US"/>
              </w:rPr>
              <w:t>Result used in economic model</w:t>
            </w:r>
          </w:p>
        </w:tc>
      </w:tr>
      <w:tr w:rsidR="008B6FC0" w14:paraId="717257B7" w14:textId="77777777" w:rsidTr="001F64FE">
        <w:trPr>
          <w:cantSplit/>
        </w:trPr>
        <w:tc>
          <w:tcPr>
            <w:tcW w:w="652" w:type="pct"/>
            <w:tcBorders>
              <w:top w:val="single" w:sz="4" w:space="0" w:color="auto"/>
              <w:left w:val="single" w:sz="4" w:space="0" w:color="auto"/>
              <w:bottom w:val="single" w:sz="4" w:space="0" w:color="auto"/>
              <w:right w:val="nil"/>
            </w:tcBorders>
            <w:shd w:val="clear" w:color="auto" w:fill="auto"/>
            <w:vAlign w:val="center"/>
          </w:tcPr>
          <w:p w14:paraId="70BCFD07" w14:textId="54515ADF" w:rsidR="0071475D" w:rsidRPr="005C3B2B" w:rsidRDefault="00914928" w:rsidP="005C3B2B">
            <w:pPr>
              <w:pStyle w:val="Tabletext1"/>
              <w:rPr>
                <w:b/>
                <w:snapToGrid w:val="0"/>
              </w:rPr>
            </w:pPr>
            <w:r w:rsidRPr="005C3B2B">
              <w:rPr>
                <w:b/>
                <w:snapToGrid w:val="0"/>
              </w:rPr>
              <w:t>Lung cancer</w:t>
            </w:r>
          </w:p>
        </w:tc>
        <w:tc>
          <w:tcPr>
            <w:tcW w:w="562" w:type="pct"/>
            <w:tcBorders>
              <w:top w:val="single" w:sz="4" w:space="0" w:color="auto"/>
              <w:left w:val="nil"/>
              <w:bottom w:val="single" w:sz="4" w:space="0" w:color="auto"/>
              <w:right w:val="nil"/>
            </w:tcBorders>
            <w:shd w:val="clear" w:color="auto" w:fill="auto"/>
            <w:vAlign w:val="center"/>
          </w:tcPr>
          <w:p w14:paraId="1D43D754" w14:textId="530C81F0" w:rsidR="0071475D" w:rsidRDefault="0071475D" w:rsidP="005C3B2B">
            <w:pPr>
              <w:pStyle w:val="Tabletext1"/>
              <w:jc w:val="center"/>
              <w:rPr>
                <w:snapToGrid w:val="0"/>
              </w:rPr>
            </w:pPr>
          </w:p>
        </w:tc>
        <w:tc>
          <w:tcPr>
            <w:tcW w:w="1088" w:type="pct"/>
            <w:tcBorders>
              <w:top w:val="single" w:sz="4" w:space="0" w:color="auto"/>
              <w:left w:val="nil"/>
              <w:bottom w:val="single" w:sz="4" w:space="0" w:color="auto"/>
              <w:right w:val="nil"/>
            </w:tcBorders>
            <w:shd w:val="clear" w:color="auto" w:fill="auto"/>
            <w:vAlign w:val="center"/>
          </w:tcPr>
          <w:p w14:paraId="4EA866A4" w14:textId="434F44BB" w:rsidR="0071475D" w:rsidRDefault="0071475D" w:rsidP="005C3B2B">
            <w:pPr>
              <w:pStyle w:val="Tabletext1"/>
              <w:jc w:val="center"/>
              <w:rPr>
                <w:snapToGrid w:val="0"/>
              </w:rPr>
            </w:pPr>
          </w:p>
        </w:tc>
        <w:tc>
          <w:tcPr>
            <w:tcW w:w="770" w:type="pct"/>
            <w:tcBorders>
              <w:top w:val="single" w:sz="4" w:space="0" w:color="auto"/>
              <w:left w:val="nil"/>
              <w:bottom w:val="single" w:sz="4" w:space="0" w:color="auto"/>
              <w:right w:val="nil"/>
            </w:tcBorders>
            <w:shd w:val="clear" w:color="auto" w:fill="auto"/>
            <w:vAlign w:val="center"/>
          </w:tcPr>
          <w:p w14:paraId="2D76731A" w14:textId="0418B7C9" w:rsidR="0071475D" w:rsidRDefault="0071475D" w:rsidP="005C3B2B">
            <w:pPr>
              <w:pStyle w:val="Tabletext1"/>
              <w:jc w:val="center"/>
              <w:rPr>
                <w:snapToGrid w:val="0"/>
              </w:rPr>
            </w:pPr>
          </w:p>
        </w:tc>
        <w:tc>
          <w:tcPr>
            <w:tcW w:w="835" w:type="pct"/>
            <w:tcBorders>
              <w:top w:val="single" w:sz="4" w:space="0" w:color="auto"/>
              <w:left w:val="nil"/>
              <w:bottom w:val="single" w:sz="4" w:space="0" w:color="auto"/>
              <w:right w:val="nil"/>
            </w:tcBorders>
            <w:shd w:val="clear" w:color="auto" w:fill="auto"/>
            <w:vAlign w:val="center"/>
          </w:tcPr>
          <w:p w14:paraId="342A77E6" w14:textId="6175ED2D" w:rsidR="0071475D" w:rsidRDefault="0071475D" w:rsidP="005C3B2B">
            <w:pPr>
              <w:pStyle w:val="Tabletext1"/>
              <w:jc w:val="center"/>
              <w:rPr>
                <w:snapToGrid w:val="0"/>
              </w:rPr>
            </w:pPr>
          </w:p>
        </w:tc>
        <w:tc>
          <w:tcPr>
            <w:tcW w:w="637" w:type="pct"/>
            <w:tcBorders>
              <w:top w:val="single" w:sz="4" w:space="0" w:color="auto"/>
              <w:left w:val="nil"/>
              <w:bottom w:val="single" w:sz="4" w:space="0" w:color="auto"/>
              <w:right w:val="nil"/>
            </w:tcBorders>
            <w:shd w:val="clear" w:color="auto" w:fill="auto"/>
            <w:vAlign w:val="center"/>
          </w:tcPr>
          <w:p w14:paraId="2011C873" w14:textId="081D2736" w:rsidR="0071475D" w:rsidRDefault="0071475D" w:rsidP="005C3B2B">
            <w:pPr>
              <w:pStyle w:val="Tabletext1"/>
              <w:jc w:val="center"/>
              <w:rPr>
                <w:snapToGrid w:val="0"/>
              </w:rPr>
            </w:pPr>
          </w:p>
        </w:tc>
        <w:tc>
          <w:tcPr>
            <w:tcW w:w="456" w:type="pct"/>
            <w:tcBorders>
              <w:top w:val="single" w:sz="4" w:space="0" w:color="auto"/>
              <w:left w:val="nil"/>
              <w:bottom w:val="single" w:sz="4" w:space="0" w:color="auto"/>
              <w:right w:val="single" w:sz="4" w:space="0" w:color="auto"/>
            </w:tcBorders>
            <w:shd w:val="clear" w:color="auto" w:fill="auto"/>
            <w:vAlign w:val="center"/>
          </w:tcPr>
          <w:p w14:paraId="6543B48C" w14:textId="26A19EAD" w:rsidR="0071475D" w:rsidRDefault="0071475D" w:rsidP="005C3B2B">
            <w:pPr>
              <w:pStyle w:val="Tabletext1"/>
              <w:jc w:val="center"/>
              <w:rPr>
                <w:snapToGrid w:val="0"/>
              </w:rPr>
            </w:pPr>
          </w:p>
        </w:tc>
      </w:tr>
      <w:tr w:rsidR="008B6FC0" w:rsidRPr="00CE45B9" w14:paraId="286E1F93" w14:textId="77777777" w:rsidTr="001F64FE">
        <w:trPr>
          <w:cantSplit/>
        </w:trPr>
        <w:tc>
          <w:tcPr>
            <w:tcW w:w="652" w:type="pct"/>
            <w:tcBorders>
              <w:top w:val="single" w:sz="4" w:space="0" w:color="auto"/>
            </w:tcBorders>
            <w:shd w:val="clear" w:color="auto" w:fill="auto"/>
          </w:tcPr>
          <w:p w14:paraId="4A9C0728" w14:textId="683EE731" w:rsidR="0071475D" w:rsidRPr="00CE45B9" w:rsidRDefault="00211285" w:rsidP="005C3B2B">
            <w:pPr>
              <w:pStyle w:val="Tabletext1"/>
              <w:rPr>
                <w:snapToGrid w:val="0"/>
              </w:rPr>
            </w:pPr>
            <w:hyperlink w:anchor="_ENREF_4" w:tooltip="Appel, 2020 #30" w:history="1">
              <w:r w:rsidR="008B6FC0">
                <w:rPr>
                  <w:snapToGrid w:val="0"/>
                </w:rPr>
                <w:fldChar w:fldCharType="begin"/>
              </w:r>
              <w:r w:rsidR="008B6FC0">
                <w:rPr>
                  <w:snapToGrid w:val="0"/>
                </w:rPr>
                <w:instrText xml:space="preserve"> ADDIN EN.CITE &lt;EndNote&gt;&lt;Cite AuthorYear="1"&gt;&lt;Author&gt;Appel&lt;/Author&gt;&lt;Year&gt;2020&lt;/Year&gt;&lt;RecNum&gt;30&lt;/RecNum&gt;&lt;DisplayText&gt;Appel et al. (2020)&lt;/DisplayText&gt;&lt;record&gt;&lt;rec-number&gt;30&lt;/rec-number&gt;&lt;foreign-keys&gt;&lt;key app="EN" db-id="sx5wsdwv795wvue959xxw0ptaewvdezxxp05" timestamp="1604876375"&gt;30&lt;/key&gt;&lt;/foreign-keys&gt;&lt;ref-type name="Journal Article"&gt;17&lt;/ref-type&gt;&lt;contributors&gt;&lt;authors&gt;&lt;author&gt;Appel, S.&lt;/author&gt;&lt;author&gt;Bar, J.&lt;/author&gt;&lt;author&gt;Alezra, D.&lt;/author&gt;&lt;author&gt;Ben-Ayun, M.&lt;/author&gt;&lt;author&gt;Rabin-Alezra, T.&lt;/author&gt;&lt;author&gt;Honig, N.&lt;/author&gt;&lt;author&gt;Katzman, T.&lt;/author&gt;&lt;author&gt;Chatterji, S.&lt;/author&gt;&lt;author&gt;Symon, Z.&lt;/author&gt;&lt;author&gt;Lawrence, Y. R.&lt;/author&gt;&lt;/authors&gt;&lt;/contributors&gt;&lt;titles&gt;&lt;title&gt;Image-guidance triggered adaptive replanning of radiation therapy for locally advanced lung cancer: an evaluation of cases requiring plan adaptation&lt;/title&gt;&lt;secondary-title&gt;Br J Radiol&lt;/secondary-title&gt;&lt;/titles&gt;&lt;pages&gt;20190743&lt;/pages&gt;&lt;volume&gt;93&lt;/volume&gt;&lt;number&gt;1105&lt;/number&gt;&lt;dates&gt;&lt;year&gt;2020&lt;/year&gt;&lt;/dates&gt;&lt;accession-num&gt;31670581&lt;/accession-num&gt;&lt;urls&gt;&lt;related-urls&gt;&lt;url&gt;http://ezproxy.library.usyd.edu.au/login?url=http://ovidsp.ovid.com/ovidweb.cgi?T=JS&amp;amp;CSC=Y&amp;amp;NEWS=N&amp;amp;PAGE=fulltext&amp;amp;D=medc&amp;amp;AN=31670581https://sydney.alma.exlibrisgroup.com/openurl/61USYD_INST/61USYD_INST:sydney?sid=OVID:medline&amp;amp;id=pmid:31670581&amp;amp;id=doi:10.1259&lt;/url&gt;&lt;/related-urls&gt;&lt;/urls&gt;&lt;electronic-resource-num&gt;https://dx.doi.org/10.1259/bjr.20190743&lt;/electronic-resource-num&gt;&lt;/record&gt;&lt;/Cite&gt;&lt;/EndNote&gt;</w:instrText>
              </w:r>
              <w:r w:rsidR="008B6FC0">
                <w:rPr>
                  <w:snapToGrid w:val="0"/>
                </w:rPr>
                <w:fldChar w:fldCharType="separate"/>
              </w:r>
              <w:r w:rsidR="008B6FC0">
                <w:rPr>
                  <w:noProof/>
                  <w:snapToGrid w:val="0"/>
                </w:rPr>
                <w:t>Appel et al. (2020)</w:t>
              </w:r>
              <w:r w:rsidR="008B6FC0">
                <w:rPr>
                  <w:snapToGrid w:val="0"/>
                </w:rPr>
                <w:fldChar w:fldCharType="end"/>
              </w:r>
            </w:hyperlink>
          </w:p>
        </w:tc>
        <w:tc>
          <w:tcPr>
            <w:tcW w:w="562" w:type="pct"/>
            <w:tcBorders>
              <w:top w:val="single" w:sz="4" w:space="0" w:color="auto"/>
            </w:tcBorders>
            <w:shd w:val="clear" w:color="auto" w:fill="auto"/>
          </w:tcPr>
          <w:p w14:paraId="5ECB7726" w14:textId="1EC87F52" w:rsidR="0071475D" w:rsidRPr="00CE45B9" w:rsidRDefault="00EF036F" w:rsidP="005C3B2B">
            <w:pPr>
              <w:pStyle w:val="Tabletext1"/>
              <w:jc w:val="center"/>
              <w:rPr>
                <w:snapToGrid w:val="0"/>
              </w:rPr>
            </w:pPr>
            <w:r>
              <w:rPr>
                <w:snapToGrid w:val="0"/>
              </w:rPr>
              <w:t>58</w:t>
            </w:r>
          </w:p>
        </w:tc>
        <w:tc>
          <w:tcPr>
            <w:tcW w:w="1088" w:type="pct"/>
            <w:tcBorders>
              <w:top w:val="single" w:sz="4" w:space="0" w:color="auto"/>
            </w:tcBorders>
            <w:shd w:val="clear" w:color="auto" w:fill="auto"/>
          </w:tcPr>
          <w:p w14:paraId="3EA6E30B" w14:textId="6396BDAA" w:rsidR="0071475D" w:rsidRPr="00CE45B9" w:rsidRDefault="009452E2" w:rsidP="005C3B2B">
            <w:pPr>
              <w:pStyle w:val="Tabletext1"/>
              <w:jc w:val="center"/>
              <w:rPr>
                <w:snapToGrid w:val="0"/>
              </w:rPr>
            </w:pPr>
            <w:r w:rsidRPr="005C3B2B">
              <w:t xml:space="preserve">Retrospective </w:t>
            </w:r>
            <w:r w:rsidR="007D0C6F">
              <w:rPr>
                <w:snapToGrid w:val="0"/>
              </w:rPr>
              <w:t>CS</w:t>
            </w:r>
          </w:p>
        </w:tc>
        <w:tc>
          <w:tcPr>
            <w:tcW w:w="770" w:type="pct"/>
            <w:tcBorders>
              <w:top w:val="single" w:sz="4" w:space="0" w:color="auto"/>
            </w:tcBorders>
            <w:shd w:val="clear" w:color="auto" w:fill="auto"/>
          </w:tcPr>
          <w:p w14:paraId="2360E89A" w14:textId="55ACAE3E" w:rsidR="0071475D" w:rsidRPr="005E18C3" w:rsidRDefault="00293F13" w:rsidP="005C3B2B">
            <w:pPr>
              <w:pStyle w:val="Tabletext1"/>
              <w:jc w:val="center"/>
              <w:rPr>
                <w:snapToGrid w:val="0"/>
              </w:rPr>
            </w:pPr>
            <w:r>
              <w:rPr>
                <w:snapToGrid w:val="0"/>
              </w:rPr>
              <w:t xml:space="preserve">3D-CRT, </w:t>
            </w:r>
            <w:r w:rsidR="001801FB" w:rsidRPr="006814F3">
              <w:rPr>
                <w:snapToGrid w:val="0"/>
              </w:rPr>
              <w:t>IMRT</w:t>
            </w:r>
            <w:r w:rsidR="00220BA9">
              <w:rPr>
                <w:snapToGrid w:val="0"/>
              </w:rPr>
              <w:t>/</w:t>
            </w:r>
            <w:r w:rsidR="006814F3">
              <w:rPr>
                <w:snapToGrid w:val="0"/>
              </w:rPr>
              <w:t xml:space="preserve"> </w:t>
            </w:r>
            <w:r w:rsidR="001801FB" w:rsidRPr="006814F3">
              <w:rPr>
                <w:snapToGrid w:val="0"/>
              </w:rPr>
              <w:t>VMAT</w:t>
            </w:r>
            <w:r w:rsidR="00220BA9">
              <w:rPr>
                <w:snapToGrid w:val="0"/>
              </w:rPr>
              <w:t>, or hybrid</w:t>
            </w:r>
          </w:p>
        </w:tc>
        <w:tc>
          <w:tcPr>
            <w:tcW w:w="835" w:type="pct"/>
            <w:tcBorders>
              <w:top w:val="single" w:sz="4" w:space="0" w:color="auto"/>
            </w:tcBorders>
            <w:shd w:val="clear" w:color="auto" w:fill="auto"/>
          </w:tcPr>
          <w:p w14:paraId="57C819FC" w14:textId="07C75BAA" w:rsidR="0071475D" w:rsidRPr="00CE45B9" w:rsidRDefault="00453906" w:rsidP="005C3B2B">
            <w:pPr>
              <w:pStyle w:val="Tabletext1"/>
              <w:jc w:val="center"/>
              <w:rPr>
                <w:snapToGrid w:val="0"/>
              </w:rPr>
            </w:pPr>
            <w:r>
              <w:rPr>
                <w:snapToGrid w:val="0"/>
              </w:rPr>
              <w:t xml:space="preserve">NSCLC and SCLC </w:t>
            </w:r>
            <w:r w:rsidR="003533A0">
              <w:rPr>
                <w:snapToGrid w:val="0"/>
              </w:rPr>
              <w:t>(</w:t>
            </w:r>
            <w:r>
              <w:rPr>
                <w:snapToGrid w:val="0"/>
              </w:rPr>
              <w:t>locally advanced</w:t>
            </w:r>
            <w:r w:rsidR="003533A0">
              <w:rPr>
                <w:snapToGrid w:val="0"/>
              </w:rPr>
              <w:t>)</w:t>
            </w:r>
            <w:r w:rsidR="00257CDB">
              <w:rPr>
                <w:snapToGrid w:val="0"/>
              </w:rPr>
              <w:t xml:space="preserve"> </w:t>
            </w:r>
            <w:r w:rsidR="00257CDB" w:rsidRPr="005C3B2B">
              <w:t>treated with chemoradiation</w:t>
            </w:r>
          </w:p>
        </w:tc>
        <w:tc>
          <w:tcPr>
            <w:tcW w:w="637" w:type="pct"/>
            <w:tcBorders>
              <w:top w:val="single" w:sz="4" w:space="0" w:color="auto"/>
            </w:tcBorders>
            <w:shd w:val="clear" w:color="auto" w:fill="auto"/>
          </w:tcPr>
          <w:p w14:paraId="528B11D0" w14:textId="77777777" w:rsidR="0071475D" w:rsidRDefault="00FA4DE0" w:rsidP="005C3B2B">
            <w:pPr>
              <w:pStyle w:val="Tabletext1"/>
              <w:jc w:val="center"/>
              <w:rPr>
                <w:snapToGrid w:val="0"/>
              </w:rPr>
            </w:pPr>
            <w:r>
              <w:rPr>
                <w:snapToGrid w:val="0"/>
              </w:rPr>
              <w:t>OS</w:t>
            </w:r>
          </w:p>
          <w:p w14:paraId="65F1E948" w14:textId="77777777" w:rsidR="00FA4DE0" w:rsidRDefault="00FA4DE0" w:rsidP="005C3B2B">
            <w:pPr>
              <w:pStyle w:val="Tabletext1"/>
              <w:jc w:val="center"/>
              <w:rPr>
                <w:snapToGrid w:val="0"/>
              </w:rPr>
            </w:pPr>
            <w:r>
              <w:rPr>
                <w:snapToGrid w:val="0"/>
              </w:rPr>
              <w:t>DFS</w:t>
            </w:r>
          </w:p>
          <w:p w14:paraId="32F3F8E6" w14:textId="069F7AD6" w:rsidR="00FA4DE0" w:rsidRPr="00CE45B9" w:rsidRDefault="000101C7" w:rsidP="005C3B2B">
            <w:pPr>
              <w:pStyle w:val="Tabletext1"/>
              <w:jc w:val="center"/>
              <w:rPr>
                <w:snapToGrid w:val="0"/>
              </w:rPr>
            </w:pPr>
            <w:r>
              <w:rPr>
                <w:snapToGrid w:val="0"/>
              </w:rPr>
              <w:t>LC</w:t>
            </w:r>
          </w:p>
        </w:tc>
        <w:tc>
          <w:tcPr>
            <w:tcW w:w="456" w:type="pct"/>
            <w:tcBorders>
              <w:top w:val="single" w:sz="4" w:space="0" w:color="auto"/>
            </w:tcBorders>
            <w:shd w:val="clear" w:color="auto" w:fill="auto"/>
          </w:tcPr>
          <w:p w14:paraId="54A065CC" w14:textId="760045E0" w:rsidR="0071475D" w:rsidRPr="00CE45B9" w:rsidRDefault="006814F3" w:rsidP="005C3B2B">
            <w:pPr>
              <w:pStyle w:val="Tabletext1"/>
              <w:jc w:val="center"/>
              <w:rPr>
                <w:snapToGrid w:val="0"/>
              </w:rPr>
            </w:pPr>
            <w:r>
              <w:rPr>
                <w:snapToGrid w:val="0"/>
              </w:rPr>
              <w:t>Not used</w:t>
            </w:r>
          </w:p>
        </w:tc>
      </w:tr>
      <w:tr w:rsidR="008B6FC0" w:rsidRPr="00CE45B9" w14:paraId="222B73CB" w14:textId="77777777" w:rsidTr="001F64FE">
        <w:trPr>
          <w:cantSplit/>
        </w:trPr>
        <w:tc>
          <w:tcPr>
            <w:tcW w:w="652" w:type="pct"/>
            <w:shd w:val="clear" w:color="auto" w:fill="auto"/>
          </w:tcPr>
          <w:p w14:paraId="412C5386" w14:textId="50383896" w:rsidR="001E750F" w:rsidRPr="005C3B2B" w:rsidRDefault="00211285" w:rsidP="005C3B2B">
            <w:pPr>
              <w:pStyle w:val="Tabletext1"/>
            </w:pPr>
            <w:hyperlink w:anchor="_ENREF_10" w:tooltip="Baschnagel, 2013 #32" w:history="1">
              <w:r w:rsidR="008B6FC0">
                <w:fldChar w:fldCharType="begin"/>
              </w:r>
              <w:r w:rsidR="008B6FC0">
                <w:instrText xml:space="preserve"> ADDIN EN.CITE &lt;EndNote&gt;&lt;Cite AuthorYear="1"&gt;&lt;Author&gt;Baschnagel&lt;/Author&gt;&lt;Year&gt;2013&lt;/Year&gt;&lt;RecNum&gt;32&lt;/RecNum&gt;&lt;DisplayText&gt;Baschnagel et al. (2013)&lt;/DisplayText&gt;&lt;record&gt;&lt;rec-number&gt;32&lt;/rec-number&gt;&lt;foreign-keys&gt;&lt;key app="EN" db-id="sx5wsdwv795wvue959xxw0ptaewvdezxxp05" timestamp="1604876375"&gt;32&lt;/key&gt;&lt;/foreign-keys&gt;&lt;ref-type name="Journal Article"&gt;17&lt;/ref-type&gt;&lt;contributors&gt;&lt;authors&gt;&lt;author&gt;Baschnagel, A. M.&lt;/author&gt;&lt;author&gt;Mangona, V. S.&lt;/author&gt;&lt;author&gt;Robertson, J. M.&lt;/author&gt;&lt;author&gt;Welsh, R. J.&lt;/author&gt;&lt;author&gt;Kestin, L. L.&lt;/author&gt;&lt;author&gt;Grills, I. S.&lt;/author&gt;&lt;/authors&gt;&lt;/contributors&gt;&lt;titles&gt;&lt;title&gt;Lung metastases treated with image-guided stereotactic body radiation therapy&lt;/title&gt;&lt;secondary-title&gt;Clin Oncol (R Coll Radiol)&lt;/secondary-title&gt;&lt;/titles&gt;&lt;pages&gt;236-41&lt;/pages&gt;&lt;volume&gt;25&lt;/volume&gt;&lt;number&gt;4&lt;/number&gt;&lt;dates&gt;&lt;year&gt;2013&lt;/year&gt;&lt;/dates&gt;&lt;accession-num&gt;23352916&lt;/accession-num&gt;&lt;urls&gt;&lt;related-urls&gt;&lt;url&gt;http://ezproxy.library.usyd.edu.au/login?url=http://ovidsp.ovid.com/ovidweb.cgi?T=JS&amp;amp;CSC=Y&amp;amp;NEWS=N&amp;amp;PAGE=fulltext&amp;amp;D=med10&amp;amp;AN=23352916https://sydney.alma.exlibrisgroup.com/openurl/61USYD_INST/61USYD_INST:sydney?sid=OVID:medline&amp;amp;id=pmid:23352916&amp;amp;id=doi:10.101&lt;/url&gt;&lt;/related-urls&gt;&lt;/urls&gt;&lt;electronic-resource-num&gt;https://dx.doi.org/10.1016/j.clon.2012.12.005&lt;/electronic-resource-num&gt;&lt;/record&gt;&lt;/Cite&gt;&lt;/EndNote&gt;</w:instrText>
              </w:r>
              <w:r w:rsidR="008B6FC0">
                <w:fldChar w:fldCharType="separate"/>
              </w:r>
              <w:r w:rsidR="008B6FC0">
                <w:rPr>
                  <w:noProof/>
                </w:rPr>
                <w:t>Baschnagel et al. (2013)</w:t>
              </w:r>
              <w:r w:rsidR="008B6FC0">
                <w:fldChar w:fldCharType="end"/>
              </w:r>
            </w:hyperlink>
          </w:p>
        </w:tc>
        <w:tc>
          <w:tcPr>
            <w:tcW w:w="562" w:type="pct"/>
            <w:shd w:val="clear" w:color="auto" w:fill="auto"/>
          </w:tcPr>
          <w:p w14:paraId="5C8D0CAD" w14:textId="4945DA28" w:rsidR="001E750F" w:rsidRDefault="001E750F" w:rsidP="005C3B2B">
            <w:pPr>
              <w:pStyle w:val="Tabletext1"/>
              <w:jc w:val="center"/>
              <w:rPr>
                <w:snapToGrid w:val="0"/>
              </w:rPr>
            </w:pPr>
            <w:r w:rsidRPr="005C3B2B">
              <w:t>32</w:t>
            </w:r>
            <w:r w:rsidR="004C6998" w:rsidRPr="005C3B2B">
              <w:t xml:space="preserve"> (47 lesions)</w:t>
            </w:r>
          </w:p>
        </w:tc>
        <w:tc>
          <w:tcPr>
            <w:tcW w:w="1088" w:type="pct"/>
            <w:shd w:val="clear" w:color="auto" w:fill="auto"/>
          </w:tcPr>
          <w:p w14:paraId="2A2C3040" w14:textId="26980771" w:rsidR="001E750F" w:rsidRDefault="00A17C55" w:rsidP="005C3B2B">
            <w:pPr>
              <w:pStyle w:val="Tabletext1"/>
              <w:jc w:val="center"/>
              <w:rPr>
                <w:snapToGrid w:val="0"/>
              </w:rPr>
            </w:pPr>
            <w:r>
              <w:rPr>
                <w:snapToGrid w:val="0"/>
              </w:rPr>
              <w:t>CS</w:t>
            </w:r>
          </w:p>
        </w:tc>
        <w:tc>
          <w:tcPr>
            <w:tcW w:w="770" w:type="pct"/>
            <w:shd w:val="clear" w:color="auto" w:fill="auto"/>
          </w:tcPr>
          <w:p w14:paraId="7C43D433" w14:textId="69C0B2B3" w:rsidR="001E750F" w:rsidRPr="005C3B2B" w:rsidRDefault="00F74621" w:rsidP="005C3B2B">
            <w:pPr>
              <w:pStyle w:val="Tabletext1"/>
              <w:jc w:val="center"/>
            </w:pPr>
            <w:r w:rsidRPr="005C3B2B">
              <w:t>SBRT</w:t>
            </w:r>
          </w:p>
        </w:tc>
        <w:tc>
          <w:tcPr>
            <w:tcW w:w="835" w:type="pct"/>
            <w:shd w:val="clear" w:color="auto" w:fill="auto"/>
          </w:tcPr>
          <w:p w14:paraId="51309745" w14:textId="3B09730B" w:rsidR="001E750F" w:rsidRDefault="00F74621" w:rsidP="005C3B2B">
            <w:pPr>
              <w:pStyle w:val="Tabletext1"/>
              <w:jc w:val="center"/>
              <w:rPr>
                <w:snapToGrid w:val="0"/>
              </w:rPr>
            </w:pPr>
            <w:r w:rsidRPr="005C3B2B">
              <w:t>Lung</w:t>
            </w:r>
            <w:r w:rsidR="001E750F" w:rsidRPr="005C3B2B">
              <w:t xml:space="preserve"> meta</w:t>
            </w:r>
            <w:r w:rsidR="007763F9" w:rsidRPr="005C3B2B">
              <w:t>stases</w:t>
            </w:r>
          </w:p>
        </w:tc>
        <w:tc>
          <w:tcPr>
            <w:tcW w:w="637" w:type="pct"/>
            <w:shd w:val="clear" w:color="auto" w:fill="auto"/>
          </w:tcPr>
          <w:p w14:paraId="11588468" w14:textId="77777777" w:rsidR="001E750F" w:rsidRDefault="001E750F" w:rsidP="005C3B2B">
            <w:pPr>
              <w:pStyle w:val="Tabletext1"/>
              <w:jc w:val="center"/>
              <w:rPr>
                <w:snapToGrid w:val="0"/>
              </w:rPr>
            </w:pPr>
            <w:r>
              <w:rPr>
                <w:snapToGrid w:val="0"/>
              </w:rPr>
              <w:t>Toxicity</w:t>
            </w:r>
          </w:p>
          <w:p w14:paraId="5DB45180" w14:textId="77777777" w:rsidR="00B4731B" w:rsidRDefault="00B4731B" w:rsidP="005C3B2B">
            <w:pPr>
              <w:pStyle w:val="Tabletext1"/>
              <w:jc w:val="center"/>
              <w:rPr>
                <w:snapToGrid w:val="0"/>
              </w:rPr>
            </w:pPr>
            <w:r>
              <w:rPr>
                <w:snapToGrid w:val="0"/>
              </w:rPr>
              <w:t>OS</w:t>
            </w:r>
          </w:p>
          <w:p w14:paraId="50281DE3" w14:textId="5C7AAC2B" w:rsidR="00B4731B" w:rsidRPr="005C3B2B" w:rsidRDefault="00B4731B" w:rsidP="005C3B2B">
            <w:pPr>
              <w:pStyle w:val="Tabletext1"/>
              <w:jc w:val="center"/>
            </w:pPr>
            <w:r>
              <w:rPr>
                <w:snapToGrid w:val="0"/>
              </w:rPr>
              <w:t>LC</w:t>
            </w:r>
          </w:p>
        </w:tc>
        <w:tc>
          <w:tcPr>
            <w:tcW w:w="456" w:type="pct"/>
            <w:shd w:val="clear" w:color="auto" w:fill="auto"/>
          </w:tcPr>
          <w:p w14:paraId="2E0F75EB" w14:textId="0948EB55" w:rsidR="001E750F" w:rsidRDefault="001E750F" w:rsidP="005C3B2B">
            <w:pPr>
              <w:pStyle w:val="Tabletext1"/>
              <w:jc w:val="center"/>
              <w:rPr>
                <w:snapToGrid w:val="0"/>
              </w:rPr>
            </w:pPr>
            <w:r w:rsidRPr="0085503A">
              <w:rPr>
                <w:snapToGrid w:val="0"/>
              </w:rPr>
              <w:t>Not used</w:t>
            </w:r>
          </w:p>
        </w:tc>
      </w:tr>
      <w:tr w:rsidR="008B6FC0" w:rsidRPr="00CE45B9" w14:paraId="15E66C2D" w14:textId="77777777" w:rsidTr="001F64FE">
        <w:trPr>
          <w:cantSplit/>
        </w:trPr>
        <w:tc>
          <w:tcPr>
            <w:tcW w:w="652" w:type="pct"/>
            <w:shd w:val="clear" w:color="auto" w:fill="auto"/>
          </w:tcPr>
          <w:p w14:paraId="23BE036D" w14:textId="17DFC104" w:rsidR="006571D5" w:rsidRPr="005C3B2B" w:rsidRDefault="00211285" w:rsidP="005C3B2B">
            <w:pPr>
              <w:pStyle w:val="Tabletext1"/>
            </w:pPr>
            <w:hyperlink w:anchor="_ENREF_13" w:tooltip="Boda-Heggemann, 2014 #35" w:history="1">
              <w:r w:rsidR="008B6FC0">
                <w:fldChar w:fldCharType="begin"/>
              </w:r>
              <w:r w:rsidR="008B6FC0">
                <w:instrText xml:space="preserve"> ADDIN EN.CITE &lt;EndNote&gt;&lt;Cite AuthorYear="1"&gt;&lt;Author&gt;Boda-Heggemann&lt;/Author&gt;&lt;Year&gt;2014&lt;/Year&gt;&lt;RecNum&gt;35&lt;/RecNum&gt;&lt;DisplayText&gt;Boda-Heggemann et al. (2014)&lt;/DisplayText&gt;&lt;record&gt;&lt;rec-number&gt;35&lt;/rec-number&gt;&lt;foreign-keys&gt;&lt;key app="EN" db-id="sx5wsdwv795wvue959xxw0ptaewvdezxxp05" timestamp="1604876375"&gt;35&lt;/key&gt;&lt;/foreign-keys&gt;&lt;ref-type name="Journal Article"&gt;17&lt;/ref-type&gt;&lt;contributors&gt;&lt;authors&gt;&lt;author&gt;Boda-Heggemann, J.&lt;/author&gt;&lt;author&gt;Frauenfeld, A.&lt;/author&gt;&lt;author&gt;Weiss, C.&lt;/author&gt;&lt;author&gt;Simeonova, A.&lt;/author&gt;&lt;author&gt;Neumaier, C.&lt;/author&gt;&lt;author&gt;Siebenlist, K.&lt;/author&gt;&lt;author&gt;Attenberger, U.&lt;/author&gt;&lt;author&gt;Heusel, C. P.&lt;/author&gt;&lt;author&gt;Schneider, F.&lt;/author&gt;&lt;author&gt;Wenz, F.&lt;/author&gt;&lt;author&gt;Lohr, F.&lt;/author&gt;&lt;/authors&gt;&lt;/contributors&gt;&lt;titles&gt;&lt;title&gt;Clinical outcome of hypofractionated breath-hold image-guided SABR of primary lung tumors and lung metastases&lt;/title&gt;&lt;secondary-title&gt;Radiat&lt;/secondary-title&gt;&lt;/titles&gt;&lt;pages&gt;10&lt;/pages&gt;&lt;volume&gt;9&lt;/volume&gt;&lt;dates&gt;&lt;year&gt;2014&lt;/year&gt;&lt;/dates&gt;&lt;accession-num&gt;24401323&lt;/accession-num&gt;&lt;urls&gt;&lt;related-urls&gt;&lt;url&gt;http://ezproxy.library.usyd.edu.au/login?url=http://ovidsp.ovid.com/ovidweb.cgi?T=JS&amp;amp;CSC=Y&amp;amp;NEWS=N&amp;amp;PAGE=fulltext&amp;amp;D=med11&amp;amp;AN=24401323https://sydney.alma.exlibrisgroup.com/openurl/61USYD_INST/61USYD_INST:sydney?sid=OVID:medline&amp;amp;id=pmid:24401323&amp;amp;id=doi:10.118&lt;/url&gt;&lt;url&gt;https://ro-journal.biomedcentral.com/track/pdf/10.1186/1748-717X-9-10&lt;/url&gt;&lt;url&gt;https://ro-journal.biomedcentral.com/track/pdf/10.1186/1748-717X-9-10.pdf&lt;/url&gt;&lt;/related-urls&gt;&lt;/urls&gt;&lt;electronic-resource-num&gt;https://dx.doi.org/10.1186/1748-717X-9-10&lt;/electronic-resource-num&gt;&lt;/record&gt;&lt;/Cite&gt;&lt;/EndNote&gt;</w:instrText>
              </w:r>
              <w:r w:rsidR="008B6FC0">
                <w:fldChar w:fldCharType="separate"/>
              </w:r>
              <w:r w:rsidR="008B6FC0">
                <w:rPr>
                  <w:noProof/>
                </w:rPr>
                <w:t>Boda-Heggemann et al. (2014)</w:t>
              </w:r>
              <w:r w:rsidR="008B6FC0">
                <w:fldChar w:fldCharType="end"/>
              </w:r>
            </w:hyperlink>
          </w:p>
        </w:tc>
        <w:tc>
          <w:tcPr>
            <w:tcW w:w="562" w:type="pct"/>
            <w:shd w:val="clear" w:color="auto" w:fill="auto"/>
          </w:tcPr>
          <w:p w14:paraId="4B9628D7" w14:textId="0B19D183" w:rsidR="006571D5" w:rsidRPr="00CE45B9" w:rsidRDefault="006571D5" w:rsidP="005C3B2B">
            <w:pPr>
              <w:pStyle w:val="Tabletext1"/>
              <w:jc w:val="center"/>
              <w:rPr>
                <w:snapToGrid w:val="0"/>
              </w:rPr>
            </w:pPr>
            <w:r>
              <w:rPr>
                <w:snapToGrid w:val="0"/>
              </w:rPr>
              <w:t>43</w:t>
            </w:r>
            <w:r w:rsidR="009470B1">
              <w:rPr>
                <w:snapToGrid w:val="0"/>
              </w:rPr>
              <w:t xml:space="preserve"> (50 lesions)</w:t>
            </w:r>
          </w:p>
        </w:tc>
        <w:tc>
          <w:tcPr>
            <w:tcW w:w="1088" w:type="pct"/>
            <w:shd w:val="clear" w:color="auto" w:fill="auto"/>
          </w:tcPr>
          <w:p w14:paraId="5AA99B71" w14:textId="53CBA7F4" w:rsidR="006571D5" w:rsidRPr="00CE45B9" w:rsidRDefault="00721D7B" w:rsidP="005C3B2B">
            <w:pPr>
              <w:pStyle w:val="Tabletext1"/>
              <w:jc w:val="center"/>
              <w:rPr>
                <w:snapToGrid w:val="0"/>
              </w:rPr>
            </w:pPr>
            <w:r>
              <w:rPr>
                <w:snapToGrid w:val="0"/>
              </w:rPr>
              <w:t>Retrospective consecutive CS</w:t>
            </w:r>
          </w:p>
        </w:tc>
        <w:tc>
          <w:tcPr>
            <w:tcW w:w="770" w:type="pct"/>
            <w:shd w:val="clear" w:color="auto" w:fill="auto"/>
          </w:tcPr>
          <w:p w14:paraId="7EC7B88C" w14:textId="199FA99D" w:rsidR="006571D5" w:rsidRPr="005C3B2B" w:rsidRDefault="004F0586" w:rsidP="005C3B2B">
            <w:pPr>
              <w:pStyle w:val="Tabletext1"/>
              <w:jc w:val="center"/>
            </w:pPr>
            <w:r w:rsidRPr="005C3B2B">
              <w:t>SABR</w:t>
            </w:r>
          </w:p>
          <w:p w14:paraId="37BD2800" w14:textId="66C5E1C1" w:rsidR="006571D5" w:rsidRPr="00CE45B9" w:rsidRDefault="006571D5" w:rsidP="005C3B2B">
            <w:pPr>
              <w:pStyle w:val="Tabletext1"/>
              <w:jc w:val="center"/>
              <w:rPr>
                <w:snapToGrid w:val="0"/>
              </w:rPr>
            </w:pPr>
          </w:p>
        </w:tc>
        <w:tc>
          <w:tcPr>
            <w:tcW w:w="835" w:type="pct"/>
            <w:shd w:val="clear" w:color="auto" w:fill="auto"/>
          </w:tcPr>
          <w:p w14:paraId="6EB45BB1" w14:textId="45E826D1" w:rsidR="006571D5" w:rsidRPr="00CE45B9" w:rsidRDefault="006571D5" w:rsidP="005C3B2B">
            <w:pPr>
              <w:pStyle w:val="Tabletext1"/>
              <w:jc w:val="center"/>
              <w:rPr>
                <w:snapToGrid w:val="0"/>
              </w:rPr>
            </w:pPr>
            <w:r>
              <w:rPr>
                <w:snapToGrid w:val="0"/>
              </w:rPr>
              <w:t>NSCLC</w:t>
            </w:r>
            <w:r w:rsidR="006E7AFD">
              <w:rPr>
                <w:snapToGrid w:val="0"/>
              </w:rPr>
              <w:t xml:space="preserve"> or lung meta</w:t>
            </w:r>
            <w:r w:rsidR="007763F9">
              <w:rPr>
                <w:snapToGrid w:val="0"/>
              </w:rPr>
              <w:t>stases</w:t>
            </w:r>
          </w:p>
        </w:tc>
        <w:tc>
          <w:tcPr>
            <w:tcW w:w="637" w:type="pct"/>
            <w:shd w:val="clear" w:color="auto" w:fill="auto"/>
          </w:tcPr>
          <w:p w14:paraId="5D26DD30" w14:textId="77777777" w:rsidR="006571D5" w:rsidRPr="005C3B2B" w:rsidRDefault="00B06139" w:rsidP="005C3B2B">
            <w:pPr>
              <w:pStyle w:val="Tabletext1"/>
              <w:jc w:val="center"/>
            </w:pPr>
            <w:r w:rsidRPr="005C3B2B">
              <w:t>OS</w:t>
            </w:r>
          </w:p>
          <w:p w14:paraId="182E9163" w14:textId="7ED2C79D" w:rsidR="00B06139" w:rsidRPr="00CE45B9" w:rsidRDefault="00B06139" w:rsidP="005C3B2B">
            <w:pPr>
              <w:pStyle w:val="Tabletext1"/>
              <w:jc w:val="center"/>
              <w:rPr>
                <w:snapToGrid w:val="0"/>
              </w:rPr>
            </w:pPr>
            <w:r>
              <w:rPr>
                <w:snapToGrid w:val="0"/>
              </w:rPr>
              <w:t>PFS</w:t>
            </w:r>
          </w:p>
        </w:tc>
        <w:tc>
          <w:tcPr>
            <w:tcW w:w="456" w:type="pct"/>
            <w:shd w:val="clear" w:color="auto" w:fill="auto"/>
          </w:tcPr>
          <w:p w14:paraId="4D8C2EA6" w14:textId="76855C19" w:rsidR="006571D5" w:rsidRPr="00CE45B9" w:rsidRDefault="006571D5" w:rsidP="005C3B2B">
            <w:pPr>
              <w:pStyle w:val="Tabletext1"/>
              <w:jc w:val="center"/>
              <w:rPr>
                <w:snapToGrid w:val="0"/>
              </w:rPr>
            </w:pPr>
            <w:r>
              <w:rPr>
                <w:snapToGrid w:val="0"/>
              </w:rPr>
              <w:t>Not used</w:t>
            </w:r>
          </w:p>
        </w:tc>
      </w:tr>
      <w:tr w:rsidR="008B6FC0" w:rsidRPr="00CE45B9" w14:paraId="0F37F06A" w14:textId="77777777" w:rsidTr="001F64FE">
        <w:trPr>
          <w:cantSplit/>
        </w:trPr>
        <w:tc>
          <w:tcPr>
            <w:tcW w:w="652" w:type="pct"/>
            <w:shd w:val="clear" w:color="auto" w:fill="auto"/>
          </w:tcPr>
          <w:p w14:paraId="43D0B3F8" w14:textId="7DFC66DA" w:rsidR="006571D5" w:rsidRDefault="00211285" w:rsidP="005C3B2B">
            <w:pPr>
              <w:pStyle w:val="Tabletext1"/>
              <w:rPr>
                <w:snapToGrid w:val="0"/>
              </w:rPr>
            </w:pPr>
            <w:hyperlink w:anchor="_ENREF_30" w:tooltip="Frakulli, 2015 #43" w:history="1">
              <w:r w:rsidR="008B6FC0">
                <w:fldChar w:fldCharType="begin"/>
              </w:r>
              <w:r w:rsidR="008B6FC0">
                <w:instrText xml:space="preserve"> ADDIN EN.CITE &lt;EndNote&gt;&lt;Cite AuthorYear="1"&gt;&lt;Author&gt;Frakulli&lt;/Author&gt;&lt;Year&gt;2015&lt;/Year&gt;&lt;RecNum&gt;43&lt;/RecNum&gt;&lt;DisplayText&gt;Frakulli et al. (2015)&lt;/DisplayText&gt;&lt;record&gt;&lt;rec-number&gt;43&lt;/rec-number&gt;&lt;foreign-keys&gt;&lt;key app="EN" db-id="sx5wsdwv795wvue959xxw0ptaewvdezxxp05" timestamp="1604876376"&gt;43&lt;/key&gt;&lt;/foreign-keys&gt;&lt;ref-type name="Journal Article"&gt;17&lt;/ref-type&gt;&lt;contributors&gt;&lt;authors&gt;&lt;author&gt;Frakulli, R.&lt;/author&gt;&lt;author&gt;Salvi, F.&lt;/author&gt;&lt;author&gt;Balestrini, D.&lt;/author&gt;&lt;author&gt;Parisi, A.&lt;/author&gt;&lt;author&gt;Palombarini, M.&lt;/author&gt;&lt;author&gt;Cammelli, S.&lt;/author&gt;&lt;author&gt;Rocca, M.&lt;/author&gt;&lt;author&gt;Salone, M.&lt;/author&gt;&lt;author&gt;Longhi, A.&lt;/author&gt;&lt;author&gt;Ferrari, S.&lt;/author&gt;&lt;author&gt;Morganti, A. G.&lt;/author&gt;&lt;author&gt;Frezza, G.&lt;/author&gt;&lt;/authors&gt;&lt;/contributors&gt;&lt;titles&gt;&lt;title&gt;Stereotactic radiotherapy in the treatment of lung metastases from bone and soft-tissue sarcomas&lt;/title&gt;&lt;secondary-title&gt;Anticancer Research&lt;/secondary-title&gt;&lt;/titles&gt;&lt;pages&gt;5581-5586&lt;/pages&gt;&lt;volume&gt;35&lt;/volume&gt;&lt;number&gt;10&lt;/number&gt;&lt;dates&gt;&lt;year&gt;2015&lt;/year&gt;&lt;/dates&gt;&lt;accession-num&gt;606233200&lt;/accession-num&gt;&lt;urls&gt;&lt;related-urls&gt;&lt;url&gt;http://ar.iiarjournals.org/content/35/10/5581.full.pdf+htmlhttp://ezproxy.library.usyd.edu.au/login?url=http://ovidsp.ovid.com/ovidweb.cgi?T=JS&amp;amp;CSC=Y&amp;amp;NEWS=N&amp;amp;PAGE=fulltext&amp;amp;D=emed16&amp;amp;AN=606233200https://sydney.alma.exlibrisgroup.com/openurl/61USYD_INST/61USY&lt;/url&gt;&lt;url&gt;http://ar.iiarjournals.org/content/35/10/5581.full.pdf&lt;/url&gt;&lt;/related-urls&gt;&lt;/urls&gt;&lt;/record&gt;&lt;/Cite&gt;&lt;/EndNote&gt;</w:instrText>
              </w:r>
              <w:r w:rsidR="008B6FC0">
                <w:fldChar w:fldCharType="separate"/>
              </w:r>
              <w:r w:rsidR="008B6FC0">
                <w:rPr>
                  <w:noProof/>
                </w:rPr>
                <w:t>Frakulli et al. (2015)</w:t>
              </w:r>
              <w:r w:rsidR="008B6FC0">
                <w:fldChar w:fldCharType="end"/>
              </w:r>
            </w:hyperlink>
          </w:p>
        </w:tc>
        <w:tc>
          <w:tcPr>
            <w:tcW w:w="562" w:type="pct"/>
            <w:shd w:val="clear" w:color="auto" w:fill="auto"/>
          </w:tcPr>
          <w:p w14:paraId="3894FEB8" w14:textId="152D4809" w:rsidR="006571D5" w:rsidRDefault="006571D5" w:rsidP="005C3B2B">
            <w:pPr>
              <w:pStyle w:val="Tabletext1"/>
              <w:jc w:val="center"/>
              <w:rPr>
                <w:snapToGrid w:val="0"/>
              </w:rPr>
            </w:pPr>
            <w:r w:rsidRPr="005C3B2B">
              <w:t>24</w:t>
            </w:r>
            <w:r w:rsidR="004B6C17" w:rsidRPr="005C3B2B">
              <w:t xml:space="preserve"> (68 lesions)</w:t>
            </w:r>
          </w:p>
        </w:tc>
        <w:tc>
          <w:tcPr>
            <w:tcW w:w="1088" w:type="pct"/>
            <w:shd w:val="clear" w:color="auto" w:fill="auto"/>
          </w:tcPr>
          <w:p w14:paraId="46FCB993" w14:textId="3315B8DD" w:rsidR="006571D5" w:rsidRDefault="00993851" w:rsidP="005C3B2B">
            <w:pPr>
              <w:pStyle w:val="Tabletext1"/>
              <w:jc w:val="center"/>
              <w:rPr>
                <w:snapToGrid w:val="0"/>
              </w:rPr>
            </w:pPr>
            <w:r>
              <w:rPr>
                <w:snapToGrid w:val="0"/>
              </w:rPr>
              <w:t>Retrospective consecutive CS</w:t>
            </w:r>
          </w:p>
        </w:tc>
        <w:tc>
          <w:tcPr>
            <w:tcW w:w="770" w:type="pct"/>
            <w:shd w:val="clear" w:color="auto" w:fill="auto"/>
          </w:tcPr>
          <w:p w14:paraId="68682959" w14:textId="65E9D0F2" w:rsidR="006571D5" w:rsidRDefault="00E447AE" w:rsidP="005C3B2B">
            <w:pPr>
              <w:pStyle w:val="Tabletext1"/>
              <w:jc w:val="center"/>
              <w:rPr>
                <w:snapToGrid w:val="0"/>
              </w:rPr>
            </w:pPr>
            <w:r w:rsidRPr="005C3B2B">
              <w:t>SBRT</w:t>
            </w:r>
          </w:p>
        </w:tc>
        <w:tc>
          <w:tcPr>
            <w:tcW w:w="835" w:type="pct"/>
            <w:shd w:val="clear" w:color="auto" w:fill="auto"/>
          </w:tcPr>
          <w:p w14:paraId="7F071937" w14:textId="4D2130C8" w:rsidR="006571D5" w:rsidRPr="005C3B2B" w:rsidRDefault="006571D5" w:rsidP="005C3B2B">
            <w:pPr>
              <w:pStyle w:val="Tabletext1"/>
              <w:jc w:val="center"/>
            </w:pPr>
            <w:r w:rsidRPr="005C3B2B">
              <w:t xml:space="preserve">Lung </w:t>
            </w:r>
            <w:r w:rsidR="00993851" w:rsidRPr="005C3B2B">
              <w:t>m</w:t>
            </w:r>
            <w:r w:rsidRPr="005C3B2B">
              <w:t>eta</w:t>
            </w:r>
            <w:r w:rsidR="007763F9" w:rsidRPr="005C3B2B">
              <w:t>stases</w:t>
            </w:r>
            <w:r w:rsidRPr="005C3B2B">
              <w:t xml:space="preserve"> from </w:t>
            </w:r>
            <w:r w:rsidR="00993851" w:rsidRPr="005C3B2B">
              <w:t>b</w:t>
            </w:r>
            <w:r w:rsidRPr="005C3B2B">
              <w:t xml:space="preserve">one and </w:t>
            </w:r>
            <w:r w:rsidR="00993851" w:rsidRPr="005C3B2B">
              <w:t>s</w:t>
            </w:r>
            <w:r w:rsidRPr="005C3B2B">
              <w:t xml:space="preserve">oft-tissue </w:t>
            </w:r>
            <w:r w:rsidR="00993851" w:rsidRPr="005C3B2B">
              <w:t>s</w:t>
            </w:r>
            <w:r w:rsidRPr="005C3B2B">
              <w:t>arcomas</w:t>
            </w:r>
          </w:p>
        </w:tc>
        <w:tc>
          <w:tcPr>
            <w:tcW w:w="637" w:type="pct"/>
            <w:shd w:val="clear" w:color="auto" w:fill="auto"/>
          </w:tcPr>
          <w:p w14:paraId="1B16CD69" w14:textId="77777777" w:rsidR="006571D5" w:rsidRDefault="00B06139" w:rsidP="005C3B2B">
            <w:pPr>
              <w:pStyle w:val="Tabletext1"/>
              <w:jc w:val="center"/>
              <w:rPr>
                <w:snapToGrid w:val="0"/>
              </w:rPr>
            </w:pPr>
            <w:r>
              <w:rPr>
                <w:snapToGrid w:val="0"/>
              </w:rPr>
              <w:t>OS</w:t>
            </w:r>
          </w:p>
          <w:p w14:paraId="4E5F43AC" w14:textId="3DAB2579" w:rsidR="00B06139" w:rsidRDefault="00B06139" w:rsidP="005C3B2B">
            <w:pPr>
              <w:pStyle w:val="Tabletext1"/>
              <w:jc w:val="center"/>
              <w:rPr>
                <w:snapToGrid w:val="0"/>
              </w:rPr>
            </w:pPr>
            <w:r>
              <w:rPr>
                <w:snapToGrid w:val="0"/>
              </w:rPr>
              <w:t>LC</w:t>
            </w:r>
          </w:p>
        </w:tc>
        <w:tc>
          <w:tcPr>
            <w:tcW w:w="456" w:type="pct"/>
            <w:shd w:val="clear" w:color="auto" w:fill="auto"/>
          </w:tcPr>
          <w:p w14:paraId="37B3FE84" w14:textId="11A88F35" w:rsidR="006571D5" w:rsidRDefault="006571D5" w:rsidP="005C3B2B">
            <w:pPr>
              <w:pStyle w:val="Tabletext1"/>
              <w:jc w:val="center"/>
              <w:rPr>
                <w:snapToGrid w:val="0"/>
              </w:rPr>
            </w:pPr>
            <w:r>
              <w:rPr>
                <w:snapToGrid w:val="0"/>
              </w:rPr>
              <w:t>Not used</w:t>
            </w:r>
          </w:p>
        </w:tc>
      </w:tr>
      <w:tr w:rsidR="008B6FC0" w:rsidRPr="00CE45B9" w14:paraId="2B42B925" w14:textId="77777777" w:rsidTr="001F64FE">
        <w:trPr>
          <w:cantSplit/>
        </w:trPr>
        <w:tc>
          <w:tcPr>
            <w:tcW w:w="652" w:type="pct"/>
            <w:shd w:val="clear" w:color="auto" w:fill="auto"/>
          </w:tcPr>
          <w:p w14:paraId="700EB98B" w14:textId="5702C66F" w:rsidR="006571D5" w:rsidRPr="00CE45B9" w:rsidRDefault="00211285" w:rsidP="005C3B2B">
            <w:pPr>
              <w:pStyle w:val="Tabletext1"/>
              <w:rPr>
                <w:snapToGrid w:val="0"/>
              </w:rPr>
            </w:pPr>
            <w:hyperlink w:anchor="_ENREF_32" w:tooltip="Grills, 2012 #45" w:history="1">
              <w:r w:rsidR="008B6FC0">
                <w:fldChar w:fldCharType="begin"/>
              </w:r>
              <w:r w:rsidR="008B6FC0">
                <w:instrText xml:space="preserve"> ADDIN EN.CITE &lt;EndNote&gt;&lt;Cite AuthorYear="1"&gt;&lt;Author&gt;Grills&lt;/Author&gt;&lt;Year&gt;2012&lt;/Year&gt;&lt;RecNum&gt;45&lt;/RecNum&gt;&lt;DisplayText&gt;Grills et al. (2012)&lt;/DisplayText&gt;&lt;record&gt;&lt;rec-number&gt;45&lt;/rec-number&gt;&lt;foreign-keys&gt;&lt;key app="EN" db-id="sx5wsdwv795wvue959xxw0ptaewvdezxxp05" timestamp="1604876376"&gt;45&lt;/key&gt;&lt;/foreign-keys&gt;&lt;ref-type name="Journal Article"&gt;17&lt;/ref-type&gt;&lt;contributors&gt;&lt;authors&gt;&lt;author&gt;Grills, I. S.&lt;/author&gt;&lt;author&gt;Hope, A. J.&lt;/author&gt;&lt;author&gt;Guckenberger, M.&lt;/author&gt;&lt;author&gt;Kestin, L. L.&lt;/author&gt;&lt;author&gt;Werner-Wasik, M.&lt;/author&gt;&lt;author&gt;Yan, D.&lt;/author&gt;&lt;author&gt;Sonke, J. J.&lt;/author&gt;&lt;author&gt;Bissonnette, J. P.&lt;/author&gt;&lt;author&gt;Wilbert, J.&lt;/author&gt;&lt;author&gt;Xiao, Y.&lt;/author&gt;&lt;author&gt;Belderbos, J.&lt;/author&gt;&lt;/authors&gt;&lt;/contributors&gt;&lt;titles&gt;&lt;title&gt;A collaborative analysis of stereotactic lung radiotherapy outcomes for early-stage non-small-cell lung cancer using daily online cone-beam computed tomography image-guided radiotherapy&lt;/title&gt;&lt;secondary-title&gt;J Thorac Oncol&lt;/secondary-title&gt;&lt;/titles&gt;&lt;pages&gt;1382-93&lt;/pages&gt;&lt;volume&gt;7&lt;/volume&gt;&lt;number&gt;9&lt;/number&gt;&lt;dates&gt;&lt;year&gt;2012&lt;/year&gt;&lt;/dates&gt;&lt;accession-num&gt;22843086&lt;/accession-num&gt;&lt;urls&gt;&lt;related-urls&gt;&lt;url&gt;http://ezproxy.library.usyd.edu.au/login?url=http://ovidsp.ovid.com/ovidweb.cgi?T=JS&amp;amp;CSC=Y&amp;amp;NEWS=N&amp;amp;PAGE=fulltext&amp;amp;D=med9&amp;amp;AN=22843086https://sydney.alma.exlibrisgroup.com/openurl/61USYD_INST/61USYD_INST:sydney?sid=OVID:medline&amp;amp;id=pmid:22843086&amp;amp;id=doi:10.1097&lt;/url&gt;&lt;/related-urls&gt;&lt;/urls&gt;&lt;electronic-resource-num&gt;https://dx.doi.org/10.1097/JTO.0b013e318260e00d&lt;/electronic-resource-num&gt;&lt;/record&gt;&lt;/Cite&gt;&lt;/EndNote&gt;</w:instrText>
              </w:r>
              <w:r w:rsidR="008B6FC0">
                <w:fldChar w:fldCharType="separate"/>
              </w:r>
              <w:r w:rsidR="008B6FC0">
                <w:rPr>
                  <w:noProof/>
                </w:rPr>
                <w:t>Grills et al. (2012)</w:t>
              </w:r>
              <w:r w:rsidR="008B6FC0">
                <w:fldChar w:fldCharType="end"/>
              </w:r>
            </w:hyperlink>
          </w:p>
        </w:tc>
        <w:tc>
          <w:tcPr>
            <w:tcW w:w="562" w:type="pct"/>
            <w:shd w:val="clear" w:color="auto" w:fill="auto"/>
          </w:tcPr>
          <w:p w14:paraId="7FF0FBAF" w14:textId="6A91DA08" w:rsidR="006571D5" w:rsidRPr="00CE45B9" w:rsidRDefault="00337429" w:rsidP="005C3B2B">
            <w:pPr>
              <w:pStyle w:val="Tabletext1"/>
              <w:jc w:val="center"/>
              <w:rPr>
                <w:snapToGrid w:val="0"/>
              </w:rPr>
            </w:pPr>
            <w:r w:rsidRPr="005C3B2B">
              <w:t>483 (</w:t>
            </w:r>
            <w:r w:rsidR="006571D5" w:rsidRPr="005C3B2B">
              <w:t>505</w:t>
            </w:r>
            <w:r w:rsidRPr="005C3B2B">
              <w:t xml:space="preserve"> tumours)</w:t>
            </w:r>
          </w:p>
        </w:tc>
        <w:tc>
          <w:tcPr>
            <w:tcW w:w="1088" w:type="pct"/>
            <w:shd w:val="clear" w:color="auto" w:fill="auto"/>
          </w:tcPr>
          <w:p w14:paraId="5AF461E2" w14:textId="37A70820" w:rsidR="006571D5" w:rsidRPr="00CE45B9" w:rsidRDefault="006571D5" w:rsidP="005C3B2B">
            <w:pPr>
              <w:pStyle w:val="Tabletext1"/>
              <w:jc w:val="center"/>
              <w:rPr>
                <w:snapToGrid w:val="0"/>
              </w:rPr>
            </w:pPr>
            <w:r w:rsidRPr="005C3B2B">
              <w:t xml:space="preserve">Prospective </w:t>
            </w:r>
            <w:r w:rsidR="00D36B75" w:rsidRPr="005C3B2B">
              <w:t>multicentric</w:t>
            </w:r>
            <w:r w:rsidR="0051410D" w:rsidRPr="005C3B2B">
              <w:t xml:space="preserve"> </w:t>
            </w:r>
            <w:r w:rsidR="00233D41" w:rsidRPr="005C3B2B">
              <w:t>SA Coh</w:t>
            </w:r>
          </w:p>
        </w:tc>
        <w:tc>
          <w:tcPr>
            <w:tcW w:w="770" w:type="pct"/>
            <w:shd w:val="clear" w:color="auto" w:fill="auto"/>
          </w:tcPr>
          <w:p w14:paraId="6C5BF7EF" w14:textId="03271A6C" w:rsidR="006571D5" w:rsidRPr="00CE45B9" w:rsidRDefault="006571D5" w:rsidP="005C3B2B">
            <w:pPr>
              <w:pStyle w:val="Tabletext1"/>
              <w:jc w:val="center"/>
              <w:rPr>
                <w:snapToGrid w:val="0"/>
              </w:rPr>
            </w:pPr>
            <w:r w:rsidRPr="005C3B2B">
              <w:t>SBRT</w:t>
            </w:r>
          </w:p>
        </w:tc>
        <w:tc>
          <w:tcPr>
            <w:tcW w:w="835" w:type="pct"/>
            <w:shd w:val="clear" w:color="auto" w:fill="auto"/>
          </w:tcPr>
          <w:p w14:paraId="1F438E0D" w14:textId="6992010A" w:rsidR="006571D5" w:rsidRPr="005C3B2B" w:rsidRDefault="00473A1E" w:rsidP="005C3B2B">
            <w:pPr>
              <w:pStyle w:val="Tabletext1"/>
              <w:jc w:val="center"/>
            </w:pPr>
            <w:r w:rsidRPr="005C3B2B">
              <w:t>NSCLC</w:t>
            </w:r>
            <w:r w:rsidR="006D51E8" w:rsidRPr="005C3B2B">
              <w:t xml:space="preserve"> (early stage)</w:t>
            </w:r>
          </w:p>
        </w:tc>
        <w:tc>
          <w:tcPr>
            <w:tcW w:w="637" w:type="pct"/>
            <w:shd w:val="clear" w:color="auto" w:fill="auto"/>
          </w:tcPr>
          <w:p w14:paraId="7DAD56DF" w14:textId="18FF4F8A" w:rsidR="006571D5" w:rsidRPr="00CE45B9" w:rsidRDefault="0082275B" w:rsidP="005C3B2B">
            <w:pPr>
              <w:pStyle w:val="Tabletext1"/>
              <w:jc w:val="center"/>
              <w:rPr>
                <w:snapToGrid w:val="0"/>
              </w:rPr>
            </w:pPr>
            <w:r>
              <w:rPr>
                <w:snapToGrid w:val="0"/>
              </w:rPr>
              <w:t>OS</w:t>
            </w:r>
          </w:p>
        </w:tc>
        <w:tc>
          <w:tcPr>
            <w:tcW w:w="456" w:type="pct"/>
            <w:shd w:val="clear" w:color="auto" w:fill="auto"/>
          </w:tcPr>
          <w:p w14:paraId="7DEA9428" w14:textId="2F22FCF8" w:rsidR="006571D5" w:rsidRPr="00CE45B9" w:rsidRDefault="006571D5" w:rsidP="005C3B2B">
            <w:pPr>
              <w:pStyle w:val="Tabletext1"/>
              <w:jc w:val="center"/>
              <w:rPr>
                <w:snapToGrid w:val="0"/>
              </w:rPr>
            </w:pPr>
            <w:r>
              <w:rPr>
                <w:snapToGrid w:val="0"/>
              </w:rPr>
              <w:t>Not used</w:t>
            </w:r>
          </w:p>
        </w:tc>
      </w:tr>
      <w:tr w:rsidR="008B6FC0" w14:paraId="62E1B36B" w14:textId="77777777" w:rsidTr="001F64FE">
        <w:trPr>
          <w:cantSplit/>
        </w:trPr>
        <w:tc>
          <w:tcPr>
            <w:tcW w:w="652" w:type="pct"/>
            <w:shd w:val="clear" w:color="auto" w:fill="auto"/>
          </w:tcPr>
          <w:p w14:paraId="39C58899" w14:textId="2083794D" w:rsidR="001103DC" w:rsidRDefault="00211285" w:rsidP="005C3B2B">
            <w:pPr>
              <w:pStyle w:val="Tabletext1"/>
              <w:rPr>
                <w:snapToGrid w:val="0"/>
              </w:rPr>
            </w:pPr>
            <w:hyperlink w:anchor="_ENREF_33" w:tooltip="Guckenberger, 2010 #46" w:history="1">
              <w:r w:rsidR="001F781A">
                <w:fldChar w:fldCharType="begin"/>
              </w:r>
              <w:r w:rsidR="001F781A">
                <w:instrText xml:space="preserve"> ADDIN EN.CITE &lt;EndNote&gt;&lt;Cite AuthorYear="1"&gt;&lt;Author&gt;Guckenberger&lt;/Author&gt;&lt;Year&gt;2010&lt;/Year&gt;&lt;RecNum&gt;46&lt;/RecNum&gt;&lt;DisplayText&gt;Guckenberger, Baier, et al. (2010)&lt;/DisplayText&gt;&lt;record&gt;&lt;rec-number&gt;46&lt;/rec-number&gt;&lt;foreign-keys&gt;&lt;key app="EN" db-id="sx5wsdwv795wvue959xxw0ptaewvdezxxp05" timestamp="1604876376"&gt;46&lt;/key&gt;&lt;/foreign-keys&gt;&lt;ref-type name="Journal Article"&gt;17&lt;/ref-type&gt;&lt;contributors&gt;&lt;authors&gt;&lt;author&gt;Guckenberger, M.&lt;/author&gt;&lt;author&gt;Baier, K.&lt;/author&gt;&lt;author&gt;Polat, B.&lt;/author&gt;&lt;author&gt;Richter, A.&lt;/author&gt;&lt;author&gt;Krieger, T.&lt;/author&gt;&lt;author&gt;Wilbert, J.&lt;/author&gt;&lt;author&gt;Mueller, G.&lt;/author&gt;&lt;author&gt;Flentje, M.&lt;/author&gt;&lt;/authors&gt;&lt;/contributors&gt;&lt;titles&gt;&lt;title&gt;Dose-response relationship for radiation-induced pneumonitis after pulmonary stereotactic body radiotherapy&lt;/title&gt;&lt;secondary-title&gt;Radiother Oncol&lt;/secondary-title&gt;&lt;/titles&gt;&lt;pages&gt;65-70&lt;/pages&gt;&lt;volume&gt;97&lt;/volume&gt;&lt;number&gt;1&lt;/number&gt;&lt;dates&gt;&lt;year&gt;2010&lt;/year&gt;&lt;/dates&gt;&lt;accession-num&gt;20605245&lt;/accession-num&gt;&lt;urls&gt;&lt;related-urls&gt;&lt;url&gt;http://ezproxy.library.usyd.edu.au/login?url=http://ovidsp.ovid.com/ovidweb.cgi?T=JS&amp;amp;CSC=Y&amp;amp;NEWS=N&amp;amp;PAGE=fulltext&amp;amp;D=med8&amp;amp;AN=20605245https://sydney.alma.exlibrisgroup.com/openurl/61USYD_INST/61USYD_INST:sydney?sid=OVID:medline&amp;amp;id=pmid:20605245&amp;amp;id=doi:10.1016&lt;/url&gt;&lt;/related-urls&gt;&lt;/urls&gt;&lt;electronic-resource-num&gt;https://dx.doi.org/10.1016/j.radonc.2010.04.027&lt;/electronic-resource-num&gt;&lt;/record&gt;&lt;/Cite&gt;&lt;/EndNote&gt;</w:instrText>
              </w:r>
              <w:r w:rsidR="001F781A">
                <w:fldChar w:fldCharType="separate"/>
              </w:r>
              <w:r w:rsidR="001F781A">
                <w:rPr>
                  <w:noProof/>
                </w:rPr>
                <w:t>Guckenberger, Baier, et al. (2010)</w:t>
              </w:r>
              <w:r w:rsidR="001F781A">
                <w:fldChar w:fldCharType="end"/>
              </w:r>
            </w:hyperlink>
          </w:p>
        </w:tc>
        <w:tc>
          <w:tcPr>
            <w:tcW w:w="562" w:type="pct"/>
            <w:shd w:val="clear" w:color="auto" w:fill="auto"/>
          </w:tcPr>
          <w:p w14:paraId="6A162C59" w14:textId="5E29CEED" w:rsidR="001103DC" w:rsidRDefault="00F42456" w:rsidP="005C3B2B">
            <w:pPr>
              <w:pStyle w:val="Tabletext1"/>
              <w:jc w:val="center"/>
              <w:rPr>
                <w:snapToGrid w:val="0"/>
              </w:rPr>
            </w:pPr>
            <w:r>
              <w:rPr>
                <w:snapToGrid w:val="0"/>
              </w:rPr>
              <w:t>59</w:t>
            </w:r>
          </w:p>
        </w:tc>
        <w:tc>
          <w:tcPr>
            <w:tcW w:w="1088" w:type="pct"/>
            <w:shd w:val="clear" w:color="auto" w:fill="auto"/>
          </w:tcPr>
          <w:p w14:paraId="6FB03935" w14:textId="3FCB6F22" w:rsidR="001103DC" w:rsidRDefault="001103DC" w:rsidP="005C3B2B">
            <w:pPr>
              <w:pStyle w:val="Tabletext1"/>
              <w:jc w:val="center"/>
              <w:rPr>
                <w:snapToGrid w:val="0"/>
              </w:rPr>
            </w:pPr>
            <w:r w:rsidRPr="005C3B2B">
              <w:t xml:space="preserve">Retrospective consecutive </w:t>
            </w:r>
            <w:r w:rsidR="0044455A" w:rsidRPr="005C3B2B">
              <w:t>CS</w:t>
            </w:r>
          </w:p>
        </w:tc>
        <w:tc>
          <w:tcPr>
            <w:tcW w:w="770" w:type="pct"/>
            <w:shd w:val="clear" w:color="auto" w:fill="auto"/>
          </w:tcPr>
          <w:p w14:paraId="568F8F27" w14:textId="24D4C1F9" w:rsidR="001103DC" w:rsidRDefault="001103DC" w:rsidP="005C3B2B">
            <w:pPr>
              <w:pStyle w:val="Tabletext1"/>
              <w:jc w:val="center"/>
              <w:rPr>
                <w:snapToGrid w:val="0"/>
              </w:rPr>
            </w:pPr>
            <w:r w:rsidRPr="005C3B2B">
              <w:t>SBRT</w:t>
            </w:r>
          </w:p>
        </w:tc>
        <w:tc>
          <w:tcPr>
            <w:tcW w:w="835" w:type="pct"/>
            <w:shd w:val="clear" w:color="auto" w:fill="auto"/>
          </w:tcPr>
          <w:p w14:paraId="5C73B065" w14:textId="5715245D" w:rsidR="001103DC" w:rsidRDefault="001103DC" w:rsidP="005C3B2B">
            <w:pPr>
              <w:pStyle w:val="Tabletext1"/>
              <w:jc w:val="center"/>
              <w:rPr>
                <w:snapToGrid w:val="0"/>
              </w:rPr>
            </w:pPr>
            <w:r w:rsidRPr="005C3B2B">
              <w:t xml:space="preserve">NSCLC or </w:t>
            </w:r>
            <w:r w:rsidR="00DE39E1" w:rsidRPr="005C3B2B">
              <w:t xml:space="preserve">lung </w:t>
            </w:r>
            <w:r w:rsidRPr="005C3B2B">
              <w:t>meta</w:t>
            </w:r>
            <w:r w:rsidR="007763F9" w:rsidRPr="005C3B2B">
              <w:t>stases</w:t>
            </w:r>
          </w:p>
        </w:tc>
        <w:tc>
          <w:tcPr>
            <w:tcW w:w="637" w:type="pct"/>
            <w:shd w:val="clear" w:color="auto" w:fill="auto"/>
          </w:tcPr>
          <w:p w14:paraId="6DC074D3" w14:textId="44B44244" w:rsidR="001103DC" w:rsidRDefault="001103DC" w:rsidP="005C3B2B">
            <w:pPr>
              <w:pStyle w:val="Tabletext1"/>
              <w:jc w:val="center"/>
              <w:rPr>
                <w:snapToGrid w:val="0"/>
              </w:rPr>
            </w:pPr>
            <w:r>
              <w:rPr>
                <w:snapToGrid w:val="0"/>
              </w:rPr>
              <w:t>Toxicity</w:t>
            </w:r>
          </w:p>
        </w:tc>
        <w:tc>
          <w:tcPr>
            <w:tcW w:w="456" w:type="pct"/>
            <w:shd w:val="clear" w:color="auto" w:fill="auto"/>
          </w:tcPr>
          <w:p w14:paraId="0B4EA377" w14:textId="231B7036" w:rsidR="001103DC" w:rsidRDefault="001103DC" w:rsidP="005C3B2B">
            <w:pPr>
              <w:pStyle w:val="Tabletext1"/>
              <w:jc w:val="center"/>
              <w:rPr>
                <w:snapToGrid w:val="0"/>
              </w:rPr>
            </w:pPr>
            <w:r>
              <w:rPr>
                <w:snapToGrid w:val="0"/>
              </w:rPr>
              <w:t>Not used</w:t>
            </w:r>
          </w:p>
        </w:tc>
      </w:tr>
      <w:tr w:rsidR="008B6FC0" w:rsidRPr="00CE45B9" w14:paraId="0D2ED66A" w14:textId="77777777" w:rsidTr="001F64FE">
        <w:trPr>
          <w:cantSplit/>
        </w:trPr>
        <w:tc>
          <w:tcPr>
            <w:tcW w:w="652" w:type="pct"/>
            <w:shd w:val="clear" w:color="auto" w:fill="auto"/>
          </w:tcPr>
          <w:p w14:paraId="07ACE9A4" w14:textId="6ED144CE" w:rsidR="001C3B3F" w:rsidRPr="00CE45B9" w:rsidRDefault="00211285" w:rsidP="005C3B2B">
            <w:pPr>
              <w:pStyle w:val="Tabletext1"/>
              <w:rPr>
                <w:snapToGrid w:val="0"/>
              </w:rPr>
            </w:pPr>
            <w:hyperlink w:anchor="_ENREF_44" w:tooltip="Kestin, 2014 #55" w:history="1">
              <w:r w:rsidR="008B6FC0">
                <w:fldChar w:fldCharType="begin"/>
              </w:r>
              <w:r w:rsidR="008B6FC0">
                <w:instrText xml:space="preserve"> ADDIN EN.CITE &lt;EndNote&gt;&lt;Cite AuthorYear="1"&gt;&lt;Author&gt;Kestin&lt;/Author&gt;&lt;Year&gt;2014&lt;/Year&gt;&lt;RecNum&gt;55&lt;/RecNum&gt;&lt;DisplayText&gt;Kestin et al. (2014)&lt;/DisplayText&gt;&lt;record&gt;&lt;rec-number&gt;55&lt;/rec-number&gt;&lt;foreign-keys&gt;&lt;key app="EN" db-id="sx5wsdwv795wvue959xxw0ptaewvdezxxp05" timestamp="1604876396"&gt;55&lt;/key&gt;&lt;/foreign-keys&gt;&lt;ref-type name="Journal Article"&gt;17&lt;/ref-type&gt;&lt;contributors&gt;&lt;authors&gt;&lt;author&gt;Kestin, L.&lt;/author&gt;&lt;author&gt;Grills, I.&lt;/author&gt;&lt;author&gt;Guckenberger, M.&lt;/author&gt;&lt;author&gt;Belderbos, J.&lt;/author&gt;&lt;author&gt;Hope, A. J.&lt;/author&gt;&lt;author&gt;Werner-Wasik, M.&lt;/author&gt;&lt;author&gt;Sonke, J. J.&lt;/author&gt;&lt;author&gt;Bissonnette, J. P.&lt;/author&gt;&lt;author&gt;Xiao, Y.&lt;/author&gt;&lt;author&gt;Yan, D.&lt;/author&gt;&lt;/authors&gt;&lt;/contributors&gt;&lt;titles&gt;&lt;title&gt;Dose-response relationship with clinical outcome for lung stereotactic body radiotherapy (SBRT) delivered via online image guidance&lt;/title&gt;&lt;secondary-title&gt;Radiotherapy and Oncology&lt;/secondary-title&gt;&lt;/titles&gt;&lt;pages&gt;499-504&lt;/pages&gt;&lt;volume&gt;110&lt;/volume&gt;&lt;number&gt;3&lt;/number&gt;&lt;dates&gt;&lt;year&gt;2014&lt;/year&gt;&lt;/dates&gt;&lt;accession-num&gt;53047460&lt;/accession-num&gt;&lt;urls&gt;&lt;related-urls&gt;&lt;url&gt;http://www.elsevier.com/locate/radonchttp://ezproxy.library.usyd.edu.au/login?url=http://ovidsp.ovid.com/ovidweb.cgi?T=JS&amp;amp;CSC=Y&amp;amp;NEWS=N&amp;amp;PAGE=fulltext&amp;amp;D=emed15&amp;amp;AN=53047460https://sydney.alma.exlibrisgroup.com/openurl/61USYD_INST/61USYD_INST:sydney?sid=OVID:&lt;/url&gt;&lt;/related-urls&gt;&lt;/urls&gt;&lt;custom2&gt;lung, recurrence, survival&amp;#xD;&lt;/custom2&gt;&lt;electronic-resource-num&gt;http://dx.doi.org/10.1016/j.radonc.2014.02.002&lt;/electronic-resource-num&gt;&lt;/record&gt;&lt;/Cite&gt;&lt;/EndNote&gt;</w:instrText>
              </w:r>
              <w:r w:rsidR="008B6FC0">
                <w:fldChar w:fldCharType="separate"/>
              </w:r>
              <w:r w:rsidR="008B6FC0">
                <w:rPr>
                  <w:noProof/>
                </w:rPr>
                <w:t>Kestin et al. (2014)</w:t>
              </w:r>
              <w:r w:rsidR="008B6FC0">
                <w:fldChar w:fldCharType="end"/>
              </w:r>
            </w:hyperlink>
          </w:p>
        </w:tc>
        <w:tc>
          <w:tcPr>
            <w:tcW w:w="562" w:type="pct"/>
            <w:shd w:val="clear" w:color="auto" w:fill="auto"/>
          </w:tcPr>
          <w:p w14:paraId="0F8BDCEC" w14:textId="4152DDB5" w:rsidR="001C3B3F" w:rsidRPr="00CE45B9" w:rsidRDefault="001C3B3F" w:rsidP="005C3B2B">
            <w:pPr>
              <w:pStyle w:val="Tabletext1"/>
              <w:jc w:val="center"/>
              <w:rPr>
                <w:snapToGrid w:val="0"/>
              </w:rPr>
            </w:pPr>
            <w:r w:rsidRPr="005C3B2B">
              <w:t>483 (505 tumours)</w:t>
            </w:r>
          </w:p>
        </w:tc>
        <w:tc>
          <w:tcPr>
            <w:tcW w:w="1088" w:type="pct"/>
            <w:shd w:val="clear" w:color="auto" w:fill="auto"/>
          </w:tcPr>
          <w:p w14:paraId="03A700E3" w14:textId="02CB5331" w:rsidR="001C3B3F" w:rsidRPr="00CE45B9" w:rsidRDefault="001C3B3F" w:rsidP="005C3B2B">
            <w:pPr>
              <w:pStyle w:val="Tabletext1"/>
              <w:jc w:val="center"/>
              <w:rPr>
                <w:snapToGrid w:val="0"/>
              </w:rPr>
            </w:pPr>
            <w:r w:rsidRPr="005C3B2B">
              <w:t>Retrospective multi</w:t>
            </w:r>
            <w:r w:rsidR="00DD34CA" w:rsidRPr="005C3B2B">
              <w:t>centric</w:t>
            </w:r>
            <w:r w:rsidR="00233D41" w:rsidRPr="005C3B2B">
              <w:t xml:space="preserve"> SA Coh</w:t>
            </w:r>
          </w:p>
        </w:tc>
        <w:tc>
          <w:tcPr>
            <w:tcW w:w="770" w:type="pct"/>
            <w:shd w:val="clear" w:color="auto" w:fill="auto"/>
          </w:tcPr>
          <w:p w14:paraId="38D9ABF4" w14:textId="50A09B56" w:rsidR="001C3B3F" w:rsidRPr="00CE45B9" w:rsidRDefault="001C3B3F" w:rsidP="005C3B2B">
            <w:pPr>
              <w:pStyle w:val="Tabletext1"/>
              <w:jc w:val="center"/>
              <w:rPr>
                <w:snapToGrid w:val="0"/>
              </w:rPr>
            </w:pPr>
            <w:r w:rsidRPr="005C3B2B">
              <w:t>SBRT</w:t>
            </w:r>
          </w:p>
        </w:tc>
        <w:tc>
          <w:tcPr>
            <w:tcW w:w="835" w:type="pct"/>
            <w:shd w:val="clear" w:color="auto" w:fill="auto"/>
          </w:tcPr>
          <w:p w14:paraId="11A67EEB" w14:textId="4AB025A1" w:rsidR="001C3B3F" w:rsidRPr="00CE45B9" w:rsidRDefault="001C3B3F" w:rsidP="005C3B2B">
            <w:pPr>
              <w:pStyle w:val="Tabletext1"/>
              <w:jc w:val="center"/>
              <w:rPr>
                <w:snapToGrid w:val="0"/>
              </w:rPr>
            </w:pPr>
            <w:r w:rsidRPr="005C3B2B">
              <w:t xml:space="preserve">NSCLC </w:t>
            </w:r>
            <w:r w:rsidR="006D51E8" w:rsidRPr="005C3B2B">
              <w:t>(</w:t>
            </w:r>
            <w:r w:rsidRPr="005C3B2B">
              <w:t>T1-2N0M0)</w:t>
            </w:r>
          </w:p>
        </w:tc>
        <w:tc>
          <w:tcPr>
            <w:tcW w:w="637" w:type="pct"/>
            <w:shd w:val="clear" w:color="auto" w:fill="auto"/>
          </w:tcPr>
          <w:p w14:paraId="14E6E63D" w14:textId="463964EA" w:rsidR="001C3B3F" w:rsidRDefault="00E01E0A" w:rsidP="005C3B2B">
            <w:pPr>
              <w:pStyle w:val="Tabletext1"/>
              <w:jc w:val="center"/>
              <w:rPr>
                <w:snapToGrid w:val="0"/>
              </w:rPr>
            </w:pPr>
            <w:r>
              <w:rPr>
                <w:snapToGrid w:val="0"/>
              </w:rPr>
              <w:t>OS</w:t>
            </w:r>
          </w:p>
          <w:p w14:paraId="371AD229" w14:textId="6C653A60" w:rsidR="00E01E0A" w:rsidRDefault="00E01E0A" w:rsidP="005C3B2B">
            <w:pPr>
              <w:pStyle w:val="Tabletext1"/>
              <w:jc w:val="center"/>
              <w:rPr>
                <w:snapToGrid w:val="0"/>
              </w:rPr>
            </w:pPr>
            <w:r>
              <w:rPr>
                <w:snapToGrid w:val="0"/>
              </w:rPr>
              <w:t>CSS</w:t>
            </w:r>
          </w:p>
          <w:p w14:paraId="3B5FB797" w14:textId="788F9419" w:rsidR="001C3B3F" w:rsidRPr="00CE45B9" w:rsidRDefault="004F3FFF" w:rsidP="005C3B2B">
            <w:pPr>
              <w:pStyle w:val="Tabletext1"/>
              <w:jc w:val="center"/>
              <w:rPr>
                <w:snapToGrid w:val="0"/>
              </w:rPr>
            </w:pPr>
            <w:r>
              <w:rPr>
                <w:snapToGrid w:val="0"/>
              </w:rPr>
              <w:t>Recurrence rates</w:t>
            </w:r>
          </w:p>
        </w:tc>
        <w:tc>
          <w:tcPr>
            <w:tcW w:w="456" w:type="pct"/>
            <w:shd w:val="clear" w:color="auto" w:fill="auto"/>
          </w:tcPr>
          <w:p w14:paraId="6212FADD" w14:textId="3E1B149C" w:rsidR="001C3B3F" w:rsidRPr="00CE45B9" w:rsidRDefault="001C3B3F" w:rsidP="005C3B2B">
            <w:pPr>
              <w:pStyle w:val="Tabletext1"/>
              <w:jc w:val="center"/>
              <w:rPr>
                <w:snapToGrid w:val="0"/>
              </w:rPr>
            </w:pPr>
            <w:r w:rsidRPr="0085503A">
              <w:rPr>
                <w:snapToGrid w:val="0"/>
              </w:rPr>
              <w:t>Not used</w:t>
            </w:r>
          </w:p>
        </w:tc>
      </w:tr>
      <w:tr w:rsidR="008B6FC0" w:rsidRPr="00CE45B9" w14:paraId="73A61964" w14:textId="77777777" w:rsidTr="001F64FE">
        <w:trPr>
          <w:cantSplit/>
        </w:trPr>
        <w:tc>
          <w:tcPr>
            <w:tcW w:w="652" w:type="pct"/>
            <w:shd w:val="clear" w:color="auto" w:fill="auto"/>
          </w:tcPr>
          <w:p w14:paraId="58E46A16" w14:textId="6D4977C3" w:rsidR="001C3B3F" w:rsidRPr="00CE45B9" w:rsidRDefault="00211285" w:rsidP="005C3B2B">
            <w:pPr>
              <w:pStyle w:val="Tabletext1"/>
              <w:rPr>
                <w:snapToGrid w:val="0"/>
              </w:rPr>
            </w:pPr>
            <w:hyperlink w:anchor="_ENREF_45" w:tooltip="Kilburn, 2016 #56" w:history="1">
              <w:r w:rsidR="008B6FC0">
                <w:fldChar w:fldCharType="begin"/>
              </w:r>
              <w:r w:rsidR="008B6FC0">
                <w:instrText xml:space="preserve"> ADDIN EN.CITE &lt;EndNote&gt;&lt;Cite AuthorYear="1"&gt;&lt;Author&gt;Kilburn&lt;/Author&gt;&lt;Year&gt;2016&lt;/Year&gt;&lt;RecNum&gt;56&lt;/RecNum&gt;&lt;DisplayText&gt;Kilburn et al. (2016)&lt;/DisplayText&gt;&lt;record&gt;&lt;rec-number&gt;56&lt;/rec-number&gt;&lt;foreign-keys&gt;&lt;key app="EN" db-id="sx5wsdwv795wvue959xxw0ptaewvdezxxp05" timestamp="1604876396"&gt;56&lt;/key&gt;&lt;/foreign-keys&gt;&lt;ref-type name="Journal Article"&gt;17&lt;/ref-type&gt;&lt;contributors&gt;&lt;authors&gt;&lt;author&gt;Kilburn, J. M.&lt;/author&gt;&lt;author&gt;Soike, M. H.&lt;/author&gt;&lt;author&gt;Lucas, J. T.&lt;/author&gt;&lt;author&gt;Ayala-Peacock, D.&lt;/author&gt;&lt;author&gt;Blackstock, W.&lt;/author&gt;&lt;author&gt;Isom, S.&lt;/author&gt;&lt;author&gt;Kearns, W. T.&lt;/author&gt;&lt;author&gt;Hinson, W. H.&lt;/author&gt;&lt;author&gt;Miller, A. A.&lt;/author&gt;&lt;author&gt;Petty, W. J.&lt;/author&gt;&lt;author&gt;Munley, M. T.&lt;/author&gt;&lt;author&gt;Urbanic, J. J.&lt;/author&gt;&lt;/authors&gt;&lt;/contributors&gt;&lt;titles&gt;&lt;title&gt;Image guided radiation therapy may result in improved local control in locally advanced lung cancer patients&lt;/title&gt;&lt;secondary-title&gt;Pract Radiat Oncol&lt;/secondary-title&gt;&lt;/titles&gt;&lt;pages&gt;e73-e80&lt;/pages&gt;&lt;volume&gt;6&lt;/volume&gt;&lt;number&gt;3&lt;/number&gt;&lt;dates&gt;&lt;year&gt;2016&lt;/year&gt;&lt;/dates&gt;&lt;accession-num&gt;26725964&lt;/accession-num&gt;&lt;urls&gt;&lt;related-urls&gt;&lt;url&gt;http://ezproxy.library.usyd.edu.au/login?url=http://ovidsp.ovid.com/ovidweb.cgi?T=JS&amp;amp;CSC=Y&amp;amp;NEWS=N&amp;amp;PAGE=fulltext&amp;amp;D=med13&amp;amp;AN=26725964https://sydney.alma.exlibrisgroup.com/openurl/61USYD_INST/61USYD_INST:sydney?sid=OVID:medline&amp;amp;id=pmid:26725964&amp;amp;id=doi:10.101&lt;/url&gt;&lt;url&gt;https://www.ncbi.nlm.nih.gov/pmc/articles/PMC5555210/pdf/nihms767206.pdf&lt;/url&gt;&lt;/related-urls&gt;&lt;/urls&gt;&lt;custom2&gt;lung, LFFS, RFFS, LRFFS, PFS, and OS&lt;/custom2&gt;&lt;electronic-resource-num&gt;https://dx.doi.org/10.1016/j.prro.2015.10.004&lt;/electronic-resource-num&gt;&lt;/record&gt;&lt;/Cite&gt;&lt;/EndNote&gt;</w:instrText>
              </w:r>
              <w:r w:rsidR="008B6FC0">
                <w:fldChar w:fldCharType="separate"/>
              </w:r>
              <w:r w:rsidR="008B6FC0">
                <w:rPr>
                  <w:noProof/>
                </w:rPr>
                <w:t>Kilburn et al. (2016)</w:t>
              </w:r>
              <w:r w:rsidR="008B6FC0">
                <w:fldChar w:fldCharType="end"/>
              </w:r>
            </w:hyperlink>
          </w:p>
        </w:tc>
        <w:tc>
          <w:tcPr>
            <w:tcW w:w="562" w:type="pct"/>
            <w:shd w:val="clear" w:color="auto" w:fill="auto"/>
          </w:tcPr>
          <w:p w14:paraId="4DC6B611" w14:textId="12496D81" w:rsidR="001C3B3F" w:rsidRPr="00CE45B9" w:rsidRDefault="007A67CE" w:rsidP="005C3B2B">
            <w:pPr>
              <w:pStyle w:val="Tabletext1"/>
              <w:jc w:val="center"/>
              <w:rPr>
                <w:snapToGrid w:val="0"/>
              </w:rPr>
            </w:pPr>
            <w:r>
              <w:rPr>
                <w:snapToGrid w:val="0"/>
              </w:rPr>
              <w:t>62</w:t>
            </w:r>
            <w:r w:rsidR="00741F51">
              <w:rPr>
                <w:snapToGrid w:val="0"/>
              </w:rPr>
              <w:t>*</w:t>
            </w:r>
            <w:r w:rsidR="00283563">
              <w:rPr>
                <w:snapToGrid w:val="0"/>
              </w:rPr>
              <w:t xml:space="preserve"> (</w:t>
            </w:r>
            <w:r>
              <w:rPr>
                <w:snapToGrid w:val="0"/>
              </w:rPr>
              <w:t>total 169</w:t>
            </w:r>
            <w:r w:rsidR="00283563">
              <w:rPr>
                <w:snapToGrid w:val="0"/>
              </w:rPr>
              <w:t>)</w:t>
            </w:r>
          </w:p>
        </w:tc>
        <w:tc>
          <w:tcPr>
            <w:tcW w:w="1088" w:type="pct"/>
            <w:shd w:val="clear" w:color="auto" w:fill="auto"/>
          </w:tcPr>
          <w:p w14:paraId="5B438F7A" w14:textId="0BAB1326" w:rsidR="001C3B3F" w:rsidRPr="00CE45B9" w:rsidRDefault="001C3B3F" w:rsidP="005C3B2B">
            <w:pPr>
              <w:pStyle w:val="Tabletext1"/>
              <w:jc w:val="center"/>
              <w:rPr>
                <w:snapToGrid w:val="0"/>
              </w:rPr>
            </w:pPr>
            <w:r w:rsidRPr="005C3B2B">
              <w:t>Retrospective</w:t>
            </w:r>
            <w:r w:rsidR="007A600C" w:rsidRPr="005C3B2B">
              <w:t xml:space="preserve"> </w:t>
            </w:r>
            <w:r w:rsidR="00B60385" w:rsidRPr="005C3B2B">
              <w:t>Coh, comparative (</w:t>
            </w:r>
            <w:r w:rsidRPr="005C3B2B">
              <w:t xml:space="preserve">with </w:t>
            </w:r>
            <w:r w:rsidR="00B60385" w:rsidRPr="005C3B2B">
              <w:t>IGRT vs</w:t>
            </w:r>
            <w:r w:rsidRPr="005C3B2B">
              <w:t xml:space="preserve"> without</w:t>
            </w:r>
            <w:r w:rsidR="00B60385" w:rsidRPr="005C3B2B">
              <w:t xml:space="preserve"> IGRT)</w:t>
            </w:r>
          </w:p>
        </w:tc>
        <w:tc>
          <w:tcPr>
            <w:tcW w:w="770" w:type="pct"/>
            <w:shd w:val="clear" w:color="auto" w:fill="auto"/>
          </w:tcPr>
          <w:p w14:paraId="49E42B56" w14:textId="30259772" w:rsidR="001C3B3F" w:rsidRPr="00CE45B9" w:rsidRDefault="001C3B3F" w:rsidP="005C3B2B">
            <w:pPr>
              <w:pStyle w:val="Tabletext1"/>
              <w:jc w:val="center"/>
              <w:rPr>
                <w:snapToGrid w:val="0"/>
              </w:rPr>
            </w:pPr>
            <w:r w:rsidRPr="005C3B2B">
              <w:t>3D</w:t>
            </w:r>
            <w:r w:rsidR="006B3595" w:rsidRPr="005C3B2B">
              <w:t>-</w:t>
            </w:r>
            <w:r w:rsidRPr="005C3B2B">
              <w:t>CRT or IMRT</w:t>
            </w:r>
            <w:r w:rsidRPr="005C3B2B">
              <w:br/>
            </w:r>
          </w:p>
        </w:tc>
        <w:tc>
          <w:tcPr>
            <w:tcW w:w="835" w:type="pct"/>
            <w:shd w:val="clear" w:color="auto" w:fill="auto"/>
          </w:tcPr>
          <w:p w14:paraId="515F7149" w14:textId="03A437FF" w:rsidR="001C3B3F" w:rsidRPr="00CE45B9" w:rsidRDefault="001C3B3F" w:rsidP="005C3B2B">
            <w:pPr>
              <w:pStyle w:val="Tabletext1"/>
              <w:jc w:val="center"/>
              <w:rPr>
                <w:snapToGrid w:val="0"/>
              </w:rPr>
            </w:pPr>
            <w:r w:rsidRPr="005C3B2B">
              <w:t xml:space="preserve">NSCLC </w:t>
            </w:r>
            <w:r w:rsidR="00453906" w:rsidRPr="005C3B2B">
              <w:t>(</w:t>
            </w:r>
            <w:r w:rsidR="004F0178" w:rsidRPr="005C3B2B">
              <w:t xml:space="preserve">locally advanced, </w:t>
            </w:r>
            <w:r w:rsidRPr="005C3B2B">
              <w:t>stage IIB-IIIB</w:t>
            </w:r>
            <w:r w:rsidR="00453906" w:rsidRPr="005C3B2B">
              <w:t>) treated</w:t>
            </w:r>
            <w:r w:rsidRPr="005C3B2B">
              <w:t xml:space="preserve"> with curative intent</w:t>
            </w:r>
          </w:p>
        </w:tc>
        <w:tc>
          <w:tcPr>
            <w:tcW w:w="637" w:type="pct"/>
            <w:shd w:val="clear" w:color="auto" w:fill="auto"/>
          </w:tcPr>
          <w:p w14:paraId="25AA2296" w14:textId="3D0A5B7E" w:rsidR="004A7617" w:rsidRDefault="004A7617" w:rsidP="005C3B2B">
            <w:pPr>
              <w:pStyle w:val="Tabletext1"/>
              <w:jc w:val="center"/>
              <w:rPr>
                <w:snapToGrid w:val="0"/>
              </w:rPr>
            </w:pPr>
            <w:r>
              <w:rPr>
                <w:snapToGrid w:val="0"/>
              </w:rPr>
              <w:t>Toxicity</w:t>
            </w:r>
          </w:p>
          <w:p w14:paraId="4D90E267" w14:textId="2A4EA203" w:rsidR="001C3B3F" w:rsidRDefault="000605E5" w:rsidP="005C3B2B">
            <w:pPr>
              <w:pStyle w:val="Tabletext1"/>
              <w:jc w:val="center"/>
              <w:rPr>
                <w:snapToGrid w:val="0"/>
              </w:rPr>
            </w:pPr>
            <w:r>
              <w:rPr>
                <w:snapToGrid w:val="0"/>
              </w:rPr>
              <w:t>OS</w:t>
            </w:r>
          </w:p>
          <w:p w14:paraId="14812750" w14:textId="0208B818" w:rsidR="000605E5" w:rsidRDefault="000605E5" w:rsidP="005C3B2B">
            <w:pPr>
              <w:pStyle w:val="Tabletext1"/>
              <w:jc w:val="center"/>
              <w:rPr>
                <w:snapToGrid w:val="0"/>
              </w:rPr>
            </w:pPr>
            <w:r>
              <w:rPr>
                <w:snapToGrid w:val="0"/>
              </w:rPr>
              <w:t>PFS</w:t>
            </w:r>
          </w:p>
          <w:p w14:paraId="5589DEB3" w14:textId="7FC9C27C" w:rsidR="001C3B3F" w:rsidRPr="00CE45B9" w:rsidRDefault="000605E5" w:rsidP="005C3B2B">
            <w:pPr>
              <w:pStyle w:val="Tabletext1"/>
              <w:jc w:val="center"/>
              <w:rPr>
                <w:snapToGrid w:val="0"/>
              </w:rPr>
            </w:pPr>
            <w:r>
              <w:rPr>
                <w:snapToGrid w:val="0"/>
              </w:rPr>
              <w:t>Failure-free survival</w:t>
            </w:r>
          </w:p>
        </w:tc>
        <w:tc>
          <w:tcPr>
            <w:tcW w:w="456" w:type="pct"/>
            <w:shd w:val="clear" w:color="auto" w:fill="auto"/>
          </w:tcPr>
          <w:p w14:paraId="2531696C" w14:textId="2FF2712D" w:rsidR="001C3B3F" w:rsidRPr="00CE45B9" w:rsidRDefault="001C3B3F" w:rsidP="005C3B2B">
            <w:pPr>
              <w:pStyle w:val="Tabletext1"/>
              <w:jc w:val="center"/>
              <w:rPr>
                <w:snapToGrid w:val="0"/>
              </w:rPr>
            </w:pPr>
            <w:r w:rsidRPr="0085503A">
              <w:rPr>
                <w:snapToGrid w:val="0"/>
              </w:rPr>
              <w:t>Not used</w:t>
            </w:r>
          </w:p>
        </w:tc>
      </w:tr>
      <w:tr w:rsidR="008B6FC0" w:rsidRPr="00CE45B9" w14:paraId="640A86A1" w14:textId="77777777" w:rsidTr="001F64FE">
        <w:trPr>
          <w:cantSplit/>
        </w:trPr>
        <w:tc>
          <w:tcPr>
            <w:tcW w:w="652" w:type="pct"/>
            <w:shd w:val="clear" w:color="auto" w:fill="auto"/>
          </w:tcPr>
          <w:p w14:paraId="46290445" w14:textId="36846775" w:rsidR="001C3B3F" w:rsidRDefault="00211285" w:rsidP="005C3B2B">
            <w:pPr>
              <w:pStyle w:val="Tabletext1"/>
              <w:rPr>
                <w:snapToGrid w:val="0"/>
              </w:rPr>
            </w:pPr>
            <w:hyperlink w:anchor="_ENREF_64" w:tooltip="Shen, 2010 #68" w:history="1">
              <w:r w:rsidR="008B6FC0">
                <w:fldChar w:fldCharType="begin"/>
              </w:r>
              <w:r w:rsidR="008B6FC0">
                <w:instrText xml:space="preserve"> ADDIN EN.CITE &lt;EndNote&gt;&lt;Cite AuthorYear="1"&gt;&lt;Author&gt;Shen&lt;/Author&gt;&lt;Year&gt;2010&lt;/Year&gt;&lt;RecNum&gt;68&lt;/RecNum&gt;&lt;DisplayText&gt;Shen et al. (2010)&lt;/DisplayText&gt;&lt;record&gt;&lt;rec-number&gt;68&lt;/rec-number&gt;&lt;foreign-keys&gt;&lt;key app="EN" db-id="sx5wsdwv795wvue959xxw0ptaewvdezxxp05" timestamp="1604876398"&gt;68&lt;/key&gt;&lt;/foreign-keys&gt;&lt;ref-type name="Journal Article"&gt;17&lt;/ref-type&gt;&lt;contributors&gt;&lt;authors&gt;&lt;author&gt;Shen, Y.&lt;/author&gt;&lt;author&gt;Zhang, H.&lt;/author&gt;&lt;author&gt;Wang, J.&lt;/author&gt;&lt;author&gt;Zhong, R.&lt;/author&gt;&lt;author&gt;Jiang, X.&lt;/author&gt;&lt;author&gt;Xu, Q.&lt;/author&gt;&lt;author&gt;Wang, X.&lt;/author&gt;&lt;author&gt;Bai, S.&lt;/author&gt;&lt;author&gt;Xu, F.&lt;/author&gt;&lt;/authors&gt;&lt;/contributors&gt;&lt;titles&gt;&lt;title&gt;Hypofractionated radiotherapy for lung tumors with online cone beam CT guidance and active breathing control&lt;/title&gt;&lt;secondary-title&gt;Radiat&lt;/secondary-title&gt;&lt;/titles&gt;&lt;pages&gt;19&lt;/pages&gt;&lt;volume&gt;5&lt;/volume&gt;&lt;dates&gt;&lt;year&gt;2010&lt;/year&gt;&lt;/dates&gt;&lt;accession-num&gt;20187962&lt;/accession-num&gt;&lt;urls&gt;&lt;related-urls&gt;&lt;url&gt;http://ezproxy.library.usyd.edu.au/login?url=http://ovidsp.ovid.com/ovidweb.cgi?T=JS&amp;amp;CSC=Y&amp;amp;NEWS=N&amp;amp;PAGE=fulltext&amp;amp;D=med8&amp;amp;AN=20187962https://sydney.alma.exlibrisgroup.com/openurl/61USYD_INST/61USYD_INST:sydney?sid=OVID:medline&amp;amp;id=pmid:20187962&amp;amp;id=doi:10.1186&lt;/url&gt;&lt;url&gt;https://ro-journal.biomedcentral.com/track/pdf/10.1186/1748-717X-5-19&lt;/url&gt;&lt;url&gt;https://ro-journal.biomedcentral.com/track/pdf/10.1186/1748-717X-5-19.pdf&lt;/url&gt;&lt;/related-urls&gt;&lt;/urls&gt;&lt;electronic-resource-num&gt;https://dx.doi.org/10.1186/1748-717X-5-19&lt;/electronic-resource-num&gt;&lt;/record&gt;&lt;/Cite&gt;&lt;/EndNote&gt;</w:instrText>
              </w:r>
              <w:r w:rsidR="008B6FC0">
                <w:fldChar w:fldCharType="separate"/>
              </w:r>
              <w:r w:rsidR="008B6FC0">
                <w:rPr>
                  <w:noProof/>
                </w:rPr>
                <w:t>Shen et al. (2010)</w:t>
              </w:r>
              <w:r w:rsidR="008B6FC0">
                <w:fldChar w:fldCharType="end"/>
              </w:r>
            </w:hyperlink>
          </w:p>
        </w:tc>
        <w:tc>
          <w:tcPr>
            <w:tcW w:w="562" w:type="pct"/>
            <w:shd w:val="clear" w:color="auto" w:fill="auto"/>
          </w:tcPr>
          <w:p w14:paraId="2E95971F" w14:textId="04A7754E" w:rsidR="001C3B3F" w:rsidRDefault="001C3B3F" w:rsidP="005C3B2B">
            <w:pPr>
              <w:pStyle w:val="Tabletext1"/>
              <w:jc w:val="center"/>
              <w:rPr>
                <w:snapToGrid w:val="0"/>
              </w:rPr>
            </w:pPr>
            <w:r w:rsidRPr="005C3B2B">
              <w:t>20 (32 tumours)</w:t>
            </w:r>
          </w:p>
        </w:tc>
        <w:tc>
          <w:tcPr>
            <w:tcW w:w="1088" w:type="pct"/>
            <w:shd w:val="clear" w:color="auto" w:fill="auto"/>
          </w:tcPr>
          <w:p w14:paraId="3BD341C0" w14:textId="52D3D588" w:rsidR="001C3B3F" w:rsidRDefault="005F29FF" w:rsidP="005C3B2B">
            <w:pPr>
              <w:pStyle w:val="Tabletext1"/>
              <w:jc w:val="center"/>
              <w:rPr>
                <w:snapToGrid w:val="0"/>
              </w:rPr>
            </w:pPr>
            <w:r w:rsidRPr="005C3B2B">
              <w:t>CS</w:t>
            </w:r>
          </w:p>
        </w:tc>
        <w:tc>
          <w:tcPr>
            <w:tcW w:w="770" w:type="pct"/>
            <w:shd w:val="clear" w:color="auto" w:fill="auto"/>
          </w:tcPr>
          <w:p w14:paraId="328E3326" w14:textId="23B3ACF5" w:rsidR="001C3B3F" w:rsidRDefault="001C3B3F" w:rsidP="005C3B2B">
            <w:pPr>
              <w:pStyle w:val="Tabletext1"/>
              <w:jc w:val="center"/>
              <w:rPr>
                <w:snapToGrid w:val="0"/>
              </w:rPr>
            </w:pPr>
            <w:r w:rsidRPr="005C3B2B">
              <w:t>SBRT</w:t>
            </w:r>
          </w:p>
        </w:tc>
        <w:tc>
          <w:tcPr>
            <w:tcW w:w="835" w:type="pct"/>
            <w:shd w:val="clear" w:color="auto" w:fill="auto"/>
          </w:tcPr>
          <w:p w14:paraId="144D0ED3" w14:textId="2BBE3E7F" w:rsidR="001C3B3F" w:rsidRDefault="001C3B3F" w:rsidP="005C3B2B">
            <w:pPr>
              <w:pStyle w:val="Tabletext1"/>
              <w:jc w:val="center"/>
              <w:rPr>
                <w:snapToGrid w:val="0"/>
              </w:rPr>
            </w:pPr>
            <w:r w:rsidRPr="005C3B2B">
              <w:t>NSCLC</w:t>
            </w:r>
            <w:r w:rsidR="00453906" w:rsidRPr="005C3B2B">
              <w:t xml:space="preserve"> </w:t>
            </w:r>
            <w:r w:rsidRPr="005C3B2B">
              <w:t xml:space="preserve">or </w:t>
            </w:r>
            <w:r w:rsidR="00453906" w:rsidRPr="005C3B2B">
              <w:t xml:space="preserve">lung </w:t>
            </w:r>
            <w:r w:rsidRPr="005C3B2B">
              <w:t>meta</w:t>
            </w:r>
            <w:r w:rsidR="007763F9" w:rsidRPr="005C3B2B">
              <w:t>stases</w:t>
            </w:r>
          </w:p>
        </w:tc>
        <w:tc>
          <w:tcPr>
            <w:tcW w:w="637" w:type="pct"/>
            <w:shd w:val="clear" w:color="auto" w:fill="auto"/>
          </w:tcPr>
          <w:p w14:paraId="6B3E7C35" w14:textId="2A8FAA48" w:rsidR="001C3B3F" w:rsidRDefault="001C3B3F" w:rsidP="005C3B2B">
            <w:pPr>
              <w:pStyle w:val="Tabletext1"/>
              <w:jc w:val="center"/>
              <w:rPr>
                <w:snapToGrid w:val="0"/>
              </w:rPr>
            </w:pPr>
            <w:r>
              <w:rPr>
                <w:snapToGrid w:val="0"/>
              </w:rPr>
              <w:t>Toxicity</w:t>
            </w:r>
          </w:p>
        </w:tc>
        <w:tc>
          <w:tcPr>
            <w:tcW w:w="456" w:type="pct"/>
            <w:shd w:val="clear" w:color="auto" w:fill="auto"/>
          </w:tcPr>
          <w:p w14:paraId="572FE900" w14:textId="02EC9049" w:rsidR="001C3B3F" w:rsidRDefault="001C3B3F" w:rsidP="005C3B2B">
            <w:pPr>
              <w:pStyle w:val="Tabletext1"/>
              <w:jc w:val="center"/>
              <w:rPr>
                <w:snapToGrid w:val="0"/>
              </w:rPr>
            </w:pPr>
            <w:r w:rsidRPr="0085503A">
              <w:rPr>
                <w:snapToGrid w:val="0"/>
              </w:rPr>
              <w:t>Not used</w:t>
            </w:r>
          </w:p>
        </w:tc>
      </w:tr>
      <w:tr w:rsidR="008B6FC0" w:rsidRPr="00CE45B9" w14:paraId="273CC810" w14:textId="77777777" w:rsidTr="001F64FE">
        <w:trPr>
          <w:cantSplit/>
        </w:trPr>
        <w:tc>
          <w:tcPr>
            <w:tcW w:w="652" w:type="pct"/>
            <w:shd w:val="clear" w:color="auto" w:fill="auto"/>
          </w:tcPr>
          <w:p w14:paraId="02DBC255" w14:textId="1081B179" w:rsidR="001C3B3F" w:rsidRDefault="00211285" w:rsidP="005C3B2B">
            <w:pPr>
              <w:pStyle w:val="Tabletext1"/>
              <w:rPr>
                <w:snapToGrid w:val="0"/>
              </w:rPr>
            </w:pPr>
            <w:hyperlink w:anchor="_ENREF_67" w:tooltip="Stone, 2015 #70" w:history="1">
              <w:r w:rsidR="001F781A">
                <w:fldChar w:fldCharType="begin"/>
              </w:r>
              <w:r w:rsidR="001F781A">
                <w:instrText xml:space="preserve"> ADDIN EN.CITE &lt;EndNote&gt;&lt;Cite AuthorYear="1"&gt;&lt;Author&gt;Stone&lt;/Author&gt;&lt;Year&gt;2015&lt;/Year&gt;&lt;RecNum&gt;70&lt;/RecNum&gt;&lt;DisplayText&gt;Stone, Mangona, Johnson, Ye, and Grills (2015)&lt;/DisplayText&gt;&lt;record&gt;&lt;rec-number&gt;70&lt;/rec-number&gt;&lt;foreign-keys&gt;&lt;key app="EN" db-id="sx5wsdwv795wvue959xxw0ptaewvdezxxp05" timestamp="1604876398"&gt;70&lt;/key&gt;&lt;/foreign-keys&gt;&lt;ref-type name="Journal Article"&gt;17&lt;/ref-type&gt;&lt;contributors&gt;&lt;authors&gt;&lt;author&gt;Stone, B.&lt;/author&gt;&lt;author&gt;Mangona, V. S.&lt;/author&gt;&lt;author&gt;Johnson, M. D.&lt;/author&gt;&lt;author&gt;Ye, H.&lt;/author&gt;&lt;author&gt;Grills, I. S.&lt;/author&gt;&lt;/authors&gt;&lt;/contributors&gt;&lt;titles&gt;&lt;title&gt;Changes in Pulmonary Function Following Image-Guided Stereotactic Lung Radiotherapy: Neither Lower Baseline Nor Post-SBRT Pulmonary Function Are Associated with Worse Overall Survival&lt;/title&gt;&lt;secondary-title&gt;Journal of Thoracic Oncology&lt;/secondary-title&gt;&lt;/titles&gt;&lt;pages&gt;1762-1769&lt;/pages&gt;&lt;volume&gt;10&lt;/volume&gt;&lt;number&gt;12&lt;/number&gt;&lt;dates&gt;&lt;year&gt;2015&lt;/year&gt;&lt;/dates&gt;&lt;accession-num&gt;607042040&lt;/accession-num&gt;&lt;urls&gt;&lt;related-urls&gt;&lt;url&gt;https://www.journals.elsevier.com/journal-of-thoracic-oncology/http://ezproxy.library.usyd.edu.au/login?url=http://ovidsp.ovid.com/ovidweb.cgi?T=JS&amp;amp;CSC=Y&amp;amp;NEWS=N&amp;amp;PAGE=fulltext&amp;amp;D=emed16&amp;amp;AN=607042040https://sydney.alma.exlibrisgroup.com/openurl/61USYD_INST/6&lt;/url&gt;&lt;/related-urls&gt;&lt;/urls&gt;&lt;electronic-resource-num&gt;http://dx.doi.org/10.1097/JTO.0000000000000670&lt;/electronic-resource-num&gt;&lt;/record&gt;&lt;/Cite&gt;&lt;/EndNote&gt;</w:instrText>
              </w:r>
              <w:r w:rsidR="001F781A">
                <w:fldChar w:fldCharType="separate"/>
              </w:r>
              <w:r w:rsidR="001F781A">
                <w:rPr>
                  <w:noProof/>
                </w:rPr>
                <w:t>Stone, Mangona, Johnson, Ye, and Grills (2015)</w:t>
              </w:r>
              <w:r w:rsidR="001F781A">
                <w:fldChar w:fldCharType="end"/>
              </w:r>
            </w:hyperlink>
          </w:p>
        </w:tc>
        <w:tc>
          <w:tcPr>
            <w:tcW w:w="562" w:type="pct"/>
            <w:shd w:val="clear" w:color="auto" w:fill="auto"/>
          </w:tcPr>
          <w:p w14:paraId="43BAE350" w14:textId="1C683099" w:rsidR="001C3B3F" w:rsidRDefault="001C3B3F" w:rsidP="005C3B2B">
            <w:pPr>
              <w:pStyle w:val="Tabletext1"/>
              <w:jc w:val="center"/>
              <w:rPr>
                <w:snapToGrid w:val="0"/>
              </w:rPr>
            </w:pPr>
            <w:r w:rsidRPr="005C3B2B">
              <w:t>127</w:t>
            </w:r>
          </w:p>
        </w:tc>
        <w:tc>
          <w:tcPr>
            <w:tcW w:w="1088" w:type="pct"/>
            <w:shd w:val="clear" w:color="auto" w:fill="auto"/>
          </w:tcPr>
          <w:p w14:paraId="73AF42E3" w14:textId="108E88D4" w:rsidR="001C3B3F" w:rsidRDefault="001C3B3F" w:rsidP="005C3B2B">
            <w:pPr>
              <w:pStyle w:val="Tabletext1"/>
              <w:jc w:val="center"/>
              <w:rPr>
                <w:snapToGrid w:val="0"/>
              </w:rPr>
            </w:pPr>
            <w:r w:rsidRPr="005C3B2B">
              <w:t>Prospective</w:t>
            </w:r>
            <w:r w:rsidR="000C2B62" w:rsidRPr="005C3B2B">
              <w:t xml:space="preserve"> SA Coh</w:t>
            </w:r>
          </w:p>
        </w:tc>
        <w:tc>
          <w:tcPr>
            <w:tcW w:w="770" w:type="pct"/>
            <w:shd w:val="clear" w:color="auto" w:fill="auto"/>
          </w:tcPr>
          <w:p w14:paraId="25A5F29B" w14:textId="40C710CA" w:rsidR="001C3B3F" w:rsidRPr="00CE45B9" w:rsidRDefault="001C3B3F" w:rsidP="005C3B2B">
            <w:pPr>
              <w:pStyle w:val="Tabletext1"/>
              <w:jc w:val="center"/>
              <w:rPr>
                <w:snapToGrid w:val="0"/>
              </w:rPr>
            </w:pPr>
            <w:r w:rsidRPr="005C3B2B">
              <w:t>SBRT</w:t>
            </w:r>
          </w:p>
        </w:tc>
        <w:tc>
          <w:tcPr>
            <w:tcW w:w="835" w:type="pct"/>
            <w:shd w:val="clear" w:color="auto" w:fill="auto"/>
          </w:tcPr>
          <w:p w14:paraId="6A58ECC3" w14:textId="706F26BB" w:rsidR="001C3B3F" w:rsidRDefault="00453906" w:rsidP="005C3B2B">
            <w:pPr>
              <w:pStyle w:val="Tabletext1"/>
              <w:jc w:val="center"/>
              <w:rPr>
                <w:snapToGrid w:val="0"/>
              </w:rPr>
            </w:pPr>
            <w:r w:rsidRPr="005C3B2B">
              <w:t xml:space="preserve">NSCLC </w:t>
            </w:r>
            <w:r w:rsidR="001C3B3F" w:rsidRPr="005C3B2B">
              <w:t xml:space="preserve">(peripheral </w:t>
            </w:r>
            <w:r w:rsidR="00233D41" w:rsidRPr="005C3B2B">
              <w:t>s</w:t>
            </w:r>
            <w:r w:rsidR="001C3B3F" w:rsidRPr="005C3B2B">
              <w:t>tage I)</w:t>
            </w:r>
          </w:p>
        </w:tc>
        <w:tc>
          <w:tcPr>
            <w:tcW w:w="637" w:type="pct"/>
            <w:shd w:val="clear" w:color="auto" w:fill="auto"/>
          </w:tcPr>
          <w:p w14:paraId="75E03013" w14:textId="5CA833B4" w:rsidR="001C3B3F" w:rsidRPr="00CE45B9" w:rsidRDefault="00536E45" w:rsidP="005C3B2B">
            <w:pPr>
              <w:pStyle w:val="Tabletext1"/>
              <w:jc w:val="center"/>
              <w:rPr>
                <w:snapToGrid w:val="0"/>
              </w:rPr>
            </w:pPr>
            <w:r>
              <w:rPr>
                <w:snapToGrid w:val="0"/>
              </w:rPr>
              <w:t>OS</w:t>
            </w:r>
          </w:p>
        </w:tc>
        <w:tc>
          <w:tcPr>
            <w:tcW w:w="456" w:type="pct"/>
            <w:shd w:val="clear" w:color="auto" w:fill="auto"/>
          </w:tcPr>
          <w:p w14:paraId="34A13360" w14:textId="4867F831" w:rsidR="001C3B3F" w:rsidRPr="00CE45B9" w:rsidRDefault="001C3B3F" w:rsidP="005C3B2B">
            <w:pPr>
              <w:pStyle w:val="Tabletext1"/>
              <w:jc w:val="center"/>
              <w:rPr>
                <w:snapToGrid w:val="0"/>
              </w:rPr>
            </w:pPr>
            <w:r w:rsidRPr="0085503A">
              <w:rPr>
                <w:snapToGrid w:val="0"/>
              </w:rPr>
              <w:t>Not used</w:t>
            </w:r>
          </w:p>
        </w:tc>
      </w:tr>
      <w:tr w:rsidR="008B6FC0" w:rsidRPr="00CE45B9" w14:paraId="59459817" w14:textId="77777777" w:rsidTr="001F64FE">
        <w:trPr>
          <w:cantSplit/>
        </w:trPr>
        <w:tc>
          <w:tcPr>
            <w:tcW w:w="652" w:type="pct"/>
            <w:tcBorders>
              <w:bottom w:val="single" w:sz="4" w:space="0" w:color="auto"/>
            </w:tcBorders>
            <w:shd w:val="clear" w:color="auto" w:fill="auto"/>
          </w:tcPr>
          <w:p w14:paraId="61D3CDA6" w14:textId="5A822AC0" w:rsidR="001C3B3F" w:rsidRDefault="00211285" w:rsidP="005C3B2B">
            <w:pPr>
              <w:pStyle w:val="Tabletext1"/>
              <w:rPr>
                <w:snapToGrid w:val="0"/>
              </w:rPr>
            </w:pPr>
            <w:hyperlink w:anchor="_ENREF_85" w:tooltip="Yegya-Raman, 2018 #83" w:history="1">
              <w:r w:rsidR="008B6FC0">
                <w:fldChar w:fldCharType="begin"/>
              </w:r>
              <w:r w:rsidR="008B6FC0">
                <w:instrText xml:space="preserve"> ADDIN EN.CITE &lt;EndNote&gt;&lt;Cite AuthorYear="1"&gt;&lt;Author&gt;Yegya-Raman&lt;/Author&gt;&lt;Year&gt;2018&lt;/Year&gt;&lt;RecNum&gt;83&lt;/RecNum&gt;&lt;DisplayText&gt;Yegya-Raman et al. (2018)&lt;/DisplayText&gt;&lt;record&gt;&lt;rec-number&gt;83&lt;/rec-number&gt;&lt;foreign-keys&gt;&lt;key app="EN" db-id="sx5wsdwv795wvue959xxw0ptaewvdezxxp05" timestamp="1604876399"&gt;83&lt;/key&gt;&lt;/foreign-keys&gt;&lt;ref-type name="Journal Article"&gt;17&lt;/ref-type&gt;&lt;contributors&gt;&lt;authors&gt;&lt;author&gt;Yegya-Raman, N.&lt;/author&gt;&lt;author&gt;Kim, S.&lt;/author&gt;&lt;author&gt;Deek, M. P.&lt;/author&gt;&lt;author&gt;Li, D.&lt;/author&gt;&lt;author&gt;Gupta, A.&lt;/author&gt;&lt;author&gt;Bond, L.&lt;/author&gt;&lt;author&gt;Dwivedi, A.&lt;/author&gt;&lt;author&gt;Braver, J. K.&lt;/author&gt;&lt;author&gt;Reyhan, M.&lt;/author&gt;&lt;author&gt;Mittal, A.&lt;/author&gt;&lt;author&gt;Gui, B.&lt;/author&gt;&lt;author&gt;Malhotra, J.&lt;/author&gt;&lt;author&gt;Aisner, J.&lt;/author&gt;&lt;author&gt;Jabbour, S. K.&lt;/author&gt;&lt;/authors&gt;&lt;/contributors&gt;&lt;titles&gt;&lt;title&gt;Daily Image Guidance With Cone Beam Computed Tomography May Reduce Radiation Pneumonitis in Unresectable Non-Small Cell Lung Cancer&lt;/title&gt;&lt;secondary-title&gt;Int J Radiat Oncol Biol Phys&lt;/secondary-title&gt;&lt;/titles&gt;&lt;pages&gt;1104-1112&lt;/pages&gt;&lt;volume&gt;101&lt;/volume&gt;&lt;number&gt;5&lt;/number&gt;&lt;dates&gt;&lt;year&gt;2018&lt;/year&gt;&lt;/dates&gt;&lt;accession-num&gt;29730063&lt;/accession-num&gt;&lt;urls&gt;&lt;related-urls&gt;&lt;url&gt;http://ezproxy.library.usyd.edu.au/login?url=http://ovidsp.ovid.com/ovidweb.cgi?T=JS&amp;amp;CSC=Y&amp;amp;NEWS=N&amp;amp;PAGE=fulltext&amp;amp;D=med15&amp;amp;AN=29730063https://sydney.alma.exlibrisgroup.com/openurl/61USYD_INST/61USYD_INST:sydney?sid=OVID:medline&amp;amp;id=pmid:29730063&amp;amp;id=doi:10.101&lt;/url&gt;&lt;/related-urls&gt;&lt;/urls&gt;&lt;electronic-resource-num&gt;https://dx.doi.org/10.1016/j.ijrobp.2018.03.025&lt;/electronic-resource-num&gt;&lt;/record&gt;&lt;/Cite&gt;&lt;/EndNote&gt;</w:instrText>
              </w:r>
              <w:r w:rsidR="008B6FC0">
                <w:fldChar w:fldCharType="separate"/>
              </w:r>
              <w:r w:rsidR="008B6FC0">
                <w:rPr>
                  <w:noProof/>
                </w:rPr>
                <w:t>Yegya-Raman et al. (2018)</w:t>
              </w:r>
              <w:r w:rsidR="008B6FC0">
                <w:fldChar w:fldCharType="end"/>
              </w:r>
            </w:hyperlink>
          </w:p>
        </w:tc>
        <w:tc>
          <w:tcPr>
            <w:tcW w:w="562" w:type="pct"/>
            <w:tcBorders>
              <w:bottom w:val="single" w:sz="4" w:space="0" w:color="auto"/>
            </w:tcBorders>
            <w:shd w:val="clear" w:color="auto" w:fill="auto"/>
          </w:tcPr>
          <w:p w14:paraId="15855038" w14:textId="1E0B7339" w:rsidR="001C3B3F" w:rsidRDefault="001C3B3F" w:rsidP="005C3B2B">
            <w:pPr>
              <w:pStyle w:val="Tabletext1"/>
              <w:jc w:val="center"/>
              <w:rPr>
                <w:snapToGrid w:val="0"/>
              </w:rPr>
            </w:pPr>
            <w:r w:rsidRPr="005C3B2B">
              <w:t>76</w:t>
            </w:r>
            <w:r w:rsidR="00306166" w:rsidRPr="005C3B2B">
              <w:t>*</w:t>
            </w:r>
            <w:r w:rsidRPr="005C3B2B">
              <w:t xml:space="preserve"> (</w:t>
            </w:r>
            <w:r w:rsidR="00E426F5" w:rsidRPr="005C3B2B">
              <w:t>total 124</w:t>
            </w:r>
            <w:r w:rsidRPr="005C3B2B">
              <w:t>)</w:t>
            </w:r>
          </w:p>
        </w:tc>
        <w:tc>
          <w:tcPr>
            <w:tcW w:w="1088" w:type="pct"/>
            <w:tcBorders>
              <w:bottom w:val="single" w:sz="4" w:space="0" w:color="auto"/>
            </w:tcBorders>
            <w:shd w:val="clear" w:color="auto" w:fill="auto"/>
          </w:tcPr>
          <w:p w14:paraId="366331F0" w14:textId="31F27B87" w:rsidR="001C3B3F" w:rsidRDefault="001C3B3F" w:rsidP="005C3B2B">
            <w:pPr>
              <w:pStyle w:val="Tabletext1"/>
              <w:jc w:val="center"/>
              <w:rPr>
                <w:snapToGrid w:val="0"/>
              </w:rPr>
            </w:pPr>
            <w:r w:rsidRPr="005C3B2B">
              <w:t>Retrospective</w:t>
            </w:r>
            <w:r w:rsidR="00E426F5" w:rsidRPr="005C3B2B">
              <w:t xml:space="preserve"> Coh, c</w:t>
            </w:r>
            <w:r w:rsidRPr="005C3B2B">
              <w:t xml:space="preserve">omparative </w:t>
            </w:r>
            <w:r w:rsidR="00E426F5" w:rsidRPr="005C3B2B">
              <w:t>(</w:t>
            </w:r>
            <w:r w:rsidRPr="005C3B2B">
              <w:t xml:space="preserve">CBCT vs kV CT imaging for </w:t>
            </w:r>
            <w:r w:rsidR="00E426F5" w:rsidRPr="005C3B2B">
              <w:t>IGRT)</w:t>
            </w:r>
          </w:p>
        </w:tc>
        <w:tc>
          <w:tcPr>
            <w:tcW w:w="770" w:type="pct"/>
            <w:tcBorders>
              <w:bottom w:val="single" w:sz="4" w:space="0" w:color="auto"/>
            </w:tcBorders>
            <w:shd w:val="clear" w:color="auto" w:fill="auto"/>
          </w:tcPr>
          <w:p w14:paraId="167F8381" w14:textId="1F227EEB" w:rsidR="001C3B3F" w:rsidRDefault="001C3B3F" w:rsidP="005C3B2B">
            <w:pPr>
              <w:pStyle w:val="Tabletext1"/>
              <w:jc w:val="center"/>
              <w:rPr>
                <w:snapToGrid w:val="0"/>
              </w:rPr>
            </w:pPr>
            <w:r w:rsidRPr="005C3B2B">
              <w:t>3D-CRT</w:t>
            </w:r>
            <w:r w:rsidR="00306166" w:rsidRPr="005C3B2B">
              <w:t>,</w:t>
            </w:r>
            <w:r w:rsidRPr="005C3B2B">
              <w:t xml:space="preserve"> IMRT or both</w:t>
            </w:r>
          </w:p>
        </w:tc>
        <w:tc>
          <w:tcPr>
            <w:tcW w:w="835" w:type="pct"/>
            <w:tcBorders>
              <w:bottom w:val="single" w:sz="4" w:space="0" w:color="auto"/>
            </w:tcBorders>
            <w:shd w:val="clear" w:color="auto" w:fill="auto"/>
          </w:tcPr>
          <w:p w14:paraId="34E4B1FF" w14:textId="2A394469" w:rsidR="001C3B3F" w:rsidRPr="00A158EF" w:rsidRDefault="001C3B3F" w:rsidP="005C3B2B">
            <w:pPr>
              <w:pStyle w:val="Tabletext1"/>
              <w:jc w:val="center"/>
              <w:rPr>
                <w:snapToGrid w:val="0"/>
              </w:rPr>
            </w:pPr>
            <w:r w:rsidRPr="005C3B2B">
              <w:t xml:space="preserve">NSCLC </w:t>
            </w:r>
            <w:r w:rsidR="00233D41" w:rsidRPr="005C3B2B">
              <w:t>(</w:t>
            </w:r>
            <w:r w:rsidR="005B6F83" w:rsidRPr="005C3B2B">
              <w:t>inoperable</w:t>
            </w:r>
            <w:r w:rsidRPr="005C3B2B">
              <w:t>, locally</w:t>
            </w:r>
            <w:r w:rsidR="00661443" w:rsidRPr="005C3B2B">
              <w:t xml:space="preserve"> </w:t>
            </w:r>
            <w:r w:rsidRPr="005C3B2B">
              <w:t xml:space="preserve">advanced or </w:t>
            </w:r>
            <w:r w:rsidR="00661443" w:rsidRPr="005C3B2B">
              <w:t>s</w:t>
            </w:r>
            <w:r w:rsidRPr="005C3B2B">
              <w:t>tage IV oligometa</w:t>
            </w:r>
            <w:r w:rsidR="007763F9" w:rsidRPr="005C3B2B">
              <w:t>stases</w:t>
            </w:r>
            <w:r w:rsidRPr="005C3B2B">
              <w:t>)</w:t>
            </w:r>
          </w:p>
        </w:tc>
        <w:tc>
          <w:tcPr>
            <w:tcW w:w="637" w:type="pct"/>
            <w:tcBorders>
              <w:bottom w:val="single" w:sz="4" w:space="0" w:color="auto"/>
            </w:tcBorders>
            <w:shd w:val="clear" w:color="auto" w:fill="auto"/>
          </w:tcPr>
          <w:p w14:paraId="071ABE40" w14:textId="77777777" w:rsidR="001C3B3F" w:rsidRDefault="001C3B3F" w:rsidP="005C3B2B">
            <w:pPr>
              <w:pStyle w:val="Tabletext1"/>
              <w:jc w:val="center"/>
              <w:rPr>
                <w:snapToGrid w:val="0"/>
              </w:rPr>
            </w:pPr>
            <w:r w:rsidRPr="00B932EF">
              <w:rPr>
                <w:snapToGrid w:val="0"/>
              </w:rPr>
              <w:t>Toxicity</w:t>
            </w:r>
          </w:p>
          <w:p w14:paraId="2565947F" w14:textId="77777777" w:rsidR="00345B3D" w:rsidRDefault="00345B3D" w:rsidP="005C3B2B">
            <w:pPr>
              <w:pStyle w:val="Tabletext1"/>
              <w:jc w:val="center"/>
              <w:rPr>
                <w:snapToGrid w:val="0"/>
              </w:rPr>
            </w:pPr>
            <w:r>
              <w:rPr>
                <w:snapToGrid w:val="0"/>
              </w:rPr>
              <w:t>OS</w:t>
            </w:r>
          </w:p>
          <w:p w14:paraId="7BE7E0AD" w14:textId="5D6D2814" w:rsidR="00345B3D" w:rsidRDefault="00B11936" w:rsidP="005C3B2B">
            <w:pPr>
              <w:pStyle w:val="Tabletext1"/>
              <w:jc w:val="center"/>
              <w:rPr>
                <w:snapToGrid w:val="0"/>
              </w:rPr>
            </w:pPr>
            <w:r>
              <w:rPr>
                <w:snapToGrid w:val="0"/>
              </w:rPr>
              <w:t>Progression incidence rates</w:t>
            </w:r>
          </w:p>
        </w:tc>
        <w:tc>
          <w:tcPr>
            <w:tcW w:w="456" w:type="pct"/>
            <w:tcBorders>
              <w:bottom w:val="single" w:sz="4" w:space="0" w:color="auto"/>
            </w:tcBorders>
            <w:shd w:val="clear" w:color="auto" w:fill="auto"/>
          </w:tcPr>
          <w:p w14:paraId="09A35020" w14:textId="57A94811" w:rsidR="001C3B3F" w:rsidRDefault="001C3B3F" w:rsidP="005C3B2B">
            <w:pPr>
              <w:pStyle w:val="Tabletext1"/>
              <w:jc w:val="center"/>
              <w:rPr>
                <w:snapToGrid w:val="0"/>
              </w:rPr>
            </w:pPr>
            <w:r w:rsidRPr="0085503A">
              <w:rPr>
                <w:snapToGrid w:val="0"/>
              </w:rPr>
              <w:t>Not used</w:t>
            </w:r>
          </w:p>
        </w:tc>
      </w:tr>
      <w:tr w:rsidR="008B6FC0" w:rsidRPr="00634D1F" w14:paraId="2B4B1DD4" w14:textId="77777777" w:rsidTr="001F64FE">
        <w:trPr>
          <w:cantSplit/>
        </w:trPr>
        <w:tc>
          <w:tcPr>
            <w:tcW w:w="652" w:type="pct"/>
            <w:tcBorders>
              <w:top w:val="single" w:sz="4" w:space="0" w:color="auto"/>
              <w:left w:val="single" w:sz="4" w:space="0" w:color="auto"/>
              <w:bottom w:val="single" w:sz="4" w:space="0" w:color="auto"/>
              <w:right w:val="nil"/>
            </w:tcBorders>
            <w:shd w:val="clear" w:color="auto" w:fill="auto"/>
            <w:vAlign w:val="center"/>
          </w:tcPr>
          <w:p w14:paraId="5DE89A99" w14:textId="164FC741" w:rsidR="006F4723" w:rsidRPr="005C3B2B" w:rsidRDefault="00634D1F" w:rsidP="005C3B2B">
            <w:pPr>
              <w:pStyle w:val="Tabletext1"/>
              <w:rPr>
                <w:b/>
                <w:snapToGrid w:val="0"/>
              </w:rPr>
            </w:pPr>
            <w:r w:rsidRPr="005C3B2B">
              <w:rPr>
                <w:b/>
                <w:snapToGrid w:val="0"/>
              </w:rPr>
              <w:t>Prostate</w:t>
            </w:r>
          </w:p>
        </w:tc>
        <w:tc>
          <w:tcPr>
            <w:tcW w:w="562" w:type="pct"/>
            <w:tcBorders>
              <w:top w:val="single" w:sz="4" w:space="0" w:color="auto"/>
              <w:left w:val="nil"/>
              <w:bottom w:val="single" w:sz="4" w:space="0" w:color="auto"/>
              <w:right w:val="nil"/>
            </w:tcBorders>
            <w:shd w:val="clear" w:color="auto" w:fill="auto"/>
            <w:vAlign w:val="center"/>
          </w:tcPr>
          <w:p w14:paraId="3F7FBD2B" w14:textId="42F7F617" w:rsidR="006F4723" w:rsidRPr="005C3B2B" w:rsidRDefault="006F4723" w:rsidP="005C3B2B">
            <w:pPr>
              <w:pStyle w:val="Tabletext1"/>
              <w:jc w:val="center"/>
              <w:rPr>
                <w:b/>
                <w:snapToGrid w:val="0"/>
              </w:rPr>
            </w:pPr>
          </w:p>
        </w:tc>
        <w:tc>
          <w:tcPr>
            <w:tcW w:w="1088" w:type="pct"/>
            <w:tcBorders>
              <w:top w:val="single" w:sz="4" w:space="0" w:color="auto"/>
              <w:left w:val="nil"/>
              <w:bottom w:val="single" w:sz="4" w:space="0" w:color="auto"/>
              <w:right w:val="nil"/>
            </w:tcBorders>
            <w:shd w:val="clear" w:color="auto" w:fill="auto"/>
            <w:vAlign w:val="center"/>
          </w:tcPr>
          <w:p w14:paraId="2288EF71" w14:textId="11173925" w:rsidR="006F4723" w:rsidRPr="005C3B2B" w:rsidRDefault="006F4723" w:rsidP="005C3B2B">
            <w:pPr>
              <w:pStyle w:val="Tabletext1"/>
              <w:jc w:val="center"/>
            </w:pPr>
          </w:p>
        </w:tc>
        <w:tc>
          <w:tcPr>
            <w:tcW w:w="770" w:type="pct"/>
            <w:tcBorders>
              <w:top w:val="single" w:sz="4" w:space="0" w:color="auto"/>
              <w:left w:val="nil"/>
              <w:bottom w:val="single" w:sz="4" w:space="0" w:color="auto"/>
              <w:right w:val="nil"/>
            </w:tcBorders>
            <w:shd w:val="clear" w:color="auto" w:fill="auto"/>
            <w:vAlign w:val="center"/>
          </w:tcPr>
          <w:p w14:paraId="7A568D33" w14:textId="1A7B8E85" w:rsidR="006F4723" w:rsidRPr="005C3B2B" w:rsidRDefault="006F4723" w:rsidP="005C3B2B">
            <w:pPr>
              <w:pStyle w:val="Tabletext1"/>
              <w:jc w:val="center"/>
            </w:pPr>
          </w:p>
        </w:tc>
        <w:tc>
          <w:tcPr>
            <w:tcW w:w="835" w:type="pct"/>
            <w:tcBorders>
              <w:top w:val="single" w:sz="4" w:space="0" w:color="auto"/>
              <w:left w:val="nil"/>
              <w:bottom w:val="single" w:sz="4" w:space="0" w:color="auto"/>
              <w:right w:val="nil"/>
            </w:tcBorders>
            <w:shd w:val="clear" w:color="auto" w:fill="auto"/>
            <w:vAlign w:val="center"/>
          </w:tcPr>
          <w:p w14:paraId="6573E4D9" w14:textId="5BC7C91F" w:rsidR="006F4723" w:rsidRPr="005C3B2B" w:rsidRDefault="006F4723" w:rsidP="005C3B2B">
            <w:pPr>
              <w:pStyle w:val="Tabletext1"/>
              <w:jc w:val="center"/>
            </w:pPr>
          </w:p>
        </w:tc>
        <w:tc>
          <w:tcPr>
            <w:tcW w:w="637" w:type="pct"/>
            <w:tcBorders>
              <w:top w:val="single" w:sz="4" w:space="0" w:color="auto"/>
              <w:left w:val="nil"/>
              <w:bottom w:val="single" w:sz="4" w:space="0" w:color="auto"/>
              <w:right w:val="nil"/>
            </w:tcBorders>
            <w:shd w:val="clear" w:color="auto" w:fill="auto"/>
            <w:vAlign w:val="center"/>
          </w:tcPr>
          <w:p w14:paraId="0A2CBF0E" w14:textId="0A618F6C" w:rsidR="006F4723" w:rsidRPr="005C3B2B" w:rsidRDefault="006F4723" w:rsidP="005C3B2B">
            <w:pPr>
              <w:pStyle w:val="Tabletext1"/>
              <w:jc w:val="center"/>
            </w:pPr>
          </w:p>
        </w:tc>
        <w:tc>
          <w:tcPr>
            <w:tcW w:w="456" w:type="pct"/>
            <w:tcBorders>
              <w:top w:val="single" w:sz="4" w:space="0" w:color="auto"/>
              <w:left w:val="nil"/>
              <w:bottom w:val="single" w:sz="4" w:space="0" w:color="auto"/>
              <w:right w:val="single" w:sz="4" w:space="0" w:color="auto"/>
            </w:tcBorders>
            <w:shd w:val="clear" w:color="auto" w:fill="auto"/>
            <w:vAlign w:val="center"/>
          </w:tcPr>
          <w:p w14:paraId="71AA3F4B" w14:textId="7594C31D" w:rsidR="006F4723" w:rsidRPr="005C3B2B" w:rsidRDefault="006F4723" w:rsidP="005C3B2B">
            <w:pPr>
              <w:pStyle w:val="Tabletext1"/>
              <w:jc w:val="center"/>
            </w:pPr>
          </w:p>
        </w:tc>
      </w:tr>
      <w:tr w:rsidR="008B6FC0" w:rsidRPr="00CE45B9" w14:paraId="7CBF4FA2" w14:textId="77777777" w:rsidTr="001F64FE">
        <w:trPr>
          <w:cantSplit/>
        </w:trPr>
        <w:tc>
          <w:tcPr>
            <w:tcW w:w="652" w:type="pct"/>
            <w:tcBorders>
              <w:top w:val="single" w:sz="4" w:space="0" w:color="auto"/>
            </w:tcBorders>
            <w:shd w:val="clear" w:color="auto" w:fill="auto"/>
          </w:tcPr>
          <w:p w14:paraId="7BC411F9" w14:textId="4EAEDFA4" w:rsidR="003C7E77" w:rsidRPr="005C3B2B" w:rsidRDefault="00211285" w:rsidP="005C3B2B">
            <w:pPr>
              <w:pStyle w:val="Tabletext1"/>
            </w:pPr>
            <w:hyperlink w:anchor="_ENREF_11" w:tooltip="Becker-Schiebe, 2016 #33" w:history="1">
              <w:r w:rsidR="001F781A">
                <w:fldChar w:fldCharType="begin"/>
              </w:r>
              <w:r w:rsidR="001F781A">
                <w:instrText xml:space="preserve"> ADDIN EN.CITE &lt;EndNote&gt;&lt;Cite AuthorYear="1"&gt;&lt;Author&gt;Becker-Schiebe&lt;/Author&gt;&lt;Year&gt;2016&lt;/Year&gt;&lt;RecNum&gt;33&lt;/RecNum&gt;&lt;DisplayText&gt;Becker-Schiebe, Abaci, Ahmad, and Hoffmann (2016)&lt;/DisplayText&gt;&lt;record&gt;&lt;rec-number&gt;33&lt;/rec-number&gt;&lt;foreign-keys&gt;&lt;key app="EN" db-id="sx5wsdwv795wvue959xxw0ptaewvdezxxp05" timestamp="1604876375"&gt;33&lt;/key&gt;&lt;/foreign-keys&gt;&lt;ref-type name="Journal Article"&gt;17&lt;/ref-type&gt;&lt;contributors&gt;&lt;authors&gt;&lt;author&gt;Becker-Schiebe, M.&lt;/author&gt;&lt;author&gt;Abaci, A.&lt;/author&gt;&lt;author&gt;Ahmad, T.&lt;/author&gt;&lt;author&gt;Hoffmann, W.&lt;/author&gt;&lt;/authors&gt;&lt;/contributors&gt;&lt;titles&gt;&lt;title&gt;Reducing radiation-associated toxicity using online image guidance (IGRT) in prostate cancer patients undergoing dose-escalated radiation therapy&lt;/title&gt;&lt;secondary-title&gt;Reports of Practical Oncology and Radiotherapy&lt;/secondary-title&gt;&lt;/titles&gt;&lt;pages&gt;188-194&lt;/pages&gt;&lt;volume&gt;21&lt;/volume&gt;&lt;number&gt;3&lt;/number&gt;&lt;dates&gt;&lt;year&gt;2016&lt;/year&gt;&lt;/dates&gt;&lt;accession-num&gt;609035683&lt;/accession-num&gt;&lt;urls&gt;&lt;related-urls&gt;&lt;url&gt;http://www.elsevier.com/wps/find/journaldescription.cws_home/719699/description#descriptionhttp://ezproxy.library.usyd.edu.au/login?url=http://ovidsp.ovid.com/ovidweb.cgi?T=JS&amp;amp;CSC=Y&amp;amp;NEWS=N&amp;amp;PAGE=fulltext&amp;amp;D=emed17&amp;amp;AN=609035683https://sydney.alma.exlibrisgro&lt;/url&gt;&lt;url&gt;https://www.ncbi.nlm.nih.gov/pmc/articles/PMC5002020/pdf/main.pdf&lt;/url&gt;&lt;/related-urls&gt;&lt;/urls&gt;&lt;electronic-resource-num&gt;http://dx.doi.org/10.1016/j.rpor.2016.01.005&lt;/electronic-resource-num&gt;&lt;/record&gt;&lt;/Cite&gt;&lt;/EndNote&gt;</w:instrText>
              </w:r>
              <w:r w:rsidR="001F781A">
                <w:fldChar w:fldCharType="separate"/>
              </w:r>
              <w:r w:rsidR="001F781A">
                <w:rPr>
                  <w:noProof/>
                </w:rPr>
                <w:t>Becker-Schiebe, Abaci, Ahmad, and Hoffmann (2016)</w:t>
              </w:r>
              <w:r w:rsidR="001F781A">
                <w:fldChar w:fldCharType="end"/>
              </w:r>
            </w:hyperlink>
          </w:p>
        </w:tc>
        <w:tc>
          <w:tcPr>
            <w:tcW w:w="562" w:type="pct"/>
            <w:tcBorders>
              <w:top w:val="single" w:sz="4" w:space="0" w:color="auto"/>
            </w:tcBorders>
            <w:shd w:val="clear" w:color="auto" w:fill="auto"/>
          </w:tcPr>
          <w:p w14:paraId="2BF273FF" w14:textId="1FF4BD6B" w:rsidR="003C7E77" w:rsidRDefault="003C7E77" w:rsidP="005C3B2B">
            <w:pPr>
              <w:pStyle w:val="Tabletext1"/>
              <w:jc w:val="center"/>
              <w:rPr>
                <w:snapToGrid w:val="0"/>
              </w:rPr>
            </w:pPr>
            <w:r w:rsidRPr="005C3B2B">
              <w:t>102</w:t>
            </w:r>
            <w:r w:rsidR="00661443" w:rsidRPr="005C3B2B">
              <w:t>*</w:t>
            </w:r>
            <w:r w:rsidRPr="005C3B2B">
              <w:t xml:space="preserve"> </w:t>
            </w:r>
            <w:r w:rsidR="00661443" w:rsidRPr="005C3B2B">
              <w:t>(total 198</w:t>
            </w:r>
            <w:r w:rsidRPr="005C3B2B">
              <w:t>)</w:t>
            </w:r>
          </w:p>
        </w:tc>
        <w:tc>
          <w:tcPr>
            <w:tcW w:w="1088" w:type="pct"/>
            <w:tcBorders>
              <w:top w:val="single" w:sz="4" w:space="0" w:color="auto"/>
            </w:tcBorders>
            <w:shd w:val="clear" w:color="auto" w:fill="auto"/>
          </w:tcPr>
          <w:p w14:paraId="0F58BEE7" w14:textId="73F44DA1" w:rsidR="003C7E77" w:rsidRDefault="00F0684E" w:rsidP="005C3B2B">
            <w:pPr>
              <w:pStyle w:val="Tabletext1"/>
              <w:jc w:val="center"/>
              <w:rPr>
                <w:snapToGrid w:val="0"/>
              </w:rPr>
            </w:pPr>
            <w:r w:rsidRPr="005C3B2B">
              <w:t>Retro</w:t>
            </w:r>
            <w:r w:rsidR="003C7E77" w:rsidRPr="005C3B2B">
              <w:t>spective Coh</w:t>
            </w:r>
            <w:r w:rsidR="00922B96" w:rsidRPr="005C3B2B">
              <w:t>, comparative (</w:t>
            </w:r>
            <w:r w:rsidRPr="005C3B2B">
              <w:t xml:space="preserve">before-after, </w:t>
            </w:r>
            <w:r w:rsidR="00922B96" w:rsidRPr="005C3B2B">
              <w:t>standard RT</w:t>
            </w:r>
            <w:r w:rsidRPr="005C3B2B">
              <w:t xml:space="preserve"> vs IGRT</w:t>
            </w:r>
            <w:r w:rsidR="00922B96" w:rsidRPr="005C3B2B">
              <w:t>)</w:t>
            </w:r>
          </w:p>
        </w:tc>
        <w:tc>
          <w:tcPr>
            <w:tcW w:w="770" w:type="pct"/>
            <w:tcBorders>
              <w:top w:val="single" w:sz="4" w:space="0" w:color="auto"/>
            </w:tcBorders>
            <w:shd w:val="clear" w:color="auto" w:fill="auto"/>
          </w:tcPr>
          <w:p w14:paraId="5D6F0BAE" w14:textId="77777777" w:rsidR="003C7E77" w:rsidRPr="005C3B2B" w:rsidRDefault="008D3AE2" w:rsidP="005C3B2B">
            <w:pPr>
              <w:pStyle w:val="Tabletext1"/>
              <w:jc w:val="center"/>
            </w:pPr>
            <w:r w:rsidRPr="005C3B2B">
              <w:t>NR</w:t>
            </w:r>
          </w:p>
          <w:p w14:paraId="5AA05F69" w14:textId="50B186B7" w:rsidR="00A9498E" w:rsidRDefault="00A9498E" w:rsidP="005C3B2B">
            <w:pPr>
              <w:pStyle w:val="Tabletext1"/>
              <w:jc w:val="center"/>
              <w:rPr>
                <w:snapToGrid w:val="0"/>
              </w:rPr>
            </w:pPr>
            <w:r>
              <w:rPr>
                <w:snapToGrid w:val="0"/>
              </w:rPr>
              <w:t>DE</w:t>
            </w:r>
          </w:p>
        </w:tc>
        <w:tc>
          <w:tcPr>
            <w:tcW w:w="835" w:type="pct"/>
            <w:tcBorders>
              <w:top w:val="single" w:sz="4" w:space="0" w:color="auto"/>
            </w:tcBorders>
            <w:shd w:val="clear" w:color="auto" w:fill="auto"/>
          </w:tcPr>
          <w:p w14:paraId="55792186" w14:textId="2DA1FD9E" w:rsidR="003C7E77" w:rsidRDefault="003C7E77" w:rsidP="005C3B2B">
            <w:pPr>
              <w:pStyle w:val="Tabletext1"/>
              <w:jc w:val="center"/>
              <w:rPr>
                <w:snapToGrid w:val="0"/>
              </w:rPr>
            </w:pPr>
            <w:r w:rsidRPr="005C3B2B">
              <w:t>Prostate</w:t>
            </w:r>
            <w:r w:rsidR="006D6783" w:rsidRPr="005C3B2B">
              <w:t xml:space="preserve"> cancer</w:t>
            </w:r>
          </w:p>
        </w:tc>
        <w:tc>
          <w:tcPr>
            <w:tcW w:w="637" w:type="pct"/>
            <w:tcBorders>
              <w:top w:val="single" w:sz="4" w:space="0" w:color="auto"/>
            </w:tcBorders>
            <w:shd w:val="clear" w:color="auto" w:fill="auto"/>
          </w:tcPr>
          <w:p w14:paraId="2307FE7A" w14:textId="240B738B" w:rsidR="003C7E77" w:rsidRDefault="003C7E77" w:rsidP="005C3B2B">
            <w:pPr>
              <w:pStyle w:val="Tabletext1"/>
              <w:jc w:val="center"/>
              <w:rPr>
                <w:snapToGrid w:val="0"/>
              </w:rPr>
            </w:pPr>
            <w:r w:rsidRPr="00B932EF">
              <w:rPr>
                <w:snapToGrid w:val="0"/>
              </w:rPr>
              <w:t>Toxicity</w:t>
            </w:r>
          </w:p>
        </w:tc>
        <w:tc>
          <w:tcPr>
            <w:tcW w:w="456" w:type="pct"/>
            <w:tcBorders>
              <w:top w:val="single" w:sz="4" w:space="0" w:color="auto"/>
            </w:tcBorders>
            <w:shd w:val="clear" w:color="auto" w:fill="auto"/>
          </w:tcPr>
          <w:p w14:paraId="04BA5E46" w14:textId="665C7329" w:rsidR="003C7E77" w:rsidRDefault="003C7E77" w:rsidP="005C3B2B">
            <w:pPr>
              <w:pStyle w:val="Tabletext1"/>
              <w:jc w:val="center"/>
              <w:rPr>
                <w:snapToGrid w:val="0"/>
              </w:rPr>
            </w:pPr>
            <w:r w:rsidRPr="0085503A">
              <w:rPr>
                <w:snapToGrid w:val="0"/>
              </w:rPr>
              <w:t>Not used</w:t>
            </w:r>
          </w:p>
        </w:tc>
      </w:tr>
      <w:tr w:rsidR="008B6FC0" w:rsidRPr="00CE45B9" w14:paraId="5FFB9F1B" w14:textId="77777777" w:rsidTr="001F64FE">
        <w:trPr>
          <w:cantSplit/>
        </w:trPr>
        <w:tc>
          <w:tcPr>
            <w:tcW w:w="652" w:type="pct"/>
            <w:shd w:val="clear" w:color="auto" w:fill="auto"/>
          </w:tcPr>
          <w:p w14:paraId="525F007F" w14:textId="25C672E4" w:rsidR="00C42543" w:rsidRPr="005C3B2B" w:rsidRDefault="00211285" w:rsidP="005C3B2B">
            <w:pPr>
              <w:pStyle w:val="Tabletext1"/>
            </w:pPr>
            <w:hyperlink w:anchor="_ENREF_12" w:tooltip="Berlin, 2015 #34" w:history="1">
              <w:r w:rsidR="008B6FC0">
                <w:fldChar w:fldCharType="begin"/>
              </w:r>
              <w:r w:rsidR="008B6FC0">
                <w:instrText xml:space="preserve"> ADDIN EN.CITE &lt;EndNote&gt;&lt;Cite AuthorYear="1"&gt;&lt;Author&gt;Berlin&lt;/Author&gt;&lt;Year&gt;2015&lt;/Year&gt;&lt;RecNum&gt;34&lt;/RecNum&gt;&lt;DisplayText&gt;Berlin et al. (2015)&lt;/DisplayText&gt;&lt;record&gt;&lt;rec-number&gt;34&lt;/rec-number&gt;&lt;foreign-keys&gt;&lt;key app="EN" db-id="sx5wsdwv795wvue959xxw0ptaewvdezxxp05" timestamp="1604876375"&gt;34&lt;/key&gt;&lt;/foreign-keys&gt;&lt;ref-type name="Journal Article"&gt;17&lt;/ref-type&gt;&lt;contributors&gt;&lt;authors&gt;&lt;author&gt;Berlin, A.&lt;/author&gt;&lt;author&gt;Cho, E.&lt;/author&gt;&lt;author&gt;Kong, V.&lt;/author&gt;&lt;author&gt;Howell, K. J.&lt;/author&gt;&lt;author&gt;Lao, B.&lt;/author&gt;&lt;author&gt;Craig, T.&lt;/author&gt;&lt;author&gt;Bayley, A.&lt;/author&gt;&lt;author&gt;Chung, P.&lt;/author&gt;&lt;author&gt;Gospodarowicz, M.&lt;/author&gt;&lt;author&gt;Warde, P.&lt;/author&gt;&lt;author&gt;Catton, C.&lt;/author&gt;&lt;author&gt;Bristow, R. G.&lt;/author&gt;&lt;author&gt;Menard, C.&lt;/author&gt;&lt;/authors&gt;&lt;/contributors&gt;&lt;titles&gt;&lt;title&gt;Phase 2 trial of guideline-based postoperative image guided intensity modulated radiation therapy for prostate cancer: Toxicity, biochemical, and patient-reported health-related quality-of-life outcomes&lt;/title&gt;&lt;secondary-title&gt;Pract Radiat Oncol&lt;/secondary-title&gt;&lt;/titles&gt;&lt;pages&gt;e473-e482&lt;/pages&gt;&lt;volume&gt;5&lt;/volume&gt;&lt;number&gt;5&lt;/number&gt;&lt;dates&gt;&lt;year&gt;2015&lt;/year&gt;&lt;/dates&gt;&lt;accession-num&gt;25899220&lt;/accession-num&gt;&lt;urls&gt;&lt;related-urls&gt;&lt;url&gt;http://ezproxy.library.usyd.edu.au/login?url=http://ovidsp.ovid.com/ovidweb.cgi?T=JS&amp;amp;CSC=Y&amp;amp;NEWS=N&amp;amp;PAGE=fulltext&amp;amp;D=med12&amp;amp;AN=25899220https://sydney.alma.exlibrisgroup.com/openurl/61USYD_INST/61USYD_INST:sydney?sid=OVID:medline&amp;amp;id=pmid:25899220&amp;amp;id=doi:10.101&lt;/url&gt;&lt;/related-urls&gt;&lt;/urls&gt;&lt;electronic-resource-num&gt;https://dx.doi.org/10.1016/j.prro.2015.02.015&lt;/electronic-resource-num&gt;&lt;/record&gt;&lt;/Cite&gt;&lt;/EndNote&gt;</w:instrText>
              </w:r>
              <w:r w:rsidR="008B6FC0">
                <w:fldChar w:fldCharType="separate"/>
              </w:r>
              <w:r w:rsidR="008B6FC0">
                <w:rPr>
                  <w:noProof/>
                </w:rPr>
                <w:t>Berlin et al. (2015)</w:t>
              </w:r>
              <w:r w:rsidR="008B6FC0">
                <w:fldChar w:fldCharType="end"/>
              </w:r>
            </w:hyperlink>
          </w:p>
        </w:tc>
        <w:tc>
          <w:tcPr>
            <w:tcW w:w="562" w:type="pct"/>
            <w:shd w:val="clear" w:color="auto" w:fill="auto"/>
          </w:tcPr>
          <w:p w14:paraId="21A2F1B6" w14:textId="1A6F9E31" w:rsidR="00C42543" w:rsidRDefault="00C42543" w:rsidP="005C3B2B">
            <w:pPr>
              <w:pStyle w:val="Tabletext1"/>
              <w:jc w:val="center"/>
              <w:rPr>
                <w:snapToGrid w:val="0"/>
              </w:rPr>
            </w:pPr>
            <w:r w:rsidRPr="005C3B2B">
              <w:t>68</w:t>
            </w:r>
          </w:p>
        </w:tc>
        <w:tc>
          <w:tcPr>
            <w:tcW w:w="1088" w:type="pct"/>
            <w:shd w:val="clear" w:color="auto" w:fill="auto"/>
          </w:tcPr>
          <w:p w14:paraId="031FAA56" w14:textId="4D736E71" w:rsidR="00C42543" w:rsidRDefault="00C42543" w:rsidP="005C3B2B">
            <w:pPr>
              <w:pStyle w:val="Tabletext1"/>
              <w:jc w:val="center"/>
              <w:rPr>
                <w:snapToGrid w:val="0"/>
              </w:rPr>
            </w:pPr>
            <w:r w:rsidRPr="005C3B2B">
              <w:t xml:space="preserve">Prospective </w:t>
            </w:r>
            <w:r w:rsidR="00596552" w:rsidRPr="005C3B2B">
              <w:t>SA Coh (phase II trial)</w:t>
            </w:r>
          </w:p>
        </w:tc>
        <w:tc>
          <w:tcPr>
            <w:tcW w:w="770" w:type="pct"/>
            <w:shd w:val="clear" w:color="auto" w:fill="auto"/>
          </w:tcPr>
          <w:p w14:paraId="70D66933" w14:textId="39761340" w:rsidR="00C42543" w:rsidRDefault="00807DE5" w:rsidP="005C3B2B">
            <w:pPr>
              <w:pStyle w:val="Tabletext1"/>
              <w:jc w:val="center"/>
              <w:rPr>
                <w:snapToGrid w:val="0"/>
              </w:rPr>
            </w:pPr>
            <w:r w:rsidRPr="005C3B2B">
              <w:t>IMRT</w:t>
            </w:r>
          </w:p>
        </w:tc>
        <w:tc>
          <w:tcPr>
            <w:tcW w:w="835" w:type="pct"/>
            <w:shd w:val="clear" w:color="auto" w:fill="auto"/>
          </w:tcPr>
          <w:p w14:paraId="6C8EC010" w14:textId="052C5C93" w:rsidR="00C42543" w:rsidRDefault="00C42543" w:rsidP="005C3B2B">
            <w:pPr>
              <w:pStyle w:val="Tabletext1"/>
              <w:jc w:val="center"/>
              <w:rPr>
                <w:snapToGrid w:val="0"/>
              </w:rPr>
            </w:pPr>
            <w:r w:rsidRPr="005C3B2B">
              <w:t>Prostate</w:t>
            </w:r>
            <w:r w:rsidR="006D6783" w:rsidRPr="005C3B2B">
              <w:t xml:space="preserve"> cancer, </w:t>
            </w:r>
            <w:r w:rsidR="005B5EBC" w:rsidRPr="005C3B2B">
              <w:t>post RP</w:t>
            </w:r>
          </w:p>
        </w:tc>
        <w:tc>
          <w:tcPr>
            <w:tcW w:w="637" w:type="pct"/>
            <w:shd w:val="clear" w:color="auto" w:fill="auto"/>
          </w:tcPr>
          <w:p w14:paraId="3F555BA0" w14:textId="77777777" w:rsidR="008D0DA6" w:rsidRDefault="00C42543" w:rsidP="005C3B2B">
            <w:pPr>
              <w:pStyle w:val="Tabletext1"/>
              <w:jc w:val="center"/>
              <w:rPr>
                <w:snapToGrid w:val="0"/>
              </w:rPr>
            </w:pPr>
            <w:r w:rsidRPr="00B932EF">
              <w:rPr>
                <w:snapToGrid w:val="0"/>
              </w:rPr>
              <w:t>Toxicity</w:t>
            </w:r>
          </w:p>
          <w:p w14:paraId="185EFC0C" w14:textId="06540369" w:rsidR="00EA5563" w:rsidRDefault="00EA5563" w:rsidP="005C3B2B">
            <w:pPr>
              <w:pStyle w:val="Tabletext1"/>
              <w:jc w:val="center"/>
              <w:rPr>
                <w:snapToGrid w:val="0"/>
              </w:rPr>
            </w:pPr>
            <w:r>
              <w:rPr>
                <w:snapToGrid w:val="0"/>
              </w:rPr>
              <w:t>QoL</w:t>
            </w:r>
          </w:p>
        </w:tc>
        <w:tc>
          <w:tcPr>
            <w:tcW w:w="456" w:type="pct"/>
            <w:shd w:val="clear" w:color="auto" w:fill="auto"/>
          </w:tcPr>
          <w:p w14:paraId="0EF8204B" w14:textId="35BD8339" w:rsidR="00C42543" w:rsidRDefault="00C42543" w:rsidP="005C3B2B">
            <w:pPr>
              <w:pStyle w:val="Tabletext1"/>
              <w:jc w:val="center"/>
              <w:rPr>
                <w:snapToGrid w:val="0"/>
              </w:rPr>
            </w:pPr>
            <w:r w:rsidRPr="0085503A">
              <w:rPr>
                <w:snapToGrid w:val="0"/>
              </w:rPr>
              <w:t>Not used</w:t>
            </w:r>
          </w:p>
        </w:tc>
      </w:tr>
      <w:tr w:rsidR="008B6FC0" w:rsidRPr="00CE45B9" w14:paraId="7EE110CE" w14:textId="77777777" w:rsidTr="001F64FE">
        <w:trPr>
          <w:cantSplit/>
        </w:trPr>
        <w:tc>
          <w:tcPr>
            <w:tcW w:w="652" w:type="pct"/>
            <w:shd w:val="clear" w:color="auto" w:fill="auto"/>
          </w:tcPr>
          <w:p w14:paraId="0D448471" w14:textId="49326646" w:rsidR="00C42543" w:rsidRPr="005C3B2B" w:rsidRDefault="00211285" w:rsidP="005C3B2B">
            <w:pPr>
              <w:pStyle w:val="Tabletext1"/>
            </w:pPr>
            <w:hyperlink w:anchor="_ENREF_14" w:tooltip="Byrne, 2017 #36" w:history="1">
              <w:r w:rsidR="008B6FC0">
                <w:fldChar w:fldCharType="begin"/>
              </w:r>
              <w:r w:rsidR="008B6FC0">
                <w:instrText xml:space="preserve"> ADDIN EN.CITE &lt;EndNote&gt;&lt;Cite AuthorYear="1"&gt;&lt;Author&gt;Byrne&lt;/Author&gt;&lt;Year&gt;2017&lt;/Year&gt;&lt;RecNum&gt;36&lt;/RecNum&gt;&lt;DisplayText&gt;Byrne et al. (2017)&lt;/DisplayText&gt;&lt;record&gt;&lt;rec-number&gt;36&lt;/rec-number&gt;&lt;foreign-keys&gt;&lt;key app="EN" db-id="sx5wsdwv795wvue959xxw0ptaewvdezxxp05" timestamp="1604876375"&gt;36&lt;/key&gt;&lt;/foreign-keys&gt;&lt;ref-type name="Journal Article"&gt;17&lt;/ref-type&gt;&lt;contributors&gt;&lt;authors&gt;&lt;author&gt;Byrne, K.&lt;/author&gt;&lt;author&gt;Hruby, G.&lt;/author&gt;&lt;author&gt;Kneebone, A.&lt;/author&gt;&lt;author&gt;Whalley, D.&lt;/author&gt;&lt;author&gt;Guo, L.&lt;/author&gt;&lt;author&gt;McCloud, P.&lt;/author&gt;&lt;author&gt;Eade, T.&lt;/author&gt;&lt;/authors&gt;&lt;/contributors&gt;&lt;titles&gt;&lt;title&gt;Late Genitourinary Toxicity Outcomes in 300 Prostate Cancer Patients Treated With Dose-escalated Image-guided Intensity-modulated Radiotherapy&lt;/title&gt;&lt;secondary-title&gt;Clinical Oncology&lt;/secondary-title&gt;&lt;/titles&gt;&lt;pages&gt;617-625&lt;/pages&gt;&lt;volume&gt;29&lt;/volume&gt;&lt;number&gt;9&lt;/number&gt;&lt;dates&gt;&lt;year&gt;2017&lt;/year&gt;&lt;/dates&gt;&lt;accession-num&gt;615404224&lt;/accession-num&gt;&lt;urls&gt;&lt;related-urls&gt;&lt;url&gt;http://www.elsevier.com/locate/clonhttp://ezproxy.library.usyd.edu.au/login?url=http://ovidsp.ovid.com/ovidweb.cgi?T=JS&amp;amp;CSC=Y&amp;amp;NEWS=N&amp;amp;PAGE=fulltext&amp;amp;D=emed18&amp;amp;AN=615404224https://sydney.alma.exlibrisgroup.com/openurl/61USYD_INST/61USYD_INST:sydney?sid=OVID:e&lt;/url&gt;&lt;/related-urls&gt;&lt;/urls&gt;&lt;electronic-resource-num&gt;http://dx.doi.org/10.1016/j.clon.2017.03.006&lt;/electronic-resource-num&gt;&lt;/record&gt;&lt;/Cite&gt;&lt;/EndNote&gt;</w:instrText>
              </w:r>
              <w:r w:rsidR="008B6FC0">
                <w:fldChar w:fldCharType="separate"/>
              </w:r>
              <w:r w:rsidR="008B6FC0">
                <w:rPr>
                  <w:noProof/>
                </w:rPr>
                <w:t>Byrne et al. (2017)</w:t>
              </w:r>
              <w:r w:rsidR="008B6FC0">
                <w:fldChar w:fldCharType="end"/>
              </w:r>
            </w:hyperlink>
          </w:p>
        </w:tc>
        <w:tc>
          <w:tcPr>
            <w:tcW w:w="562" w:type="pct"/>
            <w:shd w:val="clear" w:color="auto" w:fill="auto"/>
          </w:tcPr>
          <w:p w14:paraId="1899A8A9" w14:textId="0180B3A1" w:rsidR="00C42543" w:rsidRDefault="00C42543" w:rsidP="005C3B2B">
            <w:pPr>
              <w:pStyle w:val="Tabletext1"/>
              <w:jc w:val="center"/>
              <w:rPr>
                <w:snapToGrid w:val="0"/>
              </w:rPr>
            </w:pPr>
            <w:r w:rsidRPr="005C3B2B">
              <w:t>300</w:t>
            </w:r>
          </w:p>
        </w:tc>
        <w:tc>
          <w:tcPr>
            <w:tcW w:w="1088" w:type="pct"/>
            <w:shd w:val="clear" w:color="auto" w:fill="auto"/>
          </w:tcPr>
          <w:p w14:paraId="59E82B6B" w14:textId="16EAB81F" w:rsidR="00C42543" w:rsidRDefault="00836EA9" w:rsidP="005C3B2B">
            <w:pPr>
              <w:pStyle w:val="Tabletext1"/>
              <w:jc w:val="center"/>
              <w:rPr>
                <w:snapToGrid w:val="0"/>
              </w:rPr>
            </w:pPr>
            <w:r w:rsidRPr="005C3B2B">
              <w:t>CS</w:t>
            </w:r>
          </w:p>
        </w:tc>
        <w:tc>
          <w:tcPr>
            <w:tcW w:w="770" w:type="pct"/>
            <w:shd w:val="clear" w:color="auto" w:fill="auto"/>
          </w:tcPr>
          <w:p w14:paraId="065506EE" w14:textId="5164BD93" w:rsidR="00D91675" w:rsidRPr="005C3B2B" w:rsidRDefault="00C42543" w:rsidP="005C3B2B">
            <w:pPr>
              <w:pStyle w:val="Tabletext1"/>
              <w:jc w:val="center"/>
            </w:pPr>
            <w:r w:rsidRPr="005C3B2B">
              <w:t>IMRT</w:t>
            </w:r>
          </w:p>
          <w:p w14:paraId="3AD68169" w14:textId="3A9F24D6" w:rsidR="00C42543" w:rsidRDefault="00D91675" w:rsidP="005C3B2B">
            <w:pPr>
              <w:pStyle w:val="Tabletext1"/>
              <w:jc w:val="center"/>
              <w:rPr>
                <w:snapToGrid w:val="0"/>
              </w:rPr>
            </w:pPr>
            <w:r w:rsidRPr="005C3B2B">
              <w:t>DE</w:t>
            </w:r>
          </w:p>
        </w:tc>
        <w:tc>
          <w:tcPr>
            <w:tcW w:w="835" w:type="pct"/>
            <w:shd w:val="clear" w:color="auto" w:fill="auto"/>
          </w:tcPr>
          <w:p w14:paraId="522F754E" w14:textId="2ADFD48E" w:rsidR="00C42543" w:rsidRDefault="00C42543" w:rsidP="005C3B2B">
            <w:pPr>
              <w:pStyle w:val="Tabletext1"/>
              <w:jc w:val="center"/>
              <w:rPr>
                <w:snapToGrid w:val="0"/>
              </w:rPr>
            </w:pPr>
            <w:r w:rsidRPr="005C3B2B">
              <w:t>Prostate</w:t>
            </w:r>
            <w:r w:rsidR="00420F41" w:rsidRPr="005C3B2B">
              <w:t xml:space="preserve"> cancer, localised</w:t>
            </w:r>
          </w:p>
        </w:tc>
        <w:tc>
          <w:tcPr>
            <w:tcW w:w="637" w:type="pct"/>
            <w:shd w:val="clear" w:color="auto" w:fill="auto"/>
          </w:tcPr>
          <w:p w14:paraId="01B41B37" w14:textId="425FE42B"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7584B357" w14:textId="73C123E1" w:rsidR="00C42543" w:rsidRDefault="00C42543" w:rsidP="005C3B2B">
            <w:pPr>
              <w:pStyle w:val="Tabletext1"/>
              <w:jc w:val="center"/>
              <w:rPr>
                <w:snapToGrid w:val="0"/>
              </w:rPr>
            </w:pPr>
            <w:r w:rsidRPr="0085503A">
              <w:rPr>
                <w:snapToGrid w:val="0"/>
              </w:rPr>
              <w:t>Not used</w:t>
            </w:r>
          </w:p>
        </w:tc>
      </w:tr>
      <w:tr w:rsidR="008B6FC0" w:rsidRPr="00CE45B9" w14:paraId="0AE96E70" w14:textId="77777777" w:rsidTr="001F64FE">
        <w:trPr>
          <w:cantSplit/>
        </w:trPr>
        <w:tc>
          <w:tcPr>
            <w:tcW w:w="652" w:type="pct"/>
            <w:shd w:val="clear" w:color="auto" w:fill="auto"/>
          </w:tcPr>
          <w:p w14:paraId="1B4EBDE0" w14:textId="2D8A7647" w:rsidR="00C42543" w:rsidRPr="005C3B2B" w:rsidRDefault="00211285" w:rsidP="005C3B2B">
            <w:pPr>
              <w:pStyle w:val="Tabletext1"/>
            </w:pPr>
            <w:hyperlink w:anchor="_ENREF_15" w:tooltip="Byun, 2018 #37" w:history="1">
              <w:r w:rsidR="001F781A">
                <w:fldChar w:fldCharType="begin"/>
              </w:r>
              <w:r w:rsidR="001F781A">
                <w:instrText xml:space="preserve"> ADDIN EN.CITE &lt;EndNote&gt;&lt;Cite AuthorYear="1"&gt;&lt;Author&gt;Byun&lt;/Author&gt;&lt;Year&gt;2018&lt;/Year&gt;&lt;RecNum&gt;37&lt;/RecNum&gt;&lt;DisplayText&gt;Byun, Kim, Ahn, and Kim (2018)&lt;/DisplayText&gt;&lt;record&gt;&lt;rec-number&gt;37&lt;/rec-number&gt;&lt;foreign-keys&gt;&lt;key app="EN" db-id="sx5wsdwv795wvue959xxw0ptaewvdezxxp05" timestamp="1604876375"&gt;37&lt;/key&gt;&lt;/foreign-keys&gt;&lt;ref-type name="Journal Article"&gt;17&lt;/ref-type&gt;&lt;contributors&gt;&lt;authors&gt;&lt;author&gt;Byun, S. J.&lt;/author&gt;&lt;author&gt;Kim, Y. S.&lt;/author&gt;&lt;author&gt;Ahn, H.&lt;/author&gt;&lt;author&gt;Kim, C. S.&lt;/author&gt;&lt;/authors&gt;&lt;/contributors&gt;&lt;titles&gt;&lt;title&gt;Image-guided, whole-pelvic, intensity-modulated radiotherapy for biochemical recurrence following radical prostatectomy in high-risk prostate cancer patients&lt;/title&gt;&lt;secondary-title&gt;PLoS ONE&lt;/secondary-title&gt;&lt;/titles&gt;&lt;pages&gt;e0190479&lt;/pages&gt;&lt;volume&gt;13&lt;/volume&gt;&lt;number&gt;1&lt;/number&gt;&lt;dates&gt;&lt;year&gt;2018&lt;/year&gt;&lt;/dates&gt;&lt;accession-num&gt;29320570&lt;/accession-num&gt;&lt;urls&gt;&lt;related-urls&gt;&lt;url&gt;http://ezproxy.library.usyd.edu.au/login?url=http://ovidsp.ovid.com/ovidweb.cgi?T=JS&amp;amp;CSC=Y&amp;amp;NEWS=N&amp;amp;PAGE=fulltext&amp;amp;D=med15&amp;amp;AN=29320570https://sydney.alma.exlibrisgroup.com/openurl/61USYD_INST/61USYD_INST:sydney?sid=OVID:medline&amp;amp;id=pmid:29320570&amp;amp;id=doi:10.137&lt;/url&gt;&lt;url&gt;https://www.ncbi.nlm.nih.gov/pmc/articles/PMC5761863/pdf/pone.0190479.pdf&lt;/url&gt;&lt;/related-urls&gt;&lt;/urls&gt;&lt;electronic-resource-num&gt;https://dx.doi.org/10.1371/journal.pone.0190479&lt;/electronic-resource-num&gt;&lt;/record&gt;&lt;/Cite&gt;&lt;/EndNote&gt;</w:instrText>
              </w:r>
              <w:r w:rsidR="001F781A">
                <w:fldChar w:fldCharType="separate"/>
              </w:r>
              <w:r w:rsidR="001F781A">
                <w:rPr>
                  <w:noProof/>
                </w:rPr>
                <w:t>Byun, Kim, Ahn, and Kim (2018)</w:t>
              </w:r>
              <w:r w:rsidR="001F781A">
                <w:fldChar w:fldCharType="end"/>
              </w:r>
            </w:hyperlink>
          </w:p>
        </w:tc>
        <w:tc>
          <w:tcPr>
            <w:tcW w:w="562" w:type="pct"/>
            <w:shd w:val="clear" w:color="auto" w:fill="auto"/>
          </w:tcPr>
          <w:p w14:paraId="36D70AC6" w14:textId="331F32EA" w:rsidR="00C42543" w:rsidRDefault="00C42543" w:rsidP="005C3B2B">
            <w:pPr>
              <w:pStyle w:val="Tabletext1"/>
              <w:jc w:val="center"/>
              <w:rPr>
                <w:snapToGrid w:val="0"/>
              </w:rPr>
            </w:pPr>
            <w:r w:rsidRPr="005C3B2B">
              <w:t>170</w:t>
            </w:r>
          </w:p>
        </w:tc>
        <w:tc>
          <w:tcPr>
            <w:tcW w:w="1088" w:type="pct"/>
            <w:shd w:val="clear" w:color="auto" w:fill="auto"/>
          </w:tcPr>
          <w:p w14:paraId="72C523F2" w14:textId="626A5FB2" w:rsidR="00C42543" w:rsidRDefault="00C42543" w:rsidP="005C3B2B">
            <w:pPr>
              <w:pStyle w:val="Tabletext1"/>
              <w:jc w:val="center"/>
              <w:rPr>
                <w:snapToGrid w:val="0"/>
              </w:rPr>
            </w:pPr>
            <w:r w:rsidRPr="005C3B2B">
              <w:t xml:space="preserve">Retrospective </w:t>
            </w:r>
            <w:r w:rsidR="009E5D84" w:rsidRPr="005C3B2B">
              <w:t xml:space="preserve">consecutive </w:t>
            </w:r>
            <w:r w:rsidRPr="005C3B2B">
              <w:t>C</w:t>
            </w:r>
            <w:r w:rsidR="00007550" w:rsidRPr="005C3B2B">
              <w:t>S</w:t>
            </w:r>
          </w:p>
        </w:tc>
        <w:tc>
          <w:tcPr>
            <w:tcW w:w="770" w:type="pct"/>
            <w:shd w:val="clear" w:color="auto" w:fill="auto"/>
          </w:tcPr>
          <w:p w14:paraId="1349A529" w14:textId="303A3991" w:rsidR="00C42543" w:rsidRPr="005C3B2B" w:rsidRDefault="00EB3221" w:rsidP="005C3B2B">
            <w:pPr>
              <w:pStyle w:val="Tabletext1"/>
              <w:jc w:val="center"/>
            </w:pPr>
            <w:r w:rsidRPr="005C3B2B">
              <w:t xml:space="preserve">WP </w:t>
            </w:r>
            <w:r w:rsidR="00402A0A" w:rsidRPr="005C3B2B">
              <w:t>IMRT</w:t>
            </w:r>
            <w:r w:rsidR="00007550" w:rsidRPr="005C3B2B">
              <w:t>, salvage</w:t>
            </w:r>
          </w:p>
          <w:p w14:paraId="1000E8D6" w14:textId="03AE40FE" w:rsidR="00A3018A" w:rsidRDefault="00A3018A" w:rsidP="005C3B2B">
            <w:pPr>
              <w:pStyle w:val="Tabletext1"/>
              <w:jc w:val="center"/>
              <w:rPr>
                <w:snapToGrid w:val="0"/>
              </w:rPr>
            </w:pPr>
          </w:p>
        </w:tc>
        <w:tc>
          <w:tcPr>
            <w:tcW w:w="835" w:type="pct"/>
            <w:shd w:val="clear" w:color="auto" w:fill="auto"/>
          </w:tcPr>
          <w:p w14:paraId="0DF11F34" w14:textId="0314A024" w:rsidR="00C42543" w:rsidRDefault="00C42543" w:rsidP="005C3B2B">
            <w:pPr>
              <w:pStyle w:val="Tabletext1"/>
              <w:jc w:val="center"/>
              <w:rPr>
                <w:snapToGrid w:val="0"/>
              </w:rPr>
            </w:pPr>
            <w:r w:rsidRPr="005C3B2B">
              <w:t>Prostate</w:t>
            </w:r>
            <w:r w:rsidR="00AA5323" w:rsidRPr="005C3B2B">
              <w:t xml:space="preserve"> cancer, </w:t>
            </w:r>
            <w:r w:rsidR="00FA02FD" w:rsidRPr="005C3B2B">
              <w:t xml:space="preserve">high-risk, </w:t>
            </w:r>
            <w:r w:rsidR="00AA5323" w:rsidRPr="005C3B2B">
              <w:t>post</w:t>
            </w:r>
            <w:r w:rsidR="005E7273" w:rsidRPr="005C3B2B">
              <w:t xml:space="preserve">-RP, </w:t>
            </w:r>
            <w:r w:rsidR="00FA02FD" w:rsidRPr="005C3B2B">
              <w:t>biochemical recurrence</w:t>
            </w:r>
          </w:p>
        </w:tc>
        <w:tc>
          <w:tcPr>
            <w:tcW w:w="637" w:type="pct"/>
            <w:shd w:val="clear" w:color="auto" w:fill="auto"/>
          </w:tcPr>
          <w:p w14:paraId="7646CFF9" w14:textId="538A5BE8"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15A58B9B" w14:textId="7DF4C625" w:rsidR="00C42543" w:rsidRDefault="00C42543" w:rsidP="005C3B2B">
            <w:pPr>
              <w:pStyle w:val="Tabletext1"/>
              <w:jc w:val="center"/>
              <w:rPr>
                <w:snapToGrid w:val="0"/>
              </w:rPr>
            </w:pPr>
            <w:r w:rsidRPr="0085503A">
              <w:rPr>
                <w:snapToGrid w:val="0"/>
              </w:rPr>
              <w:t>Not used</w:t>
            </w:r>
          </w:p>
        </w:tc>
      </w:tr>
      <w:tr w:rsidR="008B6FC0" w:rsidRPr="00CE45B9" w14:paraId="7C5CC027" w14:textId="77777777" w:rsidTr="001F64FE">
        <w:trPr>
          <w:cantSplit/>
        </w:trPr>
        <w:tc>
          <w:tcPr>
            <w:tcW w:w="652" w:type="pct"/>
            <w:shd w:val="clear" w:color="auto" w:fill="auto"/>
          </w:tcPr>
          <w:p w14:paraId="2FEF1D7C" w14:textId="33E85C62" w:rsidR="00C42543" w:rsidRPr="005C3B2B" w:rsidRDefault="00211285" w:rsidP="005C3B2B">
            <w:pPr>
              <w:pStyle w:val="Tabletext1"/>
            </w:pPr>
            <w:hyperlink w:anchor="_ENREF_16" w:tooltip="Callan, 2019 #38" w:history="1">
              <w:r w:rsidR="008B6FC0">
                <w:fldChar w:fldCharType="begin"/>
              </w:r>
              <w:r w:rsidR="008B6FC0">
                <w:instrText xml:space="preserve"> ADDIN EN.CITE &lt;EndNote&gt;&lt;Cite AuthorYear="1"&gt;&lt;Author&gt;Callan&lt;/Author&gt;&lt;Year&gt;2019&lt;/Year&gt;&lt;RecNum&gt;38&lt;/RecNum&gt;&lt;DisplayText&gt;Callan et al. (2019)&lt;/DisplayText&gt;&lt;record&gt;&lt;rec-number&gt;38&lt;/rec-number&gt;&lt;foreign-keys&gt;&lt;key app="EN" db-id="sx5wsdwv795wvue959xxw0ptaewvdezxxp05" timestamp="1604876375"&gt;38&lt;/key&gt;&lt;/foreign-keys&gt;&lt;ref-type name="Journal Article"&gt;17&lt;/ref-type&gt;&lt;contributors&gt;&lt;authors&gt;&lt;author&gt;Callan, L.&lt;/author&gt;&lt;author&gt;Bauman, G.&lt;/author&gt;&lt;author&gt;Chen, J.&lt;/author&gt;&lt;author&gt;Lock, M.&lt;/author&gt;&lt;author&gt;Sexton, T.&lt;/author&gt;&lt;author&gt;D&amp;apos;Souza, D.&lt;/author&gt;&lt;author&gt;Rodrigues, G.&lt;/author&gt;&lt;/authors&gt;&lt;/contributors&gt;&lt;titles&gt;&lt;title&gt;A Phase I/II Trial of Fairly Brief Androgen Suppression and Stereotactic Radiation Therapy for High-Risk Prostate Cancer (FASTR-2): Preliminary Results and Toxicity Analysis&lt;/title&gt;&lt;secondary-title&gt;Advances in Radiation Oncology&lt;/secondary-title&gt;&lt;/titles&gt;&lt;pages&gt;668-673&lt;/pages&gt;&lt;volume&gt;4&lt;/volume&gt;&lt;number&gt;4&lt;/number&gt;&lt;dates&gt;&lt;year&gt;2019&lt;/year&gt;&lt;/dates&gt;&lt;accession-num&gt;2002638214&lt;/accession-num&gt;&lt;urls&gt;&lt;related-urls&gt;&lt;url&gt;http://www.journals.elsevier.com/advances-in-radiation-oncology/http://ezproxy.library.usyd.edu.au/login?url=http://ovidsp.ovid.com/ovidweb.cgi?T=JS&amp;amp;CSC=Y&amp;amp;NEWS=N&amp;amp;PAGE=fulltext&amp;amp;D=emexb&amp;amp;AN=2002638214https://sydney.alma.exlibrisgroup.com/openurl/61USYD_INST/&lt;/url&gt;&lt;url&gt;https://www.ncbi.nlm.nih.gov/pmc/articles/PMC6817718/pdf/main.pdf&lt;/url&gt;&lt;/related-urls&gt;&lt;/urls&gt;&lt;electronic-resource-num&gt;http://dx.doi.org/10.1016/j.adro.2019.07.007&lt;/electronic-resource-num&gt;&lt;/record&gt;&lt;/Cite&gt;&lt;/EndNote&gt;</w:instrText>
              </w:r>
              <w:r w:rsidR="008B6FC0">
                <w:fldChar w:fldCharType="separate"/>
              </w:r>
              <w:r w:rsidR="008B6FC0">
                <w:rPr>
                  <w:noProof/>
                </w:rPr>
                <w:t>Callan et al. (2019)</w:t>
              </w:r>
              <w:r w:rsidR="008B6FC0">
                <w:fldChar w:fldCharType="end"/>
              </w:r>
            </w:hyperlink>
          </w:p>
        </w:tc>
        <w:tc>
          <w:tcPr>
            <w:tcW w:w="562" w:type="pct"/>
            <w:shd w:val="clear" w:color="auto" w:fill="auto"/>
          </w:tcPr>
          <w:p w14:paraId="034AE2AF" w14:textId="7B594255" w:rsidR="00C42543" w:rsidRDefault="00C42543" w:rsidP="005C3B2B">
            <w:pPr>
              <w:pStyle w:val="Tabletext1"/>
              <w:jc w:val="center"/>
              <w:rPr>
                <w:snapToGrid w:val="0"/>
              </w:rPr>
            </w:pPr>
            <w:r w:rsidRPr="005C3B2B">
              <w:t>30</w:t>
            </w:r>
          </w:p>
        </w:tc>
        <w:tc>
          <w:tcPr>
            <w:tcW w:w="1088" w:type="pct"/>
            <w:shd w:val="clear" w:color="auto" w:fill="auto"/>
          </w:tcPr>
          <w:p w14:paraId="6AE715BC" w14:textId="264CB15A" w:rsidR="00C42543" w:rsidRDefault="00C42543" w:rsidP="005C3B2B">
            <w:pPr>
              <w:pStyle w:val="Tabletext1"/>
              <w:jc w:val="center"/>
              <w:rPr>
                <w:snapToGrid w:val="0"/>
              </w:rPr>
            </w:pPr>
            <w:r w:rsidRPr="005C3B2B">
              <w:t xml:space="preserve">Prospective </w:t>
            </w:r>
            <w:r w:rsidR="006E2E3E" w:rsidRPr="005C3B2B">
              <w:t xml:space="preserve">SA </w:t>
            </w:r>
            <w:r w:rsidRPr="005C3B2B">
              <w:t>Coh</w:t>
            </w:r>
            <w:r w:rsidR="006E2E3E" w:rsidRPr="005C3B2B">
              <w:t xml:space="preserve"> (phase I/II trial)</w:t>
            </w:r>
          </w:p>
        </w:tc>
        <w:tc>
          <w:tcPr>
            <w:tcW w:w="770" w:type="pct"/>
            <w:shd w:val="clear" w:color="auto" w:fill="auto"/>
          </w:tcPr>
          <w:p w14:paraId="3E39B60D" w14:textId="45D8478E" w:rsidR="00C42543" w:rsidRDefault="006E2E3E" w:rsidP="005C3B2B">
            <w:pPr>
              <w:pStyle w:val="Tabletext1"/>
              <w:jc w:val="center"/>
              <w:rPr>
                <w:snapToGrid w:val="0"/>
              </w:rPr>
            </w:pPr>
            <w:r w:rsidRPr="005C3B2B">
              <w:t>S</w:t>
            </w:r>
            <w:r w:rsidR="007A575B" w:rsidRPr="005C3B2B">
              <w:t>ABR</w:t>
            </w:r>
          </w:p>
        </w:tc>
        <w:tc>
          <w:tcPr>
            <w:tcW w:w="835" w:type="pct"/>
            <w:shd w:val="clear" w:color="auto" w:fill="auto"/>
          </w:tcPr>
          <w:p w14:paraId="4709D8BB" w14:textId="155DBFAA" w:rsidR="00C42543" w:rsidRDefault="00C42543" w:rsidP="005C3B2B">
            <w:pPr>
              <w:pStyle w:val="Tabletext1"/>
              <w:jc w:val="center"/>
              <w:rPr>
                <w:snapToGrid w:val="0"/>
              </w:rPr>
            </w:pPr>
            <w:r w:rsidRPr="005C3B2B">
              <w:t>Prostate</w:t>
            </w:r>
            <w:r w:rsidR="00BD0674" w:rsidRPr="005C3B2B">
              <w:t xml:space="preserve"> cancer, high-risk</w:t>
            </w:r>
          </w:p>
        </w:tc>
        <w:tc>
          <w:tcPr>
            <w:tcW w:w="637" w:type="pct"/>
            <w:shd w:val="clear" w:color="auto" w:fill="auto"/>
          </w:tcPr>
          <w:p w14:paraId="5FCC46C3" w14:textId="326264BD"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3AC395F6" w14:textId="03BF84B3" w:rsidR="00C42543" w:rsidRDefault="00C42543" w:rsidP="005C3B2B">
            <w:pPr>
              <w:pStyle w:val="Tabletext1"/>
              <w:jc w:val="center"/>
              <w:rPr>
                <w:snapToGrid w:val="0"/>
              </w:rPr>
            </w:pPr>
            <w:r w:rsidRPr="0085503A">
              <w:rPr>
                <w:snapToGrid w:val="0"/>
              </w:rPr>
              <w:t>Not used</w:t>
            </w:r>
          </w:p>
        </w:tc>
      </w:tr>
      <w:tr w:rsidR="008B6FC0" w:rsidRPr="00CE45B9" w14:paraId="6C69C10E" w14:textId="77777777" w:rsidTr="001F64FE">
        <w:trPr>
          <w:cantSplit/>
        </w:trPr>
        <w:tc>
          <w:tcPr>
            <w:tcW w:w="652" w:type="pct"/>
            <w:shd w:val="clear" w:color="auto" w:fill="auto"/>
          </w:tcPr>
          <w:p w14:paraId="48EEEE8A" w14:textId="742CE63A" w:rsidR="00725B3F" w:rsidRPr="005C3B2B" w:rsidRDefault="00211285" w:rsidP="005C3B2B">
            <w:pPr>
              <w:pStyle w:val="Tabletext1"/>
            </w:pPr>
            <w:hyperlink w:anchor="_ENREF_23" w:tooltip="Correa, 2020 #39" w:history="1">
              <w:r w:rsidR="008B6FC0">
                <w:fldChar w:fldCharType="begin"/>
              </w:r>
              <w:r w:rsidR="008B6FC0">
                <w:instrText xml:space="preserve"> ADDIN EN.CITE &lt;EndNote&gt;&lt;Cite AuthorYear="1"&gt;&lt;Author&gt;Correa&lt;/Author&gt;&lt;Year&gt;2020&lt;/Year&gt;&lt;RecNum&gt;39&lt;/RecNum&gt;&lt;DisplayText&gt;Correa et al. (2020)&lt;/DisplayText&gt;&lt;record&gt;&lt;rec-number&gt;39&lt;/rec-number&gt;&lt;foreign-keys&gt;&lt;key app="EN" db-id="sx5wsdwv795wvue959xxw0ptaewvdezxxp05" timestamp="1604876376"&gt;39&lt;/key&gt;&lt;/foreign-keys&gt;&lt;ref-type name="Journal Article"&gt;17&lt;/ref-type&gt;&lt;contributors&gt;&lt;authors&gt;&lt;author&gt;Correa, R.&lt;/author&gt;&lt;author&gt;Navarro, I.&lt;/author&gt;&lt;author&gt;Lobato, M.&lt;/author&gt;&lt;author&gt;Otero, A.&lt;/author&gt;&lt;author&gt;Jerez, I.&lt;/author&gt;&lt;author&gt;Rico, J. M.&lt;/author&gt;&lt;author&gt;Zapata, I.&lt;/author&gt;&lt;author&gt;Lupianez, Y.&lt;/author&gt;&lt;author&gt;Medina, J. A.&lt;/author&gt;&lt;author&gt;Olmos, D.&lt;/author&gt;&lt;author&gt;Gomez-Millan, J.&lt;/author&gt;&lt;/authors&gt;&lt;/contributors&gt;&lt;titles&gt;&lt;title&gt;Influence of the technique and comorbidities in hypofractionated radiotherapy for prostate cancer&lt;/title&gt;&lt;secondary-title&gt;Clinical and Translational Oncology&lt;/secondary-title&gt;&lt;/titles&gt;&lt;pages&gt;311-318&lt;/pages&gt;&lt;volume&gt;22&lt;/volume&gt;&lt;number&gt;3&lt;/number&gt;&lt;dates&gt;&lt;year&gt;2020&lt;/year&gt;&lt;/dates&gt;&lt;accession-num&gt;2003637482&lt;/accession-num&gt;&lt;urls&gt;&lt;related-urls&gt;&lt;url&gt;http://www.springer.com/medicine/oncology/journal/12094http://ezproxy.library.usyd.edu.au/login?url=http://ovidsp.ovid.com/ovidweb.cgi?T=JS&amp;amp;CSC=Y&amp;amp;NEWS=N&amp;amp;PAGE=fulltext&amp;amp;D=emexb&amp;amp;AN=2003637482https://sydney.alma.exlibrisgroup.com/openurl/61USYD_INST/61USYD_IN&lt;/url&gt;&lt;url&gt;https://link.springer.com/content/pdf/10.1007/s12094-019-02224-6.pdf&lt;/url&gt;&lt;/related-urls&gt;&lt;/urls&gt;&lt;electronic-resource-num&gt;http://dx.doi.org/10.1007/s12094-019-02224-6&lt;/electronic-resource-num&gt;&lt;/record&gt;&lt;/Cite&gt;&lt;/EndNote&gt;</w:instrText>
              </w:r>
              <w:r w:rsidR="008B6FC0">
                <w:fldChar w:fldCharType="separate"/>
              </w:r>
              <w:r w:rsidR="008B6FC0">
                <w:rPr>
                  <w:noProof/>
                </w:rPr>
                <w:t>Correa et al. (2020)</w:t>
              </w:r>
              <w:r w:rsidR="008B6FC0">
                <w:fldChar w:fldCharType="end"/>
              </w:r>
            </w:hyperlink>
          </w:p>
        </w:tc>
        <w:tc>
          <w:tcPr>
            <w:tcW w:w="562" w:type="pct"/>
            <w:shd w:val="clear" w:color="auto" w:fill="auto"/>
          </w:tcPr>
          <w:p w14:paraId="11420B50" w14:textId="4541FA83" w:rsidR="00725B3F" w:rsidRPr="005C3B2B" w:rsidRDefault="000D65C7" w:rsidP="005C3B2B">
            <w:pPr>
              <w:pStyle w:val="Tabletext1"/>
              <w:jc w:val="center"/>
            </w:pPr>
            <w:r w:rsidRPr="005C3B2B">
              <w:t>451</w:t>
            </w:r>
          </w:p>
        </w:tc>
        <w:tc>
          <w:tcPr>
            <w:tcW w:w="1088" w:type="pct"/>
            <w:shd w:val="clear" w:color="auto" w:fill="auto"/>
          </w:tcPr>
          <w:p w14:paraId="2DB8B41C" w14:textId="2C0BA062" w:rsidR="00725B3F" w:rsidRPr="005C3B2B" w:rsidRDefault="00BA3111" w:rsidP="005C3B2B">
            <w:pPr>
              <w:pStyle w:val="Tabletext1"/>
              <w:jc w:val="center"/>
            </w:pPr>
            <w:r w:rsidRPr="005C3B2B">
              <w:t>Retrospective Coh, comparative (3D-CRT vs VMAT)</w:t>
            </w:r>
          </w:p>
        </w:tc>
        <w:tc>
          <w:tcPr>
            <w:tcW w:w="770" w:type="pct"/>
            <w:shd w:val="clear" w:color="auto" w:fill="auto"/>
          </w:tcPr>
          <w:p w14:paraId="7A209664" w14:textId="77777777" w:rsidR="00725B3F" w:rsidRPr="005C3B2B" w:rsidRDefault="009B1E09" w:rsidP="005C3B2B">
            <w:pPr>
              <w:pStyle w:val="Tabletext1"/>
              <w:jc w:val="center"/>
            </w:pPr>
            <w:r w:rsidRPr="005C3B2B">
              <w:t>3D-CRT or VMAT</w:t>
            </w:r>
          </w:p>
          <w:p w14:paraId="21E26AEB" w14:textId="331694C5" w:rsidR="00725B3F" w:rsidRPr="005C3B2B" w:rsidRDefault="00105E54" w:rsidP="005C3B2B">
            <w:pPr>
              <w:pStyle w:val="Tabletext1"/>
              <w:jc w:val="center"/>
            </w:pPr>
            <w:r w:rsidRPr="005C3B2B">
              <w:t>(hypofractionated)</w:t>
            </w:r>
          </w:p>
        </w:tc>
        <w:tc>
          <w:tcPr>
            <w:tcW w:w="835" w:type="pct"/>
            <w:shd w:val="clear" w:color="auto" w:fill="auto"/>
          </w:tcPr>
          <w:p w14:paraId="062C7D8F" w14:textId="34FEC0FD" w:rsidR="00725B3F" w:rsidRPr="005C3B2B" w:rsidRDefault="009B1E09" w:rsidP="005C3B2B">
            <w:pPr>
              <w:pStyle w:val="Tabletext1"/>
              <w:jc w:val="center"/>
            </w:pPr>
            <w:r w:rsidRPr="005C3B2B">
              <w:t xml:space="preserve">Prostate cancer, </w:t>
            </w:r>
            <w:r w:rsidR="00BA3111" w:rsidRPr="005C3B2B">
              <w:t>localised</w:t>
            </w:r>
          </w:p>
        </w:tc>
        <w:tc>
          <w:tcPr>
            <w:tcW w:w="637" w:type="pct"/>
            <w:shd w:val="clear" w:color="auto" w:fill="auto"/>
          </w:tcPr>
          <w:p w14:paraId="73D995A9" w14:textId="6BFAC3F9" w:rsidR="00725B3F" w:rsidRPr="00B932EF" w:rsidRDefault="00BA3111" w:rsidP="005C3B2B">
            <w:pPr>
              <w:pStyle w:val="Tabletext1"/>
              <w:jc w:val="center"/>
              <w:rPr>
                <w:snapToGrid w:val="0"/>
              </w:rPr>
            </w:pPr>
            <w:r w:rsidRPr="00B932EF">
              <w:rPr>
                <w:snapToGrid w:val="0"/>
              </w:rPr>
              <w:t>Toxicity</w:t>
            </w:r>
          </w:p>
        </w:tc>
        <w:tc>
          <w:tcPr>
            <w:tcW w:w="456" w:type="pct"/>
            <w:shd w:val="clear" w:color="auto" w:fill="auto"/>
          </w:tcPr>
          <w:p w14:paraId="7D4F75DE" w14:textId="0E3D1D2C" w:rsidR="00725B3F" w:rsidRPr="0085503A" w:rsidRDefault="00BA3111" w:rsidP="005C3B2B">
            <w:pPr>
              <w:pStyle w:val="Tabletext1"/>
              <w:jc w:val="center"/>
              <w:rPr>
                <w:snapToGrid w:val="0"/>
              </w:rPr>
            </w:pPr>
            <w:r w:rsidRPr="0085503A">
              <w:rPr>
                <w:snapToGrid w:val="0"/>
              </w:rPr>
              <w:t>Not used</w:t>
            </w:r>
          </w:p>
        </w:tc>
      </w:tr>
      <w:tr w:rsidR="008B6FC0" w:rsidRPr="00CE45B9" w14:paraId="4E37E32F" w14:textId="77777777" w:rsidTr="001F64FE">
        <w:trPr>
          <w:cantSplit/>
        </w:trPr>
        <w:tc>
          <w:tcPr>
            <w:tcW w:w="652" w:type="pct"/>
            <w:shd w:val="clear" w:color="auto" w:fill="auto"/>
          </w:tcPr>
          <w:p w14:paraId="7BAD96C9" w14:textId="79893BF9" w:rsidR="00C42543" w:rsidRPr="005C3B2B" w:rsidRDefault="00211285" w:rsidP="005C3B2B">
            <w:pPr>
              <w:pStyle w:val="Tabletext1"/>
            </w:pPr>
            <w:hyperlink w:anchor="_ENREF_24" w:tooltip="Duffton, 2018 #40" w:history="1">
              <w:r w:rsidR="008B6FC0">
                <w:fldChar w:fldCharType="begin"/>
              </w:r>
              <w:r w:rsidR="008B6FC0">
                <w:instrText xml:space="preserve"> ADDIN EN.CITE &lt;EndNote&gt;&lt;Cite AuthorYear="1"&gt;&lt;Author&gt;Duffton&lt;/Author&gt;&lt;Year&gt;2018&lt;/Year&gt;&lt;RecNum&gt;40&lt;/RecNum&gt;&lt;DisplayText&gt;Duffton et al. (2018)&lt;/DisplayText&gt;&lt;record&gt;&lt;rec-number&gt;40&lt;/rec-number&gt;&lt;foreign-keys&gt;&lt;key app="EN" db-id="sx5wsdwv795wvue959xxw0ptaewvdezxxp05" timestamp="1604876376"&gt;40&lt;/key&gt;&lt;/foreign-keys&gt;&lt;ref-type name="Journal Article"&gt;17&lt;/ref-type&gt;&lt;contributors&gt;&lt;authors&gt;&lt;author&gt;Duffton, A.&lt;/author&gt;&lt;author&gt;Sadozye, A.&lt;/author&gt;&lt;author&gt;Devlin, L.&lt;/author&gt;&lt;author&gt;MacLeod, N.&lt;/author&gt;&lt;author&gt;Lamb, C.&lt;/author&gt;&lt;author&gt;Currie, S.&lt;/author&gt;&lt;author&gt;McLoone, P.&lt;/author&gt;&lt;author&gt;Sankaralingam, M.&lt;/author&gt;&lt;author&gt;Foster, J.&lt;/author&gt;&lt;author&gt;Paterson, S.&lt;/author&gt;&lt;author&gt;Keatings, S.&lt;/author&gt;&lt;author&gt;Dodds, D.&lt;/author&gt;&lt;/authors&gt;&lt;/contributors&gt;&lt;titles&gt;&lt;title&gt;Safety and feasibility of prostate stereotactic ablative radiotherapy using multimodality imaging and flattening filter free&lt;/title&gt;&lt;secondary-title&gt;Br J Radiol&lt;/secondary-title&gt;&lt;/titles&gt;&lt;pages&gt;20170625&lt;/pages&gt;&lt;volume&gt;91&lt;/volume&gt;&lt;number&gt;1084&lt;/number&gt;&lt;dates&gt;&lt;year&gt;2018&lt;/year&gt;&lt;/dates&gt;&lt;accession-num&gt;29338305&lt;/accession-num&gt;&lt;urls&gt;&lt;related-urls&gt;&lt;url&gt;http://ezproxy.library.usyd.edu.au/login?url=http://ovidsp.ovid.com/ovidweb.cgi?T=JS&amp;amp;CSC=Y&amp;amp;NEWS=N&amp;amp;PAGE=fulltext&amp;amp;D=med15&amp;amp;AN=29338305https://sydney.alma.exlibrisgroup.com/openurl/61USYD_INST/61USYD_INST:sydney?sid=OVID:medline&amp;amp;id=pmid:29338305&amp;amp;id=doi:10.125&lt;/url&gt;&lt;url&gt;https://www.ncbi.nlm.nih.gov/pmc/articles/PMC5966012/pdf/bjr.20170625.pdf&lt;/url&gt;&lt;/related-urls&gt;&lt;/urls&gt;&lt;electronic-resource-num&gt;https://dx.doi.org/10.1259/bjr.20170625&lt;/electronic-resource-num&gt;&lt;/record&gt;&lt;/Cite&gt;&lt;/EndNote&gt;</w:instrText>
              </w:r>
              <w:r w:rsidR="008B6FC0">
                <w:fldChar w:fldCharType="separate"/>
              </w:r>
              <w:r w:rsidR="008B6FC0">
                <w:rPr>
                  <w:noProof/>
                </w:rPr>
                <w:t>Duffton et al. (2018)</w:t>
              </w:r>
              <w:r w:rsidR="008B6FC0">
                <w:fldChar w:fldCharType="end"/>
              </w:r>
            </w:hyperlink>
          </w:p>
        </w:tc>
        <w:tc>
          <w:tcPr>
            <w:tcW w:w="562" w:type="pct"/>
            <w:shd w:val="clear" w:color="auto" w:fill="auto"/>
          </w:tcPr>
          <w:p w14:paraId="4D7E943B" w14:textId="1BB7021F" w:rsidR="00C42543" w:rsidRDefault="00C42543" w:rsidP="005C3B2B">
            <w:pPr>
              <w:pStyle w:val="Tabletext1"/>
              <w:jc w:val="center"/>
              <w:rPr>
                <w:snapToGrid w:val="0"/>
              </w:rPr>
            </w:pPr>
            <w:r w:rsidRPr="005C3B2B">
              <w:t>41</w:t>
            </w:r>
          </w:p>
        </w:tc>
        <w:tc>
          <w:tcPr>
            <w:tcW w:w="1088" w:type="pct"/>
            <w:shd w:val="clear" w:color="auto" w:fill="auto"/>
          </w:tcPr>
          <w:p w14:paraId="0C0974FA" w14:textId="0F12A968" w:rsidR="00C42543" w:rsidRDefault="001237DF" w:rsidP="005C3B2B">
            <w:pPr>
              <w:pStyle w:val="Tabletext1"/>
              <w:jc w:val="center"/>
              <w:rPr>
                <w:snapToGrid w:val="0"/>
              </w:rPr>
            </w:pPr>
            <w:r>
              <w:rPr>
                <w:snapToGrid w:val="0"/>
              </w:rPr>
              <w:t>Prospective SA Coh</w:t>
            </w:r>
          </w:p>
        </w:tc>
        <w:tc>
          <w:tcPr>
            <w:tcW w:w="770" w:type="pct"/>
            <w:shd w:val="clear" w:color="auto" w:fill="auto"/>
          </w:tcPr>
          <w:p w14:paraId="61D9509E" w14:textId="13B8929F" w:rsidR="00C42543" w:rsidRDefault="007B4465" w:rsidP="005C3B2B">
            <w:pPr>
              <w:pStyle w:val="Tabletext1"/>
              <w:jc w:val="center"/>
              <w:rPr>
                <w:snapToGrid w:val="0"/>
              </w:rPr>
            </w:pPr>
            <w:r w:rsidRPr="005C3B2B">
              <w:t>SABR</w:t>
            </w:r>
          </w:p>
        </w:tc>
        <w:tc>
          <w:tcPr>
            <w:tcW w:w="835" w:type="pct"/>
            <w:shd w:val="clear" w:color="auto" w:fill="auto"/>
          </w:tcPr>
          <w:p w14:paraId="68F6A745" w14:textId="20C99136" w:rsidR="00C42543" w:rsidRDefault="00C42543" w:rsidP="005C3B2B">
            <w:pPr>
              <w:pStyle w:val="Tabletext1"/>
              <w:jc w:val="center"/>
              <w:rPr>
                <w:snapToGrid w:val="0"/>
              </w:rPr>
            </w:pPr>
            <w:r w:rsidRPr="005C3B2B">
              <w:t>Prostate</w:t>
            </w:r>
            <w:r w:rsidR="0091159B" w:rsidRPr="005C3B2B">
              <w:t xml:space="preserve"> cancer, low/intermediate</w:t>
            </w:r>
            <w:r w:rsidR="00817BCA" w:rsidRPr="005C3B2B">
              <w:t xml:space="preserve"> </w:t>
            </w:r>
            <w:r w:rsidR="0091159B" w:rsidRPr="005C3B2B">
              <w:t>risk</w:t>
            </w:r>
          </w:p>
        </w:tc>
        <w:tc>
          <w:tcPr>
            <w:tcW w:w="637" w:type="pct"/>
            <w:shd w:val="clear" w:color="auto" w:fill="auto"/>
          </w:tcPr>
          <w:p w14:paraId="597BF528" w14:textId="655278ED"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0378D960" w14:textId="27F61B41" w:rsidR="00C42543" w:rsidRDefault="00C42543" w:rsidP="005C3B2B">
            <w:pPr>
              <w:pStyle w:val="Tabletext1"/>
              <w:jc w:val="center"/>
              <w:rPr>
                <w:snapToGrid w:val="0"/>
              </w:rPr>
            </w:pPr>
            <w:r w:rsidRPr="0085503A">
              <w:rPr>
                <w:snapToGrid w:val="0"/>
              </w:rPr>
              <w:t>Not used</w:t>
            </w:r>
          </w:p>
        </w:tc>
      </w:tr>
      <w:tr w:rsidR="008B6FC0" w:rsidRPr="00CE45B9" w14:paraId="2D26B76F" w14:textId="77777777" w:rsidTr="001F64FE">
        <w:trPr>
          <w:cantSplit/>
        </w:trPr>
        <w:tc>
          <w:tcPr>
            <w:tcW w:w="652" w:type="pct"/>
            <w:shd w:val="clear" w:color="auto" w:fill="auto"/>
          </w:tcPr>
          <w:p w14:paraId="51135B77" w14:textId="20CEB7DE" w:rsidR="00C42543" w:rsidRPr="005C3B2B" w:rsidRDefault="00211285" w:rsidP="005C3B2B">
            <w:pPr>
              <w:pStyle w:val="Tabletext1"/>
            </w:pPr>
            <w:hyperlink w:anchor="_ENREF_25" w:tooltip="Eldredge, 2011 #41" w:history="1">
              <w:r w:rsidR="008B6FC0">
                <w:fldChar w:fldCharType="begin"/>
              </w:r>
              <w:r w:rsidR="008B6FC0">
                <w:instrText xml:space="preserve"> ADDIN EN.CITE &lt;EndNote&gt;&lt;Cite AuthorYear="1"&gt;&lt;Author&gt;Eldredge&lt;/Author&gt;&lt;Year&gt;2011&lt;/Year&gt;&lt;RecNum&gt;41&lt;/RecNum&gt;&lt;DisplayText&gt;Eldredge et al. (2011)&lt;/DisplayText&gt;&lt;record&gt;&lt;rec-number&gt;41&lt;/rec-number&gt;&lt;foreign-keys&gt;&lt;key app="EN" db-id="sx5wsdwv795wvue959xxw0ptaewvdezxxp05" timestamp="1604876376"&gt;41&lt;/key&gt;&lt;/foreign-keys&gt;&lt;ref-type name="Journal Article"&gt;17&lt;/ref-type&gt;&lt;contributors&gt;&lt;authors&gt;&lt;author&gt;Eldredge, H. B.&lt;/author&gt;&lt;author&gt;Studenski, M.&lt;/author&gt;&lt;author&gt;Keith, S. W.&lt;/author&gt;&lt;author&gt;Trabulsi, E.&lt;/author&gt;&lt;author&gt;Lallas, C. D.&lt;/author&gt;&lt;author&gt;Gomella, L. G.&lt;/author&gt;&lt;author&gt;Dicker, A. P.&lt;/author&gt;&lt;author&gt;Showalter, T. N.&lt;/author&gt;&lt;/authors&gt;&lt;/contributors&gt;&lt;titles&gt;&lt;title&gt;Post-prostatectomy image-guided radiation therapy: evaluation of toxicity and inter-fraction variation using online cone-beam CT&lt;/title&gt;&lt;secondary-title&gt;J Med Imaging Radiat Oncol&lt;/secondary-title&gt;&lt;/titles&gt;&lt;pages&gt;507-15&lt;/pages&gt;&lt;volume&gt;55&lt;/volume&gt;&lt;number&gt;5&lt;/number&gt;&lt;dates&gt;&lt;year&gt;2011&lt;/year&gt;&lt;/dates&gt;&lt;accession-num&gt;22008172&lt;/accession-num&gt;&lt;urls&gt;&lt;related-urls&gt;&lt;url&gt;http://ezproxy.library.usyd.edu.au/login?url=http://ovidsp.ovid.com/ovidweb.cgi?T=JS&amp;amp;CSC=Y&amp;amp;NEWS=N&amp;amp;PAGE=fulltext&amp;amp;D=med8&amp;amp;AN=22008172https://sydney.alma.exlibrisgroup.com/openurl/61USYD_INST/61USYD_INST:sydney?sid=OVID:medline&amp;amp;id=pmid:22008172&amp;amp;id=doi:10.1111&lt;/url&gt;&lt;url&gt;https://onlinelibrary.wiley.com/doi/pdfdirect/10.1111/j.1754-9485.2011.02305.x?download=true&lt;/url&gt;&lt;/related-urls&gt;&lt;/urls&gt;&lt;electronic-resource-num&gt;https://dx.doi.org/10.1111/j.1754-9485.2011.02305.x&lt;/electronic-resource-num&gt;&lt;/record&gt;&lt;/Cite&gt;&lt;/EndNote&gt;</w:instrText>
              </w:r>
              <w:r w:rsidR="008B6FC0">
                <w:fldChar w:fldCharType="separate"/>
              </w:r>
              <w:r w:rsidR="008B6FC0">
                <w:rPr>
                  <w:noProof/>
                </w:rPr>
                <w:t>Eldredge et al. (2011)</w:t>
              </w:r>
              <w:r w:rsidR="008B6FC0">
                <w:fldChar w:fldCharType="end"/>
              </w:r>
            </w:hyperlink>
          </w:p>
        </w:tc>
        <w:tc>
          <w:tcPr>
            <w:tcW w:w="562" w:type="pct"/>
            <w:shd w:val="clear" w:color="auto" w:fill="auto"/>
          </w:tcPr>
          <w:p w14:paraId="6EA8B274" w14:textId="74296774" w:rsidR="00C42543" w:rsidRDefault="00C42543" w:rsidP="005C3B2B">
            <w:pPr>
              <w:pStyle w:val="Tabletext1"/>
              <w:jc w:val="center"/>
              <w:rPr>
                <w:snapToGrid w:val="0"/>
              </w:rPr>
            </w:pPr>
            <w:r w:rsidRPr="005C3B2B">
              <w:t>68</w:t>
            </w:r>
            <w:r w:rsidR="00290709" w:rsidRPr="005C3B2B">
              <w:t xml:space="preserve">* (total </w:t>
            </w:r>
            <w:r w:rsidR="001B0E4A" w:rsidRPr="005C3B2B">
              <w:t>218)</w:t>
            </w:r>
          </w:p>
        </w:tc>
        <w:tc>
          <w:tcPr>
            <w:tcW w:w="1088" w:type="pct"/>
            <w:shd w:val="clear" w:color="auto" w:fill="auto"/>
          </w:tcPr>
          <w:p w14:paraId="58D2FE41" w14:textId="3ED8B2DF" w:rsidR="00C42543" w:rsidRDefault="00EB3D73" w:rsidP="005C3B2B">
            <w:pPr>
              <w:pStyle w:val="Tabletext1"/>
              <w:jc w:val="center"/>
              <w:rPr>
                <w:snapToGrid w:val="0"/>
              </w:rPr>
            </w:pPr>
            <w:r w:rsidRPr="005C3B2B">
              <w:t>Retrospective consecutive Coh, comparative (b</w:t>
            </w:r>
            <w:r w:rsidR="00C42543" w:rsidRPr="005C3B2B">
              <w:t>efore-after</w:t>
            </w:r>
            <w:r w:rsidRPr="005C3B2B">
              <w:t xml:space="preserve">, </w:t>
            </w:r>
            <w:r w:rsidR="00463A3B" w:rsidRPr="005C3B2B">
              <w:t>weekly port films vs CBCT</w:t>
            </w:r>
            <w:r w:rsidR="00C42543" w:rsidRPr="005C3B2B">
              <w:t>)</w:t>
            </w:r>
          </w:p>
        </w:tc>
        <w:tc>
          <w:tcPr>
            <w:tcW w:w="770" w:type="pct"/>
            <w:shd w:val="clear" w:color="auto" w:fill="auto"/>
          </w:tcPr>
          <w:p w14:paraId="3170F608" w14:textId="50EA0D43" w:rsidR="00C42543" w:rsidRDefault="00C42543" w:rsidP="005C3B2B">
            <w:pPr>
              <w:pStyle w:val="Tabletext1"/>
              <w:jc w:val="center"/>
              <w:rPr>
                <w:snapToGrid w:val="0"/>
              </w:rPr>
            </w:pPr>
            <w:r w:rsidRPr="005C3B2B">
              <w:t>3D-CRT</w:t>
            </w:r>
          </w:p>
        </w:tc>
        <w:tc>
          <w:tcPr>
            <w:tcW w:w="835" w:type="pct"/>
            <w:shd w:val="clear" w:color="auto" w:fill="auto"/>
          </w:tcPr>
          <w:p w14:paraId="559B5265" w14:textId="18F2685A" w:rsidR="00C42543" w:rsidRDefault="00C42543" w:rsidP="005C3B2B">
            <w:pPr>
              <w:pStyle w:val="Tabletext1"/>
              <w:jc w:val="center"/>
              <w:rPr>
                <w:snapToGrid w:val="0"/>
              </w:rPr>
            </w:pPr>
            <w:r w:rsidRPr="005C3B2B">
              <w:t xml:space="preserve">Prostate </w:t>
            </w:r>
            <w:r w:rsidR="00EF3BA7" w:rsidRPr="005C3B2B">
              <w:t>cancer, post RP</w:t>
            </w:r>
          </w:p>
        </w:tc>
        <w:tc>
          <w:tcPr>
            <w:tcW w:w="637" w:type="pct"/>
            <w:shd w:val="clear" w:color="auto" w:fill="auto"/>
          </w:tcPr>
          <w:p w14:paraId="42B4BD17" w14:textId="27804975"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2AC6F160" w14:textId="7F8ED3DC" w:rsidR="00C42543" w:rsidRDefault="00C42543" w:rsidP="005C3B2B">
            <w:pPr>
              <w:pStyle w:val="Tabletext1"/>
              <w:jc w:val="center"/>
              <w:rPr>
                <w:snapToGrid w:val="0"/>
              </w:rPr>
            </w:pPr>
            <w:r w:rsidRPr="0085503A">
              <w:rPr>
                <w:snapToGrid w:val="0"/>
              </w:rPr>
              <w:t>Not used</w:t>
            </w:r>
          </w:p>
        </w:tc>
      </w:tr>
      <w:tr w:rsidR="008B6FC0" w:rsidRPr="00CE45B9" w14:paraId="718E505B" w14:textId="77777777" w:rsidTr="001F64FE">
        <w:trPr>
          <w:cantSplit/>
        </w:trPr>
        <w:tc>
          <w:tcPr>
            <w:tcW w:w="652" w:type="pct"/>
            <w:shd w:val="clear" w:color="auto" w:fill="auto"/>
          </w:tcPr>
          <w:p w14:paraId="7F7E8662" w14:textId="35709598" w:rsidR="00C42543" w:rsidRPr="005C3B2B" w:rsidRDefault="00211285" w:rsidP="005C3B2B">
            <w:pPr>
              <w:pStyle w:val="Tabletext1"/>
            </w:pPr>
            <w:hyperlink w:anchor="_ENREF_26" w:tooltip="Faria, 2016 #42" w:history="1">
              <w:r w:rsidR="001F781A">
                <w:fldChar w:fldCharType="begin"/>
              </w:r>
              <w:r w:rsidR="001F781A">
                <w:instrText xml:space="preserve"> ADDIN EN.CITE &lt;EndNote&gt;&lt;Cite AuthorYear="1"&gt;&lt;Author&gt;Faria&lt;/Author&gt;&lt;Year&gt;2016&lt;/Year&gt;&lt;RecNum&gt;42&lt;/RecNum&gt;&lt;DisplayText&gt;Faria, Petrucelli, Cury, Duclos, and Souhami (2016)&lt;/DisplayText&gt;&lt;record&gt;&lt;rec-number&gt;42&lt;/rec-number&gt;&lt;foreign-keys&gt;&lt;key app="EN" db-id="sx5wsdwv795wvue959xxw0ptaewvdezxxp05" timestamp="1604876376"&gt;42&lt;/key&gt;&lt;/foreign-keys&gt;&lt;ref-type name="Journal Article"&gt;17&lt;/ref-type&gt;&lt;contributors&gt;&lt;authors&gt;&lt;author&gt;Faria, S.&lt;/author&gt;&lt;author&gt;Petrucelli, M.&lt;/author&gt;&lt;author&gt;Cury, F.&lt;/author&gt;&lt;author&gt;Duclos, M.&lt;/author&gt;&lt;author&gt;Souhami, L.&lt;/author&gt;&lt;/authors&gt;&lt;/contributors&gt;&lt;titles&gt;&lt;title&gt;Acute and late toxicity in high-risk prostate cancer patients treated with androgen suppression and hypofractionated radiotherapy (HypoRT) to the prostate and pelvic nodes&lt;/title&gt;&lt;secondary-title&gt;Radiotherapy and oncology&lt;/secondary-title&gt;&lt;/titles&gt;&lt;volume&gt;120&lt;/volume&gt;&lt;dates&gt;&lt;year&gt;2016&lt;/year&gt;&lt;/dates&gt;&lt;accession-num&gt;CN-01252399&lt;/accession-num&gt;&lt;urls&gt;&lt;related-urls&gt;&lt;url&gt;http://ezproxy.library.usyd.edu.au/login?url=http://ovidsp.ovid.com/ovidweb.cgi?T=JS&amp;amp;CSC=Y&amp;amp;NEWS=N&amp;amp;PAGE=fulltext&amp;amp;D=cctr&amp;amp;AN=CN-01252399https://sydney.alma.exlibrisgroup.com/openurl/61USYD_INST/61USYD_INST:sydney?sid=OVID:cctrdb&amp;amp;id=pmid:5118516&amp;amp;id=doi:&amp;amp;issn=&lt;/url&gt;&lt;/related-urls&gt;&lt;/urls&gt;&lt;/record&gt;&lt;/Cite&gt;&lt;/EndNote&gt;</w:instrText>
              </w:r>
              <w:r w:rsidR="001F781A">
                <w:fldChar w:fldCharType="separate"/>
              </w:r>
              <w:r w:rsidR="001F781A">
                <w:rPr>
                  <w:noProof/>
                </w:rPr>
                <w:t>Faria, Petrucelli, Cury, Duclos, and Souhami (2016)</w:t>
              </w:r>
              <w:r w:rsidR="001F781A">
                <w:fldChar w:fldCharType="end"/>
              </w:r>
            </w:hyperlink>
          </w:p>
        </w:tc>
        <w:tc>
          <w:tcPr>
            <w:tcW w:w="562" w:type="pct"/>
            <w:shd w:val="clear" w:color="auto" w:fill="auto"/>
          </w:tcPr>
          <w:p w14:paraId="33F65D48" w14:textId="03E02185" w:rsidR="00C42543" w:rsidRDefault="00C42543" w:rsidP="005C3B2B">
            <w:pPr>
              <w:pStyle w:val="Tabletext1"/>
              <w:jc w:val="center"/>
              <w:rPr>
                <w:snapToGrid w:val="0"/>
              </w:rPr>
            </w:pPr>
            <w:r w:rsidRPr="005C3B2B">
              <w:t>105</w:t>
            </w:r>
          </w:p>
        </w:tc>
        <w:tc>
          <w:tcPr>
            <w:tcW w:w="1088" w:type="pct"/>
            <w:shd w:val="clear" w:color="auto" w:fill="auto"/>
          </w:tcPr>
          <w:p w14:paraId="0D655A6B" w14:textId="171EBD46" w:rsidR="00C42543" w:rsidRDefault="00C42543" w:rsidP="005C3B2B">
            <w:pPr>
              <w:pStyle w:val="Tabletext1"/>
              <w:jc w:val="center"/>
              <w:rPr>
                <w:snapToGrid w:val="0"/>
              </w:rPr>
            </w:pPr>
            <w:r w:rsidRPr="005C3B2B">
              <w:t xml:space="preserve">Retrospective </w:t>
            </w:r>
            <w:r w:rsidR="009300CE" w:rsidRPr="005C3B2B">
              <w:t>CS</w:t>
            </w:r>
          </w:p>
        </w:tc>
        <w:tc>
          <w:tcPr>
            <w:tcW w:w="770" w:type="pct"/>
            <w:shd w:val="clear" w:color="auto" w:fill="auto"/>
          </w:tcPr>
          <w:p w14:paraId="044A6463" w14:textId="365D8048" w:rsidR="00C42543" w:rsidRDefault="00C42543" w:rsidP="005C3B2B">
            <w:pPr>
              <w:pStyle w:val="Tabletext1"/>
              <w:jc w:val="center"/>
              <w:rPr>
                <w:snapToGrid w:val="0"/>
              </w:rPr>
            </w:pPr>
            <w:r w:rsidRPr="005C3B2B">
              <w:t>IMRT</w:t>
            </w:r>
            <w:r w:rsidR="00A436D5" w:rsidRPr="005C3B2B">
              <w:t xml:space="preserve"> (hypofractionated)</w:t>
            </w:r>
          </w:p>
        </w:tc>
        <w:tc>
          <w:tcPr>
            <w:tcW w:w="835" w:type="pct"/>
            <w:shd w:val="clear" w:color="auto" w:fill="auto"/>
          </w:tcPr>
          <w:p w14:paraId="34F9CF35" w14:textId="56A7C15C" w:rsidR="00C42543" w:rsidRDefault="00C42543" w:rsidP="005C3B2B">
            <w:pPr>
              <w:pStyle w:val="Tabletext1"/>
              <w:jc w:val="center"/>
              <w:rPr>
                <w:snapToGrid w:val="0"/>
              </w:rPr>
            </w:pPr>
            <w:r w:rsidRPr="005C3B2B">
              <w:t>Prostate</w:t>
            </w:r>
            <w:r w:rsidR="00200D3B" w:rsidRPr="005C3B2B">
              <w:t xml:space="preserve"> cancer, high-risk, locally advanced</w:t>
            </w:r>
          </w:p>
        </w:tc>
        <w:tc>
          <w:tcPr>
            <w:tcW w:w="637" w:type="pct"/>
            <w:shd w:val="clear" w:color="auto" w:fill="auto"/>
          </w:tcPr>
          <w:p w14:paraId="6E8EE24B" w14:textId="25628E44"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7A8C405E" w14:textId="50F89D8B" w:rsidR="00C42543" w:rsidRDefault="00C42543" w:rsidP="005C3B2B">
            <w:pPr>
              <w:pStyle w:val="Tabletext1"/>
              <w:jc w:val="center"/>
              <w:rPr>
                <w:snapToGrid w:val="0"/>
              </w:rPr>
            </w:pPr>
            <w:r w:rsidRPr="0085503A">
              <w:rPr>
                <w:snapToGrid w:val="0"/>
              </w:rPr>
              <w:t>Not used</w:t>
            </w:r>
          </w:p>
        </w:tc>
      </w:tr>
      <w:tr w:rsidR="008B6FC0" w:rsidRPr="00CE45B9" w14:paraId="161C0C36" w14:textId="77777777" w:rsidTr="001F64FE">
        <w:trPr>
          <w:cantSplit/>
        </w:trPr>
        <w:tc>
          <w:tcPr>
            <w:tcW w:w="652" w:type="pct"/>
            <w:shd w:val="clear" w:color="auto" w:fill="auto"/>
          </w:tcPr>
          <w:p w14:paraId="3E9A8BDB" w14:textId="3B27A8CF" w:rsidR="00C42543" w:rsidRPr="005C3B2B" w:rsidRDefault="00211285" w:rsidP="005C3B2B">
            <w:pPr>
              <w:pStyle w:val="Tabletext1"/>
            </w:pPr>
            <w:hyperlink w:anchor="_ENREF_31" w:tooltip="Girelli, 2015 #44" w:history="1">
              <w:r w:rsidR="008B6FC0">
                <w:fldChar w:fldCharType="begin"/>
              </w:r>
              <w:r w:rsidR="008B6FC0">
                <w:instrText xml:space="preserve"> ADDIN EN.CITE &lt;EndNote&gt;&lt;Cite AuthorYear="1"&gt;&lt;Author&gt;Girelli&lt;/Author&gt;&lt;Year&gt;2015&lt;/Year&gt;&lt;RecNum&gt;44&lt;/RecNum&gt;&lt;DisplayText&gt;Girelli et al. (2015)&lt;/DisplayText&gt;&lt;record&gt;&lt;rec-number&gt;44&lt;/rec-number&gt;&lt;foreign-keys&gt;&lt;key app="EN" db-id="sx5wsdwv795wvue959xxw0ptaewvdezxxp05" timestamp="1604876376"&gt;44&lt;/key&gt;&lt;/foreign-keys&gt;&lt;ref-type name="Journal Article"&gt;17&lt;/ref-type&gt;&lt;contributors&gt;&lt;authors&gt;&lt;author&gt;Girelli, G.&lt;/author&gt;&lt;author&gt;Franco, P.&lt;/author&gt;&lt;author&gt;Sciacero, P.&lt;/author&gt;&lt;author&gt;Cante, D.&lt;/author&gt;&lt;author&gt;Borca, V. C.&lt;/author&gt;&lt;author&gt;Pasquino, M.&lt;/author&gt;&lt;author&gt;Annoscia, S.&lt;/author&gt;&lt;author&gt;Tofani, S.&lt;/author&gt;&lt;author&gt;La Porta, M. R.&lt;/author&gt;&lt;author&gt;Ricardi, U.&lt;/author&gt;&lt;/authors&gt;&lt;/contributors&gt;&lt;titles&gt;&lt;title&gt;Image-guided Intensity-modulated Radiotherapy for Prostate Cancer Employing Hypofractionation and Simultaneous Integrated Boost: Results of a Consecutive Case Series with Focus on Erectile Function&lt;/title&gt;&lt;secondary-title&gt;Anticancer Res&lt;/secondary-title&gt;&lt;/titles&gt;&lt;pages&gt;4177-82&lt;/pages&gt;&lt;volume&gt;35&lt;/volume&gt;&lt;number&gt;7&lt;/number&gt;&lt;dates&gt;&lt;year&gt;2015&lt;/year&gt;&lt;/dates&gt;&lt;accession-num&gt;26124375&lt;/accession-num&gt;&lt;urls&gt;&lt;related-urls&gt;&lt;url&gt;http://ezproxy.library.usyd.edu.au/login?url=http://ovidsp.ovid.com/ovidweb.cgi?T=JS&amp;amp;CSC=Y&amp;amp;NEWS=N&amp;amp;PAGE=fulltext&amp;amp;D=med12&amp;amp;AN=26124375https://sydney.alma.exlibrisgroup.com/openurl/61USYD_INST/61USYD_INST:sydney?sid=OVID:medline&amp;amp;id=pmid:26124375&amp;amp;id=doi:&amp;amp;issn=&lt;/url&gt;&lt;url&gt;http://ar.iiarjournals.org/content/35/7/4177.full.pdf&lt;/url&gt;&lt;/related-urls&gt;&lt;/urls&gt;&lt;/record&gt;&lt;/Cite&gt;&lt;/EndNote&gt;</w:instrText>
              </w:r>
              <w:r w:rsidR="008B6FC0">
                <w:fldChar w:fldCharType="separate"/>
              </w:r>
              <w:r w:rsidR="008B6FC0">
                <w:rPr>
                  <w:noProof/>
                </w:rPr>
                <w:t>Girelli et al. (2015)</w:t>
              </w:r>
              <w:r w:rsidR="008B6FC0">
                <w:fldChar w:fldCharType="end"/>
              </w:r>
            </w:hyperlink>
          </w:p>
        </w:tc>
        <w:tc>
          <w:tcPr>
            <w:tcW w:w="562" w:type="pct"/>
            <w:shd w:val="clear" w:color="auto" w:fill="auto"/>
          </w:tcPr>
          <w:p w14:paraId="49F42A66" w14:textId="7A62B58E" w:rsidR="00C42543" w:rsidRDefault="00C42543" w:rsidP="005C3B2B">
            <w:pPr>
              <w:pStyle w:val="Tabletext1"/>
              <w:jc w:val="center"/>
              <w:rPr>
                <w:snapToGrid w:val="0"/>
              </w:rPr>
            </w:pPr>
            <w:r w:rsidRPr="005C3B2B">
              <w:t>104</w:t>
            </w:r>
          </w:p>
        </w:tc>
        <w:tc>
          <w:tcPr>
            <w:tcW w:w="1088" w:type="pct"/>
            <w:shd w:val="clear" w:color="auto" w:fill="auto"/>
          </w:tcPr>
          <w:p w14:paraId="370B5CBA" w14:textId="0A6D566F" w:rsidR="00C42543" w:rsidRDefault="00856F0A" w:rsidP="005C3B2B">
            <w:pPr>
              <w:pStyle w:val="Tabletext1"/>
              <w:jc w:val="center"/>
              <w:rPr>
                <w:snapToGrid w:val="0"/>
              </w:rPr>
            </w:pPr>
            <w:r>
              <w:rPr>
                <w:snapToGrid w:val="0"/>
              </w:rPr>
              <w:t>Consecutive CS</w:t>
            </w:r>
          </w:p>
        </w:tc>
        <w:tc>
          <w:tcPr>
            <w:tcW w:w="770" w:type="pct"/>
            <w:shd w:val="clear" w:color="auto" w:fill="auto"/>
          </w:tcPr>
          <w:p w14:paraId="49F124F6" w14:textId="363901A7" w:rsidR="00C42543" w:rsidRDefault="00C42543" w:rsidP="005C3B2B">
            <w:pPr>
              <w:pStyle w:val="Tabletext1"/>
              <w:jc w:val="center"/>
              <w:rPr>
                <w:snapToGrid w:val="0"/>
              </w:rPr>
            </w:pPr>
            <w:r w:rsidRPr="005C3B2B">
              <w:t>IMRT</w:t>
            </w:r>
            <w:r w:rsidR="005A59B4" w:rsidRPr="005C3B2B">
              <w:t xml:space="preserve"> (hypofractionated, SIB)</w:t>
            </w:r>
          </w:p>
        </w:tc>
        <w:tc>
          <w:tcPr>
            <w:tcW w:w="835" w:type="pct"/>
            <w:shd w:val="clear" w:color="auto" w:fill="auto"/>
          </w:tcPr>
          <w:p w14:paraId="4323BF98" w14:textId="5DBCC8BD" w:rsidR="00C42543" w:rsidRDefault="00C42543" w:rsidP="005C3B2B">
            <w:pPr>
              <w:pStyle w:val="Tabletext1"/>
              <w:jc w:val="center"/>
              <w:rPr>
                <w:snapToGrid w:val="0"/>
              </w:rPr>
            </w:pPr>
            <w:r w:rsidRPr="005C3B2B">
              <w:t>Prostate</w:t>
            </w:r>
            <w:r w:rsidR="008D73AA" w:rsidRPr="005C3B2B">
              <w:t xml:space="preserve"> cancer</w:t>
            </w:r>
          </w:p>
        </w:tc>
        <w:tc>
          <w:tcPr>
            <w:tcW w:w="637" w:type="pct"/>
            <w:shd w:val="clear" w:color="auto" w:fill="auto"/>
          </w:tcPr>
          <w:p w14:paraId="4D79F5F9" w14:textId="6CC0CB57"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5ADE1D6F" w14:textId="3B45AD62" w:rsidR="00C42543" w:rsidRDefault="00C42543" w:rsidP="005C3B2B">
            <w:pPr>
              <w:pStyle w:val="Tabletext1"/>
              <w:jc w:val="center"/>
              <w:rPr>
                <w:snapToGrid w:val="0"/>
              </w:rPr>
            </w:pPr>
            <w:r w:rsidRPr="0085503A">
              <w:rPr>
                <w:snapToGrid w:val="0"/>
              </w:rPr>
              <w:t>Not used</w:t>
            </w:r>
          </w:p>
        </w:tc>
      </w:tr>
      <w:tr w:rsidR="008B6FC0" w:rsidRPr="00CE45B9" w14:paraId="4DBBD4FC" w14:textId="77777777" w:rsidTr="001F64FE">
        <w:trPr>
          <w:cantSplit/>
        </w:trPr>
        <w:tc>
          <w:tcPr>
            <w:tcW w:w="652" w:type="pct"/>
            <w:shd w:val="clear" w:color="auto" w:fill="auto"/>
          </w:tcPr>
          <w:p w14:paraId="4D0D21C6" w14:textId="7B83D6B3" w:rsidR="00C42543" w:rsidRPr="005C3B2B" w:rsidRDefault="00211285" w:rsidP="005C3B2B">
            <w:pPr>
              <w:pStyle w:val="Tabletext1"/>
            </w:pPr>
            <w:hyperlink w:anchor="_ENREF_35" w:tooltip="Guckenberger, 2010 #48" w:history="1">
              <w:r w:rsidR="001F781A">
                <w:fldChar w:fldCharType="begin"/>
              </w:r>
              <w:r w:rsidR="001F781A">
                <w:instrText xml:space="preserve"> ADDIN EN.CITE &lt;EndNote&gt;&lt;Cite AuthorYear="1"&gt;&lt;Author&gt;Guckenberger&lt;/Author&gt;&lt;Year&gt;2010&lt;/Year&gt;&lt;RecNum&gt;48&lt;/RecNum&gt;&lt;DisplayText&gt;Guckenberger, Ok, Polat, Sweeney, and Flentje (2010)&lt;/DisplayText&gt;&lt;record&gt;&lt;rec-number&gt;48&lt;/rec-number&gt;&lt;foreign-keys&gt;&lt;key app="EN" db-id="sx5wsdwv795wvue959xxw0ptaewvdezxxp05" timestamp="1604876377"&gt;48&lt;/key&gt;&lt;/foreign-keys&gt;&lt;ref-type name="Journal Article"&gt;17&lt;/ref-type&gt;&lt;contributors&gt;&lt;authors&gt;&lt;author&gt;Guckenberger, M.&lt;/author&gt;&lt;author&gt;Ok, S.&lt;/author&gt;&lt;author&gt;Polat, B.&lt;/author&gt;&lt;author&gt;Sweeney, R. A.&lt;/author&gt;&lt;author&gt;Flentje, M.&lt;/author&gt;&lt;/authors&gt;&lt;/contributors&gt;&lt;titles&gt;&lt;title&gt;Toxicity after intensity-modulated, image-guided radiotherapy for prostate cancer&lt;/title&gt;&lt;secondary-title&gt;Strahlenther Onkol&lt;/secondary-title&gt;&lt;/titles&gt;&lt;pages&gt;535-43&lt;/pages&gt;&lt;volume&gt;186&lt;/volume&gt;&lt;number&gt;10&lt;/number&gt;&lt;dates&gt;&lt;year&gt;2010&lt;/year&gt;&lt;/dates&gt;&lt;accession-num&gt;20890743&lt;/accession-num&gt;&lt;urls&gt;&lt;related-urls&gt;&lt;url&gt;http://ezproxy.library.usyd.edu.au/login?url=http://ovidsp.ovid.com/ovidweb.cgi?T=JS&amp;amp;CSC=Y&amp;amp;NEWS=N&amp;amp;PAGE=fulltext&amp;amp;D=med8&amp;amp;AN=20890743https://sydney.alma.exlibrisgroup.com/openurl/61USYD_INST/61USYD_INST:sydney?sid=OVID:medline&amp;amp;id=pmid:20890743&amp;amp;id=doi:10.1007&lt;/url&gt;&lt;url&gt;https://link.springer.com/content/pdf/10.1007/s00066-010-2144-z.pdf&lt;/url&gt;&lt;/related-urls&gt;&lt;/urls&gt;&lt;electronic-resource-num&gt;https://dx.doi.org/10.1007/s00066-010-2144-z&lt;/electronic-resource-num&gt;&lt;/record&gt;&lt;/Cite&gt;&lt;/EndNote&gt;</w:instrText>
              </w:r>
              <w:r w:rsidR="001F781A">
                <w:fldChar w:fldCharType="separate"/>
              </w:r>
              <w:r w:rsidR="001F781A">
                <w:rPr>
                  <w:noProof/>
                </w:rPr>
                <w:t>Guckenberger, Ok, Polat, Sweeney, and Flentje (2010)</w:t>
              </w:r>
              <w:r w:rsidR="001F781A">
                <w:fldChar w:fldCharType="end"/>
              </w:r>
            </w:hyperlink>
          </w:p>
        </w:tc>
        <w:tc>
          <w:tcPr>
            <w:tcW w:w="562" w:type="pct"/>
            <w:shd w:val="clear" w:color="auto" w:fill="auto"/>
          </w:tcPr>
          <w:p w14:paraId="0BD57E94" w14:textId="72A40DD7" w:rsidR="00C42543" w:rsidRDefault="00C42543" w:rsidP="005C3B2B">
            <w:pPr>
              <w:pStyle w:val="Tabletext1"/>
              <w:jc w:val="center"/>
              <w:rPr>
                <w:snapToGrid w:val="0"/>
              </w:rPr>
            </w:pPr>
            <w:r w:rsidRPr="005C3B2B">
              <w:t>100</w:t>
            </w:r>
          </w:p>
        </w:tc>
        <w:tc>
          <w:tcPr>
            <w:tcW w:w="1088" w:type="pct"/>
            <w:shd w:val="clear" w:color="auto" w:fill="auto"/>
          </w:tcPr>
          <w:p w14:paraId="1865987C" w14:textId="176198F3" w:rsidR="00C42543" w:rsidRDefault="00CC3AD0" w:rsidP="005C3B2B">
            <w:pPr>
              <w:pStyle w:val="Tabletext1"/>
              <w:jc w:val="center"/>
              <w:rPr>
                <w:snapToGrid w:val="0"/>
              </w:rPr>
            </w:pPr>
            <w:r w:rsidRPr="005C3B2B">
              <w:t>P</w:t>
            </w:r>
            <w:r w:rsidR="00C42543" w:rsidRPr="005C3B2B">
              <w:t xml:space="preserve">rospective </w:t>
            </w:r>
            <w:r w:rsidR="003A4D1B" w:rsidRPr="005C3B2B">
              <w:t>consecutive Coh</w:t>
            </w:r>
          </w:p>
        </w:tc>
        <w:tc>
          <w:tcPr>
            <w:tcW w:w="770" w:type="pct"/>
            <w:shd w:val="clear" w:color="auto" w:fill="auto"/>
          </w:tcPr>
          <w:p w14:paraId="69299AC6" w14:textId="77777777" w:rsidR="00C42543" w:rsidRPr="005C3B2B" w:rsidRDefault="00C42543" w:rsidP="005C3B2B">
            <w:pPr>
              <w:pStyle w:val="Tabletext1"/>
              <w:jc w:val="center"/>
            </w:pPr>
            <w:r w:rsidRPr="005C3B2B">
              <w:t>IMRT</w:t>
            </w:r>
          </w:p>
          <w:p w14:paraId="0C9780AD" w14:textId="559A9F98" w:rsidR="00C42543" w:rsidRDefault="00D91675" w:rsidP="005C3B2B">
            <w:pPr>
              <w:pStyle w:val="Tabletext1"/>
              <w:jc w:val="center"/>
              <w:rPr>
                <w:snapToGrid w:val="0"/>
              </w:rPr>
            </w:pPr>
            <w:r>
              <w:rPr>
                <w:snapToGrid w:val="0"/>
              </w:rPr>
              <w:t>DE</w:t>
            </w:r>
            <w:r w:rsidR="00E040BD">
              <w:rPr>
                <w:snapToGrid w:val="0"/>
              </w:rPr>
              <w:t>, SIB</w:t>
            </w:r>
          </w:p>
        </w:tc>
        <w:tc>
          <w:tcPr>
            <w:tcW w:w="835" w:type="pct"/>
            <w:shd w:val="clear" w:color="auto" w:fill="auto"/>
          </w:tcPr>
          <w:p w14:paraId="2B302618" w14:textId="270263C4" w:rsidR="00C42543" w:rsidRDefault="00C42543" w:rsidP="005C3B2B">
            <w:pPr>
              <w:pStyle w:val="Tabletext1"/>
              <w:jc w:val="center"/>
              <w:rPr>
                <w:snapToGrid w:val="0"/>
              </w:rPr>
            </w:pPr>
            <w:r w:rsidRPr="005C3B2B">
              <w:t>Prostate</w:t>
            </w:r>
            <w:r w:rsidR="00CF1C46" w:rsidRPr="005C3B2B">
              <w:t xml:space="preserve"> cancer</w:t>
            </w:r>
          </w:p>
        </w:tc>
        <w:tc>
          <w:tcPr>
            <w:tcW w:w="637" w:type="pct"/>
            <w:shd w:val="clear" w:color="auto" w:fill="auto"/>
          </w:tcPr>
          <w:p w14:paraId="713237DD" w14:textId="7B196E47"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2E960EA0" w14:textId="19A8864B" w:rsidR="00C42543" w:rsidRDefault="00C42543" w:rsidP="005C3B2B">
            <w:pPr>
              <w:pStyle w:val="Tabletext1"/>
              <w:jc w:val="center"/>
              <w:rPr>
                <w:snapToGrid w:val="0"/>
              </w:rPr>
            </w:pPr>
            <w:r w:rsidRPr="0085503A">
              <w:rPr>
                <w:snapToGrid w:val="0"/>
              </w:rPr>
              <w:t>Not used</w:t>
            </w:r>
          </w:p>
        </w:tc>
      </w:tr>
      <w:tr w:rsidR="008B6FC0" w:rsidRPr="00CE45B9" w14:paraId="13A86795" w14:textId="77777777" w:rsidTr="001F64FE">
        <w:trPr>
          <w:cantSplit/>
        </w:trPr>
        <w:tc>
          <w:tcPr>
            <w:tcW w:w="652" w:type="pct"/>
            <w:shd w:val="clear" w:color="auto" w:fill="auto"/>
          </w:tcPr>
          <w:p w14:paraId="206DCE0F" w14:textId="0BD09880" w:rsidR="00C42543" w:rsidRPr="005C3B2B" w:rsidRDefault="00211285" w:rsidP="005C3B2B">
            <w:pPr>
              <w:pStyle w:val="Tabletext1"/>
            </w:pPr>
            <w:hyperlink w:anchor="_ENREF_34" w:tooltip="Guckenberger, 2014 #47" w:history="1">
              <w:r w:rsidR="001F781A">
                <w:fldChar w:fldCharType="begin"/>
              </w:r>
              <w:r w:rsidR="001F781A">
                <w:instrText xml:space="preserve"> ADDIN EN.CITE &lt;EndNote&gt;&lt;Cite AuthorYear="1"&gt;&lt;Author&gt;Guckenberger&lt;/Author&gt;&lt;Year&gt;2014&lt;/Year&gt;&lt;RecNum&gt;47&lt;/RecNum&gt;&lt;DisplayText&gt;Guckenberger, Lawrenz, and Flentje (2014)&lt;/DisplayText&gt;&lt;record&gt;&lt;rec-number&gt;47&lt;/rec-number&gt;&lt;foreign-keys&gt;&lt;key app="EN" db-id="sx5wsdwv795wvue959xxw0ptaewvdezxxp05" timestamp="1604876376"&gt;47&lt;/key&gt;&lt;/foreign-keys&gt;&lt;ref-type name="Journal Article"&gt;17&lt;/ref-type&gt;&lt;contributors&gt;&lt;authors&gt;&lt;author&gt;Guckenberger, M.&lt;/author&gt;&lt;author&gt;Lawrenz, I.&lt;/author&gt;&lt;author&gt;Flentje, M.&lt;/author&gt;&lt;/authors&gt;&lt;/contributors&gt;&lt;titles&gt;&lt;title&gt;Moderately hypofractionated radiotherapy for localized prostate cancer: long-term outcome using IMRT and volumetric IGRT&lt;/title&gt;&lt;secondary-title&gt;Strahlenther Onkol&lt;/secondary-title&gt;&lt;/titles&gt;&lt;pages&gt;48-53&lt;/pages&gt;&lt;volume&gt;190&lt;/volume&gt;&lt;number&gt;1&lt;/number&gt;&lt;dates&gt;&lt;year&gt;2014&lt;/year&gt;&lt;/dates&gt;&lt;accession-num&gt;24196279&lt;/accession-num&gt;&lt;urls&gt;&lt;related-urls&gt;&lt;url&gt;http://ezproxy.library.usyd.edu.au/login?url=http://ovidsp.ovid.com/ovidweb.cgi?T=JS&amp;amp;CSC=Y&amp;amp;NEWS=N&amp;amp;PAGE=fulltext&amp;amp;D=med11&amp;amp;AN=24196279https://sydney.alma.exlibrisgroup.com/openurl/61USYD_INST/61USYD_INST:sydney?sid=OVID:medline&amp;amp;id=pmid:24196279&amp;amp;id=doi:10.100&lt;/url&gt;&lt;url&gt;https://link.springer.com/content/pdf/10.1007/s00066-013-0443-x.pdf&lt;/url&gt;&lt;/related-urls&gt;&lt;/urls&gt;&lt;electronic-resource-num&gt;https://dx.doi.org/10.1007/s00066-013-0443-x&lt;/electronic-resource-num&gt;&lt;/record&gt;&lt;/Cite&gt;&lt;/EndNote&gt;</w:instrText>
              </w:r>
              <w:r w:rsidR="001F781A">
                <w:fldChar w:fldCharType="separate"/>
              </w:r>
              <w:r w:rsidR="001F781A">
                <w:rPr>
                  <w:noProof/>
                </w:rPr>
                <w:t>Guckenberger, Lawrenz, and Flentje (2014)</w:t>
              </w:r>
              <w:r w:rsidR="001F781A">
                <w:fldChar w:fldCharType="end"/>
              </w:r>
            </w:hyperlink>
          </w:p>
        </w:tc>
        <w:tc>
          <w:tcPr>
            <w:tcW w:w="562" w:type="pct"/>
            <w:shd w:val="clear" w:color="auto" w:fill="auto"/>
          </w:tcPr>
          <w:p w14:paraId="2F86E04E" w14:textId="44D1F442" w:rsidR="00C42543" w:rsidRDefault="00C42543" w:rsidP="005C3B2B">
            <w:pPr>
              <w:pStyle w:val="Tabletext1"/>
              <w:jc w:val="center"/>
              <w:rPr>
                <w:snapToGrid w:val="0"/>
              </w:rPr>
            </w:pPr>
            <w:r w:rsidRPr="005C3B2B">
              <w:t>150</w:t>
            </w:r>
          </w:p>
        </w:tc>
        <w:tc>
          <w:tcPr>
            <w:tcW w:w="1088" w:type="pct"/>
            <w:shd w:val="clear" w:color="auto" w:fill="auto"/>
          </w:tcPr>
          <w:p w14:paraId="6457D56B" w14:textId="29E6016E" w:rsidR="00C42543" w:rsidRDefault="00C42543" w:rsidP="005C3B2B">
            <w:pPr>
              <w:pStyle w:val="Tabletext1"/>
              <w:jc w:val="center"/>
              <w:rPr>
                <w:snapToGrid w:val="0"/>
              </w:rPr>
            </w:pPr>
            <w:r w:rsidRPr="005C3B2B">
              <w:t xml:space="preserve">Retrospective </w:t>
            </w:r>
            <w:r w:rsidR="00966E69" w:rsidRPr="005C3B2B">
              <w:t xml:space="preserve">consecutive </w:t>
            </w:r>
            <w:r w:rsidRPr="005C3B2B">
              <w:t>C</w:t>
            </w:r>
            <w:r w:rsidR="00D27207" w:rsidRPr="005C3B2B">
              <w:t>S</w:t>
            </w:r>
          </w:p>
        </w:tc>
        <w:tc>
          <w:tcPr>
            <w:tcW w:w="770" w:type="pct"/>
            <w:shd w:val="clear" w:color="auto" w:fill="auto"/>
          </w:tcPr>
          <w:p w14:paraId="312E7739" w14:textId="77777777" w:rsidR="00C42543" w:rsidRPr="005C3B2B" w:rsidRDefault="00C42543" w:rsidP="005C3B2B">
            <w:pPr>
              <w:pStyle w:val="Tabletext1"/>
              <w:jc w:val="center"/>
            </w:pPr>
            <w:r w:rsidRPr="005C3B2B">
              <w:t>IMRT</w:t>
            </w:r>
          </w:p>
          <w:p w14:paraId="18A355D8" w14:textId="263C4E1A" w:rsidR="00C42543" w:rsidRDefault="004D0E13" w:rsidP="005C3B2B">
            <w:pPr>
              <w:pStyle w:val="Tabletext1"/>
              <w:jc w:val="center"/>
              <w:rPr>
                <w:snapToGrid w:val="0"/>
              </w:rPr>
            </w:pPr>
            <w:r>
              <w:rPr>
                <w:snapToGrid w:val="0"/>
              </w:rPr>
              <w:t>(hypofractionated</w:t>
            </w:r>
            <w:r w:rsidR="001F73F1">
              <w:rPr>
                <w:snapToGrid w:val="0"/>
              </w:rPr>
              <w:t>)</w:t>
            </w:r>
          </w:p>
        </w:tc>
        <w:tc>
          <w:tcPr>
            <w:tcW w:w="835" w:type="pct"/>
            <w:shd w:val="clear" w:color="auto" w:fill="auto"/>
          </w:tcPr>
          <w:p w14:paraId="4D210F7E" w14:textId="755193B9" w:rsidR="00C42543" w:rsidRDefault="00C42543" w:rsidP="005C3B2B">
            <w:pPr>
              <w:pStyle w:val="Tabletext1"/>
              <w:jc w:val="center"/>
              <w:rPr>
                <w:snapToGrid w:val="0"/>
              </w:rPr>
            </w:pPr>
            <w:r w:rsidRPr="005C3B2B">
              <w:t>Prostate</w:t>
            </w:r>
            <w:r w:rsidR="001F73F1" w:rsidRPr="005C3B2B">
              <w:t xml:space="preserve"> cancer</w:t>
            </w:r>
            <w:r w:rsidR="00E77987" w:rsidRPr="005C3B2B">
              <w:t>, localised</w:t>
            </w:r>
          </w:p>
        </w:tc>
        <w:tc>
          <w:tcPr>
            <w:tcW w:w="637" w:type="pct"/>
            <w:shd w:val="clear" w:color="auto" w:fill="auto"/>
          </w:tcPr>
          <w:p w14:paraId="085C2E51" w14:textId="71349F52"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53698F39" w14:textId="0AD0EFD9" w:rsidR="00C42543" w:rsidRDefault="00C42543" w:rsidP="005C3B2B">
            <w:pPr>
              <w:pStyle w:val="Tabletext1"/>
              <w:jc w:val="center"/>
              <w:rPr>
                <w:snapToGrid w:val="0"/>
              </w:rPr>
            </w:pPr>
            <w:r w:rsidRPr="0085503A">
              <w:rPr>
                <w:snapToGrid w:val="0"/>
              </w:rPr>
              <w:t>Not used</w:t>
            </w:r>
          </w:p>
        </w:tc>
      </w:tr>
      <w:tr w:rsidR="008B6FC0" w:rsidRPr="00CE45B9" w14:paraId="2D6312CF" w14:textId="77777777" w:rsidTr="001F64FE">
        <w:trPr>
          <w:cantSplit/>
        </w:trPr>
        <w:tc>
          <w:tcPr>
            <w:tcW w:w="652" w:type="pct"/>
            <w:shd w:val="clear" w:color="auto" w:fill="auto"/>
          </w:tcPr>
          <w:p w14:paraId="06A35E71" w14:textId="5C77298F" w:rsidR="001E2F59" w:rsidRPr="005C3B2B" w:rsidRDefault="00211285" w:rsidP="005C3B2B">
            <w:pPr>
              <w:pStyle w:val="Tabletext1"/>
            </w:pPr>
            <w:hyperlink w:anchor="_ENREF_38" w:tooltip="Hopper, 2018 #49" w:history="1">
              <w:r w:rsidR="001F781A">
                <w:fldChar w:fldCharType="begin"/>
              </w:r>
              <w:r w:rsidR="001F781A">
                <w:instrText xml:space="preserve"> ADDIN EN.CITE &lt;EndNote&gt;&lt;Cite AuthorYear="1"&gt;&lt;Author&gt;Hopper&lt;/Author&gt;&lt;Year&gt;2018&lt;/Year&gt;&lt;RecNum&gt;49&lt;/RecNum&gt;&lt;DisplayText&gt;Hopper, Sandhu, Parsons, Rose, and Einck (2018)&lt;/DisplayText&gt;&lt;record&gt;&lt;rec-number&gt;49&lt;/rec-number&gt;&lt;foreign-keys&gt;&lt;key app="EN" db-id="sx5wsdwv795wvue959xxw0ptaewvdezxxp05" timestamp="1604876377"&gt;49&lt;/key&gt;&lt;/foreign-keys&gt;&lt;ref-type name="Journal Article"&gt;17&lt;/ref-type&gt;&lt;contributors&gt;&lt;authors&gt;&lt;author&gt;Hopper, A. B.&lt;/author&gt;&lt;author&gt;Sandhu, A. P. S.&lt;/author&gt;&lt;author&gt;Parsons, J. K.&lt;/author&gt;&lt;author&gt;Rose, B.&lt;/author&gt;&lt;author&gt;Einck, J. P.&lt;/author&gt;&lt;/authors&gt;&lt;/contributors&gt;&lt;titles&gt;&lt;title&gt;Salvage image guided radiation therapy to the prostate after cryotherapy failure&lt;/title&gt;&lt;secondary-title&gt;Advances in Radiation Oncology&lt;/secondary-title&gt;&lt;/titles&gt;&lt;pages&gt;52-56&lt;/pages&gt;&lt;volume&gt;3&lt;/volume&gt;&lt;number&gt;1&lt;/number&gt;&lt;dates&gt;&lt;year&gt;2018&lt;/year&gt;&lt;/dates&gt;&lt;accession-num&gt;619240347&lt;/accession-num&gt;&lt;urls&gt;&lt;related-urls&gt;&lt;url&gt;http://www.journals.elsevier.com/advances-in-radiation-oncology/http://ezproxy.library.usyd.edu.au/login?url=http://ovidsp.ovid.com/ovidweb.cgi?T=JS&amp;amp;CSC=Y&amp;amp;NEWS=N&amp;amp;PAGE=fulltext&amp;amp;D=emed19&amp;amp;AN=619240347https://sydney.alma.exlibrisgroup.com/openurl/61USYD_INST/&lt;/url&gt;&lt;url&gt;https://www.ncbi.nlm.nih.gov/pmc/articles/PMC5856984/pdf/main.pdf&lt;/url&gt;&lt;/related-urls&gt;&lt;/urls&gt;&lt;electronic-resource-num&gt;http://dx.doi.org/10.1016/j.adro.2017.09.001&lt;/electronic-resource-num&gt;&lt;/record&gt;&lt;/Cite&gt;&lt;/EndNote&gt;</w:instrText>
              </w:r>
              <w:r w:rsidR="001F781A">
                <w:fldChar w:fldCharType="separate"/>
              </w:r>
              <w:r w:rsidR="001F781A">
                <w:rPr>
                  <w:noProof/>
                </w:rPr>
                <w:t>Hopper, Sandhu, Parsons, Rose, and Einck (2018)</w:t>
              </w:r>
              <w:r w:rsidR="001F781A">
                <w:fldChar w:fldCharType="end"/>
              </w:r>
            </w:hyperlink>
          </w:p>
        </w:tc>
        <w:tc>
          <w:tcPr>
            <w:tcW w:w="562" w:type="pct"/>
            <w:shd w:val="clear" w:color="auto" w:fill="auto"/>
          </w:tcPr>
          <w:p w14:paraId="446ABBA4" w14:textId="302FDC65" w:rsidR="001E2F59" w:rsidRDefault="001E2F59" w:rsidP="005C3B2B">
            <w:pPr>
              <w:pStyle w:val="Tabletext1"/>
              <w:jc w:val="center"/>
              <w:rPr>
                <w:snapToGrid w:val="0"/>
              </w:rPr>
            </w:pPr>
            <w:r w:rsidRPr="005C3B2B">
              <w:t>8</w:t>
            </w:r>
          </w:p>
        </w:tc>
        <w:tc>
          <w:tcPr>
            <w:tcW w:w="1088" w:type="pct"/>
            <w:shd w:val="clear" w:color="auto" w:fill="auto"/>
          </w:tcPr>
          <w:p w14:paraId="4DAD4AF5" w14:textId="19A84A64" w:rsidR="001E2F59" w:rsidRDefault="001E2F59" w:rsidP="005C3B2B">
            <w:pPr>
              <w:pStyle w:val="Tabletext1"/>
              <w:jc w:val="center"/>
              <w:rPr>
                <w:snapToGrid w:val="0"/>
              </w:rPr>
            </w:pPr>
            <w:r w:rsidRPr="005C3B2B">
              <w:t>Retrospective CS</w:t>
            </w:r>
          </w:p>
        </w:tc>
        <w:tc>
          <w:tcPr>
            <w:tcW w:w="770" w:type="pct"/>
            <w:shd w:val="clear" w:color="auto" w:fill="auto"/>
          </w:tcPr>
          <w:p w14:paraId="305DA6F9" w14:textId="77777777" w:rsidR="001E2F59" w:rsidRDefault="001E2F59" w:rsidP="005C3B2B">
            <w:pPr>
              <w:pStyle w:val="Tabletext1"/>
              <w:jc w:val="center"/>
              <w:rPr>
                <w:snapToGrid w:val="0"/>
              </w:rPr>
            </w:pPr>
            <w:r w:rsidRPr="005C3B2B">
              <w:t xml:space="preserve">IMRT, </w:t>
            </w:r>
            <w:r>
              <w:rPr>
                <w:snapToGrid w:val="0"/>
              </w:rPr>
              <w:t>salvage</w:t>
            </w:r>
          </w:p>
          <w:p w14:paraId="0C2184AE" w14:textId="46867B89" w:rsidR="001E2F59" w:rsidRPr="005C3B2B" w:rsidRDefault="001E2F59" w:rsidP="005C3B2B">
            <w:pPr>
              <w:pStyle w:val="Tabletext1"/>
              <w:jc w:val="center"/>
            </w:pPr>
            <w:r>
              <w:rPr>
                <w:snapToGrid w:val="0"/>
              </w:rPr>
              <w:t>DE</w:t>
            </w:r>
          </w:p>
        </w:tc>
        <w:tc>
          <w:tcPr>
            <w:tcW w:w="835" w:type="pct"/>
            <w:shd w:val="clear" w:color="auto" w:fill="auto"/>
          </w:tcPr>
          <w:p w14:paraId="7CEBBB5C" w14:textId="1C03F239" w:rsidR="001E2F59" w:rsidRDefault="001E2F59" w:rsidP="005C3B2B">
            <w:pPr>
              <w:pStyle w:val="Tabletext1"/>
              <w:jc w:val="center"/>
              <w:rPr>
                <w:snapToGrid w:val="0"/>
              </w:rPr>
            </w:pPr>
            <w:r w:rsidRPr="005C3B2B">
              <w:t>Prostate cancer, failure after cryotherapy</w:t>
            </w:r>
          </w:p>
        </w:tc>
        <w:tc>
          <w:tcPr>
            <w:tcW w:w="637" w:type="pct"/>
            <w:shd w:val="clear" w:color="auto" w:fill="auto"/>
          </w:tcPr>
          <w:p w14:paraId="7A7FA271" w14:textId="21DBD2C6" w:rsidR="001E2F59" w:rsidRDefault="001E2F59" w:rsidP="005C3B2B">
            <w:pPr>
              <w:pStyle w:val="Tabletext1"/>
              <w:jc w:val="center"/>
              <w:rPr>
                <w:snapToGrid w:val="0"/>
              </w:rPr>
            </w:pPr>
            <w:r w:rsidRPr="00B932EF">
              <w:rPr>
                <w:snapToGrid w:val="0"/>
              </w:rPr>
              <w:t>Toxicity</w:t>
            </w:r>
          </w:p>
        </w:tc>
        <w:tc>
          <w:tcPr>
            <w:tcW w:w="456" w:type="pct"/>
            <w:shd w:val="clear" w:color="auto" w:fill="auto"/>
          </w:tcPr>
          <w:p w14:paraId="0D87CA28" w14:textId="52ACBBE6" w:rsidR="001E2F59" w:rsidRDefault="001E2F59" w:rsidP="005C3B2B">
            <w:pPr>
              <w:pStyle w:val="Tabletext1"/>
              <w:jc w:val="center"/>
              <w:rPr>
                <w:snapToGrid w:val="0"/>
              </w:rPr>
            </w:pPr>
            <w:r w:rsidRPr="0085503A">
              <w:rPr>
                <w:snapToGrid w:val="0"/>
              </w:rPr>
              <w:t>Not used</w:t>
            </w:r>
          </w:p>
        </w:tc>
      </w:tr>
      <w:tr w:rsidR="008B6FC0" w:rsidRPr="00CE45B9" w14:paraId="1DB36283" w14:textId="77777777" w:rsidTr="001F64FE">
        <w:trPr>
          <w:cantSplit/>
        </w:trPr>
        <w:tc>
          <w:tcPr>
            <w:tcW w:w="652" w:type="pct"/>
            <w:shd w:val="clear" w:color="auto" w:fill="auto"/>
          </w:tcPr>
          <w:p w14:paraId="74B0E2C0" w14:textId="62824297" w:rsidR="001E2F59" w:rsidRPr="005C3B2B" w:rsidRDefault="00211285" w:rsidP="005C3B2B">
            <w:pPr>
              <w:pStyle w:val="Tabletext1"/>
            </w:pPr>
            <w:hyperlink w:anchor="_ENREF_40" w:tooltip="Ingrosso, 2017 #51" w:history="1">
              <w:r w:rsidR="008B6FC0">
                <w:fldChar w:fldCharType="begin"/>
              </w:r>
              <w:r w:rsidR="008B6FC0">
                <w:instrText xml:space="preserve"> ADDIN EN.CITE &lt;EndNote&gt;&lt;Cite AuthorYear="1"&gt;&lt;Author&gt;Ingrosso&lt;/Author&gt;&lt;Year&gt;2017&lt;/Year&gt;&lt;RecNum&gt;51&lt;/RecNum&gt;&lt;DisplayText&gt;Ingrosso et al. (2017)&lt;/DisplayText&gt;&lt;record&gt;&lt;rec-number&gt;51&lt;/rec-number&gt;&lt;foreign-keys&gt;&lt;key app="EN" db-id="sx5wsdwv795wvue959xxw0ptaewvdezxxp05" timestamp="1604876395"&gt;51&lt;/key&gt;&lt;/foreign-keys&gt;&lt;ref-type name="Journal Article"&gt;17&lt;/ref-type&gt;&lt;contributors&gt;&lt;authors&gt;&lt;author&gt;Ingrosso, G.&lt;/author&gt;&lt;author&gt;Carosi, A.&lt;/author&gt;&lt;author&gt;di Cristino, D.&lt;/author&gt;&lt;author&gt;Ponti, E.&lt;/author&gt;&lt;author&gt;Lancia, A.&lt;/author&gt;&lt;author&gt;Murgia, A.&lt;/author&gt;&lt;author&gt;Bruni, C.&lt;/author&gt;&lt;author&gt;Morelli, P.&lt;/author&gt;&lt;author&gt;Pietrasanta, F.&lt;/author&gt;&lt;author&gt;Santoni, R.&lt;/author&gt;&lt;/authors&gt;&lt;/contributors&gt;&lt;titles&gt;&lt;title&gt;Volumetric image-guided highly conformal radiotherapy of the prostate bed: Toxicity analysis&lt;/title&gt;&lt;secondary-title&gt;Reports of Practical Oncology and Radiotherapy&lt;/secondary-title&gt;&lt;/titles&gt;&lt;pages&gt;64-70&lt;/pages&gt;&lt;volume&gt;22&lt;/volume&gt;&lt;number&gt;1&lt;/number&gt;&lt;dates&gt;&lt;year&gt;2017&lt;/year&gt;&lt;/dates&gt;&lt;accession-num&gt;613351188&lt;/accession-num&gt;&lt;urls&gt;&lt;related-urls&gt;&lt;url&gt;http://www.elsevier.com/wps/find/journaldescription.cws_home/719699/description#descriptionhttp://ezproxy.library.usyd.edu.au/login?url=http://ovidsp.ovid.com/ovidweb.cgi?T=JS&amp;amp;CSC=Y&amp;amp;NEWS=N&amp;amp;PAGE=fulltext&amp;amp;D=emed18&amp;amp;AN=613351188https://sydney.alma.exlibrisgro&lt;/url&gt;&lt;url&gt;https://www.ncbi.nlm.nih.gov/pmc/articles/PMC5126144/pdf/main.pdf&lt;/url&gt;&lt;/related-urls&gt;&lt;/urls&gt;&lt;custom2&gt;include-prostate cancer toxicity&lt;/custom2&gt;&lt;electronic-resource-num&gt;http://dx.doi.org/10.1016/j.rpor.2016.10.006&lt;/electronic-resource-num&gt;&lt;/record&gt;&lt;/Cite&gt;&lt;/EndNote&gt;</w:instrText>
              </w:r>
              <w:r w:rsidR="008B6FC0">
                <w:fldChar w:fldCharType="separate"/>
              </w:r>
              <w:r w:rsidR="008B6FC0">
                <w:rPr>
                  <w:noProof/>
                </w:rPr>
                <w:t>Ingrosso et al. (2017)</w:t>
              </w:r>
              <w:r w:rsidR="008B6FC0">
                <w:fldChar w:fldCharType="end"/>
              </w:r>
            </w:hyperlink>
          </w:p>
        </w:tc>
        <w:tc>
          <w:tcPr>
            <w:tcW w:w="562" w:type="pct"/>
            <w:shd w:val="clear" w:color="auto" w:fill="auto"/>
          </w:tcPr>
          <w:p w14:paraId="40F7CB33" w14:textId="6640E03E" w:rsidR="001E2F59" w:rsidRPr="005C3B2B" w:rsidRDefault="001E2F59" w:rsidP="005C3B2B">
            <w:pPr>
              <w:pStyle w:val="Tabletext1"/>
              <w:jc w:val="center"/>
            </w:pPr>
            <w:r w:rsidRPr="005C3B2B">
              <w:t>118</w:t>
            </w:r>
          </w:p>
        </w:tc>
        <w:tc>
          <w:tcPr>
            <w:tcW w:w="1088" w:type="pct"/>
            <w:shd w:val="clear" w:color="auto" w:fill="auto"/>
          </w:tcPr>
          <w:p w14:paraId="7D3B2948" w14:textId="16EF242A" w:rsidR="001E2F59" w:rsidRPr="005C3B2B" w:rsidRDefault="001E2F59" w:rsidP="005C3B2B">
            <w:pPr>
              <w:pStyle w:val="Tabletext1"/>
              <w:jc w:val="center"/>
            </w:pPr>
            <w:r w:rsidRPr="005C3B2B">
              <w:t>Retrospective CS</w:t>
            </w:r>
          </w:p>
        </w:tc>
        <w:tc>
          <w:tcPr>
            <w:tcW w:w="770" w:type="pct"/>
            <w:shd w:val="clear" w:color="auto" w:fill="auto"/>
          </w:tcPr>
          <w:p w14:paraId="61ABB37A" w14:textId="0CB72264" w:rsidR="001E2F59" w:rsidRPr="005C3B2B" w:rsidRDefault="001E2F59" w:rsidP="005C3B2B">
            <w:pPr>
              <w:pStyle w:val="Tabletext1"/>
              <w:jc w:val="center"/>
            </w:pPr>
            <w:r w:rsidRPr="005C3B2B">
              <w:t>3D-CRT</w:t>
            </w:r>
          </w:p>
        </w:tc>
        <w:tc>
          <w:tcPr>
            <w:tcW w:w="835" w:type="pct"/>
            <w:shd w:val="clear" w:color="auto" w:fill="auto"/>
          </w:tcPr>
          <w:p w14:paraId="13114722" w14:textId="07C9030C" w:rsidR="001E2F59" w:rsidRPr="005C3B2B" w:rsidRDefault="001E2F59" w:rsidP="005C3B2B">
            <w:pPr>
              <w:pStyle w:val="Tabletext1"/>
              <w:jc w:val="center"/>
            </w:pPr>
            <w:r w:rsidRPr="005C3B2B">
              <w:t>Prostate cancer, post RP</w:t>
            </w:r>
          </w:p>
        </w:tc>
        <w:tc>
          <w:tcPr>
            <w:tcW w:w="637" w:type="pct"/>
            <w:shd w:val="clear" w:color="auto" w:fill="auto"/>
          </w:tcPr>
          <w:p w14:paraId="18E2A7D7" w14:textId="775EE495" w:rsidR="001E2F59" w:rsidRPr="005C3B2B" w:rsidRDefault="001E2F59" w:rsidP="005C3B2B">
            <w:pPr>
              <w:pStyle w:val="Tabletext1"/>
              <w:jc w:val="center"/>
            </w:pPr>
            <w:r w:rsidRPr="00B932EF">
              <w:rPr>
                <w:snapToGrid w:val="0"/>
              </w:rPr>
              <w:t>Toxicity</w:t>
            </w:r>
          </w:p>
        </w:tc>
        <w:tc>
          <w:tcPr>
            <w:tcW w:w="456" w:type="pct"/>
            <w:shd w:val="clear" w:color="auto" w:fill="auto"/>
          </w:tcPr>
          <w:p w14:paraId="4A4D9755" w14:textId="188F9E63" w:rsidR="001E2F59" w:rsidRPr="005C3B2B" w:rsidRDefault="001E2F59" w:rsidP="005C3B2B">
            <w:pPr>
              <w:pStyle w:val="Tabletext1"/>
              <w:jc w:val="center"/>
            </w:pPr>
            <w:r w:rsidRPr="0085503A">
              <w:rPr>
                <w:snapToGrid w:val="0"/>
              </w:rPr>
              <w:t>Not used</w:t>
            </w:r>
          </w:p>
        </w:tc>
      </w:tr>
      <w:tr w:rsidR="008B6FC0" w:rsidRPr="00CE45B9" w14:paraId="2734F631" w14:textId="77777777" w:rsidTr="001F64FE">
        <w:trPr>
          <w:cantSplit/>
        </w:trPr>
        <w:tc>
          <w:tcPr>
            <w:tcW w:w="652" w:type="pct"/>
            <w:shd w:val="clear" w:color="auto" w:fill="auto"/>
          </w:tcPr>
          <w:p w14:paraId="4CD56478" w14:textId="3A418D6C" w:rsidR="00C42543" w:rsidRPr="005C3B2B" w:rsidRDefault="00211285" w:rsidP="005C3B2B">
            <w:pPr>
              <w:pStyle w:val="Tabletext1"/>
            </w:pPr>
            <w:hyperlink w:anchor="_ENREF_39" w:tooltip="Ingrosso, 2018 #50" w:history="1">
              <w:r w:rsidR="008B6FC0">
                <w:fldChar w:fldCharType="begin"/>
              </w:r>
              <w:r w:rsidR="008B6FC0">
                <w:instrText xml:space="preserve"> ADDIN EN.CITE &lt;EndNote&gt;&lt;Cite AuthorYear="1"&gt;&lt;Author&gt;Ingrosso&lt;/Author&gt;&lt;Year&gt;2018&lt;/Year&gt;&lt;RecNum&gt;50&lt;/RecNum&gt;&lt;DisplayText&gt;Ingrosso et al. (2018)&lt;/DisplayText&gt;&lt;record&gt;&lt;rec-number&gt;50&lt;/rec-number&gt;&lt;foreign-keys&gt;&lt;key app="EN" db-id="sx5wsdwv795wvue959xxw0ptaewvdezxxp05" timestamp="1604876395"&gt;50&lt;/key&gt;&lt;/foreign-keys&gt;&lt;ref-type name="Journal Article"&gt;17&lt;/ref-type&gt;&lt;contributors&gt;&lt;authors&gt;&lt;author&gt;Ingrosso, G.&lt;/author&gt;&lt;author&gt;Carosi, A.&lt;/author&gt;&lt;author&gt;Cristino, D. D.&lt;/author&gt;&lt;author&gt;Ponti, E.&lt;/author&gt;&lt;author&gt;Lancia, A.&lt;/author&gt;&lt;author&gt;Bottero, M.&lt;/author&gt;&lt;author&gt;Cancelli, A.&lt;/author&gt;&lt;author&gt;Murgia, A.&lt;/author&gt;&lt;author&gt;Turturici, I.&lt;/author&gt;&lt;author&gt;Santoni, R.&lt;/author&gt;&lt;/authors&gt;&lt;/contributors&gt;&lt;titles&gt;&lt;title&gt;Volumetric image-guided conformal radiotherapy for localized prostate cancer: Analysis of dosimetric and clinical factors affecting acute and late toxicity&lt;/title&gt;&lt;secondary-title&gt;Reports of Practical Oncology and Radiotherapy&lt;/secondary-title&gt;&lt;/titles&gt;&lt;pages&gt;315-321&lt;/pages&gt;&lt;volume&gt;23&lt;/volume&gt;&lt;number&gt;5&lt;/number&gt;&lt;dates&gt;&lt;year&gt;2018&lt;/year&gt;&lt;/dates&gt;&lt;accession-num&gt;2001023098&lt;/accession-num&gt;&lt;urls&gt;&lt;related-urls&gt;&lt;url&gt;http://www.elsevier.com/wps/find/journaldescription.cws_home/719699/description#descriptionhttp://ezproxy.library.usyd.edu.au/login?url=http://ovidsp.ovid.com/ovidweb.cgi?T=JS&amp;amp;CSC=Y&amp;amp;NEWS=N&amp;amp;PAGE=fulltext&amp;amp;D=emed19&amp;amp;AN=2001023098https://sydney.alma.exlibrisgr&lt;/url&gt;&lt;url&gt;https://www.ncbi.nlm.nih.gov/pmc/articles/PMC6097402/pdf/main.pdf&lt;/url&gt;&lt;/related-urls&gt;&lt;/urls&gt;&lt;custom2&gt;include-prostate cancer toxicity (overlap with Ingrosso 2014)&lt;/custom2&gt;&lt;custom6&gt;toxicity&lt;/custom6&gt;&lt;electronic-resource-num&gt;http://dx.doi.org/10.1016/j.rpor.2018.07.010&lt;/electronic-resource-num&gt;&lt;/record&gt;&lt;/Cite&gt;&lt;/EndNote&gt;</w:instrText>
              </w:r>
              <w:r w:rsidR="008B6FC0">
                <w:fldChar w:fldCharType="separate"/>
              </w:r>
              <w:r w:rsidR="008B6FC0">
                <w:rPr>
                  <w:noProof/>
                </w:rPr>
                <w:t>Ingrosso et al. (2018)</w:t>
              </w:r>
              <w:r w:rsidR="008B6FC0">
                <w:fldChar w:fldCharType="end"/>
              </w:r>
            </w:hyperlink>
          </w:p>
        </w:tc>
        <w:tc>
          <w:tcPr>
            <w:tcW w:w="562" w:type="pct"/>
            <w:shd w:val="clear" w:color="auto" w:fill="auto"/>
          </w:tcPr>
          <w:p w14:paraId="317C1E32" w14:textId="4FA03EB4" w:rsidR="00C42543" w:rsidRDefault="00C42543" w:rsidP="005C3B2B">
            <w:pPr>
              <w:pStyle w:val="Tabletext1"/>
              <w:jc w:val="center"/>
              <w:rPr>
                <w:snapToGrid w:val="0"/>
              </w:rPr>
            </w:pPr>
            <w:r w:rsidRPr="005C3B2B">
              <w:t>294</w:t>
            </w:r>
          </w:p>
        </w:tc>
        <w:tc>
          <w:tcPr>
            <w:tcW w:w="1088" w:type="pct"/>
            <w:shd w:val="clear" w:color="auto" w:fill="auto"/>
          </w:tcPr>
          <w:p w14:paraId="019F2C66" w14:textId="13153EBE" w:rsidR="00C42543" w:rsidRDefault="00C42543" w:rsidP="005C3B2B">
            <w:pPr>
              <w:pStyle w:val="Tabletext1"/>
              <w:jc w:val="center"/>
              <w:rPr>
                <w:snapToGrid w:val="0"/>
              </w:rPr>
            </w:pPr>
            <w:r w:rsidRPr="005C3B2B">
              <w:t>Retrospective</w:t>
            </w:r>
            <w:r w:rsidR="00CA2C92" w:rsidRPr="005C3B2B">
              <w:t xml:space="preserve"> CS</w:t>
            </w:r>
          </w:p>
        </w:tc>
        <w:tc>
          <w:tcPr>
            <w:tcW w:w="770" w:type="pct"/>
            <w:shd w:val="clear" w:color="auto" w:fill="auto"/>
          </w:tcPr>
          <w:p w14:paraId="5276FC6D" w14:textId="56A21B5A" w:rsidR="00C42543" w:rsidRDefault="00CA2C92" w:rsidP="005C3B2B">
            <w:pPr>
              <w:pStyle w:val="Tabletext1"/>
              <w:jc w:val="center"/>
              <w:rPr>
                <w:snapToGrid w:val="0"/>
              </w:rPr>
            </w:pPr>
            <w:r w:rsidRPr="005C3B2B">
              <w:t>3D-CRT</w:t>
            </w:r>
          </w:p>
        </w:tc>
        <w:tc>
          <w:tcPr>
            <w:tcW w:w="835" w:type="pct"/>
            <w:shd w:val="clear" w:color="auto" w:fill="auto"/>
          </w:tcPr>
          <w:p w14:paraId="39BEC45B" w14:textId="3599141F" w:rsidR="00C42543" w:rsidRDefault="00C42543" w:rsidP="005C3B2B">
            <w:pPr>
              <w:pStyle w:val="Tabletext1"/>
              <w:jc w:val="center"/>
              <w:rPr>
                <w:snapToGrid w:val="0"/>
              </w:rPr>
            </w:pPr>
            <w:r w:rsidRPr="005C3B2B">
              <w:t xml:space="preserve">Prostate </w:t>
            </w:r>
            <w:r w:rsidR="00CA2C92" w:rsidRPr="005C3B2B">
              <w:t xml:space="preserve">cancer, </w:t>
            </w:r>
            <w:r w:rsidRPr="005C3B2B">
              <w:t>localised</w:t>
            </w:r>
          </w:p>
        </w:tc>
        <w:tc>
          <w:tcPr>
            <w:tcW w:w="637" w:type="pct"/>
            <w:shd w:val="clear" w:color="auto" w:fill="auto"/>
          </w:tcPr>
          <w:p w14:paraId="667FA56E" w14:textId="5559E177"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49FA6D03" w14:textId="742B79EE" w:rsidR="00C42543" w:rsidRDefault="00C42543" w:rsidP="005C3B2B">
            <w:pPr>
              <w:pStyle w:val="Tabletext1"/>
              <w:jc w:val="center"/>
              <w:rPr>
                <w:snapToGrid w:val="0"/>
              </w:rPr>
            </w:pPr>
            <w:r w:rsidRPr="0085503A">
              <w:rPr>
                <w:snapToGrid w:val="0"/>
              </w:rPr>
              <w:t>Not used</w:t>
            </w:r>
          </w:p>
        </w:tc>
      </w:tr>
      <w:tr w:rsidR="008B6FC0" w:rsidRPr="00CE45B9" w14:paraId="65ABB09D" w14:textId="77777777" w:rsidTr="001F64FE">
        <w:trPr>
          <w:cantSplit/>
        </w:trPr>
        <w:tc>
          <w:tcPr>
            <w:tcW w:w="652" w:type="pct"/>
            <w:shd w:val="clear" w:color="auto" w:fill="auto"/>
          </w:tcPr>
          <w:p w14:paraId="7C314992" w14:textId="7FDB37A8" w:rsidR="00C42543" w:rsidRPr="005C3B2B" w:rsidRDefault="00211285" w:rsidP="005C3B2B">
            <w:pPr>
              <w:pStyle w:val="Tabletext1"/>
            </w:pPr>
            <w:hyperlink w:anchor="_ENREF_41" w:tooltip="Ishii, 2016 #52" w:history="1">
              <w:r w:rsidR="008B6FC0">
                <w:fldChar w:fldCharType="begin"/>
              </w:r>
              <w:r w:rsidR="008B6FC0">
                <w:instrText xml:space="preserve"> ADDIN EN.CITE &lt;EndNote&gt;&lt;Cite AuthorYear="1"&gt;&lt;Author&gt;Ishii&lt;/Author&gt;&lt;Year&gt;2016&lt;/Year&gt;&lt;RecNum&gt;52&lt;/RecNum&gt;&lt;DisplayText&gt;Ishii et al. (2016)&lt;/DisplayText&gt;&lt;record&gt;&lt;rec-number&gt;52&lt;/rec-number&gt;&lt;foreign-keys&gt;&lt;key app="EN" db-id="sx5wsdwv795wvue959xxw0ptaewvdezxxp05" timestamp="1604876395"&gt;52&lt;/key&gt;&lt;/foreign-keys&gt;&lt;ref-type name="Journal Article"&gt;17&lt;/ref-type&gt;&lt;contributors&gt;&lt;authors&gt;&lt;author&gt;Ishii, K.&lt;/author&gt;&lt;author&gt;Ogino, R.&lt;/author&gt;&lt;author&gt;Hosokawa, Y.&lt;/author&gt;&lt;author&gt;Fujioka, C.&lt;/author&gt;&lt;author&gt;Okada, W.&lt;/author&gt;&lt;author&gt;Nakahara, R.&lt;/author&gt;&lt;author&gt;Kawamorita, R.&lt;/author&gt;&lt;author&gt;Tada, T.&lt;/author&gt;&lt;author&gt;Hayashi, Y.&lt;/author&gt;&lt;author&gt;Nakajima, T.&lt;/author&gt;&lt;/authors&gt;&lt;/contributors&gt;&lt;titles&gt;&lt;title&gt;Comparison of dosimetric parameters and acute toxicity after whole-pelvic vs prostate-only volumetric-modulated arc therapy with daily image guidance for prostate cancer&lt;/title&gt;&lt;secondary-title&gt;Br J Radiol&lt;/secondary-title&gt;&lt;/titles&gt;&lt;pages&gt;20150930&lt;/pages&gt;&lt;volume&gt;89&lt;/volume&gt;&lt;number&gt;1062&lt;/number&gt;&lt;dates&gt;&lt;year&gt;2016&lt;/year&gt;&lt;/dates&gt;&lt;accession-num&gt;26959612&lt;/accession-num&gt;&lt;urls&gt;&lt;related-urls&gt;&lt;url&gt;http://ezproxy.library.usyd.edu.au/login?url=http://ovidsp.ovid.com/ovidweb.cgi?T=JS&amp;amp;CSC=Y&amp;amp;NEWS=N&amp;amp;PAGE=fulltext&amp;amp;D=med13&amp;amp;AN=26959612https://sydney.alma.exlibrisgroup.com/openurl/61USYD_INST/61USYD_INST:sydney?sid=OVID:medline&amp;amp;id=pmid:26959612&amp;amp;id=doi:10.125&lt;/url&gt;&lt;url&gt;https://www.ncbi.nlm.nih.gov/pmc/articles/PMC5258156/pdf/bjr.20150930.pdf&lt;/url&gt;&lt;/related-urls&gt;&lt;/urls&gt;&lt;custom2&gt;include - overlap with Ishii 2015?&lt;/custom2&gt;&lt;electronic-resource-num&gt;https://dx.doi.org/10.1259/bjr.20150930&lt;/electronic-resource-num&gt;&lt;/record&gt;&lt;/Cite&gt;&lt;/EndNote&gt;</w:instrText>
              </w:r>
              <w:r w:rsidR="008B6FC0">
                <w:fldChar w:fldCharType="separate"/>
              </w:r>
              <w:r w:rsidR="008B6FC0">
                <w:rPr>
                  <w:noProof/>
                </w:rPr>
                <w:t>Ishii et al. (2016)</w:t>
              </w:r>
              <w:r w:rsidR="008B6FC0">
                <w:fldChar w:fldCharType="end"/>
              </w:r>
            </w:hyperlink>
          </w:p>
        </w:tc>
        <w:tc>
          <w:tcPr>
            <w:tcW w:w="562" w:type="pct"/>
            <w:shd w:val="clear" w:color="auto" w:fill="auto"/>
          </w:tcPr>
          <w:p w14:paraId="09E06C8A" w14:textId="664EFEAA" w:rsidR="00C42543" w:rsidRDefault="00C42543" w:rsidP="005C3B2B">
            <w:pPr>
              <w:pStyle w:val="Tabletext1"/>
              <w:jc w:val="center"/>
              <w:rPr>
                <w:snapToGrid w:val="0"/>
              </w:rPr>
            </w:pPr>
            <w:r w:rsidRPr="005C3B2B">
              <w:t>224</w:t>
            </w:r>
          </w:p>
        </w:tc>
        <w:tc>
          <w:tcPr>
            <w:tcW w:w="1088" w:type="pct"/>
            <w:shd w:val="clear" w:color="auto" w:fill="auto"/>
          </w:tcPr>
          <w:p w14:paraId="01B09F69" w14:textId="49A3FC46" w:rsidR="00C42543" w:rsidRDefault="00A91BBC" w:rsidP="005C3B2B">
            <w:pPr>
              <w:pStyle w:val="Tabletext1"/>
              <w:jc w:val="center"/>
              <w:rPr>
                <w:snapToGrid w:val="0"/>
              </w:rPr>
            </w:pPr>
            <w:r w:rsidRPr="005C3B2B">
              <w:t xml:space="preserve">Consecutive </w:t>
            </w:r>
            <w:r w:rsidR="00E2309B" w:rsidRPr="005C3B2B">
              <w:t>Coh,</w:t>
            </w:r>
            <w:r w:rsidR="00C42543" w:rsidRPr="005C3B2B">
              <w:t xml:space="preserve"> </w:t>
            </w:r>
            <w:r w:rsidRPr="005C3B2B">
              <w:t xml:space="preserve">comparative </w:t>
            </w:r>
            <w:r w:rsidR="00C42543" w:rsidRPr="005C3B2B">
              <w:t>(PORT vs WP</w:t>
            </w:r>
            <w:r w:rsidRPr="005C3B2B">
              <w:t>)</w:t>
            </w:r>
          </w:p>
        </w:tc>
        <w:tc>
          <w:tcPr>
            <w:tcW w:w="770" w:type="pct"/>
            <w:shd w:val="clear" w:color="auto" w:fill="auto"/>
          </w:tcPr>
          <w:p w14:paraId="6FE0383D" w14:textId="4E99B2EC" w:rsidR="00C42543" w:rsidRDefault="00C42543" w:rsidP="005C3B2B">
            <w:pPr>
              <w:pStyle w:val="Tabletext1"/>
              <w:jc w:val="center"/>
              <w:rPr>
                <w:snapToGrid w:val="0"/>
              </w:rPr>
            </w:pPr>
            <w:r w:rsidRPr="005C3B2B">
              <w:t>VMAT</w:t>
            </w:r>
          </w:p>
        </w:tc>
        <w:tc>
          <w:tcPr>
            <w:tcW w:w="835" w:type="pct"/>
            <w:shd w:val="clear" w:color="auto" w:fill="auto"/>
          </w:tcPr>
          <w:p w14:paraId="07DA65BD" w14:textId="3CB6DF1A" w:rsidR="00C42543" w:rsidRDefault="00C42543" w:rsidP="005C3B2B">
            <w:pPr>
              <w:pStyle w:val="Tabletext1"/>
              <w:jc w:val="center"/>
              <w:rPr>
                <w:snapToGrid w:val="0"/>
              </w:rPr>
            </w:pPr>
            <w:r w:rsidRPr="005C3B2B">
              <w:t xml:space="preserve">Prostate </w:t>
            </w:r>
            <w:r w:rsidR="006C6E71" w:rsidRPr="005C3B2B">
              <w:t xml:space="preserve">cancer, </w:t>
            </w:r>
            <w:r w:rsidRPr="005C3B2B">
              <w:t>localised</w:t>
            </w:r>
            <w:r w:rsidR="006C6E71" w:rsidRPr="005C3B2B">
              <w:t>, high-risk</w:t>
            </w:r>
          </w:p>
        </w:tc>
        <w:tc>
          <w:tcPr>
            <w:tcW w:w="637" w:type="pct"/>
            <w:shd w:val="clear" w:color="auto" w:fill="auto"/>
          </w:tcPr>
          <w:p w14:paraId="607DCB84" w14:textId="42F18849"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54F56836" w14:textId="470636DB" w:rsidR="00C42543" w:rsidRDefault="00C42543" w:rsidP="005C3B2B">
            <w:pPr>
              <w:pStyle w:val="Tabletext1"/>
              <w:jc w:val="center"/>
              <w:rPr>
                <w:snapToGrid w:val="0"/>
              </w:rPr>
            </w:pPr>
            <w:r w:rsidRPr="0085503A">
              <w:rPr>
                <w:snapToGrid w:val="0"/>
              </w:rPr>
              <w:t>Not used</w:t>
            </w:r>
          </w:p>
        </w:tc>
      </w:tr>
      <w:tr w:rsidR="008B6FC0" w:rsidRPr="00CE45B9" w14:paraId="0DFFF3DA" w14:textId="77777777" w:rsidTr="001F64FE">
        <w:trPr>
          <w:cantSplit/>
        </w:trPr>
        <w:tc>
          <w:tcPr>
            <w:tcW w:w="652" w:type="pct"/>
            <w:shd w:val="clear" w:color="auto" w:fill="auto"/>
          </w:tcPr>
          <w:p w14:paraId="4B6E43D8" w14:textId="17F3168E" w:rsidR="00C42543" w:rsidRPr="005C3B2B" w:rsidRDefault="00211285" w:rsidP="005C3B2B">
            <w:pPr>
              <w:pStyle w:val="Tabletext1"/>
            </w:pPr>
            <w:hyperlink w:anchor="_ENREF_42" w:tooltip="Keall, 2020 #54" w:history="1">
              <w:r w:rsidR="008B6FC0">
                <w:fldChar w:fldCharType="begin"/>
              </w:r>
              <w:r w:rsidR="008B6FC0">
                <w:instrText xml:space="preserve"> ADDIN EN.CITE &lt;EndNote&gt;&lt;Cite AuthorYear="1"&gt;&lt;Author&gt;Keall&lt;/Author&gt;&lt;Year&gt;2020&lt;/Year&gt;&lt;RecNum&gt;54&lt;/RecNum&gt;&lt;DisplayText&gt;Keall et al. (2020)&lt;/DisplayText&gt;&lt;record&gt;&lt;rec-number&gt;54&lt;/rec-number&gt;&lt;foreign-keys&gt;&lt;key app="EN" db-id="sx5wsdwv795wvue959xxw0ptaewvdezxxp05" timestamp="1604876395"&gt;54&lt;/key&gt;&lt;/foreign-keys&gt;&lt;ref-type name="Journal Article"&gt;17&lt;/ref-type&gt;&lt;contributors&gt;&lt;authors&gt;&lt;author&gt;Keall, P.&lt;/author&gt;&lt;author&gt;Nguyen, D. T.&lt;/author&gt;&lt;author&gt;O&amp;apos;Brien, R.&lt;/author&gt;&lt;author&gt;Hewson, E.&lt;/author&gt;&lt;author&gt;Ball, H.&lt;/author&gt;&lt;author&gt;Poulsen, P.&lt;/author&gt;&lt;author&gt;Booth, J.&lt;/author&gt;&lt;author&gt;Greer, P.&lt;/author&gt;&lt;author&gt;Hunter, P.&lt;/author&gt;&lt;author&gt;Wilton, L.&lt;/author&gt;&lt;author&gt;Bromley, R.&lt;/author&gt;&lt;author&gt;Kipritidis, J.&lt;/author&gt;&lt;author&gt;Eade, T.&lt;/author&gt;&lt;author&gt;Kneebone, A.&lt;/author&gt;&lt;author&gt;Hruby, G.&lt;/author&gt;&lt;author&gt;Moodie, T.&lt;/author&gt;&lt;author&gt;Hayden, A.&lt;/author&gt;&lt;author&gt;Turner, S.&lt;/author&gt;&lt;author&gt;Arumugam, S.&lt;/author&gt;&lt;author&gt;Sidhom, M.&lt;/author&gt;&lt;author&gt;Hardcastle, N.&lt;/author&gt;&lt;author&gt;Siva, S.&lt;/author&gt;&lt;author&gt;Tai, K. H.&lt;/author&gt;&lt;author&gt;Gebski, V.&lt;/author&gt;&lt;author&gt;Martin, J.&lt;/author&gt;&lt;/authors&gt;&lt;/contributors&gt;&lt;titles&gt;&lt;title&gt;Real-Time Image Guided Ablative Prostate Cancer Radiation Therapy: Results From the TROG 15.01 SPARK Trial&lt;/title&gt;&lt;secondary-title&gt;International Journal of Radiation Oncology Biology Physics&lt;/secondary-title&gt;&lt;/titles&gt;&lt;pages&gt;530-538&lt;/pages&gt;&lt;volume&gt;107&lt;/volume&gt;&lt;number&gt;3&lt;/number&gt;&lt;dates&gt;&lt;year&gt;2020&lt;/year&gt;&lt;/dates&gt;&lt;accession-num&gt;2005761092&lt;/accession-num&gt;&lt;urls&gt;&lt;related-urls&gt;&lt;url&gt;http://www.elsevier.com/locate/ijrobphttp://ezproxy.library.usyd.edu.au/login?url=http://ovidsp.ovid.com/ovidweb.cgi?T=JS&amp;amp;CSC=Y&amp;amp;NEWS=N&amp;amp;PAGE=fulltext&amp;amp;D=emexb&amp;amp;AN=2005761092https://sydney.alma.exlibrisgroup.com/openurl/61USYD_INST/61USYD_INST:sydney?sid=OVID&lt;/url&gt;&lt;/related-urls&gt;&lt;/urls&gt;&lt;custom2&gt;prostate, GI and GU toxicity&lt;/custom2&gt;&lt;electronic-resource-num&gt;http://dx.doi.org/10.1016/j.ijrobp.2020.03.014&lt;/electronic-resource-num&gt;&lt;/record&gt;&lt;/Cite&gt;&lt;/EndNote&gt;</w:instrText>
              </w:r>
              <w:r w:rsidR="008B6FC0">
                <w:fldChar w:fldCharType="separate"/>
              </w:r>
              <w:r w:rsidR="008B6FC0">
                <w:rPr>
                  <w:noProof/>
                </w:rPr>
                <w:t>Keall et al. (2020)</w:t>
              </w:r>
              <w:r w:rsidR="008B6FC0">
                <w:fldChar w:fldCharType="end"/>
              </w:r>
            </w:hyperlink>
          </w:p>
        </w:tc>
        <w:tc>
          <w:tcPr>
            <w:tcW w:w="562" w:type="pct"/>
            <w:shd w:val="clear" w:color="auto" w:fill="auto"/>
          </w:tcPr>
          <w:p w14:paraId="602D9886" w14:textId="68B6328B" w:rsidR="00C42543" w:rsidRDefault="00C42543" w:rsidP="005C3B2B">
            <w:pPr>
              <w:pStyle w:val="Tabletext1"/>
              <w:jc w:val="center"/>
              <w:rPr>
                <w:snapToGrid w:val="0"/>
              </w:rPr>
            </w:pPr>
            <w:r w:rsidRPr="005C3B2B">
              <w:t>48</w:t>
            </w:r>
          </w:p>
        </w:tc>
        <w:tc>
          <w:tcPr>
            <w:tcW w:w="1088" w:type="pct"/>
            <w:shd w:val="clear" w:color="auto" w:fill="auto"/>
          </w:tcPr>
          <w:p w14:paraId="50412B77" w14:textId="0495E3A4" w:rsidR="00C42543" w:rsidRDefault="00C42543" w:rsidP="005C3B2B">
            <w:pPr>
              <w:pStyle w:val="Tabletext1"/>
              <w:jc w:val="center"/>
              <w:rPr>
                <w:snapToGrid w:val="0"/>
              </w:rPr>
            </w:pPr>
            <w:r w:rsidRPr="005C3B2B">
              <w:t xml:space="preserve">Prospective </w:t>
            </w:r>
            <w:r w:rsidR="004432E9" w:rsidRPr="005C3B2B">
              <w:t>multicentric</w:t>
            </w:r>
            <w:r w:rsidRPr="005C3B2B">
              <w:t xml:space="preserve"> </w:t>
            </w:r>
            <w:r w:rsidR="00D747A1" w:rsidRPr="005C3B2B">
              <w:t xml:space="preserve">SA Coh </w:t>
            </w:r>
            <w:r w:rsidR="00565FFF" w:rsidRPr="005C3B2B">
              <w:t>(</w:t>
            </w:r>
            <w:r w:rsidRPr="005C3B2B">
              <w:t>trial</w:t>
            </w:r>
            <w:r w:rsidR="00565FFF" w:rsidRPr="005C3B2B">
              <w:t>)</w:t>
            </w:r>
          </w:p>
        </w:tc>
        <w:tc>
          <w:tcPr>
            <w:tcW w:w="770" w:type="pct"/>
            <w:shd w:val="clear" w:color="auto" w:fill="auto"/>
          </w:tcPr>
          <w:p w14:paraId="6F2D4573" w14:textId="2D1D8F34" w:rsidR="00C42543" w:rsidRDefault="00C42543" w:rsidP="005C3B2B">
            <w:pPr>
              <w:pStyle w:val="Tabletext1"/>
              <w:jc w:val="center"/>
              <w:rPr>
                <w:snapToGrid w:val="0"/>
              </w:rPr>
            </w:pPr>
            <w:r w:rsidRPr="005C3B2B">
              <w:t>SABR</w:t>
            </w:r>
          </w:p>
        </w:tc>
        <w:tc>
          <w:tcPr>
            <w:tcW w:w="835" w:type="pct"/>
            <w:shd w:val="clear" w:color="auto" w:fill="auto"/>
          </w:tcPr>
          <w:p w14:paraId="36CE4916" w14:textId="2FD922B0" w:rsidR="00C42543" w:rsidRDefault="00C42543" w:rsidP="005C3B2B">
            <w:pPr>
              <w:pStyle w:val="Tabletext1"/>
              <w:jc w:val="center"/>
              <w:rPr>
                <w:snapToGrid w:val="0"/>
              </w:rPr>
            </w:pPr>
            <w:r w:rsidRPr="005C3B2B">
              <w:t>Prostate cancer</w:t>
            </w:r>
            <w:r w:rsidR="00565FFF" w:rsidRPr="005C3B2B">
              <w:t>,</w:t>
            </w:r>
            <w:r w:rsidRPr="005C3B2B">
              <w:t xml:space="preserve"> intermediate risk</w:t>
            </w:r>
            <w:r w:rsidR="00D747A1" w:rsidRPr="005C3B2B">
              <w:t xml:space="preserve"> (96%</w:t>
            </w:r>
            <w:r w:rsidRPr="005C3B2B">
              <w:t>)</w:t>
            </w:r>
          </w:p>
        </w:tc>
        <w:tc>
          <w:tcPr>
            <w:tcW w:w="637" w:type="pct"/>
            <w:shd w:val="clear" w:color="auto" w:fill="auto"/>
          </w:tcPr>
          <w:p w14:paraId="22D691A8" w14:textId="3F690225"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1C9EAA82" w14:textId="70B7E20F" w:rsidR="00C42543" w:rsidRDefault="002C1A5B" w:rsidP="005C3B2B">
            <w:pPr>
              <w:pStyle w:val="Tabletext1"/>
              <w:jc w:val="center"/>
              <w:rPr>
                <w:snapToGrid w:val="0"/>
              </w:rPr>
            </w:pPr>
            <w:r w:rsidRPr="0085503A">
              <w:rPr>
                <w:snapToGrid w:val="0"/>
              </w:rPr>
              <w:t>Not used</w:t>
            </w:r>
          </w:p>
        </w:tc>
      </w:tr>
      <w:tr w:rsidR="008B6FC0" w:rsidRPr="00CE45B9" w14:paraId="2F638FBE" w14:textId="77777777" w:rsidTr="001F64FE">
        <w:trPr>
          <w:cantSplit/>
        </w:trPr>
        <w:tc>
          <w:tcPr>
            <w:tcW w:w="652" w:type="pct"/>
            <w:shd w:val="clear" w:color="auto" w:fill="auto"/>
          </w:tcPr>
          <w:p w14:paraId="6941A58B" w14:textId="63B4F610" w:rsidR="00B64BF0" w:rsidRPr="005C3B2B" w:rsidRDefault="00211285" w:rsidP="005C3B2B">
            <w:pPr>
              <w:pStyle w:val="Tabletext1"/>
            </w:pPr>
            <w:hyperlink w:anchor="_ENREF_49" w:tooltip="Levin-Epstein, 2020 #58" w:history="1">
              <w:r w:rsidR="008B6FC0">
                <w:fldChar w:fldCharType="begin">
                  <w:fldData xml:space="preserve">PEVuZE5vdGU+PENpdGUgQXV0aG9yWWVhcj0iMSI+PEF1dGhvcj5MZXZpbi1FcHN0ZWluPC9BdXRo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</w:fldData>
                </w:fldChar>
              </w:r>
              <w:r w:rsidR="008B6FC0">
                <w:instrText xml:space="preserve"> ADDIN EN.CITE </w:instrText>
              </w:r>
              <w:r w:rsidR="008B6FC0">
                <w:fldChar w:fldCharType="begin">
                  <w:fldData xml:space="preserve">PEVuZE5vdGU+PENpdGUgQXV0aG9yWWVhcj0iMSI+PEF1dGhvcj5MZXZpbi1FcHN0ZWluPC9BdXRo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</w:fldData>
                </w:fldChar>
              </w:r>
              <w:r w:rsidR="008B6FC0">
                <w:instrText xml:space="preserve"> ADDIN EN.CITE.DATA </w:instrText>
              </w:r>
              <w:r w:rsidR="008B6FC0">
                <w:fldChar w:fldCharType="end"/>
              </w:r>
              <w:r w:rsidR="008B6FC0">
                <w:fldChar w:fldCharType="separate"/>
              </w:r>
              <w:r w:rsidR="008B6FC0">
                <w:rPr>
                  <w:noProof/>
                </w:rPr>
                <w:t>Levin-Epstein et al. (2020)</w:t>
              </w:r>
              <w:r w:rsidR="008B6FC0">
                <w:fldChar w:fldCharType="end"/>
              </w:r>
            </w:hyperlink>
          </w:p>
        </w:tc>
        <w:tc>
          <w:tcPr>
            <w:tcW w:w="562" w:type="pct"/>
            <w:shd w:val="clear" w:color="auto" w:fill="auto"/>
          </w:tcPr>
          <w:p w14:paraId="1678AB07" w14:textId="1609051F" w:rsidR="00B64BF0" w:rsidRPr="005C3B2B" w:rsidRDefault="00AC6BFD" w:rsidP="005C3B2B">
            <w:pPr>
              <w:pStyle w:val="Tabletext1"/>
              <w:jc w:val="center"/>
            </w:pPr>
            <w:r w:rsidRPr="005C3B2B">
              <w:t>205</w:t>
            </w:r>
          </w:p>
        </w:tc>
        <w:tc>
          <w:tcPr>
            <w:tcW w:w="1088" w:type="pct"/>
            <w:shd w:val="clear" w:color="auto" w:fill="auto"/>
          </w:tcPr>
          <w:p w14:paraId="2E45E3BE" w14:textId="171B3A91" w:rsidR="00B64BF0" w:rsidRPr="005C3B2B" w:rsidRDefault="00AC6BFD" w:rsidP="005C3B2B">
            <w:pPr>
              <w:pStyle w:val="Tabletext1"/>
              <w:jc w:val="center"/>
            </w:pPr>
            <w:r w:rsidRPr="005C3B2B">
              <w:t>Prospective</w:t>
            </w:r>
            <w:r w:rsidR="00A817EB" w:rsidRPr="005C3B2B">
              <w:t xml:space="preserve"> Coh</w:t>
            </w:r>
          </w:p>
        </w:tc>
        <w:tc>
          <w:tcPr>
            <w:tcW w:w="770" w:type="pct"/>
            <w:shd w:val="clear" w:color="auto" w:fill="auto"/>
          </w:tcPr>
          <w:p w14:paraId="4A3EAC57" w14:textId="3EBF76E2" w:rsidR="00B64BF0" w:rsidRPr="005C3B2B" w:rsidRDefault="00AC6BFD" w:rsidP="005C3B2B">
            <w:pPr>
              <w:pStyle w:val="Tabletext1"/>
              <w:jc w:val="center"/>
            </w:pPr>
            <w:r w:rsidRPr="005C3B2B">
              <w:t>SBRT</w:t>
            </w:r>
          </w:p>
        </w:tc>
        <w:tc>
          <w:tcPr>
            <w:tcW w:w="835" w:type="pct"/>
            <w:shd w:val="clear" w:color="auto" w:fill="auto"/>
          </w:tcPr>
          <w:p w14:paraId="616667E9" w14:textId="597CF878" w:rsidR="00B64BF0" w:rsidRPr="005C3B2B" w:rsidRDefault="00AC6BFD" w:rsidP="005C3B2B">
            <w:pPr>
              <w:pStyle w:val="Tabletext1"/>
              <w:jc w:val="center"/>
            </w:pPr>
            <w:r w:rsidRPr="005C3B2B">
              <w:t>Prostate cancer, localised</w:t>
            </w:r>
          </w:p>
        </w:tc>
        <w:tc>
          <w:tcPr>
            <w:tcW w:w="637" w:type="pct"/>
            <w:shd w:val="clear" w:color="auto" w:fill="auto"/>
          </w:tcPr>
          <w:p w14:paraId="30AD3B79" w14:textId="2B5F801C" w:rsidR="00B64BF0" w:rsidRPr="00B932EF" w:rsidRDefault="00AC6BFD" w:rsidP="005C3B2B">
            <w:pPr>
              <w:pStyle w:val="Tabletext1"/>
              <w:jc w:val="center"/>
              <w:rPr>
                <w:snapToGrid w:val="0"/>
              </w:rPr>
            </w:pPr>
            <w:r w:rsidRPr="00B932EF">
              <w:rPr>
                <w:snapToGrid w:val="0"/>
              </w:rPr>
              <w:t>Toxicity</w:t>
            </w:r>
          </w:p>
        </w:tc>
        <w:tc>
          <w:tcPr>
            <w:tcW w:w="456" w:type="pct"/>
            <w:shd w:val="clear" w:color="auto" w:fill="auto"/>
          </w:tcPr>
          <w:p w14:paraId="00CF6508" w14:textId="09C27157" w:rsidR="00B64BF0" w:rsidRPr="0085503A" w:rsidRDefault="00AC6BFD" w:rsidP="005C3B2B">
            <w:pPr>
              <w:pStyle w:val="Tabletext1"/>
              <w:jc w:val="center"/>
              <w:rPr>
                <w:snapToGrid w:val="0"/>
              </w:rPr>
            </w:pPr>
            <w:r w:rsidRPr="0085503A">
              <w:rPr>
                <w:snapToGrid w:val="0"/>
              </w:rPr>
              <w:t>Not used</w:t>
            </w:r>
          </w:p>
        </w:tc>
      </w:tr>
      <w:tr w:rsidR="008B6FC0" w:rsidRPr="00CE45B9" w14:paraId="27C201D7" w14:textId="77777777" w:rsidTr="001F64FE">
        <w:trPr>
          <w:cantSplit/>
        </w:trPr>
        <w:tc>
          <w:tcPr>
            <w:tcW w:w="652" w:type="pct"/>
            <w:shd w:val="clear" w:color="auto" w:fill="auto"/>
          </w:tcPr>
          <w:p w14:paraId="2F3AB5A2" w14:textId="3050B1A9" w:rsidR="00C42543" w:rsidRPr="005C3B2B" w:rsidRDefault="00211285" w:rsidP="005C3B2B">
            <w:pPr>
              <w:pStyle w:val="Tabletext1"/>
            </w:pPr>
            <w:hyperlink w:anchor="_ENREF_52" w:tooltip="Nakamura, 2018 #59" w:history="1">
              <w:r w:rsidR="008B6FC0">
                <w:fldChar w:fldCharType="begin"/>
              </w:r>
              <w:r w:rsidR="008B6FC0">
                <w:instrText xml:space="preserve"> ADDIN EN.CITE &lt;EndNote&gt;&lt;Cite AuthorYear="1"&gt;&lt;Author&gt;Nakamura&lt;/Author&gt;&lt;Year&gt;2018&lt;/Year&gt;&lt;RecNum&gt;59&lt;/RecNum&gt;&lt;DisplayText&gt;Nakamura et al. (2018)&lt;/DisplayText&gt;&lt;record&gt;&lt;rec-number&gt;59&lt;/rec-number&gt;&lt;foreign-keys&gt;&lt;key app="EN" db-id="sx5wsdwv795wvue959xxw0ptaewvdezxxp05" timestamp="1604876396"&gt;59&lt;/key&gt;&lt;/foreign-keys&gt;&lt;ref-type name="Journal Article"&gt;17&lt;/ref-type&gt;&lt;contributors&gt;&lt;authors&gt;&lt;author&gt;Nakamura, K.&lt;/author&gt;&lt;author&gt;Mizowaki, T.&lt;/author&gt;&lt;author&gt;Inokuchi, H.&lt;/author&gt;&lt;author&gt;Ikeda, I.&lt;/author&gt;&lt;author&gt;Inoue, T.&lt;/author&gt;&lt;author&gt;Kamba, T.&lt;/author&gt;&lt;author&gt;Ogawa, O.&lt;/author&gt;&lt;author&gt;Hiraoka, M.&lt;/author&gt;&lt;/authors&gt;&lt;/contributors&gt;&lt;titles&gt;&lt;title&gt;Decreased acute toxicities of intensity-modulated radiation therapy for localized prostate cancer with prostate-based versus bone-based image guidance&lt;/title&gt;&lt;secondary-title&gt;Int J Clin Oncol&lt;/secondary-title&gt;&lt;/titles&gt;&lt;pages&gt;158-164&lt;/pages&gt;&lt;volume&gt;23&lt;/volume&gt;&lt;number&gt;1&lt;/number&gt;&lt;dates&gt;&lt;year&gt;2018&lt;/year&gt;&lt;/dates&gt;&lt;accession-num&gt;28756594&lt;/accession-num&gt;&lt;urls&gt;&lt;related-urls&gt;&lt;url&gt;http://ezproxy.library.usyd.edu.au/login?url=http://ovidsp.ovid.com/ovidweb.cgi?T=JS&amp;amp;CSC=Y&amp;amp;NEWS=N&amp;amp;PAGE=fulltext&amp;amp;D=med15&amp;amp;AN=28756594https://sydney.alma.exlibrisgroup.com/openurl/61USYD_INST/61USYD_INST:sydney?sid=OVID:medline&amp;amp;id=pmid:28756594&amp;amp;id=doi:10.100&lt;/url&gt;&lt;url&gt;https://link.springer.com/content/pdf/10.1007/s10147-017-1174-2.pdf&lt;/url&gt;&lt;/related-urls&gt;&lt;/urls&gt;&lt;electronic-resource-num&gt;https://dx.doi.org/10.1007/s10147-017-1174-2&lt;/electronic-resource-num&gt;&lt;/record&gt;&lt;/Cite&gt;&lt;/EndNote&gt;</w:instrText>
              </w:r>
              <w:r w:rsidR="008B6FC0">
                <w:fldChar w:fldCharType="separate"/>
              </w:r>
              <w:r w:rsidR="008B6FC0">
                <w:rPr>
                  <w:noProof/>
                </w:rPr>
                <w:t>Nakamura et al. (2018)</w:t>
              </w:r>
              <w:r w:rsidR="008B6FC0">
                <w:fldChar w:fldCharType="end"/>
              </w:r>
            </w:hyperlink>
          </w:p>
        </w:tc>
        <w:tc>
          <w:tcPr>
            <w:tcW w:w="562" w:type="pct"/>
            <w:shd w:val="clear" w:color="auto" w:fill="auto"/>
          </w:tcPr>
          <w:p w14:paraId="7A56CD9B" w14:textId="704913DC" w:rsidR="00C42543" w:rsidRDefault="008F290C" w:rsidP="005C3B2B">
            <w:pPr>
              <w:pStyle w:val="Tabletext1"/>
              <w:jc w:val="center"/>
              <w:rPr>
                <w:snapToGrid w:val="0"/>
              </w:rPr>
            </w:pPr>
            <w:r w:rsidRPr="005C3B2B">
              <w:t>96</w:t>
            </w:r>
            <w:r w:rsidR="00B8147C" w:rsidRPr="005C3B2B">
              <w:t xml:space="preserve">* (total </w:t>
            </w:r>
            <w:r w:rsidR="00E25066" w:rsidRPr="005C3B2B">
              <w:t>192)</w:t>
            </w:r>
          </w:p>
        </w:tc>
        <w:tc>
          <w:tcPr>
            <w:tcW w:w="1088" w:type="pct"/>
            <w:shd w:val="clear" w:color="auto" w:fill="auto"/>
          </w:tcPr>
          <w:p w14:paraId="6F1AB7A1" w14:textId="4A2B5563" w:rsidR="00C42543" w:rsidRDefault="00040924" w:rsidP="005C3B2B">
            <w:pPr>
              <w:pStyle w:val="Tabletext1"/>
              <w:jc w:val="center"/>
              <w:rPr>
                <w:snapToGrid w:val="0"/>
              </w:rPr>
            </w:pPr>
            <w:r w:rsidRPr="005C3B2B">
              <w:t>C</w:t>
            </w:r>
            <w:r w:rsidR="00C42543" w:rsidRPr="005C3B2B">
              <w:t>onsecutive</w:t>
            </w:r>
            <w:r w:rsidRPr="005C3B2B">
              <w:t xml:space="preserve"> Coh, c</w:t>
            </w:r>
            <w:r w:rsidR="00C42543" w:rsidRPr="005C3B2B">
              <w:t xml:space="preserve">omparative </w:t>
            </w:r>
            <w:r w:rsidRPr="005C3B2B">
              <w:t>(before</w:t>
            </w:r>
            <w:r w:rsidR="00C42543" w:rsidRPr="005C3B2B">
              <w:t>-after</w:t>
            </w:r>
            <w:r w:rsidR="007D1405" w:rsidRPr="005C3B2B">
              <w:t>,</w:t>
            </w:r>
            <w:r w:rsidR="00C42543" w:rsidRPr="005C3B2B">
              <w:t xml:space="preserve"> bony structure-based vs prostate-based IGRT)</w:t>
            </w:r>
          </w:p>
        </w:tc>
        <w:tc>
          <w:tcPr>
            <w:tcW w:w="770" w:type="pct"/>
            <w:shd w:val="clear" w:color="auto" w:fill="auto"/>
          </w:tcPr>
          <w:p w14:paraId="6F03934C" w14:textId="19B94C4F" w:rsidR="00C42543" w:rsidRDefault="007539A9" w:rsidP="005C3B2B">
            <w:pPr>
              <w:pStyle w:val="Tabletext1"/>
              <w:jc w:val="center"/>
              <w:rPr>
                <w:snapToGrid w:val="0"/>
              </w:rPr>
            </w:pPr>
            <w:r w:rsidRPr="005C3B2B">
              <w:t>IMRT</w:t>
            </w:r>
          </w:p>
        </w:tc>
        <w:tc>
          <w:tcPr>
            <w:tcW w:w="835" w:type="pct"/>
            <w:shd w:val="clear" w:color="auto" w:fill="auto"/>
          </w:tcPr>
          <w:p w14:paraId="7736B587" w14:textId="2B57902E" w:rsidR="00C42543" w:rsidRDefault="00C42543" w:rsidP="005C3B2B">
            <w:pPr>
              <w:pStyle w:val="Tabletext1"/>
              <w:jc w:val="center"/>
              <w:rPr>
                <w:snapToGrid w:val="0"/>
              </w:rPr>
            </w:pPr>
            <w:r w:rsidRPr="005C3B2B">
              <w:t xml:space="preserve">Prostate </w:t>
            </w:r>
            <w:r w:rsidR="00CA0718" w:rsidRPr="005C3B2B">
              <w:t xml:space="preserve">cancer, </w:t>
            </w:r>
            <w:r w:rsidR="007539A9" w:rsidRPr="005C3B2B">
              <w:t xml:space="preserve">localised, </w:t>
            </w:r>
            <w:r w:rsidRPr="005C3B2B">
              <w:t>low and intermediate risk</w:t>
            </w:r>
          </w:p>
        </w:tc>
        <w:tc>
          <w:tcPr>
            <w:tcW w:w="637" w:type="pct"/>
            <w:shd w:val="clear" w:color="auto" w:fill="auto"/>
          </w:tcPr>
          <w:p w14:paraId="08DF040B" w14:textId="285AE391"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6EAAC12E" w14:textId="41D8E9F2" w:rsidR="00C42543" w:rsidRDefault="00C42543" w:rsidP="005C3B2B">
            <w:pPr>
              <w:pStyle w:val="Tabletext1"/>
              <w:jc w:val="center"/>
              <w:rPr>
                <w:snapToGrid w:val="0"/>
              </w:rPr>
            </w:pPr>
            <w:r w:rsidRPr="0085503A">
              <w:rPr>
                <w:snapToGrid w:val="0"/>
              </w:rPr>
              <w:t>Not used</w:t>
            </w:r>
          </w:p>
        </w:tc>
      </w:tr>
      <w:tr w:rsidR="008B6FC0" w:rsidRPr="00CE45B9" w14:paraId="41A0A888" w14:textId="77777777" w:rsidTr="001F64FE">
        <w:trPr>
          <w:cantSplit/>
        </w:trPr>
        <w:tc>
          <w:tcPr>
            <w:tcW w:w="652" w:type="pct"/>
            <w:shd w:val="clear" w:color="auto" w:fill="auto"/>
          </w:tcPr>
          <w:p w14:paraId="20CCF94F" w14:textId="22BC5ED0" w:rsidR="00C42543" w:rsidRPr="005C3B2B" w:rsidRDefault="00211285" w:rsidP="005C3B2B">
            <w:pPr>
              <w:pStyle w:val="Tabletext1"/>
            </w:pPr>
            <w:hyperlink w:anchor="_ENREF_53" w:tooltip="Naoi, 2019 #60" w:history="1">
              <w:r w:rsidR="008B6FC0">
                <w:fldChar w:fldCharType="begin"/>
              </w:r>
              <w:r w:rsidR="008B6FC0">
                <w:instrText xml:space="preserve"> ADDIN EN.CITE &lt;EndNote&gt;&lt;Cite AuthorYear="1"&gt;&lt;Author&gt;Naoi&lt;/Author&gt;&lt;Year&gt;2019&lt;/Year&gt;&lt;RecNum&gt;60&lt;/RecNum&gt;&lt;DisplayText&gt;Naoi et al. (2019)&lt;/DisplayText&gt;&lt;record&gt;&lt;rec-number&gt;60&lt;/rec-number&gt;&lt;foreign-keys&gt;&lt;key app="EN" db-id="sx5wsdwv795wvue959xxw0ptaewvdezxxp05" timestamp="1604876396"&gt;60&lt;/key&gt;&lt;/foreign-keys&gt;&lt;ref-type name="Journal Article"&gt;17&lt;/ref-type&gt;&lt;contributors&gt;&lt;authors&gt;&lt;author&gt;Naoi, Y.&lt;/author&gt;&lt;author&gt;Yamada, K.&lt;/author&gt;&lt;author&gt;Kurokawa, C.&lt;/author&gt;&lt;author&gt;Kunogi, H.&lt;/author&gt;&lt;author&gt;Sakamoto, Y.&lt;/author&gt;&lt;author&gt;Sasai, K.&lt;/author&gt;&lt;/authors&gt;&lt;/contributors&gt;&lt;titles&gt;&lt;title&gt;Late rectal bleeding after volumetric-modulated arc therapy for localised prostatic cancer&lt;/title&gt;&lt;secondary-title&gt;Journal of Radiotherapy in Practice&lt;/secondary-title&gt;&lt;/titles&gt;&lt;pages&gt;165-168&lt;/pages&gt;&lt;volume&gt;18&lt;/volume&gt;&lt;number&gt;2&lt;/number&gt;&lt;dates&gt;&lt;year&gt;2019&lt;/year&gt;&lt;/dates&gt;&lt;accession-num&gt;624679491&lt;/accession-num&gt;&lt;urls&gt;&lt;related-urls&gt;&lt;url&gt;http://journals.cambridge.org/action/displayJournal?jid=JRPhttp://ezproxy.library.usyd.edu.au/login?url=http://ovidsp.ovid.com/ovidweb.cgi?T=JS&amp;amp;CSC=Y&amp;amp;NEWS=N&amp;amp;PAGE=fulltext&amp;amp;D=emexa&amp;amp;AN=624679491https://sydney.alma.exlibrisgroup.com/openurl/61USYD_INST/61USYD&lt;/url&gt;&lt;url&gt;https://www.cambridge.org/core/services/aop-cambridge-core/content/view/EF7B6745EB9C45B26378E3DBF558F5D2/S1460396918000560a.pdf/div-class-title-late-rectal-bleeding-after-volumetric-modulated-arc-therapy-for-localised-prostatic-cancer-div.pdf&lt;/url&gt;&lt;/related-urls&gt;&lt;/urls&gt;&lt;electronic-resource-num&gt;http://dx.doi.org/10.1017/S1460396918000560&lt;/electronic-resource-num&gt;&lt;/record&gt;&lt;/Cite&gt;&lt;/EndNote&gt;</w:instrText>
              </w:r>
              <w:r w:rsidR="008B6FC0">
                <w:fldChar w:fldCharType="separate"/>
              </w:r>
              <w:r w:rsidR="008B6FC0">
                <w:rPr>
                  <w:noProof/>
                </w:rPr>
                <w:t>Naoi et al. (2019)</w:t>
              </w:r>
              <w:r w:rsidR="008B6FC0">
                <w:fldChar w:fldCharType="end"/>
              </w:r>
            </w:hyperlink>
          </w:p>
        </w:tc>
        <w:tc>
          <w:tcPr>
            <w:tcW w:w="562" w:type="pct"/>
            <w:shd w:val="clear" w:color="auto" w:fill="auto"/>
          </w:tcPr>
          <w:p w14:paraId="72851CEB" w14:textId="1BC53350" w:rsidR="00C42543" w:rsidRDefault="00C42543" w:rsidP="005C3B2B">
            <w:pPr>
              <w:pStyle w:val="Tabletext1"/>
              <w:jc w:val="center"/>
              <w:rPr>
                <w:snapToGrid w:val="0"/>
              </w:rPr>
            </w:pPr>
            <w:r w:rsidRPr="005C3B2B">
              <w:t>73</w:t>
            </w:r>
          </w:p>
        </w:tc>
        <w:tc>
          <w:tcPr>
            <w:tcW w:w="1088" w:type="pct"/>
            <w:shd w:val="clear" w:color="auto" w:fill="auto"/>
          </w:tcPr>
          <w:p w14:paraId="77B35FAD" w14:textId="5121FA50" w:rsidR="00C42543" w:rsidRDefault="00236196" w:rsidP="005C3B2B">
            <w:pPr>
              <w:pStyle w:val="Tabletext1"/>
              <w:jc w:val="center"/>
              <w:rPr>
                <w:snapToGrid w:val="0"/>
              </w:rPr>
            </w:pPr>
            <w:r w:rsidRPr="005C3B2B">
              <w:t>CS</w:t>
            </w:r>
          </w:p>
        </w:tc>
        <w:tc>
          <w:tcPr>
            <w:tcW w:w="770" w:type="pct"/>
            <w:shd w:val="clear" w:color="auto" w:fill="auto"/>
          </w:tcPr>
          <w:p w14:paraId="376A56E0" w14:textId="4184107C" w:rsidR="00C42543" w:rsidRDefault="00C42543" w:rsidP="005C3B2B">
            <w:pPr>
              <w:pStyle w:val="Tabletext1"/>
              <w:jc w:val="center"/>
              <w:rPr>
                <w:snapToGrid w:val="0"/>
              </w:rPr>
            </w:pPr>
            <w:r w:rsidRPr="005C3B2B">
              <w:t>VMAT</w:t>
            </w:r>
          </w:p>
        </w:tc>
        <w:tc>
          <w:tcPr>
            <w:tcW w:w="835" w:type="pct"/>
            <w:shd w:val="clear" w:color="auto" w:fill="auto"/>
          </w:tcPr>
          <w:p w14:paraId="05939FED" w14:textId="059D4872" w:rsidR="00C42543" w:rsidRDefault="00C42543" w:rsidP="005C3B2B">
            <w:pPr>
              <w:pStyle w:val="Tabletext1"/>
              <w:jc w:val="center"/>
              <w:rPr>
                <w:snapToGrid w:val="0"/>
              </w:rPr>
            </w:pPr>
            <w:r w:rsidRPr="005C3B2B">
              <w:t xml:space="preserve">Prostate </w:t>
            </w:r>
            <w:r w:rsidR="0030741A" w:rsidRPr="005C3B2B">
              <w:t>cancer,</w:t>
            </w:r>
            <w:r w:rsidRPr="005C3B2B">
              <w:t xml:space="preserve"> locally advanced</w:t>
            </w:r>
          </w:p>
        </w:tc>
        <w:tc>
          <w:tcPr>
            <w:tcW w:w="637" w:type="pct"/>
            <w:shd w:val="clear" w:color="auto" w:fill="auto"/>
          </w:tcPr>
          <w:p w14:paraId="0B6B04B1" w14:textId="3993D290"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239FB99E" w14:textId="7701BC7F" w:rsidR="00C42543" w:rsidRDefault="00C42543" w:rsidP="005C3B2B">
            <w:pPr>
              <w:pStyle w:val="Tabletext1"/>
              <w:jc w:val="center"/>
              <w:rPr>
                <w:snapToGrid w:val="0"/>
              </w:rPr>
            </w:pPr>
            <w:r w:rsidRPr="0085503A">
              <w:rPr>
                <w:snapToGrid w:val="0"/>
              </w:rPr>
              <w:t>Not used</w:t>
            </w:r>
          </w:p>
        </w:tc>
      </w:tr>
      <w:tr w:rsidR="008B6FC0" w:rsidRPr="00CE45B9" w14:paraId="77B8421C" w14:textId="77777777" w:rsidTr="001F64FE">
        <w:trPr>
          <w:cantSplit/>
        </w:trPr>
        <w:tc>
          <w:tcPr>
            <w:tcW w:w="652" w:type="pct"/>
            <w:shd w:val="clear" w:color="auto" w:fill="auto"/>
          </w:tcPr>
          <w:p w14:paraId="640A3571" w14:textId="2F8E10CE" w:rsidR="00C42543" w:rsidRPr="005C3B2B" w:rsidRDefault="00211285" w:rsidP="005C3B2B">
            <w:pPr>
              <w:pStyle w:val="Tabletext1"/>
            </w:pPr>
            <w:hyperlink w:anchor="_ENREF_54" w:tooltip="Nath, 2010 #61" w:history="1">
              <w:r w:rsidR="008B6FC0">
                <w:fldChar w:fldCharType="begin"/>
              </w:r>
              <w:r w:rsidR="008B6FC0">
                <w:instrText xml:space="preserve"> ADDIN EN.CITE &lt;EndNote&gt;&lt;Cite AuthorYear="1"&gt;&lt;Author&gt;Nath&lt;/Author&gt;&lt;Year&gt;2010&lt;/Year&gt;&lt;RecNum&gt;61&lt;/RecNum&gt;&lt;DisplayText&gt;Nath et al. (2010)&lt;/DisplayText&gt;&lt;record&gt;&lt;rec-number&gt;61&lt;/rec-number&gt;&lt;foreign-keys&gt;&lt;key app="EN" db-id="sx5wsdwv795wvue959xxw0ptaewvdezxxp05" timestamp="1604876396"&gt;61&lt;/key&gt;&lt;/foreign-keys&gt;&lt;ref-type name="Journal Article"&gt;17&lt;/ref-type&gt;&lt;contributors&gt;&lt;authors&gt;&lt;author&gt;Nath, S. K.&lt;/author&gt;&lt;author&gt;Sandhu, A. P.&lt;/author&gt;&lt;author&gt;Rose, B. S.&lt;/author&gt;&lt;author&gt;Simpson, D. R.&lt;/author&gt;&lt;author&gt;Nobiensky, P. D.&lt;/author&gt;&lt;author&gt;Wang, J. Z.&lt;/author&gt;&lt;author&gt;Millard, F.&lt;/author&gt;&lt;author&gt;Kane, C. J.&lt;/author&gt;&lt;author&gt;Parsons, J. K.&lt;/author&gt;&lt;author&gt;Mundt, A. J.&lt;/author&gt;&lt;/authors&gt;&lt;/contributors&gt;&lt;titles&gt;&lt;title&gt;Toxicity analysis of postoperative image-guided intensity-modulated radiotherapy for prostate cancer&lt;/title&gt;&lt;secondary-title&gt;Int J Radiat Oncol Biol Phys&lt;/secondary-title&gt;&lt;/titles&gt;&lt;pages&gt;435-41&lt;/pages&gt;&lt;volume&gt;78&lt;/volume&gt;&lt;number&gt;2&lt;/number&gt;&lt;dates&gt;&lt;year&gt;2010&lt;/year&gt;&lt;/dates&gt;&lt;accession-num&gt;19939580&lt;/accession-num&gt;&lt;urls&gt;&lt;related-urls&gt;&lt;url&gt;http://ezproxy.library.usyd.edu.au/login?url=http://ovidsp.ovid.com/ovidweb.cgi?T=JS&amp;amp;CSC=Y&amp;amp;NEWS=N&amp;amp;PAGE=fulltext&amp;amp;D=med8&amp;amp;AN=19939580https://sydney.alma.exlibrisgroup.com/openurl/61USYD_INST/61USYD_INST:sydney?sid=OVID:medline&amp;amp;id=pmid:19939580&amp;amp;id=doi:10.1016&lt;/url&gt;&lt;/related-urls&gt;&lt;/urls&gt;&lt;electronic-resource-num&gt;https://dx.doi.org/10.1016/j.ijrobp.2009.08.023&lt;/electronic-resource-num&gt;&lt;/record&gt;&lt;/Cite&gt;&lt;/EndNote&gt;</w:instrText>
              </w:r>
              <w:r w:rsidR="008B6FC0">
                <w:fldChar w:fldCharType="separate"/>
              </w:r>
              <w:r w:rsidR="008B6FC0">
                <w:rPr>
                  <w:noProof/>
                </w:rPr>
                <w:t>Nath et al. (2010)</w:t>
              </w:r>
              <w:r w:rsidR="008B6FC0">
                <w:fldChar w:fldCharType="end"/>
              </w:r>
            </w:hyperlink>
          </w:p>
        </w:tc>
        <w:tc>
          <w:tcPr>
            <w:tcW w:w="562" w:type="pct"/>
            <w:shd w:val="clear" w:color="auto" w:fill="auto"/>
          </w:tcPr>
          <w:p w14:paraId="76B1107B" w14:textId="1E9B8B3B" w:rsidR="00C42543" w:rsidRDefault="00C42543" w:rsidP="005C3B2B">
            <w:pPr>
              <w:pStyle w:val="Tabletext1"/>
              <w:jc w:val="center"/>
              <w:rPr>
                <w:snapToGrid w:val="0"/>
              </w:rPr>
            </w:pPr>
            <w:r w:rsidRPr="005C3B2B">
              <w:t>50</w:t>
            </w:r>
          </w:p>
        </w:tc>
        <w:tc>
          <w:tcPr>
            <w:tcW w:w="1088" w:type="pct"/>
            <w:shd w:val="clear" w:color="auto" w:fill="auto"/>
          </w:tcPr>
          <w:p w14:paraId="01D23620" w14:textId="3D67CC40" w:rsidR="00C42543" w:rsidRDefault="00D037A0" w:rsidP="005C3B2B">
            <w:pPr>
              <w:pStyle w:val="Tabletext1"/>
              <w:jc w:val="center"/>
              <w:rPr>
                <w:snapToGrid w:val="0"/>
              </w:rPr>
            </w:pPr>
            <w:r w:rsidRPr="005C3B2B">
              <w:t>C</w:t>
            </w:r>
            <w:r w:rsidR="00C42543" w:rsidRPr="005C3B2B">
              <w:t xml:space="preserve">onsecutive </w:t>
            </w:r>
            <w:r w:rsidRPr="005C3B2B">
              <w:t>CS</w:t>
            </w:r>
          </w:p>
        </w:tc>
        <w:tc>
          <w:tcPr>
            <w:tcW w:w="770" w:type="pct"/>
            <w:shd w:val="clear" w:color="auto" w:fill="auto"/>
          </w:tcPr>
          <w:p w14:paraId="78730B6A" w14:textId="09CBD056" w:rsidR="00C42543" w:rsidRDefault="00C055BA" w:rsidP="005C3B2B">
            <w:pPr>
              <w:pStyle w:val="Tabletext1"/>
              <w:jc w:val="center"/>
              <w:rPr>
                <w:snapToGrid w:val="0"/>
              </w:rPr>
            </w:pPr>
            <w:r w:rsidRPr="005C3B2B">
              <w:t>IMRT</w:t>
            </w:r>
          </w:p>
        </w:tc>
        <w:tc>
          <w:tcPr>
            <w:tcW w:w="835" w:type="pct"/>
            <w:shd w:val="clear" w:color="auto" w:fill="auto"/>
          </w:tcPr>
          <w:p w14:paraId="7089DEA3" w14:textId="5E15F827" w:rsidR="00C42543" w:rsidRDefault="00C42543" w:rsidP="005C3B2B">
            <w:pPr>
              <w:pStyle w:val="Tabletext1"/>
              <w:jc w:val="center"/>
              <w:rPr>
                <w:snapToGrid w:val="0"/>
              </w:rPr>
            </w:pPr>
            <w:r w:rsidRPr="005C3B2B">
              <w:t xml:space="preserve">Prostate </w:t>
            </w:r>
            <w:r w:rsidR="00537C36" w:rsidRPr="005C3B2B">
              <w:t xml:space="preserve">cancer, </w:t>
            </w:r>
            <w:r w:rsidR="00D037A0" w:rsidRPr="005C3B2B">
              <w:t xml:space="preserve">localised, </w:t>
            </w:r>
            <w:r w:rsidR="00537C36" w:rsidRPr="005C3B2B">
              <w:t>post RP</w:t>
            </w:r>
          </w:p>
        </w:tc>
        <w:tc>
          <w:tcPr>
            <w:tcW w:w="637" w:type="pct"/>
            <w:shd w:val="clear" w:color="auto" w:fill="auto"/>
          </w:tcPr>
          <w:p w14:paraId="742F112B" w14:textId="18A93A57"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4CB2857F" w14:textId="2F2FEC28" w:rsidR="00C42543" w:rsidRDefault="00C42543" w:rsidP="005C3B2B">
            <w:pPr>
              <w:pStyle w:val="Tabletext1"/>
              <w:jc w:val="center"/>
              <w:rPr>
                <w:snapToGrid w:val="0"/>
              </w:rPr>
            </w:pPr>
            <w:r w:rsidRPr="0085503A">
              <w:rPr>
                <w:snapToGrid w:val="0"/>
              </w:rPr>
              <w:t>Not used</w:t>
            </w:r>
          </w:p>
        </w:tc>
      </w:tr>
      <w:tr w:rsidR="008B6FC0" w:rsidRPr="00CE45B9" w14:paraId="2CD53650" w14:textId="77777777" w:rsidTr="001F64FE">
        <w:trPr>
          <w:cantSplit/>
        </w:trPr>
        <w:tc>
          <w:tcPr>
            <w:tcW w:w="652" w:type="pct"/>
            <w:shd w:val="clear" w:color="auto" w:fill="auto"/>
          </w:tcPr>
          <w:p w14:paraId="72CD185E" w14:textId="78276DFF" w:rsidR="00C42543" w:rsidRPr="005C3B2B" w:rsidRDefault="00211285" w:rsidP="005C3B2B">
            <w:pPr>
              <w:pStyle w:val="Tabletext1"/>
            </w:pPr>
            <w:hyperlink w:anchor="_ENREF_56" w:tooltip="Ost, 2011 #63" w:history="1">
              <w:r w:rsidR="008B6FC0">
                <w:fldChar w:fldCharType="begin"/>
              </w:r>
              <w:r w:rsidR="008B6FC0">
                <w:instrText xml:space="preserve"> ADDIN EN.CITE &lt;EndNote&gt;&lt;Cite AuthorYear="1"&gt;&lt;Author&gt;Ost&lt;/Author&gt;&lt;Year&gt;2011&lt;/Year&gt;&lt;RecNum&gt;63&lt;/RecNum&gt;&lt;DisplayText&gt;Ost et al. (2011)&lt;/DisplayText&gt;&lt;record&gt;&lt;rec-number&gt;63&lt;/rec-number&gt;&lt;foreign-keys&gt;&lt;key app="EN" db-id="sx5wsdwv795wvue959xxw0ptaewvdezxxp05" timestamp="1604876396"&gt;63&lt;/key&gt;&lt;/foreign-keys&gt;&lt;ref-type name="Journal Article"&gt;17&lt;/ref-type&gt;&lt;contributors&gt;&lt;authors&gt;&lt;author&gt;Ost, P.&lt;/author&gt;&lt;author&gt;De Gersem, W.&lt;/author&gt;&lt;author&gt;De Potter, B.&lt;/author&gt;&lt;author&gt;Fonteyne, V.&lt;/author&gt;&lt;author&gt;De Neve, W.&lt;/author&gt;&lt;author&gt;De Meerleer, G.&lt;/author&gt;&lt;/authors&gt;&lt;/contributors&gt;&lt;titles&gt;&lt;title&gt;A comparison of the acute toxicity profile between two-dimensional and three-dimensional image-guided radiotherapy for postoperative prostate cancer&lt;/title&gt;&lt;secondary-title&gt;Clin Oncol (R Coll Radiol)&lt;/secondary-title&gt;&lt;/titles&gt;&lt;pages&gt;344-9&lt;/pages&gt;&lt;volume&gt;23&lt;/volume&gt;&lt;number&gt;5&lt;/number&gt;&lt;dates&gt;&lt;year&gt;2011&lt;/year&gt;&lt;/dates&gt;&lt;accession-num&gt;21353504&lt;/accession-num&gt;&lt;urls&gt;&lt;related-urls&gt;&lt;url&gt;http://ezproxy.library.usyd.edu.au/login?url=http://ovidsp.ovid.com/ovidweb.cgi?T=JS&amp;amp;CSC=Y&amp;amp;NEWS=N&amp;amp;PAGE=fulltext&amp;amp;D=med8&amp;amp;AN=21353504https://sydney.alma.exlibrisgroup.com/openurl/61USYD_INST/61USYD_INST:sydney?sid=OVID:medline&amp;amp;id=pmid:21353504&amp;amp;id=doi:10.1016&lt;/url&gt;&lt;/related-urls&gt;&lt;/urls&gt;&lt;electronic-resource-num&gt;https://dx.doi.org/10.1016/j.clon.2011.01.505&lt;/electronic-resource-num&gt;&lt;/record&gt;&lt;/Cite&gt;&lt;/EndNote&gt;</w:instrText>
              </w:r>
              <w:r w:rsidR="008B6FC0">
                <w:fldChar w:fldCharType="separate"/>
              </w:r>
              <w:r w:rsidR="008B6FC0">
                <w:rPr>
                  <w:noProof/>
                </w:rPr>
                <w:t>Ost et al. (2011)</w:t>
              </w:r>
              <w:r w:rsidR="008B6FC0">
                <w:fldChar w:fldCharType="end"/>
              </w:r>
            </w:hyperlink>
          </w:p>
        </w:tc>
        <w:tc>
          <w:tcPr>
            <w:tcW w:w="562" w:type="pct"/>
            <w:shd w:val="clear" w:color="auto" w:fill="auto"/>
          </w:tcPr>
          <w:p w14:paraId="412CB314" w14:textId="55382B18" w:rsidR="00C42543" w:rsidRDefault="00C42543" w:rsidP="005C3B2B">
            <w:pPr>
              <w:pStyle w:val="Tabletext1"/>
              <w:jc w:val="center"/>
              <w:rPr>
                <w:snapToGrid w:val="0"/>
              </w:rPr>
            </w:pPr>
            <w:r w:rsidRPr="005C3B2B">
              <w:t>80</w:t>
            </w:r>
            <w:r w:rsidR="0017523E" w:rsidRPr="005C3B2B">
              <w:t xml:space="preserve">* (total </w:t>
            </w:r>
            <w:r w:rsidR="002A2D95" w:rsidRPr="005C3B2B">
              <w:t>196)</w:t>
            </w:r>
          </w:p>
        </w:tc>
        <w:tc>
          <w:tcPr>
            <w:tcW w:w="1088" w:type="pct"/>
            <w:shd w:val="clear" w:color="auto" w:fill="auto"/>
          </w:tcPr>
          <w:p w14:paraId="6ADED384" w14:textId="1AAEE9C3" w:rsidR="00C42543" w:rsidRDefault="00966D02" w:rsidP="005C3B2B">
            <w:pPr>
              <w:pStyle w:val="Tabletext1"/>
              <w:jc w:val="center"/>
              <w:rPr>
                <w:snapToGrid w:val="0"/>
              </w:rPr>
            </w:pPr>
            <w:r w:rsidRPr="005C3B2B">
              <w:t>Coh, comparative (b</w:t>
            </w:r>
            <w:r w:rsidR="00C42543" w:rsidRPr="005C3B2B">
              <w:t>efore-after</w:t>
            </w:r>
            <w:r w:rsidRPr="005C3B2B">
              <w:t>,</w:t>
            </w:r>
            <w:r w:rsidR="00C42543" w:rsidRPr="005C3B2B">
              <w:t xml:space="preserve"> </w:t>
            </w:r>
            <w:r w:rsidR="00040DF8" w:rsidRPr="005C3B2B">
              <w:t>EPID</w:t>
            </w:r>
            <w:r w:rsidR="00C42543" w:rsidRPr="005C3B2B">
              <w:t xml:space="preserve"> vs </w:t>
            </w:r>
            <w:r w:rsidR="00040DF8" w:rsidRPr="005C3B2B">
              <w:t>CBCT</w:t>
            </w:r>
            <w:r w:rsidRPr="005C3B2B">
              <w:t>)</w:t>
            </w:r>
          </w:p>
        </w:tc>
        <w:tc>
          <w:tcPr>
            <w:tcW w:w="770" w:type="pct"/>
            <w:shd w:val="clear" w:color="auto" w:fill="auto"/>
          </w:tcPr>
          <w:p w14:paraId="01655336" w14:textId="24233421" w:rsidR="00C42543" w:rsidRDefault="008113D9" w:rsidP="005C3B2B">
            <w:pPr>
              <w:pStyle w:val="Tabletext1"/>
              <w:jc w:val="center"/>
              <w:rPr>
                <w:snapToGrid w:val="0"/>
              </w:rPr>
            </w:pPr>
            <w:r w:rsidRPr="005C3B2B">
              <w:t>IMRT</w:t>
            </w:r>
          </w:p>
        </w:tc>
        <w:tc>
          <w:tcPr>
            <w:tcW w:w="835" w:type="pct"/>
            <w:shd w:val="clear" w:color="auto" w:fill="auto"/>
          </w:tcPr>
          <w:p w14:paraId="2735F398" w14:textId="389539C2" w:rsidR="00C42543" w:rsidRDefault="00C42543" w:rsidP="005C3B2B">
            <w:pPr>
              <w:pStyle w:val="Tabletext1"/>
              <w:jc w:val="center"/>
              <w:rPr>
                <w:snapToGrid w:val="0"/>
              </w:rPr>
            </w:pPr>
            <w:r w:rsidRPr="005C3B2B">
              <w:t xml:space="preserve">Prostate </w:t>
            </w:r>
            <w:r w:rsidR="005A36A5" w:rsidRPr="005C3B2B">
              <w:t>cancer, post RP,</w:t>
            </w:r>
            <w:r w:rsidRPr="005C3B2B">
              <w:t xml:space="preserve"> biochemical </w:t>
            </w:r>
            <w:r w:rsidR="001E4E04" w:rsidRPr="005C3B2B">
              <w:t>recurrence</w:t>
            </w:r>
          </w:p>
        </w:tc>
        <w:tc>
          <w:tcPr>
            <w:tcW w:w="637" w:type="pct"/>
            <w:shd w:val="clear" w:color="auto" w:fill="auto"/>
          </w:tcPr>
          <w:p w14:paraId="5BCED1CE" w14:textId="5C83781F"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2853AB09" w14:textId="3AA422F1" w:rsidR="00C42543" w:rsidRDefault="00C42543" w:rsidP="005C3B2B">
            <w:pPr>
              <w:pStyle w:val="Tabletext1"/>
              <w:jc w:val="center"/>
              <w:rPr>
                <w:snapToGrid w:val="0"/>
              </w:rPr>
            </w:pPr>
            <w:r w:rsidRPr="0085503A">
              <w:rPr>
                <w:snapToGrid w:val="0"/>
              </w:rPr>
              <w:t>Not used</w:t>
            </w:r>
          </w:p>
        </w:tc>
      </w:tr>
      <w:tr w:rsidR="008B6FC0" w:rsidRPr="00CE45B9" w14:paraId="6F031359" w14:textId="77777777" w:rsidTr="001F64FE">
        <w:trPr>
          <w:cantSplit/>
        </w:trPr>
        <w:tc>
          <w:tcPr>
            <w:tcW w:w="652" w:type="pct"/>
            <w:shd w:val="clear" w:color="auto" w:fill="auto"/>
          </w:tcPr>
          <w:p w14:paraId="1EC7DCA4" w14:textId="1BB3D490" w:rsidR="00C42543" w:rsidRPr="005C3B2B" w:rsidRDefault="00211285" w:rsidP="005C3B2B">
            <w:pPr>
              <w:pStyle w:val="Tabletext1"/>
            </w:pPr>
            <w:hyperlink w:anchor="_ENREF_59" w:tooltip="Pryor, 2019 #65" w:history="1">
              <w:r w:rsidR="008B6FC0">
                <w:fldChar w:fldCharType="begin">
                  <w:fldData xml:space="preserve">PEVuZE5vdGU+PENpdGUgQXV0aG9yWWVhcj0iMSI+PEF1dGhvcj5QcnlvcjwvQXV0aG9yPjxZZWFy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</w:fldData>
                </w:fldChar>
              </w:r>
              <w:r w:rsidR="008B6FC0">
                <w:instrText xml:space="preserve"> ADDIN EN.CITE </w:instrText>
              </w:r>
              <w:r w:rsidR="008B6FC0">
                <w:fldChar w:fldCharType="begin">
                  <w:fldData xml:space="preserve">PEVuZE5vdGU+PENpdGUgQXV0aG9yWWVhcj0iMSI+PEF1dGhvcj5QcnlvcjwvQXV0aG9yPjxZZWFy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</w:fldData>
                </w:fldChar>
              </w:r>
              <w:r w:rsidR="008B6FC0">
                <w:instrText xml:space="preserve"> ADDIN EN.CITE.DATA </w:instrText>
              </w:r>
              <w:r w:rsidR="008B6FC0">
                <w:fldChar w:fldCharType="end"/>
              </w:r>
              <w:r w:rsidR="008B6FC0">
                <w:fldChar w:fldCharType="separate"/>
              </w:r>
              <w:r w:rsidR="008B6FC0">
                <w:rPr>
                  <w:noProof/>
                </w:rPr>
                <w:t>Pryor et al. (2019)</w:t>
              </w:r>
              <w:r w:rsidR="008B6FC0">
                <w:fldChar w:fldCharType="end"/>
              </w:r>
            </w:hyperlink>
          </w:p>
        </w:tc>
        <w:tc>
          <w:tcPr>
            <w:tcW w:w="562" w:type="pct"/>
            <w:shd w:val="clear" w:color="auto" w:fill="auto"/>
          </w:tcPr>
          <w:p w14:paraId="7468330D" w14:textId="49714235" w:rsidR="00C42543" w:rsidRDefault="00C42543" w:rsidP="005C3B2B">
            <w:pPr>
              <w:pStyle w:val="Tabletext1"/>
              <w:jc w:val="center"/>
              <w:rPr>
                <w:snapToGrid w:val="0"/>
              </w:rPr>
            </w:pPr>
            <w:r w:rsidRPr="005C3B2B">
              <w:t>135</w:t>
            </w:r>
          </w:p>
        </w:tc>
        <w:tc>
          <w:tcPr>
            <w:tcW w:w="1088" w:type="pct"/>
            <w:shd w:val="clear" w:color="auto" w:fill="auto"/>
          </w:tcPr>
          <w:p w14:paraId="5C7B71C2" w14:textId="1853AF94" w:rsidR="00C42543" w:rsidRDefault="00C42543" w:rsidP="005C3B2B">
            <w:pPr>
              <w:pStyle w:val="Tabletext1"/>
              <w:jc w:val="center"/>
              <w:rPr>
                <w:snapToGrid w:val="0"/>
              </w:rPr>
            </w:pPr>
            <w:r w:rsidRPr="005C3B2B">
              <w:t>Prospective multicentr</w:t>
            </w:r>
            <w:r w:rsidR="00A93A24" w:rsidRPr="005C3B2B">
              <w:t>ic Coh (</w:t>
            </w:r>
            <w:r w:rsidRPr="005C3B2B">
              <w:t>phase 2 trial</w:t>
            </w:r>
            <w:r w:rsidR="00A93A24" w:rsidRPr="005C3B2B">
              <w:t>)</w:t>
            </w:r>
          </w:p>
        </w:tc>
        <w:tc>
          <w:tcPr>
            <w:tcW w:w="770" w:type="pct"/>
            <w:shd w:val="clear" w:color="auto" w:fill="auto"/>
          </w:tcPr>
          <w:p w14:paraId="06C7F905" w14:textId="431AA2CD" w:rsidR="00C42543" w:rsidRDefault="00C42543" w:rsidP="005C3B2B">
            <w:pPr>
              <w:pStyle w:val="Tabletext1"/>
              <w:jc w:val="center"/>
              <w:rPr>
                <w:snapToGrid w:val="0"/>
              </w:rPr>
            </w:pPr>
            <w:r w:rsidRPr="005C3B2B">
              <w:t>SBRT boost</w:t>
            </w:r>
            <w:r w:rsidR="00A10E77" w:rsidRPr="005C3B2B">
              <w:t xml:space="preserve"> and conventional IMRT via VMAT</w:t>
            </w:r>
          </w:p>
        </w:tc>
        <w:tc>
          <w:tcPr>
            <w:tcW w:w="835" w:type="pct"/>
            <w:shd w:val="clear" w:color="auto" w:fill="auto"/>
          </w:tcPr>
          <w:p w14:paraId="40A8EA9D" w14:textId="6D25B088" w:rsidR="00C42543" w:rsidRDefault="00C42543" w:rsidP="005C3B2B">
            <w:pPr>
              <w:pStyle w:val="Tabletext1"/>
              <w:jc w:val="center"/>
              <w:rPr>
                <w:snapToGrid w:val="0"/>
              </w:rPr>
            </w:pPr>
            <w:r w:rsidRPr="005C3B2B">
              <w:t xml:space="preserve">Prostate </w:t>
            </w:r>
            <w:r w:rsidR="0032167C" w:rsidRPr="005C3B2B">
              <w:t xml:space="preserve">cancer, </w:t>
            </w:r>
            <w:r w:rsidR="0009623C" w:rsidRPr="005C3B2B">
              <w:t xml:space="preserve">stage </w:t>
            </w:r>
            <w:r w:rsidRPr="005C3B2B">
              <w:t>≤T3N0M0, intermediate</w:t>
            </w:r>
            <w:r w:rsidR="0009623C" w:rsidRPr="005C3B2B">
              <w:t>-</w:t>
            </w:r>
            <w:r w:rsidRPr="005C3B2B">
              <w:t xml:space="preserve"> and high-risk</w:t>
            </w:r>
          </w:p>
        </w:tc>
        <w:tc>
          <w:tcPr>
            <w:tcW w:w="637" w:type="pct"/>
            <w:shd w:val="clear" w:color="auto" w:fill="auto"/>
          </w:tcPr>
          <w:p w14:paraId="2B3D72E9" w14:textId="45DD3DAF"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6F6E215E" w14:textId="53943D03" w:rsidR="00C42543" w:rsidRDefault="00C42543" w:rsidP="005C3B2B">
            <w:pPr>
              <w:pStyle w:val="Tabletext1"/>
              <w:jc w:val="center"/>
              <w:rPr>
                <w:snapToGrid w:val="0"/>
              </w:rPr>
            </w:pPr>
            <w:r w:rsidRPr="0085503A">
              <w:rPr>
                <w:snapToGrid w:val="0"/>
              </w:rPr>
              <w:t>Not used</w:t>
            </w:r>
          </w:p>
        </w:tc>
      </w:tr>
      <w:tr w:rsidR="008B6FC0" w:rsidRPr="00CE45B9" w14:paraId="2F741102" w14:textId="77777777" w:rsidTr="001F64FE">
        <w:trPr>
          <w:cantSplit/>
        </w:trPr>
        <w:tc>
          <w:tcPr>
            <w:tcW w:w="652" w:type="pct"/>
            <w:shd w:val="clear" w:color="auto" w:fill="auto"/>
          </w:tcPr>
          <w:p w14:paraId="4EAD2452" w14:textId="5CEE54C7" w:rsidR="00C42543" w:rsidRPr="005C3B2B" w:rsidRDefault="00211285" w:rsidP="005C3B2B">
            <w:pPr>
              <w:pStyle w:val="Tabletext1"/>
            </w:pPr>
            <w:hyperlink w:anchor="_ENREF_63" w:tooltip="Shelan, 2019 #67" w:history="1">
              <w:r w:rsidR="008B6FC0">
                <w:fldChar w:fldCharType="begin"/>
              </w:r>
              <w:r w:rsidR="008B6FC0">
                <w:instrText xml:space="preserve"> ADDIN EN.CITE &lt;EndNote&gt;&lt;Cite AuthorYear="1"&gt;&lt;Author&gt;Shelan&lt;/Author&gt;&lt;Year&gt;2019&lt;/Year&gt;&lt;RecNum&gt;67&lt;/RecNum&gt;&lt;DisplayText&gt;Shelan et al. (2019)&lt;/DisplayText&gt;&lt;record&gt;&lt;rec-number&gt;67&lt;/rec-number&gt;&lt;foreign-keys&gt;&lt;key app="EN" db-id="sx5wsdwv795wvue959xxw0ptaewvdezxxp05" timestamp="1604876398"&gt;67&lt;/key&gt;&lt;/foreign-keys&gt;&lt;ref-type name="Journal Article"&gt;17&lt;/ref-type&gt;&lt;contributors&gt;&lt;authors&gt;&lt;author&gt;Shelan, M.&lt;/author&gt;&lt;author&gt;Odermatt, S.&lt;/author&gt;&lt;author&gt;Bojaxhiu, B.&lt;/author&gt;&lt;author&gt;Nguyen, D. P.&lt;/author&gt;&lt;author&gt;Thalmann, G. N.&lt;/author&gt;&lt;author&gt;Aebersold, D. M.&lt;/author&gt;&lt;author&gt;Pra, A. D.&lt;/author&gt;&lt;/authors&gt;&lt;/contributors&gt;&lt;titles&gt;&lt;title&gt;Disease control with delayed salvage radiotherapy for macroscopic local recurrence following radical prostatectomy&lt;/title&gt;&lt;secondary-title&gt;Frontiers in Oncology&lt;/secondary-title&gt;&lt;/titles&gt;&lt;volume&gt;9&lt;/volume&gt;&lt;number&gt;FEB&lt;/number&gt;&lt;dates&gt;&lt;year&gt;2019&lt;/year&gt;&lt;/dates&gt;&lt;accession-num&gt;626827995&lt;/accession-num&gt;&lt;urls&gt;&lt;related-urls&gt;&lt;url&gt;http://www.frontiersin.org/Oncology/abouthttp://ezproxy.library.usyd.edu.au/login?url=http://ovidsp.ovid.com/ovidweb.cgi?T=JS&amp;amp;CSC=Y&amp;amp;NEWS=N&amp;amp;PAGE=fulltext&amp;amp;D=emexa&amp;amp;AN=626827995https://sydney.alma.exlibrisgroup.com/openurl/61USYD_INST/61USYD_INST:sydney?sid=O&lt;/url&gt;&lt;url&gt;https://fjfsdata01prod.blob.core.windows.net/articles/files/418517/pubmed-zip/.versions/1/.package-entries/fonc-09-00012/fonc-09-00012.pdf?sv=2018-03-28&amp;amp;sr=b&amp;amp;sig=BrHPBGyCkIIWJtT81pPSZj%2FVErnZEHvbBcCzIh9gjZQ%3D&amp;amp;se=2020-10-29T04%3A44%3A50Z&amp;amp;sp=r&amp;amp;rscd=attachment%3B%20filename%2A%3DUTF-8%27%27fonc-09-00012.pdf&lt;/url&gt;&lt;url&gt;https://fjfsdata01prod.blob.core.windows.net/articles/files/418517/pubmed-zip/.versions/1/.package-entries/fonc-09-00012/fonc-09-00012.pdf?sv=2018-03-28&amp;amp;sr=b&amp;amp;sig=46dTJTxSckClVuF6s0tY%2FqC1jhdDBfp0yTTU8U7fuK4%3D&amp;amp;se=2020-12-16T04%3A59%3A21Z&amp;amp;sp=r&amp;amp;rscd=attachment%3B%20filename%2A%3DUTF-8%27%27fonc-09-00012.pdf&lt;/url&gt;&lt;/related-urls&gt;&lt;/urls&gt;&lt;electronic-resource-num&gt;http://dx.doi.org/10.3389/fonc.2019.00012&lt;/electronic-resource-num&gt;&lt;/record&gt;&lt;/Cite&gt;&lt;/EndNote&gt;</w:instrText>
              </w:r>
              <w:r w:rsidR="008B6FC0">
                <w:fldChar w:fldCharType="separate"/>
              </w:r>
              <w:r w:rsidR="008B6FC0">
                <w:rPr>
                  <w:noProof/>
                </w:rPr>
                <w:t>Shelan et al. (2019)</w:t>
              </w:r>
              <w:r w:rsidR="008B6FC0">
                <w:fldChar w:fldCharType="end"/>
              </w:r>
            </w:hyperlink>
          </w:p>
        </w:tc>
        <w:tc>
          <w:tcPr>
            <w:tcW w:w="562" w:type="pct"/>
            <w:shd w:val="clear" w:color="auto" w:fill="auto"/>
          </w:tcPr>
          <w:p w14:paraId="63573C7F" w14:textId="2137A61E" w:rsidR="00C42543" w:rsidRDefault="00C42543" w:rsidP="005C3B2B">
            <w:pPr>
              <w:pStyle w:val="Tabletext1"/>
              <w:jc w:val="center"/>
              <w:rPr>
                <w:snapToGrid w:val="0"/>
              </w:rPr>
            </w:pPr>
            <w:r w:rsidRPr="005C3B2B">
              <w:t>69</w:t>
            </w:r>
          </w:p>
        </w:tc>
        <w:tc>
          <w:tcPr>
            <w:tcW w:w="1088" w:type="pct"/>
            <w:shd w:val="clear" w:color="auto" w:fill="auto"/>
          </w:tcPr>
          <w:p w14:paraId="24B8C4C2" w14:textId="74E2E467" w:rsidR="00C42543" w:rsidRDefault="00C42543" w:rsidP="005C3B2B">
            <w:pPr>
              <w:pStyle w:val="Tabletext1"/>
              <w:jc w:val="center"/>
              <w:rPr>
                <w:snapToGrid w:val="0"/>
              </w:rPr>
            </w:pPr>
            <w:r w:rsidRPr="005C3B2B">
              <w:t>Retrospective consecutive</w:t>
            </w:r>
            <w:r w:rsidR="00F30897" w:rsidRPr="005C3B2B">
              <w:t xml:space="preserve"> CS</w:t>
            </w:r>
          </w:p>
        </w:tc>
        <w:tc>
          <w:tcPr>
            <w:tcW w:w="770" w:type="pct"/>
            <w:shd w:val="clear" w:color="auto" w:fill="auto"/>
          </w:tcPr>
          <w:p w14:paraId="5FC32A28" w14:textId="6FD4922A" w:rsidR="002E5C5E" w:rsidRPr="005C3B2B" w:rsidRDefault="002E5C5E" w:rsidP="005C3B2B">
            <w:pPr>
              <w:pStyle w:val="Tabletext1"/>
              <w:jc w:val="center"/>
            </w:pPr>
            <w:r w:rsidRPr="005C3B2B">
              <w:t xml:space="preserve">IMRT, </w:t>
            </w:r>
            <w:r w:rsidR="0073097E" w:rsidRPr="005C3B2B">
              <w:t>s</w:t>
            </w:r>
            <w:r w:rsidR="00C42543" w:rsidRPr="005C3B2B">
              <w:t>alvage</w:t>
            </w:r>
          </w:p>
          <w:p w14:paraId="5F60FA2D" w14:textId="325AC84E" w:rsidR="00C42543" w:rsidRDefault="0073097E" w:rsidP="005C3B2B">
            <w:pPr>
              <w:pStyle w:val="Tabletext1"/>
              <w:jc w:val="center"/>
              <w:rPr>
                <w:snapToGrid w:val="0"/>
              </w:rPr>
            </w:pPr>
            <w:r w:rsidRPr="005C3B2B">
              <w:t>DE</w:t>
            </w:r>
          </w:p>
        </w:tc>
        <w:tc>
          <w:tcPr>
            <w:tcW w:w="835" w:type="pct"/>
            <w:shd w:val="clear" w:color="auto" w:fill="auto"/>
          </w:tcPr>
          <w:p w14:paraId="266A76ED" w14:textId="0F3908B8" w:rsidR="00C42543" w:rsidRDefault="00C42543" w:rsidP="005C3B2B">
            <w:pPr>
              <w:pStyle w:val="Tabletext1"/>
              <w:jc w:val="center"/>
              <w:rPr>
                <w:snapToGrid w:val="0"/>
              </w:rPr>
            </w:pPr>
            <w:r w:rsidRPr="005C3B2B">
              <w:t xml:space="preserve">Prostate </w:t>
            </w:r>
            <w:r w:rsidR="00E43294" w:rsidRPr="005C3B2B">
              <w:t>cancer, post RP</w:t>
            </w:r>
            <w:r w:rsidR="00556203" w:rsidRPr="005C3B2B">
              <w:t xml:space="preserve">, </w:t>
            </w:r>
            <w:r w:rsidRPr="005C3B2B">
              <w:t>macroscopic local recurre</w:t>
            </w:r>
            <w:r w:rsidR="00556203" w:rsidRPr="005C3B2B">
              <w:t>nce</w:t>
            </w:r>
          </w:p>
        </w:tc>
        <w:tc>
          <w:tcPr>
            <w:tcW w:w="637" w:type="pct"/>
            <w:shd w:val="clear" w:color="auto" w:fill="auto"/>
          </w:tcPr>
          <w:p w14:paraId="5D612F1F" w14:textId="2505BB5F"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7459ADF9" w14:textId="67F1E222" w:rsidR="00C42543" w:rsidRDefault="00C42543" w:rsidP="005C3B2B">
            <w:pPr>
              <w:pStyle w:val="Tabletext1"/>
              <w:jc w:val="center"/>
              <w:rPr>
                <w:snapToGrid w:val="0"/>
              </w:rPr>
            </w:pPr>
            <w:r w:rsidRPr="0085503A">
              <w:rPr>
                <w:snapToGrid w:val="0"/>
              </w:rPr>
              <w:t>Not used</w:t>
            </w:r>
          </w:p>
        </w:tc>
      </w:tr>
      <w:tr w:rsidR="008B6FC0" w:rsidRPr="00CE45B9" w14:paraId="3614DA13" w14:textId="77777777" w:rsidTr="001F64FE">
        <w:trPr>
          <w:cantSplit/>
        </w:trPr>
        <w:tc>
          <w:tcPr>
            <w:tcW w:w="652" w:type="pct"/>
            <w:shd w:val="clear" w:color="auto" w:fill="auto"/>
          </w:tcPr>
          <w:p w14:paraId="3E96011D" w14:textId="3E374689" w:rsidR="00C42543" w:rsidRPr="005C3B2B" w:rsidRDefault="00211285" w:rsidP="005C3B2B">
            <w:pPr>
              <w:pStyle w:val="Tabletext1"/>
            </w:pPr>
            <w:hyperlink w:anchor="_ENREF_65" w:tooltip="Simpson, 2011 #69" w:history="1">
              <w:r w:rsidR="008B6FC0">
                <w:fldChar w:fldCharType="begin"/>
              </w:r>
              <w:r w:rsidR="008B6FC0">
                <w:instrText xml:space="preserve"> ADDIN EN.CITE &lt;EndNote&gt;&lt;Cite AuthorYear="1"&gt;&lt;Author&gt;Simpson&lt;/Author&gt;&lt;Year&gt;2011&lt;/Year&gt;&lt;RecNum&gt;69&lt;/RecNum&gt;&lt;DisplayText&gt;Simpson et al. (2011)&lt;/DisplayText&gt;&lt;record&gt;&lt;rec-number&gt;69&lt;/rec-number&gt;&lt;foreign-keys&gt;&lt;key app="EN" db-id="sx5wsdwv795wvue959xxw0ptaewvdezxxp05" timestamp="1604876398"&gt;69&lt;/key&gt;&lt;/foreign-keys&gt;&lt;ref-type name="Journal Article"&gt;17&lt;/ref-type&gt;&lt;contributors&gt;&lt;authors&gt;&lt;author&gt;Simpson, D. R.&lt;/author&gt;&lt;author&gt;Einck, J. P.&lt;/author&gt;&lt;author&gt;Nath, S. K.&lt;/author&gt;&lt;author&gt;Sethi, R. A.&lt;/author&gt;&lt;author&gt;Wang, J. Z.&lt;/author&gt;&lt;author&gt;Mundt, A. J.&lt;/author&gt;&lt;author&gt;Sandhu, A. P.&lt;/author&gt;&lt;/authors&gt;&lt;/contributors&gt;&lt;titles&gt;&lt;title&gt;Comparison of daily cone-beam computed tomography and kilovoltage planar imaging for target localization in prostate cancer patients following radical prostatectomy&lt;/title&gt;&lt;secondary-title&gt;Practical Radiation Oncology&lt;/secondary-title&gt;&lt;/titles&gt;&lt;pages&gt;156-162&lt;/pages&gt;&lt;volume&gt;1&lt;/volume&gt;&lt;number&gt;3&lt;/number&gt;&lt;dates&gt;&lt;year&gt;2011&lt;/year&gt;&lt;/dates&gt;&lt;accession-num&gt;51417405&lt;/accession-num&gt;&lt;urls&gt;&lt;related-urls&gt;&lt;url&gt;http://ezproxy.library.usyd.edu.au/login?url=http://ovidsp.ovid.com/ovidweb.cgi?T=JS&amp;amp;CSC=Y&amp;amp;NEWS=N&amp;amp;PAGE=fulltext&amp;amp;D=emed12&amp;amp;AN=51417405https://sydney.alma.exlibrisgroup.com/openurl/61USYD_INST/61USYD_INST:sydney?sid=OVID:embase&amp;amp;id=pmid:&amp;amp;id=doi:10.1016%2Fj.pr&lt;/url&gt;&lt;/related-urls&gt;&lt;/urls&gt;&lt;electronic-resource-num&gt;http://dx.doi.org/10.1016/j.prro.2010.12.002&lt;/electronic-resource-num&gt;&lt;/record&gt;&lt;/Cite&gt;&lt;/EndNote&gt;</w:instrText>
              </w:r>
              <w:r w:rsidR="008B6FC0">
                <w:fldChar w:fldCharType="separate"/>
              </w:r>
              <w:r w:rsidR="008B6FC0">
                <w:rPr>
                  <w:noProof/>
                </w:rPr>
                <w:t>Simpson et al. (2011)</w:t>
              </w:r>
              <w:r w:rsidR="008B6FC0">
                <w:fldChar w:fldCharType="end"/>
              </w:r>
            </w:hyperlink>
          </w:p>
        </w:tc>
        <w:tc>
          <w:tcPr>
            <w:tcW w:w="562" w:type="pct"/>
            <w:shd w:val="clear" w:color="auto" w:fill="auto"/>
          </w:tcPr>
          <w:p w14:paraId="1BB597D8" w14:textId="2F7CAB20" w:rsidR="00C42543" w:rsidRDefault="00C42543" w:rsidP="005C3B2B">
            <w:pPr>
              <w:pStyle w:val="Tabletext1"/>
              <w:jc w:val="center"/>
              <w:rPr>
                <w:snapToGrid w:val="0"/>
              </w:rPr>
            </w:pPr>
            <w:r w:rsidRPr="005C3B2B">
              <w:t>23</w:t>
            </w:r>
            <w:r w:rsidR="0044408F" w:rsidRPr="005C3B2B">
              <w:t>* (total 50)</w:t>
            </w:r>
          </w:p>
        </w:tc>
        <w:tc>
          <w:tcPr>
            <w:tcW w:w="1088" w:type="pct"/>
            <w:shd w:val="clear" w:color="auto" w:fill="auto"/>
          </w:tcPr>
          <w:p w14:paraId="208EF8EF" w14:textId="252F6F6E" w:rsidR="00C42543" w:rsidRDefault="00C42543" w:rsidP="005C3B2B">
            <w:pPr>
              <w:pStyle w:val="Tabletext1"/>
              <w:jc w:val="center"/>
              <w:rPr>
                <w:snapToGrid w:val="0"/>
              </w:rPr>
            </w:pPr>
            <w:r w:rsidRPr="005C3B2B">
              <w:t xml:space="preserve">Retrospective </w:t>
            </w:r>
            <w:r w:rsidR="00BC32F9" w:rsidRPr="005C3B2B">
              <w:t>Coh, c</w:t>
            </w:r>
            <w:r w:rsidRPr="005C3B2B">
              <w:t xml:space="preserve">omparative </w:t>
            </w:r>
            <w:r w:rsidR="00BC32F9" w:rsidRPr="005C3B2B">
              <w:t>(</w:t>
            </w:r>
            <w:r w:rsidRPr="005C3B2B">
              <w:t>CBCT without radiopaque clips</w:t>
            </w:r>
            <w:r w:rsidR="00BC32F9" w:rsidRPr="005C3B2B">
              <w:t xml:space="preserve"> vs</w:t>
            </w:r>
            <w:r w:rsidRPr="005C3B2B">
              <w:t xml:space="preserve"> kV planar </w:t>
            </w:r>
            <w:r w:rsidR="00BC32F9" w:rsidRPr="005C3B2B">
              <w:t>CT</w:t>
            </w:r>
            <w:r w:rsidRPr="005C3B2B">
              <w:t xml:space="preserve"> with radiopaque clips for </w:t>
            </w:r>
            <w:r w:rsidR="00025EB7" w:rsidRPr="005C3B2B">
              <w:t>IGRT)</w:t>
            </w:r>
          </w:p>
        </w:tc>
        <w:tc>
          <w:tcPr>
            <w:tcW w:w="770" w:type="pct"/>
            <w:shd w:val="clear" w:color="auto" w:fill="auto"/>
          </w:tcPr>
          <w:p w14:paraId="27F0BCE5" w14:textId="63C21C1E" w:rsidR="00C42543" w:rsidRDefault="007C7E44" w:rsidP="005C3B2B">
            <w:pPr>
              <w:pStyle w:val="Tabletext1"/>
              <w:jc w:val="center"/>
              <w:rPr>
                <w:snapToGrid w:val="0"/>
              </w:rPr>
            </w:pPr>
            <w:r w:rsidRPr="005C3B2B">
              <w:t>IMRT</w:t>
            </w:r>
          </w:p>
        </w:tc>
        <w:tc>
          <w:tcPr>
            <w:tcW w:w="835" w:type="pct"/>
            <w:shd w:val="clear" w:color="auto" w:fill="auto"/>
          </w:tcPr>
          <w:p w14:paraId="598B6F63" w14:textId="6E52A5B2" w:rsidR="00C42543" w:rsidRDefault="00C42543" w:rsidP="005C3B2B">
            <w:pPr>
              <w:pStyle w:val="Tabletext1"/>
              <w:jc w:val="center"/>
              <w:rPr>
                <w:snapToGrid w:val="0"/>
              </w:rPr>
            </w:pPr>
            <w:r w:rsidRPr="005C3B2B">
              <w:t xml:space="preserve">Prostate </w:t>
            </w:r>
            <w:r w:rsidR="008648DE" w:rsidRPr="005C3B2B">
              <w:t>cancer,</w:t>
            </w:r>
            <w:r w:rsidRPr="005C3B2B">
              <w:t xml:space="preserve"> localised, </w:t>
            </w:r>
            <w:r w:rsidR="008648DE" w:rsidRPr="005C3B2B">
              <w:t>post RP</w:t>
            </w:r>
          </w:p>
        </w:tc>
        <w:tc>
          <w:tcPr>
            <w:tcW w:w="637" w:type="pct"/>
            <w:shd w:val="clear" w:color="auto" w:fill="auto"/>
          </w:tcPr>
          <w:p w14:paraId="553D0CC5" w14:textId="457D1C26"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221FB94F" w14:textId="6BADC9ED" w:rsidR="00C42543" w:rsidRDefault="00C42543" w:rsidP="005C3B2B">
            <w:pPr>
              <w:pStyle w:val="Tabletext1"/>
              <w:jc w:val="center"/>
              <w:rPr>
                <w:snapToGrid w:val="0"/>
              </w:rPr>
            </w:pPr>
            <w:r w:rsidRPr="0085503A">
              <w:rPr>
                <w:snapToGrid w:val="0"/>
              </w:rPr>
              <w:t>Not used</w:t>
            </w:r>
          </w:p>
        </w:tc>
      </w:tr>
      <w:tr w:rsidR="008B6FC0" w:rsidRPr="00CE45B9" w14:paraId="7C7A1687" w14:textId="77777777" w:rsidTr="001F64FE">
        <w:trPr>
          <w:cantSplit/>
        </w:trPr>
        <w:tc>
          <w:tcPr>
            <w:tcW w:w="652" w:type="pct"/>
            <w:shd w:val="clear" w:color="auto" w:fill="auto"/>
          </w:tcPr>
          <w:p w14:paraId="377EC3A3" w14:textId="6999D35A" w:rsidR="00C42543" w:rsidRPr="005C3B2B" w:rsidRDefault="00211285" w:rsidP="005C3B2B">
            <w:pPr>
              <w:pStyle w:val="Tabletext1"/>
            </w:pPr>
            <w:hyperlink w:anchor="_ENREF_68" w:tooltip="Swamy, 2009 #71" w:history="1">
              <w:r w:rsidR="008B6FC0">
                <w:fldChar w:fldCharType="begin"/>
              </w:r>
              <w:r w:rsidR="008B6FC0">
                <w:instrText xml:space="preserve"> ADDIN EN.CITE &lt;EndNote&gt;&lt;Cite AuthorYear="1"&gt;&lt;Author&gt;Swamy&lt;/Author&gt;&lt;Year&gt;2009&lt;/Year&gt;&lt;RecNum&gt;71&lt;/RecNum&gt;&lt;DisplayText&gt;Swamy et al. (2009)&lt;/DisplayText&gt;&lt;record&gt;&lt;rec-number&gt;71&lt;/rec-number&gt;&lt;foreign-keys&gt;&lt;key app="EN" db-id="sx5wsdwv795wvue959xxw0ptaewvdezxxp05" timestamp="1604876398"&gt;71&lt;/key&gt;&lt;/foreign-keys&gt;&lt;ref-type name="Journal Article"&gt;17&lt;/ref-type&gt;&lt;contributors&gt;&lt;authors&gt;&lt;author&gt;Swamy, K.&lt;/author&gt;&lt;author&gt;Narayanan, V. K. S.&lt;/author&gt;&lt;author&gt;Basu, S.&lt;/author&gt;&lt;author&gt;Maiya, V.&lt;/author&gt;&lt;author&gt;Achari, R.&lt;/author&gt;&lt;author&gt;Deshpande, S.&lt;/author&gt;&lt;author&gt;Bhangle, J.&lt;/author&gt;&lt;author&gt;Gupta, K.&lt;/author&gt;&lt;author&gt;Babu, N.&lt;/author&gt;&lt;author&gt;Pawar, S.&lt;/author&gt;&lt;author&gt;Atre, A.&lt;/author&gt;&lt;author&gt;Balachandra, K.&lt;/author&gt;&lt;author&gt;Koppiker, C. B.&lt;/author&gt;&lt;/authors&gt;&lt;/contributors&gt;&lt;titles&gt;&lt;title&gt;Dose escalation in image-guided, intensity-modulated radiotherapy of carcinoma prostate: Initial experience in India&lt;/title&gt;&lt;secondary-title&gt;Journal of Cancer Research and Therapeutics&lt;/secondary-title&gt;&lt;/titles&gt;&lt;pages&gt;277-283&lt;/pages&gt;&lt;volume&gt;5&lt;/volume&gt;&lt;number&gt;4&lt;/number&gt;&lt;dates&gt;&lt;year&gt;2009&lt;/year&gt;&lt;/dates&gt;&lt;accession-num&gt;358409149&lt;/accession-num&gt;&lt;urls&gt;&lt;related-urls&gt;&lt;url&gt;http://ezproxy.library.usyd.edu.au/login?url=http://ovidsp.ovid.com/ovidweb.cgi?T=JS&amp;amp;CSC=Y&amp;amp;NEWS=N&amp;amp;PAGE=fulltext&amp;amp;D=emed11&amp;amp;AN=358409149https://sydney.alma.exlibrisgroup.com/openurl/61USYD_INST/61USYD_INST:sydney?sid=OVID:embase&amp;amp;id=pmid:20160362&amp;amp;id=doi:10.41&lt;/url&gt;&lt;url&gt;https://www.cancerjournal.net/article.asp?issn=0973-1482;year=2009;volume=5;issue=4;spage=277;epage=283;aulast=Swamy&lt;/url&gt;&lt;/related-urls&gt;&lt;/urls&gt;&lt;electronic-resource-num&gt;http://dx.doi.org/10.4103/0973-1482.59909&lt;/electronic-resource-num&gt;&lt;/record&gt;&lt;/Cite&gt;&lt;/EndNote&gt;</w:instrText>
              </w:r>
              <w:r w:rsidR="008B6FC0">
                <w:fldChar w:fldCharType="separate"/>
              </w:r>
              <w:r w:rsidR="008B6FC0">
                <w:rPr>
                  <w:noProof/>
                </w:rPr>
                <w:t>Swamy et al. (2009)</w:t>
              </w:r>
              <w:r w:rsidR="008B6FC0">
                <w:fldChar w:fldCharType="end"/>
              </w:r>
            </w:hyperlink>
          </w:p>
        </w:tc>
        <w:tc>
          <w:tcPr>
            <w:tcW w:w="562" w:type="pct"/>
            <w:shd w:val="clear" w:color="auto" w:fill="auto"/>
          </w:tcPr>
          <w:p w14:paraId="15241D88" w14:textId="2A5DD2D3" w:rsidR="00C42543" w:rsidRDefault="00C42543" w:rsidP="005C3B2B">
            <w:pPr>
              <w:pStyle w:val="Tabletext1"/>
              <w:jc w:val="center"/>
              <w:rPr>
                <w:snapToGrid w:val="0"/>
              </w:rPr>
            </w:pPr>
            <w:r w:rsidRPr="005C3B2B">
              <w:t>12</w:t>
            </w:r>
          </w:p>
        </w:tc>
        <w:tc>
          <w:tcPr>
            <w:tcW w:w="1088" w:type="pct"/>
            <w:shd w:val="clear" w:color="auto" w:fill="auto"/>
          </w:tcPr>
          <w:p w14:paraId="258DB1AA" w14:textId="26A14903" w:rsidR="00C42543" w:rsidRDefault="00C42543" w:rsidP="005C3B2B">
            <w:pPr>
              <w:pStyle w:val="Tabletext1"/>
              <w:jc w:val="center"/>
              <w:rPr>
                <w:snapToGrid w:val="0"/>
              </w:rPr>
            </w:pPr>
            <w:r w:rsidRPr="005C3B2B">
              <w:t>Retrospective consecutive</w:t>
            </w:r>
            <w:r w:rsidR="00485B69" w:rsidRPr="005C3B2B">
              <w:t xml:space="preserve"> CS</w:t>
            </w:r>
          </w:p>
        </w:tc>
        <w:tc>
          <w:tcPr>
            <w:tcW w:w="770" w:type="pct"/>
            <w:shd w:val="clear" w:color="auto" w:fill="auto"/>
          </w:tcPr>
          <w:p w14:paraId="47E596A2" w14:textId="7E70A6F4" w:rsidR="00C42543" w:rsidRDefault="00C42543" w:rsidP="005C3B2B">
            <w:pPr>
              <w:pStyle w:val="Tabletext1"/>
              <w:jc w:val="center"/>
              <w:rPr>
                <w:snapToGrid w:val="0"/>
              </w:rPr>
            </w:pPr>
            <w:r w:rsidRPr="005C3B2B">
              <w:t>IMRT</w:t>
            </w:r>
            <w:r w:rsidRPr="005C3B2B">
              <w:br/>
            </w:r>
            <w:r w:rsidR="005C616F">
              <w:rPr>
                <w:snapToGrid w:val="0"/>
              </w:rPr>
              <w:t>DE</w:t>
            </w:r>
          </w:p>
        </w:tc>
        <w:tc>
          <w:tcPr>
            <w:tcW w:w="835" w:type="pct"/>
            <w:shd w:val="clear" w:color="auto" w:fill="auto"/>
          </w:tcPr>
          <w:p w14:paraId="4DD09074" w14:textId="38B92516" w:rsidR="00C42543" w:rsidRDefault="00C42543" w:rsidP="005C3B2B">
            <w:pPr>
              <w:pStyle w:val="Tabletext1"/>
              <w:jc w:val="center"/>
              <w:rPr>
                <w:snapToGrid w:val="0"/>
              </w:rPr>
            </w:pPr>
            <w:r w:rsidRPr="005C3B2B">
              <w:t xml:space="preserve">Prostate </w:t>
            </w:r>
            <w:r w:rsidR="00485B69" w:rsidRPr="005C3B2B">
              <w:t xml:space="preserve">cancer, </w:t>
            </w:r>
            <w:r w:rsidRPr="005C3B2B">
              <w:t>localised</w:t>
            </w:r>
          </w:p>
        </w:tc>
        <w:tc>
          <w:tcPr>
            <w:tcW w:w="637" w:type="pct"/>
            <w:shd w:val="clear" w:color="auto" w:fill="auto"/>
          </w:tcPr>
          <w:p w14:paraId="5542968B" w14:textId="05286710"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76963B9E" w14:textId="7A067BE5" w:rsidR="00C42543" w:rsidRDefault="00C42543" w:rsidP="005C3B2B">
            <w:pPr>
              <w:pStyle w:val="Tabletext1"/>
              <w:jc w:val="center"/>
              <w:rPr>
                <w:snapToGrid w:val="0"/>
              </w:rPr>
            </w:pPr>
            <w:r w:rsidRPr="0085503A">
              <w:rPr>
                <w:snapToGrid w:val="0"/>
              </w:rPr>
              <w:t>Not used</w:t>
            </w:r>
          </w:p>
        </w:tc>
      </w:tr>
      <w:tr w:rsidR="008B6FC0" w:rsidRPr="00CE45B9" w14:paraId="44A6A514" w14:textId="77777777" w:rsidTr="001F64FE">
        <w:trPr>
          <w:cantSplit/>
        </w:trPr>
        <w:tc>
          <w:tcPr>
            <w:tcW w:w="652" w:type="pct"/>
            <w:shd w:val="clear" w:color="auto" w:fill="auto"/>
          </w:tcPr>
          <w:p w14:paraId="7102FFF5" w14:textId="4D4E1EE0" w:rsidR="00C42543" w:rsidRPr="005C3B2B" w:rsidRDefault="00211285" w:rsidP="005C3B2B">
            <w:pPr>
              <w:pStyle w:val="Tabletext1"/>
            </w:pPr>
            <w:hyperlink w:anchor="_ENREF_69" w:tooltip="Tamihardja, 2020 #72" w:history="1">
              <w:r w:rsidR="008B6FC0">
                <w:fldChar w:fldCharType="begin"/>
              </w:r>
              <w:r w:rsidR="008B6FC0">
                <w:instrText xml:space="preserve"> ADDIN EN.CITE &lt;EndNote&gt;&lt;Cite AuthorYear="1"&gt;&lt;Author&gt;Tamihardja&lt;/Author&gt;&lt;Year&gt;2020&lt;/Year&gt;&lt;RecNum&gt;72&lt;/RecNum&gt;&lt;DisplayText&gt;Tamihardja et al. (2020)&lt;/DisplayText&gt;&lt;record&gt;&lt;rec-number&gt;72&lt;/rec-number&gt;&lt;foreign-keys&gt;&lt;key app="EN" db-id="sx5wsdwv795wvue959xxw0ptaewvdezxxp05" timestamp="1604876398"&gt;72&lt;/key&gt;&lt;/foreign-keys&gt;&lt;ref-type name="Journal Article"&gt;17&lt;/ref-type&gt;&lt;contributors&gt;&lt;authors&gt;&lt;author&gt;Tamihardja, J.&lt;/author&gt;&lt;author&gt;Schortmann, M.&lt;/author&gt;&lt;author&gt;Lawrenz, I.&lt;/author&gt;&lt;author&gt;Weick, S.&lt;/author&gt;&lt;author&gt;Bratengeier, K.&lt;/author&gt;&lt;author&gt;Flentje, M.&lt;/author&gt;&lt;author&gt;Guckenberger, M.&lt;/author&gt;&lt;author&gt;Polat, B.&lt;/author&gt;&lt;/authors&gt;&lt;/contributors&gt;&lt;titles&gt;&lt;title&gt;Moderately hypofractionated radiotherapy for localized prostate cancer: updated long-term outcome and toxicity analysis&lt;/title&gt;&lt;secondary-title&gt;Strahlentherapie und Onkologie.&lt;/secondary-title&gt;&lt;/titles&gt;&lt;dates&gt;&lt;year&gt;2020&lt;/year&gt;&lt;/dates&gt;&lt;accession-num&gt;2005947820&lt;/accession-num&gt;&lt;urls&gt;&lt;related-urls&gt;&lt;url&gt;http://www.springerlink.com/content/103711/http://ezproxy.library.usyd.edu.au/login?url=http://ovidsp.ovid.com/ovidweb.cgi?T=JS&amp;amp;CSC=Y&amp;amp;NEWS=N&amp;amp;PAGE=fulltext&amp;amp;D=emexb&amp;amp;AN=2005947820https://sydney.alma.exlibrisgroup.com/openurl/61USYD_INST/61USYD_INST:sydney?si&lt;/url&gt;&lt;url&gt;https://link.springer.com/content/pdf/10.1007/s00066-020-01678-w.pdf&lt;/url&gt;&lt;/related-urls&gt;&lt;/urls&gt;&lt;electronic-resource-num&gt;http://dx.doi.org/10.1007/s00066-020-01678-w&lt;/electronic-resource-num&gt;&lt;/record&gt;&lt;/Cite&gt;&lt;/EndNote&gt;</w:instrText>
              </w:r>
              <w:r w:rsidR="008B6FC0">
                <w:fldChar w:fldCharType="separate"/>
              </w:r>
              <w:r w:rsidR="008B6FC0">
                <w:rPr>
                  <w:noProof/>
                </w:rPr>
                <w:t>Tamihardja et al. (2020)</w:t>
              </w:r>
              <w:r w:rsidR="008B6FC0">
                <w:fldChar w:fldCharType="end"/>
              </w:r>
            </w:hyperlink>
          </w:p>
        </w:tc>
        <w:tc>
          <w:tcPr>
            <w:tcW w:w="562" w:type="pct"/>
            <w:shd w:val="clear" w:color="auto" w:fill="auto"/>
          </w:tcPr>
          <w:p w14:paraId="1B2257A9" w14:textId="54E0666B" w:rsidR="00C42543" w:rsidRDefault="00C42543" w:rsidP="005C3B2B">
            <w:pPr>
              <w:pStyle w:val="Tabletext1"/>
              <w:jc w:val="center"/>
              <w:rPr>
                <w:snapToGrid w:val="0"/>
              </w:rPr>
            </w:pPr>
            <w:r w:rsidRPr="005C3B2B">
              <w:t>346</w:t>
            </w:r>
          </w:p>
        </w:tc>
        <w:tc>
          <w:tcPr>
            <w:tcW w:w="1088" w:type="pct"/>
            <w:shd w:val="clear" w:color="auto" w:fill="auto"/>
          </w:tcPr>
          <w:p w14:paraId="0F89B967" w14:textId="2D52F0B6" w:rsidR="00C42543" w:rsidRDefault="00C42543" w:rsidP="005C3B2B">
            <w:pPr>
              <w:pStyle w:val="Tabletext1"/>
              <w:jc w:val="center"/>
              <w:rPr>
                <w:snapToGrid w:val="0"/>
              </w:rPr>
            </w:pPr>
            <w:r w:rsidRPr="005C3B2B">
              <w:t>Retrospective consecutive</w:t>
            </w:r>
            <w:r w:rsidR="00A62667" w:rsidRPr="005C3B2B">
              <w:t xml:space="preserve"> CS</w:t>
            </w:r>
          </w:p>
        </w:tc>
        <w:tc>
          <w:tcPr>
            <w:tcW w:w="770" w:type="pct"/>
            <w:shd w:val="clear" w:color="auto" w:fill="auto"/>
          </w:tcPr>
          <w:p w14:paraId="1ED694A4" w14:textId="48F85563" w:rsidR="00A62667" w:rsidRPr="005C3B2B" w:rsidRDefault="00A62667" w:rsidP="005C3B2B">
            <w:pPr>
              <w:pStyle w:val="Tabletext1"/>
              <w:jc w:val="center"/>
            </w:pPr>
            <w:r w:rsidRPr="005C3B2B">
              <w:t>VMAT</w:t>
            </w:r>
          </w:p>
          <w:p w14:paraId="319A5114" w14:textId="74859C2C" w:rsidR="00C42543" w:rsidRDefault="00A62667" w:rsidP="005C3B2B">
            <w:pPr>
              <w:pStyle w:val="Tabletext1"/>
              <w:jc w:val="center"/>
              <w:rPr>
                <w:snapToGrid w:val="0"/>
              </w:rPr>
            </w:pPr>
            <w:r w:rsidRPr="005C3B2B">
              <w:t>(m</w:t>
            </w:r>
            <w:r w:rsidR="00C42543" w:rsidRPr="005C3B2B">
              <w:t>oderately hypofractionated</w:t>
            </w:r>
            <w:r w:rsidRPr="005C3B2B">
              <w:t>,</w:t>
            </w:r>
            <w:r w:rsidR="00C42543" w:rsidRPr="005C3B2B">
              <w:t xml:space="preserve"> SIB)</w:t>
            </w:r>
          </w:p>
        </w:tc>
        <w:tc>
          <w:tcPr>
            <w:tcW w:w="835" w:type="pct"/>
            <w:shd w:val="clear" w:color="auto" w:fill="auto"/>
          </w:tcPr>
          <w:p w14:paraId="082529A3" w14:textId="393B0FCA" w:rsidR="00C42543" w:rsidRDefault="00C42543" w:rsidP="005C3B2B">
            <w:pPr>
              <w:pStyle w:val="Tabletext1"/>
              <w:jc w:val="center"/>
              <w:rPr>
                <w:snapToGrid w:val="0"/>
              </w:rPr>
            </w:pPr>
            <w:r w:rsidRPr="005C3B2B">
              <w:t xml:space="preserve">Prostate </w:t>
            </w:r>
            <w:r w:rsidR="00A62667" w:rsidRPr="005C3B2B">
              <w:t xml:space="preserve">cancer, </w:t>
            </w:r>
            <w:r w:rsidRPr="005C3B2B">
              <w:t>localised</w:t>
            </w:r>
          </w:p>
        </w:tc>
        <w:tc>
          <w:tcPr>
            <w:tcW w:w="637" w:type="pct"/>
            <w:shd w:val="clear" w:color="auto" w:fill="auto"/>
          </w:tcPr>
          <w:p w14:paraId="14BAFCA1" w14:textId="65CBEB0A"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647A589F" w14:textId="5B04B95F" w:rsidR="00C42543" w:rsidRDefault="00C42543" w:rsidP="005C3B2B">
            <w:pPr>
              <w:pStyle w:val="Tabletext1"/>
              <w:jc w:val="center"/>
              <w:rPr>
                <w:snapToGrid w:val="0"/>
              </w:rPr>
            </w:pPr>
            <w:r w:rsidRPr="0085503A">
              <w:rPr>
                <w:snapToGrid w:val="0"/>
              </w:rPr>
              <w:t>Not used</w:t>
            </w:r>
          </w:p>
        </w:tc>
      </w:tr>
      <w:tr w:rsidR="008B6FC0" w:rsidRPr="00CE45B9" w14:paraId="321ABC4C" w14:textId="77777777" w:rsidTr="001F64FE">
        <w:trPr>
          <w:cantSplit/>
        </w:trPr>
        <w:tc>
          <w:tcPr>
            <w:tcW w:w="652" w:type="pct"/>
            <w:shd w:val="clear" w:color="auto" w:fill="auto"/>
          </w:tcPr>
          <w:p w14:paraId="014BE641" w14:textId="490368E4" w:rsidR="001A5E53" w:rsidRPr="005C3B2B" w:rsidRDefault="00211285" w:rsidP="005C3B2B">
            <w:pPr>
              <w:pStyle w:val="Tabletext1"/>
            </w:pPr>
            <w:hyperlink w:anchor="_ENREF_72" w:tooltip="Tondel, 2018 #73" w:history="1">
              <w:r w:rsidR="008B6FC0">
                <w:fldChar w:fldCharType="begin"/>
              </w:r>
              <w:r w:rsidR="008B6FC0">
                <w:instrText xml:space="preserve"> ADDIN EN.CITE &lt;EndNote&gt;&lt;Cite AuthorYear="1"&gt;&lt;Author&gt;Tondel&lt;/Author&gt;&lt;Year&gt;2018&lt;/Year&gt;&lt;RecNum&gt;73&lt;/RecNum&gt;&lt;DisplayText&gt;Tondel et al. (2018)&lt;/DisplayText&gt;&lt;record&gt;&lt;rec-number&gt;73&lt;/rec-number&gt;&lt;foreign-keys&gt;&lt;key app="EN" db-id="sx5wsdwv795wvue959xxw0ptaewvdezxxp05" timestamp="1604876398"&gt;73&lt;/key&gt;&lt;/foreign-keys&gt;&lt;ref-type name="Journal Article"&gt;17&lt;/ref-type&gt;&lt;contributors&gt;&lt;authors&gt;&lt;author&gt;Tondel, H.&lt;/author&gt;&lt;author&gt;Lund, J.&lt;/author&gt;&lt;author&gt;Lydersen, S.&lt;/author&gt;&lt;author&gt;Wanderas, A. D.&lt;/author&gt;&lt;author&gt;Aksnessaether, B. Y.&lt;/author&gt;&lt;author&gt;Jensen, C. A.&lt;/author&gt;&lt;author&gt;Kaasa, S.&lt;/author&gt;&lt;author&gt;Solberg, A.&lt;/author&gt;&lt;/authors&gt;&lt;/contributors&gt;&lt;titles&gt;&lt;title&gt;Dose to penile bulb is not associated with erectile dysfunction 18months post radiotherapy: A secondary analysis of a randomized trial&lt;/title&gt;&lt;secondary-title&gt;Clinical and Translational Radiation Oncology&lt;/secondary-title&gt;&lt;/titles&gt;&lt;pages&gt;50-56&lt;/pages&gt;&lt;volume&gt;13&lt;/volume&gt;&lt;dates&gt;&lt;year&gt;2018&lt;/year&gt;&lt;/dates&gt;&lt;accession-num&gt;2001180901&lt;/accession-num&gt;&lt;urls&gt;&lt;related-urls&gt;&lt;url&gt;https://www.journals.elsevier.com/clinical-and-translational-radiation-oncology/http://ezproxy.library.usyd.edu.au/login?url=http://ovidsp.ovid.com/ovidweb.cgi?T=JS&amp;amp;CSC=Y&amp;amp;NEWS=N&amp;amp;PAGE=fulltext&amp;amp;D=emed19&amp;amp;AN=2001180901https://sydney.alma.exlibrisgroup.com/ope&lt;/url&gt;&lt;url&gt;https://www.ncbi.nlm.nih.gov/pmc/articles/PMC6198098/pdf/main.pdf&lt;/url&gt;&lt;/related-urls&gt;&lt;/urls&gt;&lt;electronic-resource-num&gt;http://dx.doi.org/10.1016/j.ctro.2018.09.006&lt;/electronic-resource-num&gt;&lt;/record&gt;&lt;/Cite&gt;&lt;/EndNote&gt;</w:instrText>
              </w:r>
              <w:r w:rsidR="008B6FC0">
                <w:fldChar w:fldCharType="separate"/>
              </w:r>
              <w:r w:rsidR="008B6FC0">
                <w:rPr>
                  <w:noProof/>
                </w:rPr>
                <w:t>Tondel et al. (2018)</w:t>
              </w:r>
              <w:r w:rsidR="008B6FC0">
                <w:fldChar w:fldCharType="end"/>
              </w:r>
            </w:hyperlink>
          </w:p>
        </w:tc>
        <w:tc>
          <w:tcPr>
            <w:tcW w:w="562" w:type="pct"/>
            <w:shd w:val="clear" w:color="auto" w:fill="auto"/>
          </w:tcPr>
          <w:p w14:paraId="57CCF127" w14:textId="46D089EA" w:rsidR="001A5E53" w:rsidRPr="005C3B2B" w:rsidRDefault="00802FD3" w:rsidP="005C3B2B">
            <w:pPr>
              <w:pStyle w:val="Tabletext1"/>
              <w:jc w:val="center"/>
            </w:pPr>
            <w:r w:rsidRPr="005C3B2B">
              <w:t>128</w:t>
            </w:r>
            <w:r w:rsidR="00C55451" w:rsidRPr="005C3B2B">
              <w:t xml:space="preserve">* (total </w:t>
            </w:r>
            <w:r w:rsidR="007537CF" w:rsidRPr="005C3B2B">
              <w:t>257)</w:t>
            </w:r>
          </w:p>
        </w:tc>
        <w:tc>
          <w:tcPr>
            <w:tcW w:w="1088" w:type="pct"/>
            <w:shd w:val="clear" w:color="auto" w:fill="auto"/>
          </w:tcPr>
          <w:p w14:paraId="6C4C3F15" w14:textId="4E743A32" w:rsidR="001A5E53" w:rsidRPr="005C3B2B" w:rsidRDefault="002D79DF" w:rsidP="005C3B2B">
            <w:pPr>
              <w:pStyle w:val="Tabletext1"/>
              <w:jc w:val="center"/>
            </w:pPr>
            <w:r w:rsidRPr="005C3B2B">
              <w:t>RCT (</w:t>
            </w:r>
            <w:r w:rsidR="00877905" w:rsidRPr="005C3B2B">
              <w:t xml:space="preserve">weekly offline imaging vs </w:t>
            </w:r>
            <w:r w:rsidR="00222A83" w:rsidRPr="005C3B2B">
              <w:t>daily online CBCT</w:t>
            </w:r>
            <w:r w:rsidR="00E954AF" w:rsidRPr="005C3B2B">
              <w:t>-</w:t>
            </w:r>
            <w:r w:rsidR="00222A83" w:rsidRPr="005C3B2B">
              <w:t>IGRT</w:t>
            </w:r>
            <w:r w:rsidR="0094303A" w:rsidRPr="005C3B2B">
              <w:t>)</w:t>
            </w:r>
          </w:p>
        </w:tc>
        <w:tc>
          <w:tcPr>
            <w:tcW w:w="770" w:type="pct"/>
            <w:shd w:val="clear" w:color="auto" w:fill="auto"/>
          </w:tcPr>
          <w:p w14:paraId="441CECBC" w14:textId="4539DF47" w:rsidR="001A5E53" w:rsidRPr="005C3B2B" w:rsidRDefault="00550409" w:rsidP="005C3B2B">
            <w:pPr>
              <w:pStyle w:val="Tabletext1"/>
              <w:jc w:val="center"/>
            </w:pPr>
            <w:r w:rsidRPr="005C3B2B">
              <w:t>NR</w:t>
            </w:r>
          </w:p>
        </w:tc>
        <w:tc>
          <w:tcPr>
            <w:tcW w:w="835" w:type="pct"/>
            <w:shd w:val="clear" w:color="auto" w:fill="auto"/>
          </w:tcPr>
          <w:p w14:paraId="24B2B58D" w14:textId="61E2727C" w:rsidR="001A5E53" w:rsidRPr="005C3B2B" w:rsidRDefault="005108B6" w:rsidP="005C3B2B">
            <w:pPr>
              <w:pStyle w:val="Tabletext1"/>
              <w:jc w:val="center"/>
            </w:pPr>
            <w:r w:rsidRPr="005C3B2B">
              <w:t xml:space="preserve">Prostate cancer, </w:t>
            </w:r>
            <w:r w:rsidR="005D3D4C" w:rsidRPr="005C3B2B">
              <w:t xml:space="preserve">non-metastatic, </w:t>
            </w:r>
            <w:r w:rsidR="00323E4B" w:rsidRPr="005C3B2B">
              <w:t>intermediate or high-risk</w:t>
            </w:r>
          </w:p>
        </w:tc>
        <w:tc>
          <w:tcPr>
            <w:tcW w:w="637" w:type="pct"/>
            <w:shd w:val="clear" w:color="auto" w:fill="auto"/>
          </w:tcPr>
          <w:p w14:paraId="76EBA01C" w14:textId="5FF932AD" w:rsidR="001A5E53" w:rsidRPr="00B932EF" w:rsidRDefault="00EA5563" w:rsidP="005C3B2B">
            <w:pPr>
              <w:pStyle w:val="Tabletext1"/>
              <w:jc w:val="center"/>
              <w:rPr>
                <w:snapToGrid w:val="0"/>
              </w:rPr>
            </w:pPr>
            <w:r>
              <w:rPr>
                <w:snapToGrid w:val="0"/>
              </w:rPr>
              <w:t>QoL</w:t>
            </w:r>
          </w:p>
        </w:tc>
        <w:tc>
          <w:tcPr>
            <w:tcW w:w="456" w:type="pct"/>
            <w:shd w:val="clear" w:color="auto" w:fill="auto"/>
          </w:tcPr>
          <w:p w14:paraId="486A53B9" w14:textId="3AA9E1EE" w:rsidR="001A5E53" w:rsidRPr="0085503A" w:rsidRDefault="0018003A" w:rsidP="005C3B2B">
            <w:pPr>
              <w:pStyle w:val="Tabletext1"/>
              <w:jc w:val="center"/>
              <w:rPr>
                <w:snapToGrid w:val="0"/>
              </w:rPr>
            </w:pPr>
            <w:r>
              <w:rPr>
                <w:snapToGrid w:val="0"/>
              </w:rPr>
              <w:t>Not used</w:t>
            </w:r>
          </w:p>
        </w:tc>
      </w:tr>
      <w:tr w:rsidR="008B6FC0" w:rsidRPr="00CE45B9" w14:paraId="1993EA55" w14:textId="77777777" w:rsidTr="001F64FE">
        <w:trPr>
          <w:cantSplit/>
        </w:trPr>
        <w:tc>
          <w:tcPr>
            <w:tcW w:w="652" w:type="pct"/>
            <w:shd w:val="clear" w:color="auto" w:fill="auto"/>
          </w:tcPr>
          <w:p w14:paraId="7AB8588E" w14:textId="22DBD3CA" w:rsidR="00C42543" w:rsidRPr="005C3B2B" w:rsidRDefault="00211285" w:rsidP="005C3B2B">
            <w:pPr>
              <w:pStyle w:val="Tabletext1"/>
            </w:pPr>
            <w:hyperlink w:anchor="_ENREF_75" w:tooltip="Valeriani, 2013 #76" w:history="1">
              <w:r w:rsidR="001F781A">
                <w:fldChar w:fldCharType="begin"/>
              </w:r>
              <w:r w:rsidR="001F781A">
                <w:instrText xml:space="preserve"> ADDIN EN.CITE &lt;EndNote&gt;&lt;Cite AuthorYear="1"&gt;&lt;Author&gt;Valeriani&lt;/Author&gt;&lt;Year&gt;2013&lt;/Year&gt;&lt;RecNum&gt;76&lt;/RecNum&gt;&lt;DisplayText&gt;Valeriani, Bracci, et al. (2013)&lt;/DisplayText&gt;&lt;record&gt;&lt;rec-number&gt;76&lt;/rec-number&gt;&lt;foreign-keys&gt;&lt;key app="EN" db-id="sx5wsdwv795wvue959xxw0ptaewvdezxxp05" timestamp="1604876399"&gt;76&lt;/key&gt;&lt;/foreign-keys&gt;&lt;ref-type name="Journal Article"&gt;17&lt;/ref-type&gt;&lt;contributors&gt;&lt;authors&gt;&lt;author&gt;Valeriani, M.&lt;/author&gt;&lt;author&gt;Bracci, S.&lt;/author&gt;&lt;author&gt;Osti, M. F.&lt;/author&gt;&lt;author&gt;Falco, T.&lt;/author&gt;&lt;author&gt;Agolli, L.&lt;/author&gt;&lt;author&gt;De Sanctis, V.&lt;/author&gt;&lt;author&gt;Enrici, R. M.&lt;/author&gt;&lt;/authors&gt;&lt;/contributors&gt;&lt;titles&gt;&lt;title&gt;Intermediate-risk prostate cancer patients treated with androgen deprivation therapy and a hypofractionated radiation regimen with or without image guided radiotherapy&lt;/title&gt;&lt;secondary-title&gt;Radiat&lt;/secondary-title&gt;&lt;/titles&gt;&lt;pages&gt;137&lt;/pages&gt;&lt;volume&gt;8&lt;/volume&gt;&lt;dates&gt;&lt;year&gt;2013&lt;/year&gt;&lt;/dates&gt;&lt;accession-num&gt;23759081&lt;/accession-num&gt;&lt;urls&gt;&lt;related-urls&gt;&lt;url&gt;http://ezproxy.library.usyd.edu.au/login?url=http://ovidsp.ovid.com/ovidweb.cgi?T=JS&amp;amp;CSC=Y&amp;amp;NEWS=N&amp;amp;PAGE=fulltext&amp;amp;D=med10&amp;amp;AN=23759081https://sydney.alma.exlibrisgroup.com/openurl/61USYD_INST/61USYD_INST:sydney?sid=OVID:medline&amp;amp;id=pmid:23759081&amp;amp;id=doi:10.118&lt;/url&gt;&lt;url&gt;https://ro-journal.biomedcentral.com/track/pdf/10.1186/1748-717X-8-137&lt;/url&gt;&lt;url&gt;https://ro-journal.biomedcentral.com/track/pdf/10.1186/1748-717X-8-137.pdf&lt;/url&gt;&lt;/related-urls&gt;&lt;/urls&gt;&lt;electronic-resource-num&gt;https://dx.doi.org/10.1186/1748-717X-8-137&lt;/electronic-resource-num&gt;&lt;/record&gt;&lt;/Cite&gt;&lt;/EndNote&gt;</w:instrText>
              </w:r>
              <w:r w:rsidR="001F781A">
                <w:fldChar w:fldCharType="separate"/>
              </w:r>
              <w:r w:rsidR="001F781A">
                <w:rPr>
                  <w:noProof/>
                </w:rPr>
                <w:t>Valeriani, Bracci, et al. (2013)</w:t>
              </w:r>
              <w:r w:rsidR="001F781A">
                <w:fldChar w:fldCharType="end"/>
              </w:r>
            </w:hyperlink>
          </w:p>
        </w:tc>
        <w:tc>
          <w:tcPr>
            <w:tcW w:w="562" w:type="pct"/>
            <w:shd w:val="clear" w:color="auto" w:fill="auto"/>
          </w:tcPr>
          <w:p w14:paraId="0D2A420A" w14:textId="67E128CB" w:rsidR="00C42543" w:rsidRDefault="00C42543" w:rsidP="005C3B2B">
            <w:pPr>
              <w:pStyle w:val="Tabletext1"/>
              <w:jc w:val="center"/>
              <w:rPr>
                <w:snapToGrid w:val="0"/>
              </w:rPr>
            </w:pPr>
            <w:r w:rsidRPr="005C3B2B">
              <w:t>69</w:t>
            </w:r>
            <w:r w:rsidR="00B7256A" w:rsidRPr="005C3B2B">
              <w:t>*</w:t>
            </w:r>
            <w:r w:rsidRPr="005C3B2B">
              <w:t xml:space="preserve"> (</w:t>
            </w:r>
            <w:r w:rsidR="004B663E" w:rsidRPr="005C3B2B">
              <w:t>total 105</w:t>
            </w:r>
            <w:r w:rsidRPr="005C3B2B">
              <w:t>)</w:t>
            </w:r>
          </w:p>
        </w:tc>
        <w:tc>
          <w:tcPr>
            <w:tcW w:w="1088" w:type="pct"/>
            <w:shd w:val="clear" w:color="auto" w:fill="auto"/>
          </w:tcPr>
          <w:p w14:paraId="29343640" w14:textId="79F081D1" w:rsidR="00C42543" w:rsidRDefault="00B7256A" w:rsidP="005C3B2B">
            <w:pPr>
              <w:pStyle w:val="Tabletext1"/>
              <w:jc w:val="center"/>
              <w:rPr>
                <w:snapToGrid w:val="0"/>
              </w:rPr>
            </w:pPr>
            <w:r w:rsidRPr="005C3B2B">
              <w:t>Prospective multicentric Coh, c</w:t>
            </w:r>
            <w:r w:rsidR="00C42543" w:rsidRPr="005C3B2B">
              <w:t xml:space="preserve">omparative </w:t>
            </w:r>
            <w:r w:rsidRPr="005C3B2B">
              <w:t>(</w:t>
            </w:r>
            <w:r w:rsidR="00C42543" w:rsidRPr="005C3B2B">
              <w:t xml:space="preserve">with </w:t>
            </w:r>
            <w:r w:rsidRPr="005C3B2B">
              <w:t xml:space="preserve">IGRT vs </w:t>
            </w:r>
            <w:r w:rsidR="00C42543" w:rsidRPr="005C3B2B">
              <w:t>without IGRT</w:t>
            </w:r>
            <w:r w:rsidRPr="005C3B2B">
              <w:t>)</w:t>
            </w:r>
          </w:p>
        </w:tc>
        <w:tc>
          <w:tcPr>
            <w:tcW w:w="770" w:type="pct"/>
            <w:shd w:val="clear" w:color="auto" w:fill="auto"/>
          </w:tcPr>
          <w:p w14:paraId="0EF78B50" w14:textId="6A74D2D3" w:rsidR="00847124" w:rsidRPr="005C3B2B" w:rsidRDefault="00847124" w:rsidP="005C3B2B">
            <w:pPr>
              <w:pStyle w:val="Tabletext1"/>
              <w:jc w:val="center"/>
            </w:pPr>
            <w:r w:rsidRPr="005C3B2B">
              <w:t>3D-CRT</w:t>
            </w:r>
          </w:p>
          <w:p w14:paraId="53120D11" w14:textId="01EE6CFD" w:rsidR="00C42543" w:rsidRDefault="00847124" w:rsidP="005C3B2B">
            <w:pPr>
              <w:pStyle w:val="Tabletext1"/>
              <w:jc w:val="center"/>
              <w:rPr>
                <w:snapToGrid w:val="0"/>
              </w:rPr>
            </w:pPr>
            <w:r w:rsidRPr="005C3B2B">
              <w:t>(h</w:t>
            </w:r>
            <w:r w:rsidR="00C42543" w:rsidRPr="005C3B2B">
              <w:t>ypofractionated)</w:t>
            </w:r>
          </w:p>
        </w:tc>
        <w:tc>
          <w:tcPr>
            <w:tcW w:w="835" w:type="pct"/>
            <w:shd w:val="clear" w:color="auto" w:fill="auto"/>
          </w:tcPr>
          <w:p w14:paraId="768C1A84" w14:textId="753B9E45" w:rsidR="00C42543" w:rsidRDefault="00C42543" w:rsidP="005C3B2B">
            <w:pPr>
              <w:pStyle w:val="Tabletext1"/>
              <w:jc w:val="center"/>
              <w:rPr>
                <w:snapToGrid w:val="0"/>
              </w:rPr>
            </w:pPr>
            <w:r w:rsidRPr="005C3B2B">
              <w:t xml:space="preserve">Prostate </w:t>
            </w:r>
            <w:r w:rsidR="004B663E" w:rsidRPr="005C3B2B">
              <w:t xml:space="preserve">cancer, </w:t>
            </w:r>
            <w:r w:rsidRPr="005C3B2B">
              <w:t>intermediate risk</w:t>
            </w:r>
          </w:p>
        </w:tc>
        <w:tc>
          <w:tcPr>
            <w:tcW w:w="637" w:type="pct"/>
            <w:shd w:val="clear" w:color="auto" w:fill="auto"/>
          </w:tcPr>
          <w:p w14:paraId="77E235E2" w14:textId="2CB22066"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3C3A09BA" w14:textId="4891B0E9" w:rsidR="00C42543" w:rsidRDefault="00C42543" w:rsidP="005C3B2B">
            <w:pPr>
              <w:pStyle w:val="Tabletext1"/>
              <w:jc w:val="center"/>
              <w:rPr>
                <w:snapToGrid w:val="0"/>
              </w:rPr>
            </w:pPr>
            <w:r w:rsidRPr="0085503A">
              <w:rPr>
                <w:snapToGrid w:val="0"/>
              </w:rPr>
              <w:t>Not used</w:t>
            </w:r>
          </w:p>
        </w:tc>
      </w:tr>
      <w:tr w:rsidR="008B6FC0" w:rsidRPr="00CE45B9" w14:paraId="4CC0EE21" w14:textId="77777777" w:rsidTr="001F64FE">
        <w:trPr>
          <w:cantSplit/>
        </w:trPr>
        <w:tc>
          <w:tcPr>
            <w:tcW w:w="652" w:type="pct"/>
            <w:shd w:val="clear" w:color="auto" w:fill="auto"/>
          </w:tcPr>
          <w:p w14:paraId="69C42660" w14:textId="6658A181" w:rsidR="00C42543" w:rsidRPr="005C3B2B" w:rsidRDefault="00211285" w:rsidP="005C3B2B">
            <w:pPr>
              <w:pStyle w:val="Tabletext1"/>
            </w:pPr>
            <w:hyperlink w:anchor="_ENREF_76" w:tooltip="Valeriani, 2013 #77" w:history="1">
              <w:r w:rsidR="001F781A">
                <w:fldChar w:fldCharType="begin"/>
              </w:r>
              <w:r w:rsidR="001F781A">
                <w:instrText xml:space="preserve"> ADDIN EN.CITE &lt;EndNote&gt;&lt;Cite AuthorYear="1"&gt;&lt;Author&gt;Valeriani&lt;/Author&gt;&lt;Year&gt;2013&lt;/Year&gt;&lt;RecNum&gt;77&lt;/RecNum&gt;&lt;DisplayText&gt;Valeriani, Carnevale, et al. (2013)&lt;/DisplayText&gt;&lt;record&gt;&lt;rec-number&gt;77&lt;/rec-number&gt;&lt;foreign-keys&gt;&lt;key app="EN" db-id="sx5wsdwv795wvue959xxw0ptaewvdezxxp05" timestamp="1604876399"&gt;77&lt;/key&gt;&lt;/foreign-keys&gt;&lt;ref-type name="Journal Article"&gt;17&lt;/ref-type&gt;&lt;contributors&gt;&lt;authors&gt;&lt;author&gt;Valeriani, M.&lt;/author&gt;&lt;author&gt;Carnevale, A.&lt;/author&gt;&lt;author&gt;Osti, M. F.&lt;/author&gt;&lt;author&gt;Minniti, G.&lt;/author&gt;&lt;author&gt;De Sanctis, V.&lt;/author&gt;&lt;author&gt;Agolli, L.&lt;/author&gt;&lt;author&gt;Bracci, S.&lt;/author&gt;&lt;author&gt;Enrici, R. M.&lt;/author&gt;&lt;/authors&gt;&lt;/contributors&gt;&lt;titles&gt;&lt;title&gt;Hypofractionated intensity-modulated simultaneous integrated boost and image-guided radiotherapy in the treatment of high-risk prostate cancer patients: a preliminary report on acute toxicity&lt;/title&gt;&lt;secondary-title&gt;Tumori&lt;/secondary-title&gt;&lt;/titles&gt;&lt;pages&gt;474-9&lt;/pages&gt;&lt;volume&gt;99&lt;/volume&gt;&lt;number&gt;4&lt;/number&gt;&lt;dates&gt;&lt;year&gt;2013&lt;/year&gt;&lt;/dates&gt;&lt;accession-num&gt;24326835&lt;/accession-num&gt;&lt;urls&gt;&lt;related-urls&gt;&lt;url&gt;http://ezproxy.library.usyd.edu.au/login?url=http://ovidsp.ovid.com/ovidweb.cgi?T=JS&amp;amp;CSC=Y&amp;amp;NEWS=N&amp;amp;PAGE=fulltext&amp;amp;D=med10&amp;amp;AN=24326835https://sydney.alma.exlibrisgroup.com/openurl/61USYD_INST/61USYD_INST:sydney?sid=OVID:medline&amp;amp;id=pmid:24326835&amp;amp;id=doi:10.170&lt;/url&gt;&lt;/related-urls&gt;&lt;/urls&gt;&lt;electronic-resource-num&gt;https://dx.doi.org/10.1700/1361.15097&lt;/electronic-resource-num&gt;&lt;/record&gt;&lt;/Cite&gt;&lt;/EndNote&gt;</w:instrText>
              </w:r>
              <w:r w:rsidR="001F781A">
                <w:fldChar w:fldCharType="separate"/>
              </w:r>
              <w:r w:rsidR="001F781A">
                <w:rPr>
                  <w:noProof/>
                </w:rPr>
                <w:t>Valeriani, Carnevale, et al. (2013)</w:t>
              </w:r>
              <w:r w:rsidR="001F781A">
                <w:fldChar w:fldCharType="end"/>
              </w:r>
            </w:hyperlink>
          </w:p>
        </w:tc>
        <w:tc>
          <w:tcPr>
            <w:tcW w:w="562" w:type="pct"/>
            <w:shd w:val="clear" w:color="auto" w:fill="auto"/>
          </w:tcPr>
          <w:p w14:paraId="25011F19" w14:textId="29581437" w:rsidR="00C42543" w:rsidRDefault="00C42543" w:rsidP="005C3B2B">
            <w:pPr>
              <w:pStyle w:val="Tabletext1"/>
              <w:jc w:val="center"/>
              <w:rPr>
                <w:snapToGrid w:val="0"/>
              </w:rPr>
            </w:pPr>
            <w:r w:rsidRPr="005C3B2B">
              <w:t>59</w:t>
            </w:r>
          </w:p>
        </w:tc>
        <w:tc>
          <w:tcPr>
            <w:tcW w:w="1088" w:type="pct"/>
            <w:shd w:val="clear" w:color="auto" w:fill="auto"/>
          </w:tcPr>
          <w:p w14:paraId="3712BCFA" w14:textId="1CBEA4C6" w:rsidR="00C42543" w:rsidRDefault="00C42543" w:rsidP="005C3B2B">
            <w:pPr>
              <w:pStyle w:val="Tabletext1"/>
              <w:jc w:val="center"/>
              <w:rPr>
                <w:snapToGrid w:val="0"/>
              </w:rPr>
            </w:pPr>
            <w:r w:rsidRPr="005C3B2B">
              <w:t xml:space="preserve">Prospective </w:t>
            </w:r>
            <w:r w:rsidR="008B5C05" w:rsidRPr="005C3B2B">
              <w:t>SA Coh</w:t>
            </w:r>
          </w:p>
        </w:tc>
        <w:tc>
          <w:tcPr>
            <w:tcW w:w="770" w:type="pct"/>
            <w:shd w:val="clear" w:color="auto" w:fill="auto"/>
          </w:tcPr>
          <w:p w14:paraId="585D2E18" w14:textId="77777777" w:rsidR="007C1ECA" w:rsidRPr="005C3B2B" w:rsidRDefault="007C1ECA" w:rsidP="005C3B2B">
            <w:pPr>
              <w:pStyle w:val="Tabletext1"/>
              <w:jc w:val="center"/>
            </w:pPr>
            <w:r w:rsidRPr="005C3B2B">
              <w:t>IMRT</w:t>
            </w:r>
          </w:p>
          <w:p w14:paraId="64E893D1" w14:textId="09BE281D" w:rsidR="00C42543" w:rsidRDefault="007C1ECA" w:rsidP="005C3B2B">
            <w:pPr>
              <w:pStyle w:val="Tabletext1"/>
              <w:jc w:val="center"/>
              <w:rPr>
                <w:snapToGrid w:val="0"/>
              </w:rPr>
            </w:pPr>
            <w:r w:rsidRPr="005C3B2B">
              <w:t>(hypofractionated, SIB)</w:t>
            </w:r>
          </w:p>
        </w:tc>
        <w:tc>
          <w:tcPr>
            <w:tcW w:w="835" w:type="pct"/>
            <w:shd w:val="clear" w:color="auto" w:fill="auto"/>
          </w:tcPr>
          <w:p w14:paraId="497BA054" w14:textId="2479C84C" w:rsidR="00C42543" w:rsidRDefault="00C42543" w:rsidP="005C3B2B">
            <w:pPr>
              <w:pStyle w:val="Tabletext1"/>
              <w:jc w:val="center"/>
              <w:rPr>
                <w:snapToGrid w:val="0"/>
              </w:rPr>
            </w:pPr>
            <w:r w:rsidRPr="005C3B2B">
              <w:t xml:space="preserve">Prostate </w:t>
            </w:r>
            <w:r w:rsidR="00F638B4" w:rsidRPr="005C3B2B">
              <w:t xml:space="preserve">cancer, </w:t>
            </w:r>
            <w:r w:rsidRPr="005C3B2B">
              <w:t>high risk</w:t>
            </w:r>
          </w:p>
        </w:tc>
        <w:tc>
          <w:tcPr>
            <w:tcW w:w="637" w:type="pct"/>
            <w:shd w:val="clear" w:color="auto" w:fill="auto"/>
          </w:tcPr>
          <w:p w14:paraId="26C28378" w14:textId="183CBBE7"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0F3A5AFA" w14:textId="6D015DEA" w:rsidR="00C42543" w:rsidRDefault="00C42543" w:rsidP="005C3B2B">
            <w:pPr>
              <w:pStyle w:val="Tabletext1"/>
              <w:jc w:val="center"/>
              <w:rPr>
                <w:snapToGrid w:val="0"/>
              </w:rPr>
            </w:pPr>
            <w:r w:rsidRPr="0085503A">
              <w:rPr>
                <w:snapToGrid w:val="0"/>
              </w:rPr>
              <w:t>Not used</w:t>
            </w:r>
          </w:p>
        </w:tc>
      </w:tr>
      <w:tr w:rsidR="008B6FC0" w:rsidRPr="00CE45B9" w14:paraId="512D8E24" w14:textId="77777777" w:rsidTr="001F64FE">
        <w:trPr>
          <w:cantSplit/>
        </w:trPr>
        <w:tc>
          <w:tcPr>
            <w:tcW w:w="652" w:type="pct"/>
            <w:shd w:val="clear" w:color="auto" w:fill="auto"/>
          </w:tcPr>
          <w:p w14:paraId="559055DB" w14:textId="7138C9BF" w:rsidR="00992625" w:rsidRPr="005C3B2B" w:rsidRDefault="00211285" w:rsidP="005C3B2B">
            <w:pPr>
              <w:pStyle w:val="Tabletext1"/>
            </w:pPr>
            <w:hyperlink w:anchor="_ENREF_74" w:tooltip="Valeriani, 2018 #75" w:history="1">
              <w:r w:rsidR="008B6FC0">
                <w:fldChar w:fldCharType="begin"/>
              </w:r>
              <w:r w:rsidR="008B6FC0">
                <w:instrText xml:space="preserve"> ADDIN EN.CITE &lt;EndNote&gt;&lt;Cite AuthorYear="1"&gt;&lt;Author&gt;Valeriani&lt;/Author&gt;&lt;Year&gt;2018&lt;/Year&gt;&lt;RecNum&gt;75&lt;/RecNum&gt;&lt;DisplayText&gt;Valeriani et al. (2018)&lt;/DisplayText&gt;&lt;record&gt;&lt;rec-number&gt;75&lt;/rec-number&gt;&lt;foreign-keys&gt;&lt;key app="EN" db-id="sx5wsdwv795wvue959xxw0ptaewvdezxxp05" timestamp="1604876398"&gt;75&lt;/key&gt;&lt;/foreign-keys&gt;&lt;ref-type name="Journal Article"&gt;17&lt;/ref-type&gt;&lt;contributors&gt;&lt;authors&gt;&lt;author&gt;Valeriani, M.&lt;/author&gt;&lt;author&gt;Bonfili, P.&lt;/author&gt;&lt;author&gt;Reverberi, C.&lt;/author&gt;&lt;author&gt;Marinelli, L.&lt;/author&gt;&lt;author&gt;Ferella, L.&lt;/author&gt;&lt;author&gt;Minniti, G.&lt;/author&gt;&lt;author&gt;Sanctis, V. D. E.&lt;/author&gt;&lt;author&gt;Osti, M. F.&lt;/author&gt;&lt;author&gt;Bonome, P.&lt;/author&gt;&lt;author&gt;Tronnolone, L.&lt;/author&gt;&lt;author&gt;Varrassi, E.&lt;/author&gt;&lt;author&gt;Gravina, G. L.&lt;/author&gt;&lt;author&gt;Franzese, P.&lt;/author&gt;&lt;author&gt;Tombolini, V.&lt;/author&gt;&lt;author&gt;Staso, M. D. I.&lt;/author&gt;&lt;/authors&gt;&lt;/contributors&gt;&lt;titles&gt;&lt;title&gt;Moderate hypofractionation in patients with low-risk prostate cancer: Long-term outcomes&lt;/title&gt;&lt;secondary-title&gt;Anticancer Research&lt;/secondary-title&gt;&lt;/titles&gt;&lt;pages&gt;1671-1676&lt;/pages&gt;&lt;volume&gt;38&lt;/volume&gt;&lt;number&gt;3&lt;/number&gt;&lt;dates&gt;&lt;year&gt;2018&lt;/year&gt;&lt;/dates&gt;&lt;accession-num&gt;621166411&lt;/accession-num&gt;&lt;urls&gt;&lt;related-urls&gt;&lt;url&gt;http://ar.iiarjournals.org/content/38/3/1671.full.pdfhttp://ezproxy.library.usyd.edu.au/login?url=http://ovidsp.ovid.com/ovidweb.cgi?T=JS&amp;amp;CSC=Y&amp;amp;NEWS=N&amp;amp;PAGE=fulltext&amp;amp;D=emed19&amp;amp;AN=621166411https://sydney.alma.exlibrisgroup.com/openurl/61USYD_INST/61USYD_INST&lt;/url&gt;&lt;url&gt;http://ar.iiarjournals.org/content/38/3/1671.full.pdf&lt;/url&gt;&lt;/related-urls&gt;&lt;/urls&gt;&lt;electronic-resource-num&gt;http://dx.doi.org/10.21873/anticanres.12400&lt;/electronic-resource-num&gt;&lt;/record&gt;&lt;/Cite&gt;&lt;/EndNote&gt;</w:instrText>
              </w:r>
              <w:r w:rsidR="008B6FC0">
                <w:fldChar w:fldCharType="separate"/>
              </w:r>
              <w:r w:rsidR="008B6FC0">
                <w:rPr>
                  <w:noProof/>
                </w:rPr>
                <w:t>Valeriani et al. (2018)</w:t>
              </w:r>
              <w:r w:rsidR="008B6FC0">
                <w:fldChar w:fldCharType="end"/>
              </w:r>
            </w:hyperlink>
          </w:p>
        </w:tc>
        <w:tc>
          <w:tcPr>
            <w:tcW w:w="562" w:type="pct"/>
            <w:shd w:val="clear" w:color="auto" w:fill="auto"/>
          </w:tcPr>
          <w:p w14:paraId="1D3A849C" w14:textId="17434886" w:rsidR="00992625" w:rsidRPr="005C3B2B" w:rsidRDefault="001E5DA4" w:rsidP="005C3B2B">
            <w:pPr>
              <w:pStyle w:val="Tabletext1"/>
              <w:jc w:val="center"/>
            </w:pPr>
            <w:r w:rsidRPr="005C3B2B">
              <w:t>85*</w:t>
            </w:r>
            <w:r w:rsidR="00992625" w:rsidRPr="005C3B2B">
              <w:t xml:space="preserve"> (</w:t>
            </w:r>
            <w:r w:rsidRPr="005C3B2B">
              <w:t>total 175</w:t>
            </w:r>
            <w:r w:rsidR="00992625" w:rsidRPr="005C3B2B">
              <w:t>)</w:t>
            </w:r>
          </w:p>
        </w:tc>
        <w:tc>
          <w:tcPr>
            <w:tcW w:w="1088" w:type="pct"/>
            <w:shd w:val="clear" w:color="auto" w:fill="auto"/>
          </w:tcPr>
          <w:p w14:paraId="68FE042D" w14:textId="241F7F61" w:rsidR="00992625" w:rsidRPr="005C3B2B" w:rsidRDefault="00E4587D" w:rsidP="005C3B2B">
            <w:pPr>
              <w:pStyle w:val="Tabletext1"/>
              <w:jc w:val="center"/>
            </w:pPr>
            <w:r w:rsidRPr="005C3B2B">
              <w:t>Prospective multicentric Coh, comparative (with IGRT vs without IGRT)</w:t>
            </w:r>
          </w:p>
        </w:tc>
        <w:tc>
          <w:tcPr>
            <w:tcW w:w="770" w:type="pct"/>
            <w:shd w:val="clear" w:color="auto" w:fill="auto"/>
          </w:tcPr>
          <w:p w14:paraId="6F221F15" w14:textId="77777777" w:rsidR="00992625" w:rsidRPr="005C3B2B" w:rsidRDefault="001E5DA4" w:rsidP="005C3B2B">
            <w:pPr>
              <w:pStyle w:val="Tabletext1"/>
              <w:jc w:val="center"/>
            </w:pPr>
            <w:r w:rsidRPr="005C3B2B">
              <w:t>IMRT</w:t>
            </w:r>
          </w:p>
          <w:p w14:paraId="73F31254" w14:textId="6F64108D" w:rsidR="00992625" w:rsidRPr="005C3B2B" w:rsidRDefault="001E5DA4" w:rsidP="005C3B2B">
            <w:pPr>
              <w:pStyle w:val="Tabletext1"/>
              <w:jc w:val="center"/>
            </w:pPr>
            <w:r w:rsidRPr="005C3B2B">
              <w:t>(hypofractionated)</w:t>
            </w:r>
          </w:p>
        </w:tc>
        <w:tc>
          <w:tcPr>
            <w:tcW w:w="835" w:type="pct"/>
            <w:shd w:val="clear" w:color="auto" w:fill="auto"/>
          </w:tcPr>
          <w:p w14:paraId="4F131481" w14:textId="307F4B9A" w:rsidR="00992625" w:rsidRPr="005C3B2B" w:rsidRDefault="00992625" w:rsidP="005C3B2B">
            <w:pPr>
              <w:pStyle w:val="Tabletext1"/>
              <w:jc w:val="center"/>
            </w:pPr>
            <w:r w:rsidRPr="005C3B2B">
              <w:t xml:space="preserve">Prostate </w:t>
            </w:r>
            <w:r w:rsidR="009B5975" w:rsidRPr="005C3B2B">
              <w:t xml:space="preserve">cancer, </w:t>
            </w:r>
            <w:r w:rsidRPr="005C3B2B">
              <w:t>low risk</w:t>
            </w:r>
          </w:p>
        </w:tc>
        <w:tc>
          <w:tcPr>
            <w:tcW w:w="637" w:type="pct"/>
            <w:shd w:val="clear" w:color="auto" w:fill="auto"/>
          </w:tcPr>
          <w:p w14:paraId="2A067999" w14:textId="05148D18" w:rsidR="00992625" w:rsidRPr="00B932EF" w:rsidRDefault="00992625" w:rsidP="005C3B2B">
            <w:pPr>
              <w:pStyle w:val="Tabletext1"/>
              <w:jc w:val="center"/>
              <w:rPr>
                <w:snapToGrid w:val="0"/>
              </w:rPr>
            </w:pPr>
            <w:r w:rsidRPr="00B932EF">
              <w:rPr>
                <w:snapToGrid w:val="0"/>
              </w:rPr>
              <w:t>Toxicity</w:t>
            </w:r>
          </w:p>
        </w:tc>
        <w:tc>
          <w:tcPr>
            <w:tcW w:w="456" w:type="pct"/>
            <w:shd w:val="clear" w:color="auto" w:fill="auto"/>
          </w:tcPr>
          <w:p w14:paraId="5573A92A" w14:textId="00757204" w:rsidR="00992625" w:rsidRPr="0085503A" w:rsidRDefault="00992625" w:rsidP="005C3B2B">
            <w:pPr>
              <w:pStyle w:val="Tabletext1"/>
              <w:jc w:val="center"/>
              <w:rPr>
                <w:snapToGrid w:val="0"/>
              </w:rPr>
            </w:pPr>
            <w:r w:rsidRPr="0085503A">
              <w:rPr>
                <w:snapToGrid w:val="0"/>
              </w:rPr>
              <w:t>Not used</w:t>
            </w:r>
          </w:p>
        </w:tc>
      </w:tr>
      <w:tr w:rsidR="008B6FC0" w:rsidRPr="00CE45B9" w14:paraId="5DFF141A" w14:textId="77777777" w:rsidTr="001F64FE">
        <w:trPr>
          <w:cantSplit/>
        </w:trPr>
        <w:tc>
          <w:tcPr>
            <w:tcW w:w="652" w:type="pct"/>
            <w:shd w:val="clear" w:color="auto" w:fill="auto"/>
          </w:tcPr>
          <w:p w14:paraId="207C4281" w14:textId="2AA09634" w:rsidR="00C42543" w:rsidRPr="005C3B2B" w:rsidRDefault="00211285" w:rsidP="005C3B2B">
            <w:pPr>
              <w:pStyle w:val="Tabletext1"/>
            </w:pPr>
            <w:hyperlink w:anchor="_ENREF_78" w:tooltip="Vargas, 2019 #78" w:history="1">
              <w:r w:rsidR="008B6FC0">
                <w:fldChar w:fldCharType="begin"/>
              </w:r>
              <w:r w:rsidR="008B6FC0">
                <w:instrText xml:space="preserve"> ADDIN EN.CITE &lt;EndNote&gt;&lt;Cite AuthorYear="1"&gt;&lt;Author&gt;Vargas&lt;/Author&gt;&lt;Year&gt;2019&lt;/Year&gt;&lt;RecNum&gt;78&lt;/RecNum&gt;&lt;DisplayText&gt;Vargas et al. (2019)&lt;/DisplayText&gt;&lt;record&gt;&lt;rec-number&gt;78&lt;/rec-number&gt;&lt;foreign-keys&gt;&lt;key app="EN" db-id="sx5wsdwv795wvue959xxw0ptaewvdezxxp05" timestamp="1604876399"&gt;78&lt;/key&gt;&lt;/foreign-keys&gt;&lt;ref-type name="Journal Article"&gt;17&lt;/ref-type&gt;&lt;contributors&gt;&lt;authors&gt;&lt;author&gt;Vargas, C. E.&lt;/author&gt;&lt;author&gt;Alam, N. B.&lt;/author&gt;&lt;author&gt;Terk, M.&lt;/author&gt;&lt;author&gt;Niska, J. R.&lt;/author&gt;&lt;author&gt;Cesareti, J.&lt;/author&gt;&lt;author&gt;Swartz, D.&lt;/author&gt;&lt;author&gt;Vashi, A.&lt;/author&gt;&lt;author&gt;Kasraeian, A.&lt;/author&gt;&lt;author&gt;West, C. S.&lt;/author&gt;&lt;author&gt;Blasser, M.&lt;/author&gt;&lt;author&gt;Moore, C.&lt;/author&gt;&lt;/authors&gt;&lt;/contributors&gt;&lt;titles&gt;&lt;title&gt;Initial results of a randomized phase III trial of high dose image guided radiation with or without androgen deprivation therapy for intermediate-risk prostate cancer&lt;/title&gt;&lt;secondary-title&gt;Cancer treatment and research communications&lt;/secondary-title&gt;&lt;/titles&gt;&lt;volume&gt;19&lt;/volume&gt;&lt;dates&gt;&lt;year&gt;2019&lt;/year&gt;&lt;/dates&gt;&lt;accession-num&gt;CN-01788812 NEW&lt;/accession-num&gt;&lt;urls&gt;&lt;related-urls&gt;&lt;url&gt;http://ezproxy.library.usyd.edu.au/login?url=http://ovidsp.ovid.com/ovidweb.cgi?T=JS&amp;amp;CSC=Y&amp;amp;NEWS=N&amp;amp;PAGE=fulltext&amp;amp;D=cctr&amp;amp;AN=CN-01788812https://sydney.alma.exlibrisgroup.com/openurl/61USYD_INST/61USYD_INST:sydney?sid=OVID:cctrdb&amp;amp;id=pmid:10.1016%2Fj.ctarc.201&lt;/url&gt;&lt;/related-urls&gt;&lt;/urls&gt;&lt;/record&gt;&lt;/Cite&gt;&lt;/EndNote&gt;</w:instrText>
              </w:r>
              <w:r w:rsidR="008B6FC0">
                <w:fldChar w:fldCharType="separate"/>
              </w:r>
              <w:r w:rsidR="008B6FC0">
                <w:rPr>
                  <w:noProof/>
                </w:rPr>
                <w:t>Vargas et al. (2019)</w:t>
              </w:r>
              <w:r w:rsidR="008B6FC0">
                <w:fldChar w:fldCharType="end"/>
              </w:r>
            </w:hyperlink>
          </w:p>
        </w:tc>
        <w:tc>
          <w:tcPr>
            <w:tcW w:w="562" w:type="pct"/>
            <w:shd w:val="clear" w:color="auto" w:fill="auto"/>
          </w:tcPr>
          <w:p w14:paraId="5A101286" w14:textId="69296397" w:rsidR="00C42543" w:rsidRDefault="00C42543" w:rsidP="005C3B2B">
            <w:pPr>
              <w:pStyle w:val="Tabletext1"/>
              <w:jc w:val="center"/>
              <w:rPr>
                <w:snapToGrid w:val="0"/>
              </w:rPr>
            </w:pPr>
            <w:r w:rsidRPr="005C3B2B">
              <w:t>79</w:t>
            </w:r>
            <w:r w:rsidR="00486084" w:rsidRPr="005C3B2B">
              <w:t>*</w:t>
            </w:r>
            <w:r w:rsidRPr="005C3B2B">
              <w:t xml:space="preserve"> (no BRT</w:t>
            </w:r>
            <w:r w:rsidR="00B50DDE" w:rsidRPr="005C3B2B">
              <w:t>; total 106</w:t>
            </w:r>
            <w:r w:rsidRPr="005C3B2B">
              <w:t>)</w:t>
            </w:r>
          </w:p>
        </w:tc>
        <w:tc>
          <w:tcPr>
            <w:tcW w:w="1088" w:type="pct"/>
            <w:shd w:val="clear" w:color="auto" w:fill="auto"/>
          </w:tcPr>
          <w:p w14:paraId="35A37958" w14:textId="0D38BF06" w:rsidR="00C42543" w:rsidRDefault="003B5CFA" w:rsidP="005C3B2B">
            <w:pPr>
              <w:pStyle w:val="Tabletext1"/>
              <w:jc w:val="center"/>
              <w:rPr>
                <w:snapToGrid w:val="0"/>
              </w:rPr>
            </w:pPr>
            <w:r w:rsidRPr="005C3B2B">
              <w:t>RCT (</w:t>
            </w:r>
            <w:r w:rsidR="00E52AEC" w:rsidRPr="005C3B2B">
              <w:t>w</w:t>
            </w:r>
            <w:r w:rsidR="00992625" w:rsidRPr="005C3B2B">
              <w:t>ith</w:t>
            </w:r>
            <w:r w:rsidR="00C42543" w:rsidRPr="005C3B2B">
              <w:t>/without ADT</w:t>
            </w:r>
            <w:r w:rsidR="00E52AEC" w:rsidRPr="005C3B2B">
              <w:t xml:space="preserve"> and w</w:t>
            </w:r>
            <w:r w:rsidR="00992625" w:rsidRPr="005C3B2B">
              <w:t>ith</w:t>
            </w:r>
            <w:r w:rsidR="00C42543" w:rsidRPr="005C3B2B">
              <w:t>/without BRT</w:t>
            </w:r>
            <w:r w:rsidR="00E52AEC" w:rsidRPr="005C3B2B">
              <w:t>)</w:t>
            </w:r>
            <w:r w:rsidR="00992625" w:rsidRPr="005C3B2B">
              <w:t>,</w:t>
            </w:r>
            <w:r w:rsidR="00C42543" w:rsidRPr="005C3B2B">
              <w:t xml:space="preserve"> not blinded</w:t>
            </w:r>
          </w:p>
        </w:tc>
        <w:tc>
          <w:tcPr>
            <w:tcW w:w="770" w:type="pct"/>
            <w:shd w:val="clear" w:color="auto" w:fill="auto"/>
          </w:tcPr>
          <w:p w14:paraId="5B72F690" w14:textId="109C2FDC" w:rsidR="00C42543" w:rsidRDefault="00892280" w:rsidP="005C3B2B">
            <w:pPr>
              <w:pStyle w:val="Tabletext1"/>
              <w:jc w:val="center"/>
              <w:rPr>
                <w:snapToGrid w:val="0"/>
              </w:rPr>
            </w:pPr>
            <w:r w:rsidRPr="005C3B2B">
              <w:t>IMRT</w:t>
            </w:r>
            <w:r w:rsidR="00992625" w:rsidRPr="005C3B2B">
              <w:t xml:space="preserve"> with or without BRT</w:t>
            </w:r>
          </w:p>
        </w:tc>
        <w:tc>
          <w:tcPr>
            <w:tcW w:w="835" w:type="pct"/>
            <w:shd w:val="clear" w:color="auto" w:fill="auto"/>
          </w:tcPr>
          <w:p w14:paraId="6469EB18" w14:textId="49E3DACA" w:rsidR="00C42543" w:rsidRDefault="00C42543" w:rsidP="005C3B2B">
            <w:pPr>
              <w:pStyle w:val="Tabletext1"/>
              <w:jc w:val="center"/>
              <w:rPr>
                <w:snapToGrid w:val="0"/>
              </w:rPr>
            </w:pPr>
            <w:r w:rsidRPr="005C3B2B">
              <w:t xml:space="preserve">Prostate </w:t>
            </w:r>
            <w:r w:rsidR="009B5975" w:rsidRPr="005C3B2B">
              <w:t xml:space="preserve">cancer, </w:t>
            </w:r>
            <w:r w:rsidRPr="005C3B2B">
              <w:t>intermediate risk</w:t>
            </w:r>
          </w:p>
        </w:tc>
        <w:tc>
          <w:tcPr>
            <w:tcW w:w="637" w:type="pct"/>
            <w:shd w:val="clear" w:color="auto" w:fill="auto"/>
          </w:tcPr>
          <w:p w14:paraId="5F674E4B" w14:textId="60139262" w:rsidR="00992625" w:rsidRDefault="00C42543" w:rsidP="005C3B2B">
            <w:pPr>
              <w:pStyle w:val="Tabletext1"/>
              <w:jc w:val="center"/>
              <w:rPr>
                <w:snapToGrid w:val="0"/>
              </w:rPr>
            </w:pPr>
            <w:r w:rsidRPr="00B932EF">
              <w:rPr>
                <w:snapToGrid w:val="0"/>
              </w:rPr>
              <w:t>Toxicity</w:t>
            </w:r>
          </w:p>
          <w:p w14:paraId="69E39F21" w14:textId="07734471" w:rsidR="00EA5563" w:rsidRDefault="00EA5563" w:rsidP="005C3B2B">
            <w:pPr>
              <w:pStyle w:val="Tabletext1"/>
              <w:jc w:val="center"/>
              <w:rPr>
                <w:snapToGrid w:val="0"/>
              </w:rPr>
            </w:pPr>
            <w:r>
              <w:rPr>
                <w:snapToGrid w:val="0"/>
              </w:rPr>
              <w:t>QoL</w:t>
            </w:r>
          </w:p>
          <w:p w14:paraId="4E6CF06D" w14:textId="474EDE5B" w:rsidR="00C42543" w:rsidRDefault="00C42543" w:rsidP="005C3B2B">
            <w:pPr>
              <w:pStyle w:val="Tabletext1"/>
              <w:jc w:val="center"/>
              <w:rPr>
                <w:snapToGrid w:val="0"/>
              </w:rPr>
            </w:pPr>
          </w:p>
        </w:tc>
        <w:tc>
          <w:tcPr>
            <w:tcW w:w="456" w:type="pct"/>
            <w:shd w:val="clear" w:color="auto" w:fill="auto"/>
          </w:tcPr>
          <w:p w14:paraId="44507757" w14:textId="1514A619" w:rsidR="00C42543" w:rsidRDefault="00C42543" w:rsidP="005C3B2B">
            <w:pPr>
              <w:pStyle w:val="Tabletext1"/>
              <w:jc w:val="center"/>
              <w:rPr>
                <w:snapToGrid w:val="0"/>
              </w:rPr>
            </w:pPr>
            <w:r w:rsidRPr="0085503A">
              <w:rPr>
                <w:snapToGrid w:val="0"/>
              </w:rPr>
              <w:t>Not used</w:t>
            </w:r>
          </w:p>
        </w:tc>
      </w:tr>
      <w:tr w:rsidR="008B6FC0" w:rsidRPr="00CE45B9" w14:paraId="742926D8" w14:textId="77777777" w:rsidTr="001F64FE">
        <w:trPr>
          <w:cantSplit/>
        </w:trPr>
        <w:tc>
          <w:tcPr>
            <w:tcW w:w="652" w:type="pct"/>
            <w:shd w:val="clear" w:color="auto" w:fill="auto"/>
          </w:tcPr>
          <w:p w14:paraId="534F92B4" w14:textId="6DAF1F6E" w:rsidR="00C42543" w:rsidRPr="005C3B2B" w:rsidRDefault="00211285" w:rsidP="005C3B2B">
            <w:pPr>
              <w:pStyle w:val="Tabletext1"/>
            </w:pPr>
            <w:hyperlink w:anchor="_ENREF_79" w:tooltip="Vassis, 2020 #79" w:history="1">
              <w:r w:rsidR="001F781A">
                <w:fldChar w:fldCharType="begin"/>
              </w:r>
              <w:r w:rsidR="001F781A">
                <w:instrText xml:space="preserve"> ADDIN EN.CITE &lt;EndNote&gt;&lt;Cite AuthorYear="1"&gt;&lt;Author&gt;Vassis&lt;/Author&gt;&lt;Year&gt;2020&lt;/Year&gt;&lt;RecNum&gt;79&lt;/RecNum&gt;&lt;DisplayText&gt;Vassis, Noldeke, Christiansen, von Klot, and Merten (2020)&lt;/DisplayText&gt;&lt;record&gt;&lt;rec-number&gt;79&lt;/rec-number&gt;&lt;foreign-keys&gt;&lt;key app="EN" db-id="sx5wsdwv795wvue959xxw0ptaewvdezxxp05" timestamp="1604876399"&gt;79&lt;/key&gt;&lt;/foreign-keys&gt;&lt;ref-type name="Journal Article"&gt;17&lt;/ref-type&gt;&lt;contributors&gt;&lt;authors&gt;&lt;author&gt;Vassis, S.&lt;/author&gt;&lt;author&gt;Noldeke, B.&lt;/author&gt;&lt;author&gt;Christiansen, H.&lt;/author&gt;&lt;author&gt;von Klot, C. A.&lt;/author&gt;&lt;author&gt;Merten, R.&lt;/author&gt;&lt;/authors&gt;&lt;/contributors&gt;&lt;titles&gt;&lt;title&gt;Moderately HRT vs. CRT for localized prostate cancer using image-guided VMAT with SIB: evaluation of acute and late toxicities&lt;/title&gt;&lt;secondary-title&gt;Strahlentherapie und Onkologie&lt;/secondary-title&gt;&lt;/titles&gt;&lt;pages&gt;598-607&lt;/pages&gt;&lt;volume&gt;196&lt;/volume&gt;&lt;number&gt;7&lt;/number&gt;&lt;dates&gt;&lt;year&gt;2020&lt;/year&gt;&lt;/dates&gt;&lt;accession-num&gt;2004241359&lt;/accession-num&gt;&lt;urls&gt;&lt;related-urls&gt;&lt;url&gt;http://www.springerlink.com/content/103711/http://ezproxy.library.usyd.edu.au/login?url=http://ovidsp.ovid.com/ovidweb.cgi?T=JS&amp;amp;CSC=Y&amp;amp;NEWS=N&amp;amp;PAGE=fulltext&amp;amp;D=emexb&amp;amp;AN=2004241359https://sydney.alma.exlibrisgroup.com/openurl/61USYD_INST/61USYD_INST:sydney?si&lt;/url&gt;&lt;url&gt;https://www.ncbi.nlm.nih.gov/pmc/articles/PMC7305256/pdf/66_2020_Article_1589.pdf&lt;/url&gt;&lt;url&gt;https://link.springer.com/content/pdf/10.1007/s00066-020-01589-w.pdf&lt;/url&gt;&lt;/related-urls&gt;&lt;/urls&gt;&lt;electronic-resource-num&gt;http://dx.doi.org/10.1007/s00066-020-01589-w&lt;/electronic-resource-num&gt;&lt;/record&gt;&lt;/Cite&gt;&lt;/EndNote&gt;</w:instrText>
              </w:r>
              <w:r w:rsidR="001F781A">
                <w:fldChar w:fldCharType="separate"/>
              </w:r>
              <w:r w:rsidR="001F781A">
                <w:rPr>
                  <w:noProof/>
                </w:rPr>
                <w:t>Vassis, Noldeke, Christiansen, von Klot, and Merten (2020)</w:t>
              </w:r>
              <w:r w:rsidR="001F781A">
                <w:fldChar w:fldCharType="end"/>
              </w:r>
            </w:hyperlink>
          </w:p>
        </w:tc>
        <w:tc>
          <w:tcPr>
            <w:tcW w:w="562" w:type="pct"/>
            <w:shd w:val="clear" w:color="auto" w:fill="auto"/>
          </w:tcPr>
          <w:p w14:paraId="2EBBF62F" w14:textId="674F3C3A" w:rsidR="00C42543" w:rsidRDefault="00992625" w:rsidP="005C3B2B">
            <w:pPr>
              <w:pStyle w:val="Tabletext1"/>
              <w:jc w:val="center"/>
              <w:rPr>
                <w:snapToGrid w:val="0"/>
              </w:rPr>
            </w:pPr>
            <w:r w:rsidRPr="005C3B2B">
              <w:t>55</w:t>
            </w:r>
            <w:r w:rsidR="004B2533" w:rsidRPr="005C3B2B">
              <w:t>* (total 110)</w:t>
            </w:r>
          </w:p>
        </w:tc>
        <w:tc>
          <w:tcPr>
            <w:tcW w:w="1088" w:type="pct"/>
            <w:shd w:val="clear" w:color="auto" w:fill="auto"/>
          </w:tcPr>
          <w:p w14:paraId="7BE02709" w14:textId="467360F1" w:rsidR="00C42543" w:rsidRDefault="00C42543" w:rsidP="005C3B2B">
            <w:pPr>
              <w:pStyle w:val="Tabletext1"/>
              <w:jc w:val="center"/>
              <w:rPr>
                <w:snapToGrid w:val="0"/>
              </w:rPr>
            </w:pPr>
            <w:r w:rsidRPr="005C3B2B">
              <w:t xml:space="preserve">Retrospective </w:t>
            </w:r>
            <w:r w:rsidR="002C6874" w:rsidRPr="005C3B2B">
              <w:t>Coh, c</w:t>
            </w:r>
            <w:r w:rsidR="00992625" w:rsidRPr="005C3B2B">
              <w:t>omparative</w:t>
            </w:r>
            <w:r w:rsidR="002C6874" w:rsidRPr="005C3B2B">
              <w:t xml:space="preserve"> (</w:t>
            </w:r>
            <w:r w:rsidRPr="005C3B2B">
              <w:t>moderately hypofractionated VMAT vs conventional RT</w:t>
            </w:r>
            <w:r w:rsidR="00C772D2" w:rsidRPr="005C3B2B">
              <w:t>)</w:t>
            </w:r>
          </w:p>
        </w:tc>
        <w:tc>
          <w:tcPr>
            <w:tcW w:w="770" w:type="pct"/>
            <w:shd w:val="clear" w:color="auto" w:fill="auto"/>
          </w:tcPr>
          <w:p w14:paraId="4D0D1C11" w14:textId="77777777" w:rsidR="00A41EA8" w:rsidRPr="005C3B2B" w:rsidRDefault="00992625" w:rsidP="005C3B2B">
            <w:pPr>
              <w:pStyle w:val="Tabletext1"/>
              <w:jc w:val="center"/>
            </w:pPr>
            <w:r w:rsidRPr="005C3B2B">
              <w:t>VMAT</w:t>
            </w:r>
          </w:p>
          <w:p w14:paraId="61468CCA" w14:textId="48F45E4F" w:rsidR="00C42543" w:rsidRDefault="00A41EA8" w:rsidP="005C3B2B">
            <w:pPr>
              <w:pStyle w:val="Tabletext1"/>
              <w:jc w:val="center"/>
              <w:rPr>
                <w:snapToGrid w:val="0"/>
              </w:rPr>
            </w:pPr>
            <w:r w:rsidRPr="005C3B2B">
              <w:t>(moderately</w:t>
            </w:r>
            <w:r w:rsidR="00C42543" w:rsidRPr="005C3B2B">
              <w:t xml:space="preserve"> hypofractionated</w:t>
            </w:r>
            <w:r w:rsidRPr="005C3B2B">
              <w:t>,</w:t>
            </w:r>
            <w:r w:rsidR="00C42543" w:rsidRPr="005C3B2B">
              <w:t xml:space="preserve"> SIB)</w:t>
            </w:r>
          </w:p>
        </w:tc>
        <w:tc>
          <w:tcPr>
            <w:tcW w:w="835" w:type="pct"/>
            <w:shd w:val="clear" w:color="auto" w:fill="auto"/>
          </w:tcPr>
          <w:p w14:paraId="6A93F96C" w14:textId="78716338" w:rsidR="00C42543" w:rsidRDefault="00992625" w:rsidP="005C3B2B">
            <w:pPr>
              <w:pStyle w:val="Tabletext1"/>
              <w:jc w:val="center"/>
              <w:rPr>
                <w:snapToGrid w:val="0"/>
              </w:rPr>
            </w:pPr>
            <w:r w:rsidRPr="005C3B2B">
              <w:t>Prostate</w:t>
            </w:r>
            <w:r w:rsidR="00A902C6" w:rsidRPr="005C3B2B">
              <w:t xml:space="preserve"> cancer, localised</w:t>
            </w:r>
          </w:p>
        </w:tc>
        <w:tc>
          <w:tcPr>
            <w:tcW w:w="637" w:type="pct"/>
            <w:shd w:val="clear" w:color="auto" w:fill="auto"/>
          </w:tcPr>
          <w:p w14:paraId="49D48E7B" w14:textId="5434D576" w:rsidR="00C42543" w:rsidRDefault="00C42543" w:rsidP="005C3B2B">
            <w:pPr>
              <w:pStyle w:val="Tabletext1"/>
              <w:jc w:val="center"/>
              <w:rPr>
                <w:snapToGrid w:val="0"/>
              </w:rPr>
            </w:pPr>
            <w:r w:rsidRPr="00B932EF">
              <w:rPr>
                <w:snapToGrid w:val="0"/>
              </w:rPr>
              <w:t>Toxicity</w:t>
            </w:r>
          </w:p>
        </w:tc>
        <w:tc>
          <w:tcPr>
            <w:tcW w:w="456" w:type="pct"/>
            <w:shd w:val="clear" w:color="auto" w:fill="auto"/>
          </w:tcPr>
          <w:p w14:paraId="7A6AF440" w14:textId="09EDFB8B" w:rsidR="00C42543" w:rsidRDefault="00C42543" w:rsidP="005C3B2B">
            <w:pPr>
              <w:pStyle w:val="Tabletext1"/>
              <w:jc w:val="center"/>
              <w:rPr>
                <w:snapToGrid w:val="0"/>
              </w:rPr>
            </w:pPr>
            <w:r w:rsidRPr="0085503A">
              <w:rPr>
                <w:snapToGrid w:val="0"/>
              </w:rPr>
              <w:t>Not used</w:t>
            </w:r>
          </w:p>
        </w:tc>
      </w:tr>
      <w:tr w:rsidR="008B6FC0" w:rsidRPr="00CE45B9" w14:paraId="606D7F41" w14:textId="77777777" w:rsidTr="001F64FE">
        <w:trPr>
          <w:cantSplit/>
        </w:trPr>
        <w:tc>
          <w:tcPr>
            <w:tcW w:w="652" w:type="pct"/>
            <w:tcBorders>
              <w:bottom w:val="single" w:sz="4" w:space="0" w:color="auto"/>
            </w:tcBorders>
            <w:shd w:val="clear" w:color="auto" w:fill="auto"/>
          </w:tcPr>
          <w:p w14:paraId="37E473F9" w14:textId="7255B74B" w:rsidR="00C42543" w:rsidRPr="005C3B2B" w:rsidRDefault="00211285" w:rsidP="005C3B2B">
            <w:pPr>
              <w:pStyle w:val="Tabletext1"/>
            </w:pPr>
            <w:hyperlink w:anchor="_ENREF_81" w:tooltip="Wang, 2018 #81" w:history="1">
              <w:r w:rsidR="008B6FC0">
                <w:fldChar w:fldCharType="begin"/>
              </w:r>
              <w:r w:rsidR="008B6FC0">
                <w:instrText xml:space="preserve"> ADDIN EN.CITE &lt;EndNote&gt;&lt;Cite AuthorYear="1"&gt;&lt;Author&gt;Wang&lt;/Author&gt;&lt;Year&gt;2018&lt;/Year&gt;&lt;RecNum&gt;81&lt;/RecNum&gt;&lt;DisplayText&gt;Wang et al. (2018)&lt;/DisplayText&gt;&lt;record&gt;&lt;rec-number&gt;81&lt;/rec-number&gt;&lt;foreign-keys&gt;&lt;key app="EN" db-id="sx5wsdwv795wvue959xxw0ptaewvdezxxp05" timestamp="1604876399"&gt;81&lt;/key&gt;&lt;/foreign-keys&gt;&lt;ref-type name="Journal Article"&gt;17&lt;/ref-type&gt;&lt;contributors&gt;&lt;authors&gt;&lt;author&gt;Wang, W. G.&lt;/author&gt;&lt;author&gt;Yan, D.&lt;/author&gt;&lt;author&gt;Ye, H.&lt;/author&gt;&lt;author&gt;Gustafson, G.&lt;/author&gt;&lt;author&gt;Ghilezan, M.&lt;/author&gt;&lt;author&gt;Martinez, A.&lt;/author&gt;&lt;author&gt;Krauss, D.&lt;/author&gt;&lt;/authors&gt;&lt;/contributors&gt;&lt;titles&gt;&lt;title&gt;Outcomes and toxicity from a prospective study of moderately hypofractionated radiation therapy for prostate cancer&lt;/title&gt;&lt;secondary-title&gt;Advances in Radiation Oncology&lt;/secondary-title&gt;&lt;/titles&gt;&lt;pages&gt;163-169&lt;/pages&gt;&lt;volume&gt;3&lt;/volume&gt;&lt;number&gt;2&lt;/number&gt;&lt;dates&gt;&lt;year&gt;2018&lt;/year&gt;&lt;/dates&gt;&lt;accession-num&gt;2000636373&lt;/accession-num&gt;&lt;urls&gt;&lt;related-urls&gt;&lt;url&gt;http://www.journals.elsevier.com/advances-in-radiation-oncology/http://ezproxy.library.usyd.edu.au/login?url=http://ovidsp.ovid.com/ovidweb.cgi?T=JS&amp;amp;CSC=Y&amp;amp;NEWS=N&amp;amp;PAGE=fulltext&amp;amp;D=emed19&amp;amp;AN=2000636373https://sydney.alma.exlibrisgroup.com/openurl/61USYD_INST&lt;/url&gt;&lt;url&gt;https://www.ncbi.nlm.nih.gov/pmc/articles/PMC6000067/pdf/main.pdf&lt;/url&gt;&lt;/related-urls&gt;&lt;/urls&gt;&lt;electronic-resource-num&gt;http://dx.doi.org/10.1016/j.adro.2017.12.006&lt;/electronic-resource-num&gt;&lt;/record&gt;&lt;/Cite&gt;&lt;/EndNote&gt;</w:instrText>
              </w:r>
              <w:r w:rsidR="008B6FC0">
                <w:fldChar w:fldCharType="separate"/>
              </w:r>
              <w:r w:rsidR="008B6FC0">
                <w:rPr>
                  <w:noProof/>
                </w:rPr>
                <w:t>Wang et al. (2018)</w:t>
              </w:r>
              <w:r w:rsidR="008B6FC0">
                <w:fldChar w:fldCharType="end"/>
              </w:r>
            </w:hyperlink>
          </w:p>
        </w:tc>
        <w:tc>
          <w:tcPr>
            <w:tcW w:w="562" w:type="pct"/>
            <w:tcBorders>
              <w:bottom w:val="single" w:sz="4" w:space="0" w:color="auto"/>
            </w:tcBorders>
            <w:shd w:val="clear" w:color="auto" w:fill="auto"/>
          </w:tcPr>
          <w:p w14:paraId="5241E4EF" w14:textId="14BD702A" w:rsidR="00C42543" w:rsidRDefault="00C42543" w:rsidP="005C3B2B">
            <w:pPr>
              <w:pStyle w:val="Tabletext1"/>
              <w:jc w:val="center"/>
              <w:rPr>
                <w:snapToGrid w:val="0"/>
              </w:rPr>
            </w:pPr>
            <w:r w:rsidRPr="005C3B2B">
              <w:t>40</w:t>
            </w:r>
          </w:p>
        </w:tc>
        <w:tc>
          <w:tcPr>
            <w:tcW w:w="1088" w:type="pct"/>
            <w:tcBorders>
              <w:bottom w:val="single" w:sz="4" w:space="0" w:color="auto"/>
            </w:tcBorders>
            <w:shd w:val="clear" w:color="auto" w:fill="auto"/>
          </w:tcPr>
          <w:p w14:paraId="44F8779F" w14:textId="37BA5129" w:rsidR="00C42543" w:rsidRDefault="00C42543" w:rsidP="005C3B2B">
            <w:pPr>
              <w:pStyle w:val="Tabletext1"/>
              <w:jc w:val="center"/>
              <w:rPr>
                <w:snapToGrid w:val="0"/>
              </w:rPr>
            </w:pPr>
            <w:r w:rsidRPr="005C3B2B">
              <w:t xml:space="preserve">Prospective </w:t>
            </w:r>
            <w:r w:rsidR="00844A62" w:rsidRPr="005C3B2B">
              <w:t xml:space="preserve">Coh, </w:t>
            </w:r>
            <w:r w:rsidRPr="005C3B2B">
              <w:t xml:space="preserve">comparative </w:t>
            </w:r>
            <w:r w:rsidR="000C22FA" w:rsidRPr="005C3B2B">
              <w:t>(two risk-based</w:t>
            </w:r>
            <w:r w:rsidRPr="005C3B2B">
              <w:t xml:space="preserve"> groups</w:t>
            </w:r>
            <w:r w:rsidR="000C22FA" w:rsidRPr="005C3B2B">
              <w:t>)</w:t>
            </w:r>
          </w:p>
        </w:tc>
        <w:tc>
          <w:tcPr>
            <w:tcW w:w="770" w:type="pct"/>
            <w:tcBorders>
              <w:bottom w:val="single" w:sz="4" w:space="0" w:color="auto"/>
            </w:tcBorders>
            <w:shd w:val="clear" w:color="auto" w:fill="auto"/>
          </w:tcPr>
          <w:p w14:paraId="4E561EBA" w14:textId="0726D57A" w:rsidR="002923B9" w:rsidRPr="005C3B2B" w:rsidRDefault="002923B9" w:rsidP="005C3B2B">
            <w:pPr>
              <w:pStyle w:val="Tabletext1"/>
              <w:jc w:val="center"/>
            </w:pPr>
            <w:r w:rsidRPr="005C3B2B">
              <w:t>IMRT or VMAT</w:t>
            </w:r>
          </w:p>
          <w:p w14:paraId="0B11DD97" w14:textId="1FDC35C5" w:rsidR="00C42543" w:rsidRDefault="007B15FA" w:rsidP="005C3B2B">
            <w:pPr>
              <w:pStyle w:val="Tabletext1"/>
              <w:jc w:val="center"/>
              <w:rPr>
                <w:snapToGrid w:val="0"/>
              </w:rPr>
            </w:pPr>
            <w:r w:rsidRPr="005C3B2B">
              <w:t>(moderately h</w:t>
            </w:r>
            <w:r w:rsidR="00992625" w:rsidRPr="005C3B2B">
              <w:t>ypofractionated</w:t>
            </w:r>
            <w:r w:rsidRPr="005C3B2B">
              <w:t>)</w:t>
            </w:r>
          </w:p>
        </w:tc>
        <w:tc>
          <w:tcPr>
            <w:tcW w:w="835" w:type="pct"/>
            <w:tcBorders>
              <w:bottom w:val="single" w:sz="4" w:space="0" w:color="auto"/>
            </w:tcBorders>
            <w:shd w:val="clear" w:color="auto" w:fill="auto"/>
          </w:tcPr>
          <w:p w14:paraId="476EA0A1" w14:textId="552D6B00" w:rsidR="00C42543" w:rsidRDefault="00992625" w:rsidP="005C3B2B">
            <w:pPr>
              <w:pStyle w:val="Tabletext1"/>
              <w:jc w:val="center"/>
              <w:rPr>
                <w:snapToGrid w:val="0"/>
              </w:rPr>
            </w:pPr>
            <w:r w:rsidRPr="005C3B2B">
              <w:t xml:space="preserve">Prostate </w:t>
            </w:r>
            <w:r w:rsidR="008D3E8C" w:rsidRPr="005C3B2B">
              <w:t>cancer, localised</w:t>
            </w:r>
          </w:p>
        </w:tc>
        <w:tc>
          <w:tcPr>
            <w:tcW w:w="637" w:type="pct"/>
            <w:tcBorders>
              <w:bottom w:val="single" w:sz="4" w:space="0" w:color="auto"/>
            </w:tcBorders>
            <w:shd w:val="clear" w:color="auto" w:fill="auto"/>
          </w:tcPr>
          <w:p w14:paraId="7A1511DB" w14:textId="09D7B7A6" w:rsidR="00C42543" w:rsidRDefault="00C42543" w:rsidP="005C3B2B">
            <w:pPr>
              <w:pStyle w:val="Tabletext1"/>
              <w:jc w:val="center"/>
              <w:rPr>
                <w:snapToGrid w:val="0"/>
              </w:rPr>
            </w:pPr>
            <w:r w:rsidRPr="00B932EF">
              <w:rPr>
                <w:snapToGrid w:val="0"/>
              </w:rPr>
              <w:t>Toxicity</w:t>
            </w:r>
          </w:p>
        </w:tc>
        <w:tc>
          <w:tcPr>
            <w:tcW w:w="456" w:type="pct"/>
            <w:tcBorders>
              <w:bottom w:val="single" w:sz="4" w:space="0" w:color="auto"/>
            </w:tcBorders>
            <w:shd w:val="clear" w:color="auto" w:fill="auto"/>
          </w:tcPr>
          <w:p w14:paraId="155B08CE" w14:textId="33AD1EF7" w:rsidR="00C42543" w:rsidRDefault="00C42543" w:rsidP="005C3B2B">
            <w:pPr>
              <w:pStyle w:val="Tabletext1"/>
              <w:jc w:val="center"/>
              <w:rPr>
                <w:snapToGrid w:val="0"/>
              </w:rPr>
            </w:pPr>
            <w:r w:rsidRPr="0085503A">
              <w:rPr>
                <w:snapToGrid w:val="0"/>
              </w:rPr>
              <w:t>Not used</w:t>
            </w:r>
          </w:p>
        </w:tc>
      </w:tr>
      <w:tr w:rsidR="008B6FC0" w:rsidRPr="00CE45B9" w14:paraId="6FDB6F64" w14:textId="77777777" w:rsidTr="001F64FE">
        <w:trPr>
          <w:cantSplit/>
        </w:trPr>
        <w:tc>
          <w:tcPr>
            <w:tcW w:w="652" w:type="pct"/>
            <w:tcBorders>
              <w:top w:val="single" w:sz="4" w:space="0" w:color="auto"/>
              <w:left w:val="single" w:sz="4" w:space="0" w:color="auto"/>
              <w:bottom w:val="single" w:sz="4" w:space="0" w:color="auto"/>
              <w:right w:val="nil"/>
            </w:tcBorders>
            <w:shd w:val="clear" w:color="auto" w:fill="auto"/>
            <w:vAlign w:val="center"/>
          </w:tcPr>
          <w:p w14:paraId="63B7D832" w14:textId="2C031CE6" w:rsidR="00C42543" w:rsidRPr="005C3B2B" w:rsidRDefault="001A1E5A" w:rsidP="005C3B2B">
            <w:pPr>
              <w:pStyle w:val="Tabletext1"/>
              <w:rPr>
                <w:b/>
                <w:snapToGrid w:val="0"/>
              </w:rPr>
            </w:pPr>
            <w:r w:rsidRPr="005C3B2B">
              <w:rPr>
                <w:b/>
                <w:snapToGrid w:val="0"/>
              </w:rPr>
              <w:t>Abdominal malignancies</w:t>
            </w:r>
          </w:p>
        </w:tc>
        <w:tc>
          <w:tcPr>
            <w:tcW w:w="562" w:type="pct"/>
            <w:tcBorders>
              <w:top w:val="single" w:sz="4" w:space="0" w:color="auto"/>
              <w:left w:val="nil"/>
              <w:bottom w:val="single" w:sz="4" w:space="0" w:color="auto"/>
              <w:right w:val="nil"/>
            </w:tcBorders>
            <w:shd w:val="clear" w:color="auto" w:fill="auto"/>
            <w:vAlign w:val="center"/>
          </w:tcPr>
          <w:p w14:paraId="1EEDF279" w14:textId="77777777" w:rsidR="00C42543" w:rsidRPr="005C3B2B" w:rsidRDefault="00C42543" w:rsidP="005C3B2B">
            <w:pPr>
              <w:pStyle w:val="Tabletext1"/>
              <w:jc w:val="center"/>
              <w:rPr>
                <w:b/>
                <w:bCs/>
              </w:rPr>
            </w:pPr>
          </w:p>
        </w:tc>
        <w:tc>
          <w:tcPr>
            <w:tcW w:w="1088" w:type="pct"/>
            <w:tcBorders>
              <w:top w:val="single" w:sz="4" w:space="0" w:color="auto"/>
              <w:left w:val="nil"/>
              <w:bottom w:val="single" w:sz="4" w:space="0" w:color="auto"/>
              <w:right w:val="nil"/>
            </w:tcBorders>
            <w:shd w:val="clear" w:color="auto" w:fill="auto"/>
            <w:vAlign w:val="center"/>
          </w:tcPr>
          <w:p w14:paraId="297BCC8C" w14:textId="77777777" w:rsidR="00C42543" w:rsidRDefault="00C42543" w:rsidP="005C3B2B">
            <w:pPr>
              <w:pStyle w:val="Tabletext1"/>
              <w:jc w:val="center"/>
              <w:rPr>
                <w:snapToGrid w:val="0"/>
              </w:rPr>
            </w:pPr>
          </w:p>
        </w:tc>
        <w:tc>
          <w:tcPr>
            <w:tcW w:w="770" w:type="pct"/>
            <w:tcBorders>
              <w:top w:val="single" w:sz="4" w:space="0" w:color="auto"/>
              <w:left w:val="nil"/>
              <w:bottom w:val="single" w:sz="4" w:space="0" w:color="auto"/>
              <w:right w:val="nil"/>
            </w:tcBorders>
            <w:shd w:val="clear" w:color="auto" w:fill="auto"/>
            <w:vAlign w:val="center"/>
          </w:tcPr>
          <w:p w14:paraId="0D62E05E" w14:textId="77777777" w:rsidR="00C42543" w:rsidRDefault="00C42543" w:rsidP="005C3B2B">
            <w:pPr>
              <w:pStyle w:val="Tabletext1"/>
              <w:jc w:val="center"/>
              <w:rPr>
                <w:snapToGrid w:val="0"/>
              </w:rPr>
            </w:pPr>
          </w:p>
        </w:tc>
        <w:tc>
          <w:tcPr>
            <w:tcW w:w="835" w:type="pct"/>
            <w:tcBorders>
              <w:top w:val="single" w:sz="4" w:space="0" w:color="auto"/>
              <w:left w:val="nil"/>
              <w:bottom w:val="single" w:sz="4" w:space="0" w:color="auto"/>
              <w:right w:val="nil"/>
            </w:tcBorders>
            <w:shd w:val="clear" w:color="auto" w:fill="auto"/>
            <w:vAlign w:val="center"/>
          </w:tcPr>
          <w:p w14:paraId="254630E5" w14:textId="77777777" w:rsidR="00C42543" w:rsidRDefault="00C42543" w:rsidP="005C3B2B">
            <w:pPr>
              <w:pStyle w:val="Tabletext1"/>
              <w:jc w:val="center"/>
              <w:rPr>
                <w:snapToGrid w:val="0"/>
              </w:rPr>
            </w:pPr>
          </w:p>
        </w:tc>
        <w:tc>
          <w:tcPr>
            <w:tcW w:w="637" w:type="pct"/>
            <w:tcBorders>
              <w:top w:val="single" w:sz="4" w:space="0" w:color="auto"/>
              <w:left w:val="nil"/>
              <w:bottom w:val="single" w:sz="4" w:space="0" w:color="auto"/>
              <w:right w:val="nil"/>
            </w:tcBorders>
            <w:shd w:val="clear" w:color="auto" w:fill="auto"/>
            <w:vAlign w:val="center"/>
          </w:tcPr>
          <w:p w14:paraId="10CE8441" w14:textId="77777777" w:rsidR="00C42543" w:rsidRDefault="00C42543" w:rsidP="005C3B2B">
            <w:pPr>
              <w:pStyle w:val="Tabletext1"/>
              <w:jc w:val="center"/>
              <w:rPr>
                <w:snapToGrid w:val="0"/>
              </w:rPr>
            </w:pPr>
          </w:p>
        </w:tc>
        <w:tc>
          <w:tcPr>
            <w:tcW w:w="456" w:type="pct"/>
            <w:tcBorders>
              <w:top w:val="single" w:sz="4" w:space="0" w:color="auto"/>
              <w:left w:val="nil"/>
              <w:bottom w:val="single" w:sz="4" w:space="0" w:color="auto"/>
              <w:right w:val="single" w:sz="4" w:space="0" w:color="auto"/>
            </w:tcBorders>
            <w:shd w:val="clear" w:color="auto" w:fill="auto"/>
            <w:vAlign w:val="center"/>
          </w:tcPr>
          <w:p w14:paraId="5DB47AE4" w14:textId="77777777" w:rsidR="00C42543" w:rsidRDefault="00C42543" w:rsidP="005C3B2B">
            <w:pPr>
              <w:pStyle w:val="Tabletext1"/>
              <w:jc w:val="center"/>
              <w:rPr>
                <w:snapToGrid w:val="0"/>
              </w:rPr>
            </w:pPr>
          </w:p>
        </w:tc>
      </w:tr>
      <w:tr w:rsidR="008B6FC0" w:rsidRPr="00CE45B9" w14:paraId="32C4DED2" w14:textId="77777777" w:rsidTr="001F64FE">
        <w:trPr>
          <w:cantSplit/>
        </w:trPr>
        <w:tc>
          <w:tcPr>
            <w:tcW w:w="652" w:type="pct"/>
            <w:tcBorders>
              <w:top w:val="single" w:sz="4" w:space="0" w:color="auto"/>
            </w:tcBorders>
            <w:shd w:val="clear" w:color="auto" w:fill="auto"/>
          </w:tcPr>
          <w:p w14:paraId="10C69872" w14:textId="5D65ADA8" w:rsidR="000C2935" w:rsidRPr="005C3B2B" w:rsidRDefault="00211285" w:rsidP="005C3B2B">
            <w:pPr>
              <w:pStyle w:val="Tabletext1"/>
            </w:pPr>
            <w:hyperlink w:anchor="_ENREF_2" w:tooltip="Amendola, 2017 #28" w:history="1">
              <w:r w:rsidR="001F781A">
                <w:fldChar w:fldCharType="begin"/>
              </w:r>
              <w:r w:rsidR="001F781A">
                <w:instrText xml:space="preserve"> ADDIN EN.CITE &lt;EndNote&gt;&lt;Cite AuthorYear="1"&gt;&lt;Author&gt;Amendola&lt;/Author&gt;&lt;Year&gt;2017&lt;/Year&gt;&lt;RecNum&gt;28&lt;/RecNum&gt;&lt;DisplayText&gt;Amendola, Amendola, Blanco, Perez, and Wu (2017)&lt;/DisplayText&gt;&lt;record&gt;&lt;rec-number&gt;28&lt;/rec-number&gt;&lt;foreign-keys&gt;&lt;key app="EN" db-id="sx5wsdwv795wvue959xxw0ptaewvdezxxp05" timestamp="1604876375"&gt;28&lt;/key&gt;&lt;/foreign-keys&gt;&lt;ref-type name="Journal Article"&gt;17&lt;/ref-type&gt;&lt;contributors&gt;&lt;authors&gt;&lt;author&gt;Amendola, B.&lt;/author&gt;&lt;author&gt;Amendola, M.&lt;/author&gt;&lt;author&gt;Blanco, J. M.&lt;/author&gt;&lt;author&gt;Perez, N.&lt;/author&gt;&lt;author&gt;Wu, X.&lt;/author&gt;&lt;/authors&gt;&lt;/contributors&gt;&lt;titles&gt;&lt;title&gt;Radiosurgery for liver metastases. A single institution experience&lt;/title&gt;&lt;secondary-title&gt;Reports of Practical Oncology and Radiotherapy&lt;/secondary-title&gt;&lt;/titles&gt;&lt;pages&gt;118-125&lt;/pages&gt;&lt;volume&gt;22&lt;/volume&gt;&lt;number&gt;2&lt;/number&gt;&lt;dates&gt;&lt;year&gt;2017&lt;/year&gt;&lt;/dates&gt;&lt;accession-num&gt;613982955&lt;/accession-num&gt;&lt;urls&gt;&lt;related-urls&gt;&lt;url&gt;http://www.elsevier.com/wps/find/journaldescription.cws_home/719699/description#descriptionhttp://ezproxy.library.usyd.edu.au/login?url=http://ovidsp.ovid.com/ovidweb.cgi?T=JS&amp;amp;CSC=Y&amp;amp;NEWS=N&amp;amp;PAGE=fulltext&amp;amp;D=emed18&amp;amp;AN=613982955https://sydney.alma.exlibrisgro&lt;/url&gt;&lt;url&gt;https://www.ncbi.nlm.nih.gov/pmc/articles/PMC5411906/pdf/main.pdf&lt;/url&gt;&lt;/related-urls&gt;&lt;/urls&gt;&lt;electronic-resource-num&gt;http://dx.doi.org/10.1016/j.rpor.2016.10.001&lt;/electronic-resource-num&gt;&lt;/record&gt;&lt;/Cite&gt;&lt;/EndNote&gt;</w:instrText>
              </w:r>
              <w:r w:rsidR="001F781A">
                <w:fldChar w:fldCharType="separate"/>
              </w:r>
              <w:r w:rsidR="001F781A">
                <w:rPr>
                  <w:noProof/>
                </w:rPr>
                <w:t>Amendola, Amendola, Blanco, Perez, and Wu (2017)</w:t>
              </w:r>
              <w:r w:rsidR="001F781A">
                <w:fldChar w:fldCharType="end"/>
              </w:r>
            </w:hyperlink>
          </w:p>
        </w:tc>
        <w:tc>
          <w:tcPr>
            <w:tcW w:w="562" w:type="pct"/>
            <w:tcBorders>
              <w:top w:val="single" w:sz="4" w:space="0" w:color="auto"/>
            </w:tcBorders>
            <w:shd w:val="clear" w:color="auto" w:fill="auto"/>
          </w:tcPr>
          <w:p w14:paraId="2DD3010B" w14:textId="1DDDA34A" w:rsidR="000C2935" w:rsidRPr="005C3B2B" w:rsidRDefault="000C2935" w:rsidP="005C3B2B">
            <w:pPr>
              <w:pStyle w:val="Tabletext1"/>
              <w:jc w:val="center"/>
            </w:pPr>
            <w:r w:rsidRPr="005C3B2B">
              <w:t>27</w:t>
            </w:r>
          </w:p>
        </w:tc>
        <w:tc>
          <w:tcPr>
            <w:tcW w:w="1088" w:type="pct"/>
            <w:tcBorders>
              <w:top w:val="single" w:sz="4" w:space="0" w:color="auto"/>
            </w:tcBorders>
            <w:shd w:val="clear" w:color="auto" w:fill="auto"/>
          </w:tcPr>
          <w:p w14:paraId="12DBBC3F" w14:textId="44699277" w:rsidR="000C2935" w:rsidRPr="005C3B2B" w:rsidRDefault="00727C5D" w:rsidP="005C3B2B">
            <w:pPr>
              <w:pStyle w:val="Tabletext1"/>
              <w:jc w:val="center"/>
            </w:pPr>
            <w:r w:rsidRPr="005C3B2B">
              <w:t>Retrospective CS</w:t>
            </w:r>
          </w:p>
        </w:tc>
        <w:tc>
          <w:tcPr>
            <w:tcW w:w="770" w:type="pct"/>
            <w:tcBorders>
              <w:top w:val="single" w:sz="4" w:space="0" w:color="auto"/>
            </w:tcBorders>
            <w:shd w:val="clear" w:color="auto" w:fill="auto"/>
          </w:tcPr>
          <w:p w14:paraId="733502B8" w14:textId="77777777" w:rsidR="001E750F" w:rsidRPr="005C3B2B" w:rsidRDefault="007F587E" w:rsidP="005C3B2B">
            <w:pPr>
              <w:pStyle w:val="Tabletext1"/>
              <w:jc w:val="center"/>
            </w:pPr>
            <w:r w:rsidRPr="005C3B2B">
              <w:t>SBRT</w:t>
            </w:r>
          </w:p>
          <w:p w14:paraId="12D167AD" w14:textId="12648514" w:rsidR="000C2935" w:rsidRPr="005C3B2B" w:rsidRDefault="00260887" w:rsidP="005C3B2B">
            <w:pPr>
              <w:pStyle w:val="Tabletext1"/>
              <w:jc w:val="center"/>
            </w:pPr>
            <w:r w:rsidRPr="005C3B2B">
              <w:t>via VMAT</w:t>
            </w:r>
          </w:p>
        </w:tc>
        <w:tc>
          <w:tcPr>
            <w:tcW w:w="835" w:type="pct"/>
            <w:tcBorders>
              <w:top w:val="single" w:sz="4" w:space="0" w:color="auto"/>
            </w:tcBorders>
            <w:shd w:val="clear" w:color="auto" w:fill="auto"/>
          </w:tcPr>
          <w:p w14:paraId="06830076" w14:textId="26307448" w:rsidR="000C2935" w:rsidRPr="005C3B2B" w:rsidRDefault="00992625" w:rsidP="005C3B2B">
            <w:pPr>
              <w:pStyle w:val="Tabletext1"/>
              <w:jc w:val="center"/>
            </w:pPr>
            <w:r w:rsidRPr="005C3B2B">
              <w:t>Liver meta</w:t>
            </w:r>
            <w:r w:rsidR="00FF1D34" w:rsidRPr="005C3B2B">
              <w:t>stases</w:t>
            </w:r>
          </w:p>
        </w:tc>
        <w:tc>
          <w:tcPr>
            <w:tcW w:w="637" w:type="pct"/>
            <w:tcBorders>
              <w:top w:val="single" w:sz="4" w:space="0" w:color="auto"/>
            </w:tcBorders>
            <w:shd w:val="clear" w:color="auto" w:fill="auto"/>
          </w:tcPr>
          <w:p w14:paraId="6AB57393" w14:textId="05A90EDF" w:rsidR="000C2935" w:rsidRPr="005C3B2B" w:rsidRDefault="000C2935" w:rsidP="005C3B2B">
            <w:pPr>
              <w:pStyle w:val="Tabletext1"/>
              <w:jc w:val="center"/>
            </w:pPr>
            <w:r>
              <w:rPr>
                <w:snapToGrid w:val="0"/>
              </w:rPr>
              <w:t>Toxicity</w:t>
            </w:r>
          </w:p>
        </w:tc>
        <w:tc>
          <w:tcPr>
            <w:tcW w:w="456" w:type="pct"/>
            <w:tcBorders>
              <w:top w:val="single" w:sz="4" w:space="0" w:color="auto"/>
            </w:tcBorders>
            <w:shd w:val="clear" w:color="auto" w:fill="auto"/>
          </w:tcPr>
          <w:p w14:paraId="4E1FBDE5" w14:textId="41AC29A0" w:rsidR="000C2935" w:rsidRDefault="000C2935" w:rsidP="005C3B2B">
            <w:pPr>
              <w:pStyle w:val="Tabletext1"/>
              <w:jc w:val="center"/>
              <w:rPr>
                <w:snapToGrid w:val="0"/>
              </w:rPr>
            </w:pPr>
            <w:r w:rsidRPr="0085503A">
              <w:rPr>
                <w:snapToGrid w:val="0"/>
              </w:rPr>
              <w:t>Not used</w:t>
            </w:r>
          </w:p>
        </w:tc>
      </w:tr>
      <w:tr w:rsidR="008B6FC0" w:rsidRPr="00CE45B9" w14:paraId="21CFEAF1" w14:textId="77777777" w:rsidTr="001F64FE">
        <w:trPr>
          <w:cantSplit/>
        </w:trPr>
        <w:tc>
          <w:tcPr>
            <w:tcW w:w="652" w:type="pct"/>
            <w:shd w:val="clear" w:color="auto" w:fill="auto"/>
          </w:tcPr>
          <w:p w14:paraId="73D93C7E" w14:textId="20C3F826" w:rsidR="000C2935" w:rsidRPr="005C3B2B" w:rsidRDefault="00211285" w:rsidP="005C3B2B">
            <w:pPr>
              <w:pStyle w:val="Tabletext1"/>
            </w:pPr>
            <w:hyperlink w:anchor="_ENREF_3" w:tooltip="Andratschke, 2018 #29" w:history="1">
              <w:r w:rsidR="008B6FC0">
                <w:fldChar w:fldCharType="begin"/>
              </w:r>
              <w:r w:rsidR="008B6FC0">
                <w:instrText xml:space="preserve"> ADDIN EN.CITE &lt;EndNote&gt;&lt;Cite AuthorYear="1"&gt;&lt;Author&gt;Andratschke&lt;/Author&gt;&lt;Year&gt;2018&lt;/Year&gt;&lt;RecNum&gt;29&lt;/RecNum&gt;&lt;DisplayText&gt;Andratschke et al. (2018)&lt;/DisplayText&gt;&lt;record&gt;&lt;rec-number&gt;29&lt;/rec-number&gt;&lt;foreign-keys&gt;&lt;key app="EN" db-id="sx5wsdwv795wvue959xxw0ptaewvdezxxp05" timestamp="1604876375"&gt;29&lt;/key&gt;&lt;/foreign-keys&gt;&lt;ref-type name="Journal Article"&gt;17&lt;/ref-type&gt;&lt;contributors&gt;&lt;authors&gt;&lt;author&gt;Andratschke, N.&lt;/author&gt;&lt;author&gt;Alheid, H.&lt;/author&gt;&lt;author&gt;Allgauer, M.&lt;/author&gt;&lt;author&gt;Becker, G.&lt;/author&gt;&lt;author&gt;Blanck, O.&lt;/author&gt;&lt;author&gt;Boda-Heggemann, J.&lt;/author&gt;&lt;author&gt;Brunner, T.&lt;/author&gt;&lt;author&gt;Duma, M.&lt;/author&gt;&lt;author&gt;Gerum, S.&lt;/author&gt;&lt;author&gt;Guckenberger, M.&lt;/author&gt;&lt;author&gt;Hildebrandt, G.&lt;/author&gt;&lt;author&gt;Klement, R. J.&lt;/author&gt;&lt;author&gt;Lewitzki, V.&lt;/author&gt;&lt;author&gt;Ostheimer, C.&lt;/author&gt;&lt;author&gt;Papachristofilou, A.&lt;/author&gt;&lt;author&gt;Petersen, C.&lt;/author&gt;&lt;author&gt;Schneider, T.&lt;/author&gt;&lt;author&gt;Semrau, R.&lt;/author&gt;&lt;author&gt;Wachter, S.&lt;/author&gt;&lt;author&gt;Habermehl, D.&lt;/author&gt;&lt;/authors&gt;&lt;/contributors&gt;&lt;titles&gt;&lt;title&gt;The SBRT database initiative of the German Society for Radiation Oncology (DEGRO): patterns of care and outcome analysis of stereotactic body radiotherapy (SBRT) for liver oligometastases in 474 patients with 623 metastases&lt;/title&gt;&lt;secondary-title&gt;BMC Cancer&lt;/secondary-title&gt;&lt;/titles&gt;&lt;pages&gt;283&lt;/pages&gt;&lt;volume&gt;18&lt;/volume&gt;&lt;number&gt;1&lt;/number&gt;&lt;dates&gt;&lt;year&gt;2018&lt;/year&gt;&lt;/dates&gt;&lt;accession-num&gt;29534687&lt;/accession-num&gt;&lt;urls&gt;&lt;related-urls&gt;&lt;url&gt;http://ezproxy.library.usyd.edu.au/login?url=http://ovidsp.ovid.com/ovidweb.cgi?T=JS&amp;amp;CSC=Y&amp;amp;NEWS=N&amp;amp;PAGE=fulltext&amp;amp;D=med15&amp;amp;AN=29534687https://sydney.alma.exlibrisgroup.com/openurl/61USYD_INST/61USYD_INST:sydney?sid=OVID:medline&amp;amp;id=pmid:29534687&amp;amp;id=doi:10.118&lt;/url&gt;&lt;url&gt;https://www.ncbi.nlm.nih.gov/pmc/articles/PMC5851117/pdf/12885_2018_Article_4191.pdf&lt;/url&gt;&lt;/related-urls&gt;&lt;/urls&gt;&lt;electronic-resource-num&gt;https://dx.doi.org/10.1186/s12885-018-4191-2&lt;/electronic-resource-num&gt;&lt;/record&gt;&lt;/Cite&gt;&lt;/EndNote&gt;</w:instrText>
              </w:r>
              <w:r w:rsidR="008B6FC0">
                <w:fldChar w:fldCharType="separate"/>
              </w:r>
              <w:r w:rsidR="008B6FC0">
                <w:rPr>
                  <w:noProof/>
                </w:rPr>
                <w:t>Andratschke et al. (2018)</w:t>
              </w:r>
              <w:r w:rsidR="008B6FC0">
                <w:fldChar w:fldCharType="end"/>
              </w:r>
            </w:hyperlink>
          </w:p>
        </w:tc>
        <w:tc>
          <w:tcPr>
            <w:tcW w:w="562" w:type="pct"/>
            <w:shd w:val="clear" w:color="auto" w:fill="auto"/>
          </w:tcPr>
          <w:p w14:paraId="6FF2A9C7" w14:textId="482CF7B8" w:rsidR="000C2935" w:rsidRPr="005C3B2B" w:rsidRDefault="00992625" w:rsidP="005C3B2B">
            <w:pPr>
              <w:pStyle w:val="Tabletext1"/>
              <w:jc w:val="center"/>
            </w:pPr>
            <w:r w:rsidRPr="005C3B2B">
              <w:t>474</w:t>
            </w:r>
            <w:r w:rsidR="00543580" w:rsidRPr="005C3B2B">
              <w:t xml:space="preserve"> (</w:t>
            </w:r>
            <w:r w:rsidR="005A6477" w:rsidRPr="005C3B2B">
              <w:t>623 lesions)</w:t>
            </w:r>
          </w:p>
        </w:tc>
        <w:tc>
          <w:tcPr>
            <w:tcW w:w="1088" w:type="pct"/>
            <w:shd w:val="clear" w:color="auto" w:fill="auto"/>
          </w:tcPr>
          <w:p w14:paraId="4B6828CF" w14:textId="0AA5FE9A" w:rsidR="000C2935" w:rsidRPr="005C3B2B" w:rsidRDefault="000C2935" w:rsidP="005C3B2B">
            <w:pPr>
              <w:pStyle w:val="Tabletext1"/>
              <w:jc w:val="center"/>
            </w:pPr>
            <w:r w:rsidRPr="005C3B2B">
              <w:t xml:space="preserve">Retrospective </w:t>
            </w:r>
            <w:r w:rsidR="00820ADF" w:rsidRPr="005C3B2B">
              <w:t>multicentric CS</w:t>
            </w:r>
          </w:p>
        </w:tc>
        <w:tc>
          <w:tcPr>
            <w:tcW w:w="770" w:type="pct"/>
            <w:shd w:val="clear" w:color="auto" w:fill="auto"/>
          </w:tcPr>
          <w:p w14:paraId="75F26E3A" w14:textId="5B243F44" w:rsidR="000C2935" w:rsidRPr="005C3B2B" w:rsidRDefault="005A6477" w:rsidP="005C3B2B">
            <w:pPr>
              <w:pStyle w:val="Tabletext1"/>
              <w:jc w:val="center"/>
            </w:pPr>
            <w:r w:rsidRPr="005C3B2B">
              <w:t>SBRT</w:t>
            </w:r>
          </w:p>
        </w:tc>
        <w:tc>
          <w:tcPr>
            <w:tcW w:w="835" w:type="pct"/>
            <w:shd w:val="clear" w:color="auto" w:fill="auto"/>
          </w:tcPr>
          <w:p w14:paraId="707BAFE3" w14:textId="41C1951C" w:rsidR="000C2935" w:rsidRPr="005C3B2B" w:rsidRDefault="00992625" w:rsidP="005C3B2B">
            <w:pPr>
              <w:pStyle w:val="Tabletext1"/>
              <w:jc w:val="center"/>
            </w:pPr>
            <w:r w:rsidRPr="005C3B2B">
              <w:t>Liver meta</w:t>
            </w:r>
            <w:r w:rsidR="00FF1D34" w:rsidRPr="005C3B2B">
              <w:t>stases</w:t>
            </w:r>
          </w:p>
        </w:tc>
        <w:tc>
          <w:tcPr>
            <w:tcW w:w="637" w:type="pct"/>
            <w:shd w:val="clear" w:color="auto" w:fill="auto"/>
          </w:tcPr>
          <w:p w14:paraId="54178B61" w14:textId="2D2B11E0" w:rsidR="000C2935" w:rsidRPr="005C3B2B" w:rsidRDefault="000C2935" w:rsidP="005C3B2B">
            <w:pPr>
              <w:pStyle w:val="Tabletext1"/>
              <w:jc w:val="center"/>
            </w:pPr>
            <w:r>
              <w:rPr>
                <w:snapToGrid w:val="0"/>
              </w:rPr>
              <w:t>Toxicity</w:t>
            </w:r>
          </w:p>
        </w:tc>
        <w:tc>
          <w:tcPr>
            <w:tcW w:w="456" w:type="pct"/>
            <w:shd w:val="clear" w:color="auto" w:fill="auto"/>
          </w:tcPr>
          <w:p w14:paraId="264AE214" w14:textId="68597CA3" w:rsidR="000C2935" w:rsidRDefault="000C2935" w:rsidP="005C3B2B">
            <w:pPr>
              <w:pStyle w:val="Tabletext1"/>
              <w:jc w:val="center"/>
              <w:rPr>
                <w:snapToGrid w:val="0"/>
              </w:rPr>
            </w:pPr>
            <w:r w:rsidRPr="0085503A">
              <w:rPr>
                <w:snapToGrid w:val="0"/>
              </w:rPr>
              <w:t>Not used</w:t>
            </w:r>
          </w:p>
        </w:tc>
      </w:tr>
      <w:tr w:rsidR="008B6FC0" w:rsidRPr="00CE45B9" w14:paraId="1F2AB4AC" w14:textId="77777777" w:rsidTr="001F64FE">
        <w:trPr>
          <w:cantSplit/>
        </w:trPr>
        <w:tc>
          <w:tcPr>
            <w:tcW w:w="652" w:type="pct"/>
            <w:shd w:val="clear" w:color="auto" w:fill="auto"/>
          </w:tcPr>
          <w:p w14:paraId="0ECF897B" w14:textId="191395C9" w:rsidR="000C2935" w:rsidRPr="005C3B2B" w:rsidRDefault="00211285" w:rsidP="005C3B2B">
            <w:pPr>
              <w:pStyle w:val="Tabletext1"/>
            </w:pPr>
            <w:hyperlink w:anchor="_ENREF_8" w:tooltip="Barney, 2012 #31" w:history="1">
              <w:r w:rsidR="008B6FC0">
                <w:fldChar w:fldCharType="begin"/>
              </w:r>
              <w:r w:rsidR="008B6FC0">
                <w:instrText xml:space="preserve"> ADDIN EN.CITE &lt;EndNote&gt;&lt;Cite AuthorYear="1"&gt;&lt;Author&gt;Barney&lt;/Author&gt;&lt;Year&gt;2012&lt;/Year&gt;&lt;RecNum&gt;31&lt;/RecNum&gt;&lt;DisplayText&gt;Barney et al. (2012)&lt;/DisplayText&gt;&lt;record&gt;&lt;rec-number&gt;31&lt;/rec-number&gt;&lt;foreign-keys&gt;&lt;key app="EN" db-id="sx5wsdwv795wvue959xxw0ptaewvdezxxp05" timestamp="1604876375"&gt;31&lt;/key&gt;&lt;/foreign-keys&gt;&lt;ref-type name="Journal Article"&gt;17&lt;/ref-type&gt;&lt;contributors&gt;&lt;authors&gt;&lt;author&gt;Barney, B. M.&lt;/author&gt;&lt;author&gt;Olivier, K. R.&lt;/author&gt;&lt;author&gt;Macdonald, O. K.&lt;/author&gt;&lt;author&gt;Fong de Los Santos, L. E.&lt;/author&gt;&lt;author&gt;Miller, R. C.&lt;/author&gt;&lt;author&gt;Haddock, M. G.&lt;/author&gt;&lt;/authors&gt;&lt;/contributors&gt;&lt;titles&gt;&lt;title&gt;Clinical outcomes and dosimetric considerations using stereotactic body radiotherapy for abdominopelvic tumors&lt;/title&gt;&lt;secondary-title&gt;Am J Clin Oncol&lt;/secondary-title&gt;&lt;/titles&gt;&lt;pages&gt;537-42&lt;/pages&gt;&lt;volume&gt;35&lt;/volume&gt;&lt;number&gt;6&lt;/number&gt;&lt;dates&gt;&lt;year&gt;2012&lt;/year&gt;&lt;/dates&gt;&lt;accession-num&gt;21659830&lt;/accession-num&gt;&lt;urls&gt;&lt;related-urls&gt;&lt;url&gt;http://ezproxy.library.usyd.edu.au/login?url=http://ovidsp.ovid.com/ovidweb.cgi?T=JS&amp;amp;CSC=Y&amp;amp;NEWS=N&amp;amp;PAGE=fulltext&amp;amp;D=med9&amp;amp;AN=21659830https://sydney.alma.exlibrisgroup.com/openurl/61USYD_INST/61USYD_INST:sydney?sid=OVID:medline&amp;amp;id=pmid:21659830&amp;amp;id=doi:10.1097&lt;/url&gt;&lt;/related-urls&gt;&lt;/urls&gt;&lt;electronic-resource-num&gt;https://dx.doi.org/10.1097/COC.0b013e31821f876a&lt;/electronic-resource-num&gt;&lt;/record&gt;&lt;/Cite&gt;&lt;/EndNote&gt;</w:instrText>
              </w:r>
              <w:r w:rsidR="008B6FC0">
                <w:fldChar w:fldCharType="separate"/>
              </w:r>
              <w:r w:rsidR="008B6FC0">
                <w:rPr>
                  <w:noProof/>
                </w:rPr>
                <w:t>Barney et al. (2012)</w:t>
              </w:r>
              <w:r w:rsidR="008B6FC0">
                <w:fldChar w:fldCharType="end"/>
              </w:r>
            </w:hyperlink>
          </w:p>
        </w:tc>
        <w:tc>
          <w:tcPr>
            <w:tcW w:w="562" w:type="pct"/>
            <w:shd w:val="clear" w:color="auto" w:fill="auto"/>
          </w:tcPr>
          <w:p w14:paraId="4AD9EBBB" w14:textId="1C1272F4" w:rsidR="000C2935" w:rsidRPr="005C3B2B" w:rsidRDefault="001E750F" w:rsidP="005C3B2B">
            <w:pPr>
              <w:pStyle w:val="Tabletext1"/>
              <w:jc w:val="center"/>
            </w:pPr>
            <w:r w:rsidRPr="005C3B2B">
              <w:t>47 (50 lesions)</w:t>
            </w:r>
          </w:p>
        </w:tc>
        <w:tc>
          <w:tcPr>
            <w:tcW w:w="1088" w:type="pct"/>
            <w:shd w:val="clear" w:color="auto" w:fill="auto"/>
          </w:tcPr>
          <w:p w14:paraId="253539AE" w14:textId="73B10F74" w:rsidR="000C2935" w:rsidRPr="005C3B2B" w:rsidRDefault="001E750F" w:rsidP="005C3B2B">
            <w:pPr>
              <w:pStyle w:val="Tabletext1"/>
              <w:jc w:val="center"/>
            </w:pPr>
            <w:r w:rsidRPr="005C3B2B">
              <w:t>Retrospective CS</w:t>
            </w:r>
          </w:p>
        </w:tc>
        <w:tc>
          <w:tcPr>
            <w:tcW w:w="770" w:type="pct"/>
            <w:shd w:val="clear" w:color="auto" w:fill="auto"/>
          </w:tcPr>
          <w:p w14:paraId="05F28C66" w14:textId="4A8473E7" w:rsidR="000C2935" w:rsidRPr="005C3B2B" w:rsidRDefault="001E750F" w:rsidP="005C3B2B">
            <w:pPr>
              <w:pStyle w:val="Tabletext1"/>
              <w:jc w:val="center"/>
            </w:pPr>
            <w:r w:rsidRPr="005C3B2B">
              <w:t>SBRT</w:t>
            </w:r>
          </w:p>
        </w:tc>
        <w:tc>
          <w:tcPr>
            <w:tcW w:w="835" w:type="pct"/>
            <w:shd w:val="clear" w:color="auto" w:fill="auto"/>
          </w:tcPr>
          <w:p w14:paraId="4500E3C5" w14:textId="26B7527C" w:rsidR="000C2935" w:rsidRPr="005C3B2B" w:rsidRDefault="000C2935" w:rsidP="005C3B2B">
            <w:pPr>
              <w:pStyle w:val="Tabletext1"/>
              <w:jc w:val="center"/>
            </w:pPr>
            <w:r w:rsidRPr="005C3B2B">
              <w:t xml:space="preserve">Abdominopelvic </w:t>
            </w:r>
            <w:r w:rsidR="001E750F" w:rsidRPr="005C3B2B">
              <w:t>tumours</w:t>
            </w:r>
          </w:p>
        </w:tc>
        <w:tc>
          <w:tcPr>
            <w:tcW w:w="637" w:type="pct"/>
            <w:shd w:val="clear" w:color="auto" w:fill="auto"/>
          </w:tcPr>
          <w:p w14:paraId="4E2ED7AE" w14:textId="085E734C" w:rsidR="000C2935" w:rsidRPr="005C3B2B" w:rsidRDefault="000C2935" w:rsidP="005C3B2B">
            <w:pPr>
              <w:pStyle w:val="Tabletext1"/>
              <w:jc w:val="center"/>
            </w:pPr>
            <w:r>
              <w:rPr>
                <w:snapToGrid w:val="0"/>
              </w:rPr>
              <w:t>Toxicity</w:t>
            </w:r>
          </w:p>
        </w:tc>
        <w:tc>
          <w:tcPr>
            <w:tcW w:w="456" w:type="pct"/>
            <w:shd w:val="clear" w:color="auto" w:fill="auto"/>
          </w:tcPr>
          <w:p w14:paraId="76150340" w14:textId="2A79E20F" w:rsidR="000C2935" w:rsidRDefault="000C2935" w:rsidP="005C3B2B">
            <w:pPr>
              <w:pStyle w:val="Tabletext1"/>
              <w:jc w:val="center"/>
              <w:rPr>
                <w:snapToGrid w:val="0"/>
              </w:rPr>
            </w:pPr>
            <w:r w:rsidRPr="0085503A">
              <w:rPr>
                <w:snapToGrid w:val="0"/>
              </w:rPr>
              <w:t>Not used</w:t>
            </w:r>
          </w:p>
        </w:tc>
      </w:tr>
      <w:tr w:rsidR="008B6FC0" w:rsidRPr="00CE45B9" w14:paraId="071B2844" w14:textId="77777777" w:rsidTr="001F64FE">
        <w:trPr>
          <w:cantSplit/>
        </w:trPr>
        <w:tc>
          <w:tcPr>
            <w:tcW w:w="652" w:type="pct"/>
            <w:shd w:val="clear" w:color="auto" w:fill="auto"/>
          </w:tcPr>
          <w:p w14:paraId="1BFCE8C2" w14:textId="1F65FA8A" w:rsidR="000C2935" w:rsidRPr="005C3B2B" w:rsidRDefault="00211285" w:rsidP="005C3B2B">
            <w:pPr>
              <w:pStyle w:val="Tabletext1"/>
            </w:pPr>
            <w:hyperlink w:anchor="_ENREF_47" w:tooltip="Kim, 2019 #57" w:history="1">
              <w:r w:rsidR="001F781A">
                <w:fldChar w:fldCharType="begin"/>
              </w:r>
              <w:r w:rsidR="001F781A">
                <w:instrText xml:space="preserve"> ADDIN EN.CITE &lt;EndNote&gt;&lt;Cite AuthorYear="1"&gt;&lt;Author&gt;Kim&lt;/Author&gt;&lt;Year&gt;2019&lt;/Year&gt;&lt;RecNum&gt;57&lt;/RecNum&gt;&lt;DisplayText&gt;N. Kim et al. (2019)&lt;/DisplayText&gt;&lt;record&gt;&lt;rec-number&gt;57&lt;/rec-number&gt;&lt;foreign-keys&gt;&lt;key app="EN" db-id="sx5wsdwv795wvue959xxw0ptaewvdezxxp05" timestamp="1604876396"&gt;57&lt;/key&gt;&lt;/foreign-keys&gt;&lt;ref-type name="Journal Article"&gt;17&lt;/ref-type&gt;&lt;contributors&gt;&lt;authors&gt;&lt;author&gt;Kim, N.&lt;/author&gt;&lt;author&gt;Kim, H. J.&lt;/author&gt;&lt;author&gt;Won, J. Y.&lt;/author&gt;&lt;author&gt;Kim, D. Y.&lt;/author&gt;&lt;author&gt;Han, K. H.&lt;/author&gt;&lt;author&gt;Jung, I.&lt;/author&gt;&lt;author&gt;Seong, J.&lt;/author&gt;&lt;/authors&gt;&lt;/contributors&gt;&lt;titles&gt;&lt;title&gt;Retrospective analysis of stereotactic body radiation therapy efficacy over radiofrequency ablation for hepatocellular carcinoma&lt;/title&gt;&lt;secondary-title&gt;Radiotherapy and Oncology&lt;/secondary-title&gt;&lt;/titles&gt;&lt;pages&gt;81-87&lt;/pages&gt;&lt;volume&gt;131&lt;/volume&gt;&lt;dates&gt;&lt;year&gt;2019&lt;/year&gt;&lt;/dates&gt;&lt;accession-num&gt;2001419407&lt;/accession-num&gt;&lt;urls&gt;&lt;related-urls&gt;&lt;url&gt;http://www.elsevier.com/locate/radonchttp://ezproxy.library.usyd.edu.au/login?url=http://ovidsp.ovid.com/ovidweb.cgi?T=JS&amp;amp;CSC=Y&amp;amp;NEWS=N&amp;amp;PAGE=fulltext&amp;amp;D=emexa&amp;amp;AN=2001419407https://sydney.alma.exlibrisgroup.com/openurl/61USYD_INST/61USYD_INST:sydney?sid=OVID&lt;/url&gt;&lt;/related-urls&gt;&lt;/urls&gt;&lt;custom2&gt;liver, FFLP, toxicity&lt;/custom2&gt;&lt;electronic-resource-num&gt;http://dx.doi.org/10.1016/j.radonc.2018.12.013&lt;/electronic-resource-num&gt;&lt;/record&gt;&lt;/Cite&gt;&lt;/EndNote&gt;</w:instrText>
              </w:r>
              <w:r w:rsidR="001F781A">
                <w:fldChar w:fldCharType="separate"/>
              </w:r>
              <w:r w:rsidR="001F781A">
                <w:rPr>
                  <w:noProof/>
                </w:rPr>
                <w:t>N. Kim et al. (2019)</w:t>
              </w:r>
              <w:r w:rsidR="001F781A">
                <w:fldChar w:fldCharType="end"/>
              </w:r>
            </w:hyperlink>
          </w:p>
        </w:tc>
        <w:tc>
          <w:tcPr>
            <w:tcW w:w="562" w:type="pct"/>
            <w:shd w:val="clear" w:color="auto" w:fill="auto"/>
          </w:tcPr>
          <w:p w14:paraId="507A2E8C" w14:textId="61251E78" w:rsidR="000C2935" w:rsidRDefault="000C2935" w:rsidP="005C3B2B">
            <w:pPr>
              <w:pStyle w:val="Tabletext1"/>
              <w:jc w:val="center"/>
              <w:rPr>
                <w:snapToGrid w:val="0"/>
              </w:rPr>
            </w:pPr>
            <w:r w:rsidRPr="005C3B2B">
              <w:t>105</w:t>
            </w:r>
            <w:r w:rsidR="00846CA7" w:rsidRPr="005C3B2B">
              <w:t>*</w:t>
            </w:r>
            <w:r w:rsidRPr="005C3B2B">
              <w:t xml:space="preserve"> (114</w:t>
            </w:r>
            <w:r w:rsidR="00846CA7" w:rsidRPr="005C3B2B">
              <w:t>*</w:t>
            </w:r>
            <w:r w:rsidRPr="005C3B2B">
              <w:t xml:space="preserve"> tumours</w:t>
            </w:r>
            <w:r w:rsidR="00846CA7" w:rsidRPr="005C3B2B">
              <w:t xml:space="preserve">; total </w:t>
            </w:r>
            <w:r w:rsidR="004943F9" w:rsidRPr="005C3B2B">
              <w:t>n=773</w:t>
            </w:r>
            <w:r w:rsidRPr="005C3B2B">
              <w:t>)</w:t>
            </w:r>
          </w:p>
        </w:tc>
        <w:tc>
          <w:tcPr>
            <w:tcW w:w="1088" w:type="pct"/>
            <w:shd w:val="clear" w:color="auto" w:fill="auto"/>
          </w:tcPr>
          <w:p w14:paraId="7A58830D" w14:textId="136CF37C" w:rsidR="000C2935" w:rsidRDefault="001E750F" w:rsidP="005C3B2B">
            <w:pPr>
              <w:pStyle w:val="Tabletext1"/>
              <w:jc w:val="center"/>
              <w:rPr>
                <w:snapToGrid w:val="0"/>
              </w:rPr>
            </w:pPr>
            <w:r w:rsidRPr="005C3B2B">
              <w:t>Retrospective mult</w:t>
            </w:r>
            <w:r w:rsidR="003960A8" w:rsidRPr="005C3B2B">
              <w:t>icentric</w:t>
            </w:r>
            <w:r w:rsidRPr="005C3B2B">
              <w:t xml:space="preserve"> </w:t>
            </w:r>
            <w:r w:rsidR="003960A8" w:rsidRPr="005C3B2B">
              <w:t>Coh, comparative</w:t>
            </w:r>
            <w:r w:rsidR="00BE51C5" w:rsidRPr="005C3B2B">
              <w:t xml:space="preserve"> (</w:t>
            </w:r>
            <w:r w:rsidRPr="005C3B2B">
              <w:t>SBRT vs RFA</w:t>
            </w:r>
            <w:r w:rsidR="00BE51C5" w:rsidRPr="005C3B2B">
              <w:t>; PSM analysis</w:t>
            </w:r>
            <w:r w:rsidRPr="005C3B2B">
              <w:t>)</w:t>
            </w:r>
          </w:p>
        </w:tc>
        <w:tc>
          <w:tcPr>
            <w:tcW w:w="770" w:type="pct"/>
            <w:shd w:val="clear" w:color="auto" w:fill="auto"/>
          </w:tcPr>
          <w:p w14:paraId="30A893E4" w14:textId="29CE3A64" w:rsidR="000C2935" w:rsidRDefault="000C2935" w:rsidP="005C3B2B">
            <w:pPr>
              <w:pStyle w:val="Tabletext1"/>
              <w:jc w:val="center"/>
              <w:rPr>
                <w:snapToGrid w:val="0"/>
              </w:rPr>
            </w:pPr>
            <w:r w:rsidRPr="005C3B2B">
              <w:t>SBRT</w:t>
            </w:r>
            <w:r w:rsidRPr="005C3B2B">
              <w:br/>
              <w:t>via VMAT, CyberKnife, Tomotherapy or 3D-CRT</w:t>
            </w:r>
          </w:p>
        </w:tc>
        <w:tc>
          <w:tcPr>
            <w:tcW w:w="835" w:type="pct"/>
            <w:shd w:val="clear" w:color="auto" w:fill="auto"/>
          </w:tcPr>
          <w:p w14:paraId="4E3E6992" w14:textId="735BF548" w:rsidR="000C2935" w:rsidRDefault="000C2935" w:rsidP="005C3B2B">
            <w:pPr>
              <w:pStyle w:val="Tabletext1"/>
              <w:jc w:val="center"/>
              <w:rPr>
                <w:snapToGrid w:val="0"/>
              </w:rPr>
            </w:pPr>
            <w:r w:rsidRPr="005C3B2B">
              <w:t>Liver (HCC)</w:t>
            </w:r>
            <w:r w:rsidRPr="005C3B2B">
              <w:br/>
              <w:t>BCLC stage 0-A: 38.1%, stage B-C: 61.9%</w:t>
            </w:r>
          </w:p>
        </w:tc>
        <w:tc>
          <w:tcPr>
            <w:tcW w:w="637" w:type="pct"/>
            <w:shd w:val="clear" w:color="auto" w:fill="auto"/>
          </w:tcPr>
          <w:p w14:paraId="36509063" w14:textId="77777777" w:rsidR="000C2935" w:rsidRDefault="000C2935" w:rsidP="005C3B2B">
            <w:pPr>
              <w:pStyle w:val="Tabletext1"/>
              <w:jc w:val="center"/>
              <w:rPr>
                <w:snapToGrid w:val="0"/>
              </w:rPr>
            </w:pPr>
            <w:r>
              <w:rPr>
                <w:snapToGrid w:val="0"/>
              </w:rPr>
              <w:t>Toxicity</w:t>
            </w:r>
          </w:p>
          <w:p w14:paraId="314120E4" w14:textId="77777777" w:rsidR="00A132E5" w:rsidRDefault="00A132E5" w:rsidP="005C3B2B">
            <w:pPr>
              <w:pStyle w:val="Tabletext1"/>
              <w:jc w:val="center"/>
              <w:rPr>
                <w:snapToGrid w:val="0"/>
              </w:rPr>
            </w:pPr>
            <w:r>
              <w:rPr>
                <w:snapToGrid w:val="0"/>
              </w:rPr>
              <w:t>OS</w:t>
            </w:r>
          </w:p>
          <w:p w14:paraId="60D35EAE" w14:textId="77777777" w:rsidR="00A132E5" w:rsidRDefault="00A132E5" w:rsidP="005C3B2B">
            <w:pPr>
              <w:pStyle w:val="Tabletext1"/>
              <w:jc w:val="center"/>
              <w:rPr>
                <w:snapToGrid w:val="0"/>
              </w:rPr>
            </w:pPr>
            <w:r>
              <w:rPr>
                <w:snapToGrid w:val="0"/>
              </w:rPr>
              <w:t>PFS</w:t>
            </w:r>
          </w:p>
          <w:p w14:paraId="4B64D46A" w14:textId="157B6965" w:rsidR="00A132E5" w:rsidRDefault="00AB5891" w:rsidP="005C3B2B">
            <w:pPr>
              <w:pStyle w:val="Tabletext1"/>
              <w:jc w:val="center"/>
              <w:rPr>
                <w:snapToGrid w:val="0"/>
              </w:rPr>
            </w:pPr>
            <w:r>
              <w:rPr>
                <w:snapToGrid w:val="0"/>
              </w:rPr>
              <w:t>Freedom from progression</w:t>
            </w:r>
          </w:p>
        </w:tc>
        <w:tc>
          <w:tcPr>
            <w:tcW w:w="456" w:type="pct"/>
            <w:shd w:val="clear" w:color="auto" w:fill="auto"/>
          </w:tcPr>
          <w:p w14:paraId="7635C032" w14:textId="3AE56095" w:rsidR="000C2935" w:rsidRDefault="000C2935" w:rsidP="005C3B2B">
            <w:pPr>
              <w:pStyle w:val="Tabletext1"/>
              <w:jc w:val="center"/>
              <w:rPr>
                <w:snapToGrid w:val="0"/>
              </w:rPr>
            </w:pPr>
            <w:r w:rsidRPr="0085503A">
              <w:rPr>
                <w:snapToGrid w:val="0"/>
              </w:rPr>
              <w:t>Not used</w:t>
            </w:r>
          </w:p>
        </w:tc>
      </w:tr>
      <w:tr w:rsidR="008B6FC0" w:rsidRPr="00CE45B9" w14:paraId="451A1682" w14:textId="77777777" w:rsidTr="001F64FE">
        <w:trPr>
          <w:cantSplit/>
        </w:trPr>
        <w:tc>
          <w:tcPr>
            <w:tcW w:w="652" w:type="pct"/>
            <w:shd w:val="clear" w:color="auto" w:fill="auto"/>
          </w:tcPr>
          <w:p w14:paraId="36B4BF5D" w14:textId="264954A7" w:rsidR="000C2935" w:rsidRPr="005C3B2B" w:rsidRDefault="00211285" w:rsidP="005C3B2B">
            <w:pPr>
              <w:pStyle w:val="Tabletext1"/>
            </w:pPr>
            <w:hyperlink w:anchor="_ENREF_51" w:tooltip="Mazzola, 2018 #84" w:history="1">
              <w:r w:rsidR="008B6FC0">
                <w:fldChar w:fldCharType="begin"/>
              </w:r>
              <w:r w:rsidR="008B6FC0">
                <w:instrText xml:space="preserve"> ADDIN EN.CITE &lt;EndNote&gt;&lt;Cite AuthorYear="1"&gt;&lt;Author&gt;Mazzola&lt;/Author&gt;&lt;Year&gt;2018&lt;/Year&gt;&lt;RecNum&gt;84&lt;/RecNum&gt;&lt;DisplayText&gt;Mazzola et al. (2018)&lt;/DisplayText&gt;&lt;record&gt;&lt;rec-number&gt;84&lt;/rec-number&gt;&lt;foreign-keys&gt;&lt;key app="EN" db-id="sx5wsdwv795wvue959xxw0ptaewvdezxxp05" timestamp="1604892944"&gt;84&lt;/key&gt;&lt;/foreign-keys&gt;&lt;ref-type name="Journal Article"&gt;17&lt;/ref-type&gt;&lt;contributors&gt;&lt;authors&gt;&lt;author&gt;Mazzola, R.&lt;/author&gt;&lt;author&gt;Fersino, S.&lt;/author&gt;&lt;author&gt;Aiello, D.&lt;/author&gt;&lt;author&gt;Gregucci, F.&lt;/author&gt;&lt;author&gt;Tebano, U.&lt;/author&gt;&lt;author&gt;Corradini, S.&lt;/author&gt;&lt;author&gt;Di Paola, G.&lt;/author&gt;&lt;author&gt;Cirillo, M.&lt;/author&gt;&lt;author&gt;Tondulli, L.&lt;/author&gt;&lt;author&gt;Ruffo, G.&lt;/author&gt;&lt;author&gt;Ruggieri, R.&lt;/author&gt;&lt;author&gt;Alongi, F.&lt;/author&gt;&lt;/authors&gt;&lt;/contributors&gt;&lt;titles&gt;&lt;title&gt;Linac-based stereotactic body radiation therapy for unresectable locally advanced pancreatic cancer: risk-adapted dose prescription and image-guided delivery&lt;/title&gt;&lt;secondary-title&gt;Strahlenther Onkol&lt;/secondary-title&gt;&lt;/titles&gt;&lt;pages&gt;835-842&lt;/pages&gt;&lt;volume&gt;194&lt;/volume&gt;&lt;number&gt;9&lt;/number&gt;&lt;dates&gt;&lt;year&gt;2018&lt;/year&gt;&lt;/dates&gt;&lt;accession-num&gt;29696321&lt;/accession-num&gt;&lt;urls&gt;&lt;related-urls&gt;&lt;url&gt;http://ezproxy.library.usyd.edu.au/login?url=http://ovidsp.ovid.com/ovidweb.cgi?T=JS&amp;amp;CSC=Y&amp;amp;NEWS=N&amp;amp;PAGE=fulltext&amp;amp;D=med15&amp;amp;AN=29696321https://sydney.alma.exlibrisgroup.com/openurl/61USYD_INST/61USYD_INST:sydney?sid=OVID:medline&amp;amp;id=pmid:29696321&amp;amp;id=doi:10.100&lt;/url&gt;&lt;url&gt;https://link.springer.com/content/pdf/10.1007/s00066-018-1306-2.pdf&lt;/url&gt;&lt;/related-urls&gt;&lt;/urls&gt;&lt;electronic-resource-num&gt;https://dx.doi.org/10.1007/s00066-018-1306-2&lt;/electronic-resource-num&gt;&lt;/record&gt;&lt;/Cite&gt;&lt;/EndNote&gt;</w:instrText>
              </w:r>
              <w:r w:rsidR="008B6FC0">
                <w:fldChar w:fldCharType="separate"/>
              </w:r>
              <w:r w:rsidR="008B6FC0">
                <w:rPr>
                  <w:noProof/>
                </w:rPr>
                <w:t>Mazzola et al. (2018)</w:t>
              </w:r>
              <w:r w:rsidR="008B6FC0">
                <w:fldChar w:fldCharType="end"/>
              </w:r>
            </w:hyperlink>
          </w:p>
        </w:tc>
        <w:tc>
          <w:tcPr>
            <w:tcW w:w="562" w:type="pct"/>
            <w:shd w:val="clear" w:color="auto" w:fill="auto"/>
          </w:tcPr>
          <w:p w14:paraId="4F1E261B" w14:textId="2309E30D" w:rsidR="000C2935" w:rsidRPr="005C3B2B" w:rsidRDefault="000C2935" w:rsidP="005C3B2B">
            <w:pPr>
              <w:pStyle w:val="Tabletext1"/>
              <w:jc w:val="center"/>
            </w:pPr>
            <w:r w:rsidRPr="005C3B2B">
              <w:t>33</w:t>
            </w:r>
          </w:p>
        </w:tc>
        <w:tc>
          <w:tcPr>
            <w:tcW w:w="1088" w:type="pct"/>
            <w:shd w:val="clear" w:color="auto" w:fill="auto"/>
          </w:tcPr>
          <w:p w14:paraId="52A8B30C" w14:textId="6F41DDEC" w:rsidR="000C2935" w:rsidRPr="005C3B2B" w:rsidRDefault="000C2935" w:rsidP="005C3B2B">
            <w:pPr>
              <w:pStyle w:val="Tabletext1"/>
              <w:jc w:val="center"/>
            </w:pPr>
            <w:r w:rsidRPr="005C3B2B">
              <w:t xml:space="preserve">Retrospective </w:t>
            </w:r>
            <w:r w:rsidR="00260887" w:rsidRPr="005C3B2B">
              <w:t>CS</w:t>
            </w:r>
          </w:p>
        </w:tc>
        <w:tc>
          <w:tcPr>
            <w:tcW w:w="770" w:type="pct"/>
            <w:shd w:val="clear" w:color="auto" w:fill="auto"/>
          </w:tcPr>
          <w:p w14:paraId="3DDB4499" w14:textId="1AB11A60" w:rsidR="00260887" w:rsidRPr="005C3B2B" w:rsidRDefault="001E750F" w:rsidP="005C3B2B">
            <w:pPr>
              <w:pStyle w:val="Tabletext1"/>
              <w:jc w:val="center"/>
            </w:pPr>
            <w:r w:rsidRPr="005C3B2B">
              <w:t>SBRT</w:t>
            </w:r>
          </w:p>
          <w:p w14:paraId="2CE9BA03" w14:textId="24CFBF25" w:rsidR="000C2935" w:rsidRPr="005C3B2B" w:rsidRDefault="001E750F" w:rsidP="005C3B2B">
            <w:pPr>
              <w:pStyle w:val="Tabletext1"/>
              <w:jc w:val="center"/>
            </w:pPr>
            <w:r w:rsidRPr="005C3B2B">
              <w:t>via VMAT</w:t>
            </w:r>
          </w:p>
        </w:tc>
        <w:tc>
          <w:tcPr>
            <w:tcW w:w="835" w:type="pct"/>
            <w:shd w:val="clear" w:color="auto" w:fill="auto"/>
          </w:tcPr>
          <w:p w14:paraId="1D91D916" w14:textId="62C6519B" w:rsidR="000C2935" w:rsidRPr="005C3B2B" w:rsidRDefault="001E750F" w:rsidP="005C3B2B">
            <w:pPr>
              <w:pStyle w:val="Tabletext1"/>
              <w:jc w:val="center"/>
            </w:pPr>
            <w:r w:rsidRPr="005C3B2B">
              <w:t>Pancre</w:t>
            </w:r>
            <w:r w:rsidR="00260887" w:rsidRPr="005C3B2B">
              <w:t xml:space="preserve">atic cancer, </w:t>
            </w:r>
            <w:r w:rsidR="000C2935" w:rsidRPr="005C3B2B">
              <w:t>locally advanced, unresectable</w:t>
            </w:r>
          </w:p>
        </w:tc>
        <w:tc>
          <w:tcPr>
            <w:tcW w:w="637" w:type="pct"/>
            <w:shd w:val="clear" w:color="auto" w:fill="auto"/>
          </w:tcPr>
          <w:p w14:paraId="7F41EC37" w14:textId="62F3938B" w:rsidR="000C2935" w:rsidRDefault="000C2935" w:rsidP="005C3B2B">
            <w:pPr>
              <w:pStyle w:val="Tabletext1"/>
              <w:jc w:val="center"/>
              <w:rPr>
                <w:snapToGrid w:val="0"/>
              </w:rPr>
            </w:pPr>
            <w:r>
              <w:rPr>
                <w:snapToGrid w:val="0"/>
              </w:rPr>
              <w:t>Toxicity</w:t>
            </w:r>
          </w:p>
        </w:tc>
        <w:tc>
          <w:tcPr>
            <w:tcW w:w="456" w:type="pct"/>
            <w:shd w:val="clear" w:color="auto" w:fill="auto"/>
          </w:tcPr>
          <w:p w14:paraId="1F100846" w14:textId="35702A9E" w:rsidR="000C2935" w:rsidRDefault="000C2935" w:rsidP="005C3B2B">
            <w:pPr>
              <w:pStyle w:val="Tabletext1"/>
              <w:jc w:val="center"/>
              <w:rPr>
                <w:snapToGrid w:val="0"/>
              </w:rPr>
            </w:pPr>
            <w:r w:rsidRPr="0085503A">
              <w:rPr>
                <w:snapToGrid w:val="0"/>
              </w:rPr>
              <w:t>Not used</w:t>
            </w:r>
          </w:p>
        </w:tc>
      </w:tr>
      <w:tr w:rsidR="008B6FC0" w:rsidRPr="00CE45B9" w14:paraId="6AC130E2" w14:textId="77777777" w:rsidTr="001F64FE">
        <w:trPr>
          <w:cantSplit/>
        </w:trPr>
        <w:tc>
          <w:tcPr>
            <w:tcW w:w="652" w:type="pct"/>
            <w:shd w:val="clear" w:color="auto" w:fill="auto"/>
          </w:tcPr>
          <w:p w14:paraId="29B84424" w14:textId="6641604F" w:rsidR="000C2935" w:rsidRPr="005C3B2B" w:rsidRDefault="00211285" w:rsidP="005C3B2B">
            <w:pPr>
              <w:pStyle w:val="Tabletext1"/>
            </w:pPr>
            <w:hyperlink w:anchor="_ENREF_58" w:tooltip="Price, 2012 #64" w:history="1">
              <w:r w:rsidR="008B6FC0">
                <w:fldChar w:fldCharType="begin"/>
              </w:r>
              <w:r w:rsidR="008B6FC0">
                <w:instrText xml:space="preserve"> ADDIN EN.CITE &lt;EndNote&gt;&lt;Cite AuthorYear="1"&gt;&lt;Author&gt;Price&lt;/Author&gt;&lt;Year&gt;2012&lt;/Year&gt;&lt;RecNum&gt;64&lt;/RecNum&gt;&lt;DisplayText&gt;Price et al. (2012)&lt;/DisplayText&gt;&lt;record&gt;&lt;rec-number&gt;64&lt;/rec-number&gt;&lt;foreign-keys&gt;&lt;key app="EN" db-id="sx5wsdwv795wvue959xxw0ptaewvdezxxp05" timestamp="1604876397"&gt;64&lt;/key&gt;&lt;/foreign-keys&gt;&lt;ref-type name="Journal Article"&gt;17&lt;/ref-type&gt;&lt;contributors&gt;&lt;authors&gt;&lt;author&gt;Price, T. R.&lt;/author&gt;&lt;author&gt;Perkins, S. M.&lt;/author&gt;&lt;author&gt;Sandrasegaran, K.&lt;/author&gt;&lt;author&gt;Henderson, M. A.&lt;/author&gt;&lt;author&gt;Maluccio, M. A.&lt;/author&gt;&lt;author&gt;Zook, J. E.&lt;/author&gt;&lt;author&gt;Tector, A. J.&lt;/author&gt;&lt;author&gt;Vianna, R. M.&lt;/author&gt;&lt;author&gt;Johnstone, P. A. S.&lt;/author&gt;&lt;author&gt;Cardenes, H. R.&lt;/author&gt;&lt;/authors&gt;&lt;/contributors&gt;&lt;titles&gt;&lt;title&gt;Evaluation of response after stereotactic body radiotherapy for hepatocellular carcinoma&lt;/title&gt;&lt;secondary-title&gt;Cancer&lt;/secondary-title&gt;&lt;/titles&gt;&lt;pages&gt;3191-3198&lt;/pages&gt;&lt;volume&gt;118&lt;/volume&gt;&lt;number&gt;12&lt;/number&gt;&lt;dates&gt;&lt;year&gt;2012&lt;/year&gt;&lt;/dates&gt;&lt;accession-num&gt;51687899&lt;/accession-num&gt;&lt;urls&gt;&lt;related-urls&gt;&lt;url&gt;http://ezproxy.library.usyd.edu.au/login?url=http://ovidsp.ovid.com/ovidweb.cgi?T=JS&amp;amp;CSC=Y&amp;amp;NEWS=N&amp;amp;PAGE=fulltext&amp;amp;D=emed13&amp;amp;AN=51687899https://sydney.alma.exlibrisgroup.com/openurl/61USYD_INST/61USYD_INST:sydney?sid=OVID:embase&amp;amp;id=pmid:22025126&amp;amp;id=doi:10.100&lt;/url&gt;&lt;url&gt;https://acsjournals.onlinelibrary.wiley.com/doi/pdfdirect/10.1002/cncr.26404?download=true&lt;/url&gt;&lt;/related-urls&gt;&lt;/urls&gt;&lt;electronic-resource-num&gt;http://dx.doi.org/10.1002/cncr.26404&lt;/electronic-resource-num&gt;&lt;/record&gt;&lt;/Cite&gt;&lt;/EndNote&gt;</w:instrText>
              </w:r>
              <w:r w:rsidR="008B6FC0">
                <w:fldChar w:fldCharType="separate"/>
              </w:r>
              <w:r w:rsidR="008B6FC0">
                <w:rPr>
                  <w:noProof/>
                </w:rPr>
                <w:t>Price et al. (2012)</w:t>
              </w:r>
              <w:r w:rsidR="008B6FC0">
                <w:fldChar w:fldCharType="end"/>
              </w:r>
            </w:hyperlink>
          </w:p>
        </w:tc>
        <w:tc>
          <w:tcPr>
            <w:tcW w:w="562" w:type="pct"/>
            <w:shd w:val="clear" w:color="auto" w:fill="auto"/>
          </w:tcPr>
          <w:p w14:paraId="1D1AF2C5" w14:textId="6DA120E0" w:rsidR="000C2935" w:rsidRDefault="000C2935" w:rsidP="005C3B2B">
            <w:pPr>
              <w:pStyle w:val="Tabletext1"/>
              <w:jc w:val="center"/>
              <w:rPr>
                <w:snapToGrid w:val="0"/>
              </w:rPr>
            </w:pPr>
            <w:r w:rsidRPr="005C3B2B">
              <w:t>26</w:t>
            </w:r>
          </w:p>
        </w:tc>
        <w:tc>
          <w:tcPr>
            <w:tcW w:w="1088" w:type="pct"/>
            <w:shd w:val="clear" w:color="auto" w:fill="auto"/>
          </w:tcPr>
          <w:p w14:paraId="2DE0334E" w14:textId="7C70B316" w:rsidR="000C2935" w:rsidRDefault="000C2935" w:rsidP="005C3B2B">
            <w:pPr>
              <w:pStyle w:val="Tabletext1"/>
              <w:jc w:val="center"/>
              <w:rPr>
                <w:snapToGrid w:val="0"/>
              </w:rPr>
            </w:pPr>
            <w:r w:rsidRPr="005C3B2B">
              <w:t xml:space="preserve">Prospective </w:t>
            </w:r>
            <w:r w:rsidR="002C2B4B" w:rsidRPr="005C3B2B">
              <w:t>Coh</w:t>
            </w:r>
            <w:r w:rsidR="001E750F" w:rsidRPr="005C3B2B">
              <w:t xml:space="preserve"> (</w:t>
            </w:r>
            <w:r w:rsidR="002C2B4B" w:rsidRPr="005C3B2B">
              <w:t>p</w:t>
            </w:r>
            <w:r w:rsidR="001E750F" w:rsidRPr="005C3B2B">
              <w:t>hase</w:t>
            </w:r>
            <w:r w:rsidRPr="005C3B2B">
              <w:t xml:space="preserve"> 1</w:t>
            </w:r>
            <w:r w:rsidR="002C2B4B" w:rsidRPr="005C3B2B">
              <w:t>-</w:t>
            </w:r>
            <w:r w:rsidRPr="005C3B2B">
              <w:t>2 trial)</w:t>
            </w:r>
          </w:p>
        </w:tc>
        <w:tc>
          <w:tcPr>
            <w:tcW w:w="770" w:type="pct"/>
            <w:shd w:val="clear" w:color="auto" w:fill="auto"/>
          </w:tcPr>
          <w:p w14:paraId="0D1CF29C" w14:textId="49F18F58" w:rsidR="000C2935" w:rsidRDefault="000C2935" w:rsidP="005C3B2B">
            <w:pPr>
              <w:pStyle w:val="Tabletext1"/>
              <w:jc w:val="center"/>
              <w:rPr>
                <w:snapToGrid w:val="0"/>
              </w:rPr>
            </w:pPr>
            <w:r w:rsidRPr="005C3B2B">
              <w:t>SBRT</w:t>
            </w:r>
          </w:p>
        </w:tc>
        <w:tc>
          <w:tcPr>
            <w:tcW w:w="835" w:type="pct"/>
            <w:shd w:val="clear" w:color="auto" w:fill="auto"/>
          </w:tcPr>
          <w:p w14:paraId="2A93F1C9" w14:textId="0D4E15E3" w:rsidR="000C2935" w:rsidRDefault="000C2935" w:rsidP="005C3B2B">
            <w:pPr>
              <w:pStyle w:val="Tabletext1"/>
              <w:jc w:val="center"/>
              <w:rPr>
                <w:snapToGrid w:val="0"/>
              </w:rPr>
            </w:pPr>
            <w:r w:rsidRPr="005C3B2B">
              <w:t>Liver (HCC</w:t>
            </w:r>
            <w:r w:rsidR="008B1B9A" w:rsidRPr="005C3B2B">
              <w:t>)</w:t>
            </w:r>
            <w:r w:rsidR="001E750F" w:rsidRPr="005C3B2B">
              <w:t>,</w:t>
            </w:r>
            <w:r w:rsidRPr="005C3B2B">
              <w:t xml:space="preserve"> not surgical candidates</w:t>
            </w:r>
          </w:p>
        </w:tc>
        <w:tc>
          <w:tcPr>
            <w:tcW w:w="637" w:type="pct"/>
            <w:shd w:val="clear" w:color="auto" w:fill="auto"/>
          </w:tcPr>
          <w:p w14:paraId="774DB7CA" w14:textId="4277C9D0" w:rsidR="000C2935" w:rsidRDefault="008C619B" w:rsidP="005C3B2B">
            <w:pPr>
              <w:pStyle w:val="Tabletext1"/>
              <w:jc w:val="center"/>
              <w:rPr>
                <w:snapToGrid w:val="0"/>
              </w:rPr>
            </w:pPr>
            <w:r>
              <w:rPr>
                <w:snapToGrid w:val="0"/>
              </w:rPr>
              <w:t>OS</w:t>
            </w:r>
          </w:p>
          <w:p w14:paraId="08AF7ED2" w14:textId="243AB7AA" w:rsidR="000C2935" w:rsidRDefault="000C2935" w:rsidP="005C3B2B">
            <w:pPr>
              <w:pStyle w:val="Tabletext1"/>
              <w:jc w:val="center"/>
              <w:rPr>
                <w:snapToGrid w:val="0"/>
              </w:rPr>
            </w:pPr>
          </w:p>
        </w:tc>
        <w:tc>
          <w:tcPr>
            <w:tcW w:w="456" w:type="pct"/>
            <w:shd w:val="clear" w:color="auto" w:fill="auto"/>
          </w:tcPr>
          <w:p w14:paraId="4FA0E6C0" w14:textId="78E04757" w:rsidR="000C2935" w:rsidRDefault="000C2935" w:rsidP="005C3B2B">
            <w:pPr>
              <w:pStyle w:val="Tabletext1"/>
              <w:jc w:val="center"/>
              <w:rPr>
                <w:snapToGrid w:val="0"/>
              </w:rPr>
            </w:pPr>
            <w:r w:rsidRPr="0085503A">
              <w:rPr>
                <w:snapToGrid w:val="0"/>
              </w:rPr>
              <w:t>Not used</w:t>
            </w:r>
          </w:p>
        </w:tc>
      </w:tr>
      <w:tr w:rsidR="008B6FC0" w:rsidRPr="00CE45B9" w14:paraId="41E17728" w14:textId="77777777" w:rsidTr="001F64FE">
        <w:trPr>
          <w:cantSplit/>
        </w:trPr>
        <w:tc>
          <w:tcPr>
            <w:tcW w:w="652" w:type="pct"/>
            <w:tcBorders>
              <w:bottom w:val="single" w:sz="4" w:space="0" w:color="auto"/>
            </w:tcBorders>
            <w:shd w:val="clear" w:color="auto" w:fill="auto"/>
          </w:tcPr>
          <w:p w14:paraId="22A96513" w14:textId="7518A823" w:rsidR="00CF646C" w:rsidRPr="005C3B2B" w:rsidRDefault="00211285" w:rsidP="005C3B2B">
            <w:pPr>
              <w:pStyle w:val="Tabletext1"/>
            </w:pPr>
            <w:hyperlink w:anchor="_ENREF_73" w:tooltip="Valakh, 2018 #74" w:history="1">
              <w:r w:rsidR="001F781A">
                <w:fldChar w:fldCharType="begin"/>
              </w:r>
              <w:r w:rsidR="001F781A">
                <w:instrText xml:space="preserve"> ADDIN EN.CITE &lt;EndNote&gt;&lt;Cite AuthorYear="1"&gt;&lt;Author&gt;Valakh&lt;/Author&gt;&lt;Year&gt;2018&lt;/Year&gt;&lt;RecNum&gt;74&lt;/RecNum&gt;&lt;DisplayText&gt;Valakh, Gresswell, and Kirichenko (2018)&lt;/DisplayText&gt;&lt;record&gt;&lt;rec-number&gt;74&lt;/rec-number&gt;&lt;foreign-keys&gt;&lt;key app="EN" db-id="sx5wsdwv795wvue959xxw0ptaewvdezxxp05" timestamp="1604876398"&gt;74&lt;/key&gt;&lt;/foreign-keys&gt;&lt;ref-type name="Journal Article"&gt;17&lt;/ref-type&gt;&lt;contributors&gt;&lt;authors&gt;&lt;author&gt;Valakh, V.&lt;/author&gt;&lt;author&gt;Gresswell, S.&lt;/author&gt;&lt;author&gt;Kirichenko, A.&lt;/author&gt;&lt;/authors&gt;&lt;/contributors&gt;&lt;titles&gt;&lt;title&gt;Outcomes of stereotactic body radiotherapy for hepatocellular carcinoma with severe cirrhosis and ineligibility for transplant&lt;/title&gt;&lt;secondary-title&gt;Anticancer Research&lt;/secondary-title&gt;&lt;/titles&gt;&lt;pages&gt;6815-6820&lt;/pages&gt;&lt;volume&gt;38&lt;/volume&gt;&lt;number&gt;12&lt;/number&gt;&lt;dates&gt;&lt;year&gt;2018&lt;/year&gt;&lt;/dates&gt;&lt;accession-num&gt;625292734&lt;/accession-num&gt;&lt;urls&gt;&lt;related-urls&gt;&lt;url&gt;http://ar.iiarjournals.org/content/38/12/6815.full.pdf+htmlhttp://ezproxy.library.usyd.edu.au/login?url=http://ovidsp.ovid.com/ovidweb.cgi?T=JS&amp;amp;CSC=Y&amp;amp;NEWS=N&amp;amp;PAGE=fulltext&amp;amp;D=emed19&amp;amp;AN=625292734https://sydney.alma.exlibrisgroup.com/openurl/61USYD_INST/61USY&lt;/url&gt;&lt;url&gt;http://ar.iiarjournals.org/content/38/12/6815.full.pdf&lt;/url&gt;&lt;/related-urls&gt;&lt;/urls&gt;&lt;electronic-resource-num&gt;http://dx.doi.org/10.21873/anticanres.13054&lt;/electronic-resource-num&gt;&lt;/record&gt;&lt;/Cite&gt;&lt;/EndNote&gt;</w:instrText>
              </w:r>
              <w:r w:rsidR="001F781A">
                <w:fldChar w:fldCharType="separate"/>
              </w:r>
              <w:r w:rsidR="001F781A">
                <w:rPr>
                  <w:noProof/>
                </w:rPr>
                <w:t>Valakh, Gresswell, and Kirichenko (2018)</w:t>
              </w:r>
              <w:r w:rsidR="001F781A">
                <w:fldChar w:fldCharType="end"/>
              </w:r>
            </w:hyperlink>
          </w:p>
        </w:tc>
        <w:tc>
          <w:tcPr>
            <w:tcW w:w="562" w:type="pct"/>
            <w:tcBorders>
              <w:bottom w:val="single" w:sz="4" w:space="0" w:color="auto"/>
            </w:tcBorders>
            <w:shd w:val="clear" w:color="auto" w:fill="auto"/>
          </w:tcPr>
          <w:p w14:paraId="57974D1D" w14:textId="3AE29916" w:rsidR="00CF646C" w:rsidRPr="005C3B2B" w:rsidRDefault="00CF646C" w:rsidP="005C3B2B">
            <w:pPr>
              <w:pStyle w:val="Tabletext1"/>
              <w:jc w:val="center"/>
            </w:pPr>
            <w:r w:rsidRPr="005C3B2B">
              <w:t>15</w:t>
            </w:r>
          </w:p>
        </w:tc>
        <w:tc>
          <w:tcPr>
            <w:tcW w:w="1088" w:type="pct"/>
            <w:tcBorders>
              <w:bottom w:val="single" w:sz="4" w:space="0" w:color="auto"/>
            </w:tcBorders>
            <w:shd w:val="clear" w:color="auto" w:fill="auto"/>
          </w:tcPr>
          <w:p w14:paraId="627628C0" w14:textId="20AC5440" w:rsidR="00CF646C" w:rsidRPr="005C3B2B" w:rsidRDefault="00367039" w:rsidP="005C3B2B">
            <w:pPr>
              <w:pStyle w:val="Tabletext1"/>
              <w:jc w:val="center"/>
            </w:pPr>
            <w:r w:rsidRPr="005C3B2B">
              <w:t>Retrospective consecutive CS</w:t>
            </w:r>
          </w:p>
        </w:tc>
        <w:tc>
          <w:tcPr>
            <w:tcW w:w="770" w:type="pct"/>
            <w:tcBorders>
              <w:bottom w:val="single" w:sz="4" w:space="0" w:color="auto"/>
            </w:tcBorders>
            <w:shd w:val="clear" w:color="auto" w:fill="auto"/>
          </w:tcPr>
          <w:p w14:paraId="6A063812" w14:textId="321D0C11" w:rsidR="00CF646C" w:rsidRPr="005C3B2B" w:rsidRDefault="00CF646C" w:rsidP="005C3B2B">
            <w:pPr>
              <w:pStyle w:val="Tabletext1"/>
              <w:jc w:val="center"/>
            </w:pPr>
            <w:r w:rsidRPr="005C3B2B">
              <w:t>SBRT</w:t>
            </w:r>
          </w:p>
        </w:tc>
        <w:tc>
          <w:tcPr>
            <w:tcW w:w="835" w:type="pct"/>
            <w:tcBorders>
              <w:bottom w:val="single" w:sz="4" w:space="0" w:color="auto"/>
            </w:tcBorders>
            <w:shd w:val="clear" w:color="auto" w:fill="auto"/>
          </w:tcPr>
          <w:p w14:paraId="0BA20114" w14:textId="39274208" w:rsidR="00CF646C" w:rsidRPr="005C3B2B" w:rsidRDefault="00CF646C" w:rsidP="005C3B2B">
            <w:pPr>
              <w:pStyle w:val="Tabletext1"/>
              <w:jc w:val="center"/>
            </w:pPr>
            <w:r w:rsidRPr="005C3B2B">
              <w:t>Liver (HCC), Class B-C Child-Pugh cirrhosis CP≥8</w:t>
            </w:r>
          </w:p>
        </w:tc>
        <w:tc>
          <w:tcPr>
            <w:tcW w:w="637" w:type="pct"/>
            <w:tcBorders>
              <w:bottom w:val="single" w:sz="4" w:space="0" w:color="auto"/>
            </w:tcBorders>
            <w:shd w:val="clear" w:color="auto" w:fill="auto"/>
          </w:tcPr>
          <w:p w14:paraId="0876CFF3" w14:textId="77777777" w:rsidR="00CF646C" w:rsidRDefault="00CF646C" w:rsidP="005C3B2B">
            <w:pPr>
              <w:pStyle w:val="Tabletext1"/>
              <w:jc w:val="center"/>
              <w:rPr>
                <w:snapToGrid w:val="0"/>
              </w:rPr>
            </w:pPr>
            <w:r>
              <w:rPr>
                <w:snapToGrid w:val="0"/>
              </w:rPr>
              <w:t>Toxicity</w:t>
            </w:r>
          </w:p>
          <w:p w14:paraId="73E50DDF" w14:textId="77777777" w:rsidR="00CF646C" w:rsidRDefault="00CF646C" w:rsidP="005C3B2B">
            <w:pPr>
              <w:pStyle w:val="Tabletext1"/>
              <w:jc w:val="center"/>
              <w:rPr>
                <w:snapToGrid w:val="0"/>
              </w:rPr>
            </w:pPr>
            <w:r>
              <w:rPr>
                <w:snapToGrid w:val="0"/>
              </w:rPr>
              <w:t>OS</w:t>
            </w:r>
          </w:p>
          <w:p w14:paraId="61101D60" w14:textId="7C1DCE12" w:rsidR="00CF646C" w:rsidRDefault="00CF646C" w:rsidP="005C3B2B">
            <w:pPr>
              <w:pStyle w:val="Tabletext1"/>
              <w:jc w:val="center"/>
              <w:rPr>
                <w:snapToGrid w:val="0"/>
              </w:rPr>
            </w:pPr>
            <w:r>
              <w:rPr>
                <w:snapToGrid w:val="0"/>
              </w:rPr>
              <w:t>Freedom from progression</w:t>
            </w:r>
          </w:p>
        </w:tc>
        <w:tc>
          <w:tcPr>
            <w:tcW w:w="456" w:type="pct"/>
            <w:tcBorders>
              <w:bottom w:val="single" w:sz="4" w:space="0" w:color="auto"/>
            </w:tcBorders>
            <w:shd w:val="clear" w:color="auto" w:fill="auto"/>
          </w:tcPr>
          <w:p w14:paraId="4243E628" w14:textId="513E8855" w:rsidR="00CF646C" w:rsidRPr="0085503A" w:rsidRDefault="00367039" w:rsidP="005C3B2B">
            <w:pPr>
              <w:pStyle w:val="Tabletext1"/>
              <w:jc w:val="center"/>
              <w:rPr>
                <w:snapToGrid w:val="0"/>
              </w:rPr>
            </w:pPr>
            <w:r w:rsidRPr="0085503A">
              <w:rPr>
                <w:snapToGrid w:val="0"/>
              </w:rPr>
              <w:t>Not used</w:t>
            </w:r>
          </w:p>
        </w:tc>
      </w:tr>
      <w:tr w:rsidR="008B6FC0" w:rsidRPr="00CE45B9" w14:paraId="49F14136" w14:textId="77777777" w:rsidTr="001F64FE">
        <w:trPr>
          <w:cantSplit/>
        </w:trPr>
        <w:tc>
          <w:tcPr>
            <w:tcW w:w="652" w:type="pct"/>
            <w:tcBorders>
              <w:bottom w:val="single" w:sz="4" w:space="0" w:color="auto"/>
            </w:tcBorders>
            <w:shd w:val="clear" w:color="auto" w:fill="auto"/>
          </w:tcPr>
          <w:p w14:paraId="6276577E" w14:textId="4DF74711" w:rsidR="000C2935" w:rsidRPr="005C3B2B" w:rsidRDefault="00211285" w:rsidP="005C3B2B">
            <w:pPr>
              <w:pStyle w:val="Tabletext1"/>
            </w:pPr>
            <w:hyperlink w:anchor="_ENREF_80" w:tooltip="Voglhuber, 2020 #80" w:history="1">
              <w:r w:rsidR="008B6FC0">
                <w:fldChar w:fldCharType="begin"/>
              </w:r>
              <w:r w:rsidR="008B6FC0">
                <w:instrText xml:space="preserve"> ADDIN EN.CITE &lt;EndNote&gt;&lt;Cite AuthorYear="1"&gt;&lt;Author&gt;Voglhuber&lt;/Author&gt;&lt;Year&gt;2020&lt;/Year&gt;&lt;RecNum&gt;80&lt;/RecNum&gt;&lt;DisplayText&gt;Voglhuber et al. (2020)&lt;/DisplayText&gt;&lt;record&gt;&lt;rec-number&gt;80&lt;/rec-number&gt;&lt;foreign-keys&gt;&lt;key app="EN" db-id="sx5wsdwv795wvue959xxw0ptaewvdezxxp05" timestamp="1604876399"&gt;80&lt;/key&gt;&lt;/foreign-keys&gt;&lt;ref-type name="Journal Article"&gt;17&lt;/ref-type&gt;&lt;contributors&gt;&lt;authors&gt;&lt;author&gt;Voglhuber, T.&lt;/author&gt;&lt;author&gt;Kessel, K. A.&lt;/author&gt;&lt;author&gt;Oechsner, M.&lt;/author&gt;&lt;author&gt;Vogel, M. M. E.&lt;/author&gt;&lt;author&gt;Gschwend, J. E.&lt;/author&gt;&lt;author&gt;Combs, S. E.&lt;/author&gt;&lt;/authors&gt;&lt;/contributors&gt;&lt;titles&gt;&lt;title&gt;Single-institutional outcome-analysis of low-dose stereotactic body radiation therapy (SBRT) of adrenal gland metastases&lt;/title&gt;&lt;secondary-title&gt;BMC Cancer&lt;/secondary-title&gt;&lt;/titles&gt;&lt;volume&gt;20&lt;/volume&gt;&lt;number&gt;1&lt;/number&gt;&lt;dates&gt;&lt;year&gt;2020&lt;/year&gt;&lt;/dates&gt;&lt;accession-num&gt;631990682&lt;/accession-num&gt;&lt;urls&gt;&lt;related-urls&gt;&lt;url&gt;http://www.biomedcentral.com/bmccancer/http://ezproxy.library.usyd.edu.au/login?url=http://ovidsp.ovid.com/ovidweb.cgi?T=JS&amp;amp;CSC=Y&amp;amp;NEWS=N&amp;amp;PAGE=fulltext&amp;amp;D=emexb&amp;amp;AN=631990682https://sydney.alma.exlibrisgroup.com/openurl/61USYD_INST/61USYD_INST:sydney?sid=OVI&lt;/url&gt;&lt;url&gt;https://bmccancer.biomedcentral.com/track/pdf/10.1186/s12885-020-07030-w&lt;/url&gt;&lt;url&gt;https://bmccancer.biomedcentral.com/track/pdf/10.1186/s12885-020-07030-w.pdf&lt;/url&gt;&lt;/related-urls&gt;&lt;/urls&gt;&lt;electronic-resource-num&gt;http://dx.doi.org/10.1186/s12885-020-07030-w&lt;/electronic-resource-num&gt;&lt;/record&gt;&lt;/Cite&gt;&lt;/EndNote&gt;</w:instrText>
              </w:r>
              <w:r w:rsidR="008B6FC0">
                <w:fldChar w:fldCharType="separate"/>
              </w:r>
              <w:r w:rsidR="008B6FC0">
                <w:rPr>
                  <w:noProof/>
                </w:rPr>
                <w:t>Voglhuber et al. (2020)</w:t>
              </w:r>
              <w:r w:rsidR="008B6FC0">
                <w:fldChar w:fldCharType="end"/>
              </w:r>
            </w:hyperlink>
          </w:p>
        </w:tc>
        <w:tc>
          <w:tcPr>
            <w:tcW w:w="562" w:type="pct"/>
            <w:tcBorders>
              <w:bottom w:val="single" w:sz="4" w:space="0" w:color="auto"/>
            </w:tcBorders>
            <w:shd w:val="clear" w:color="auto" w:fill="auto"/>
          </w:tcPr>
          <w:p w14:paraId="71076452" w14:textId="632505A2" w:rsidR="000C2935" w:rsidRDefault="000C2935" w:rsidP="005C3B2B">
            <w:pPr>
              <w:pStyle w:val="Tabletext1"/>
              <w:jc w:val="center"/>
              <w:rPr>
                <w:snapToGrid w:val="0"/>
              </w:rPr>
            </w:pPr>
            <w:r w:rsidRPr="005C3B2B">
              <w:t>31 (34 lesions)</w:t>
            </w:r>
          </w:p>
        </w:tc>
        <w:tc>
          <w:tcPr>
            <w:tcW w:w="1088" w:type="pct"/>
            <w:tcBorders>
              <w:bottom w:val="single" w:sz="4" w:space="0" w:color="auto"/>
            </w:tcBorders>
            <w:shd w:val="clear" w:color="auto" w:fill="auto"/>
          </w:tcPr>
          <w:p w14:paraId="43A09F0A" w14:textId="7399594D" w:rsidR="000C2935" w:rsidRDefault="000C2935" w:rsidP="005C3B2B">
            <w:pPr>
              <w:pStyle w:val="Tabletext1"/>
              <w:jc w:val="center"/>
              <w:rPr>
                <w:snapToGrid w:val="0"/>
              </w:rPr>
            </w:pPr>
            <w:r w:rsidRPr="005C3B2B">
              <w:t>Retrospective</w:t>
            </w:r>
            <w:r w:rsidR="00EE6D0C" w:rsidRPr="005C3B2B">
              <w:t xml:space="preserve"> CS</w:t>
            </w:r>
          </w:p>
        </w:tc>
        <w:tc>
          <w:tcPr>
            <w:tcW w:w="770" w:type="pct"/>
            <w:tcBorders>
              <w:bottom w:val="single" w:sz="4" w:space="0" w:color="auto"/>
            </w:tcBorders>
            <w:shd w:val="clear" w:color="auto" w:fill="auto"/>
          </w:tcPr>
          <w:p w14:paraId="04022937" w14:textId="758A9610" w:rsidR="000C2935" w:rsidRDefault="001E750F" w:rsidP="005C3B2B">
            <w:pPr>
              <w:pStyle w:val="Tabletext1"/>
              <w:jc w:val="center"/>
              <w:rPr>
                <w:snapToGrid w:val="0"/>
              </w:rPr>
            </w:pPr>
            <w:r w:rsidRPr="005C3B2B">
              <w:t>SBRT</w:t>
            </w:r>
          </w:p>
        </w:tc>
        <w:tc>
          <w:tcPr>
            <w:tcW w:w="835" w:type="pct"/>
            <w:tcBorders>
              <w:bottom w:val="single" w:sz="4" w:space="0" w:color="auto"/>
            </w:tcBorders>
            <w:shd w:val="clear" w:color="auto" w:fill="auto"/>
          </w:tcPr>
          <w:p w14:paraId="61F3C9A4" w14:textId="597688B5" w:rsidR="000C2935" w:rsidRDefault="000C2935" w:rsidP="005C3B2B">
            <w:pPr>
              <w:pStyle w:val="Tabletext1"/>
              <w:jc w:val="center"/>
              <w:rPr>
                <w:snapToGrid w:val="0"/>
              </w:rPr>
            </w:pPr>
            <w:r w:rsidRPr="005C3B2B">
              <w:t>Adrenal gland meta</w:t>
            </w:r>
            <w:r w:rsidR="00FF1D34" w:rsidRPr="005C3B2B">
              <w:t>stases</w:t>
            </w:r>
          </w:p>
        </w:tc>
        <w:tc>
          <w:tcPr>
            <w:tcW w:w="637" w:type="pct"/>
            <w:tcBorders>
              <w:bottom w:val="single" w:sz="4" w:space="0" w:color="auto"/>
            </w:tcBorders>
            <w:shd w:val="clear" w:color="auto" w:fill="auto"/>
          </w:tcPr>
          <w:p w14:paraId="608B8E4A" w14:textId="455A67E1" w:rsidR="000C2935" w:rsidRDefault="000C2935" w:rsidP="005C3B2B">
            <w:pPr>
              <w:pStyle w:val="Tabletext1"/>
              <w:jc w:val="center"/>
              <w:rPr>
                <w:snapToGrid w:val="0"/>
              </w:rPr>
            </w:pPr>
            <w:r>
              <w:rPr>
                <w:snapToGrid w:val="0"/>
              </w:rPr>
              <w:t>Toxicity</w:t>
            </w:r>
          </w:p>
        </w:tc>
        <w:tc>
          <w:tcPr>
            <w:tcW w:w="456" w:type="pct"/>
            <w:tcBorders>
              <w:bottom w:val="single" w:sz="4" w:space="0" w:color="auto"/>
            </w:tcBorders>
            <w:shd w:val="clear" w:color="auto" w:fill="auto"/>
          </w:tcPr>
          <w:p w14:paraId="64DE946F" w14:textId="384FF935" w:rsidR="000C2935" w:rsidRDefault="000C2935" w:rsidP="005C3B2B">
            <w:pPr>
              <w:pStyle w:val="Tabletext1"/>
              <w:jc w:val="center"/>
              <w:rPr>
                <w:snapToGrid w:val="0"/>
              </w:rPr>
            </w:pPr>
            <w:r w:rsidRPr="0085503A">
              <w:rPr>
                <w:snapToGrid w:val="0"/>
              </w:rPr>
              <w:t>Not used</w:t>
            </w:r>
          </w:p>
        </w:tc>
      </w:tr>
      <w:tr w:rsidR="008B6FC0" w:rsidRPr="00CE45B9" w14:paraId="13C0A2A4" w14:textId="77777777" w:rsidTr="001F64FE">
        <w:trPr>
          <w:cantSplit/>
        </w:trPr>
        <w:tc>
          <w:tcPr>
            <w:tcW w:w="652" w:type="pct"/>
            <w:tcBorders>
              <w:top w:val="single" w:sz="4" w:space="0" w:color="auto"/>
              <w:left w:val="single" w:sz="4" w:space="0" w:color="auto"/>
              <w:bottom w:val="single" w:sz="4" w:space="0" w:color="auto"/>
              <w:right w:val="nil"/>
            </w:tcBorders>
            <w:shd w:val="clear" w:color="auto" w:fill="auto"/>
            <w:vAlign w:val="center"/>
          </w:tcPr>
          <w:p w14:paraId="36962029" w14:textId="30A6E8C7" w:rsidR="00FF17B6" w:rsidRPr="005C3B2B" w:rsidRDefault="00FF17B6" w:rsidP="00C6168E">
            <w:pPr>
              <w:pStyle w:val="Tabletext1"/>
              <w:keepNext/>
              <w:keepLines/>
              <w:rPr>
                <w:b/>
                <w:snapToGrid w:val="0"/>
              </w:rPr>
            </w:pPr>
            <w:r w:rsidRPr="005C3B2B">
              <w:rPr>
                <w:b/>
                <w:snapToGrid w:val="0"/>
              </w:rPr>
              <w:t>Head and neck</w:t>
            </w:r>
          </w:p>
        </w:tc>
        <w:tc>
          <w:tcPr>
            <w:tcW w:w="562" w:type="pct"/>
            <w:tcBorders>
              <w:top w:val="single" w:sz="4" w:space="0" w:color="auto"/>
              <w:left w:val="nil"/>
              <w:bottom w:val="single" w:sz="4" w:space="0" w:color="auto"/>
              <w:right w:val="nil"/>
            </w:tcBorders>
            <w:shd w:val="clear" w:color="auto" w:fill="auto"/>
            <w:vAlign w:val="center"/>
          </w:tcPr>
          <w:p w14:paraId="385C8795" w14:textId="77777777" w:rsidR="00FF17B6" w:rsidRPr="005C3B2B" w:rsidRDefault="00FF17B6" w:rsidP="00C6168E">
            <w:pPr>
              <w:pStyle w:val="Tabletext1"/>
              <w:keepNext/>
              <w:keepLines/>
              <w:jc w:val="center"/>
              <w:rPr>
                <w:b/>
                <w:bCs/>
              </w:rPr>
            </w:pPr>
          </w:p>
        </w:tc>
        <w:tc>
          <w:tcPr>
            <w:tcW w:w="1088" w:type="pct"/>
            <w:tcBorders>
              <w:top w:val="single" w:sz="4" w:space="0" w:color="auto"/>
              <w:left w:val="nil"/>
              <w:bottom w:val="single" w:sz="4" w:space="0" w:color="auto"/>
              <w:right w:val="nil"/>
            </w:tcBorders>
            <w:shd w:val="clear" w:color="auto" w:fill="auto"/>
            <w:vAlign w:val="center"/>
          </w:tcPr>
          <w:p w14:paraId="50CA2BEE" w14:textId="77777777" w:rsidR="00FF17B6" w:rsidRDefault="00FF17B6" w:rsidP="00C6168E">
            <w:pPr>
              <w:pStyle w:val="Tabletext1"/>
              <w:keepNext/>
              <w:keepLines/>
              <w:jc w:val="center"/>
              <w:rPr>
                <w:snapToGrid w:val="0"/>
              </w:rPr>
            </w:pPr>
          </w:p>
        </w:tc>
        <w:tc>
          <w:tcPr>
            <w:tcW w:w="770" w:type="pct"/>
            <w:tcBorders>
              <w:top w:val="single" w:sz="4" w:space="0" w:color="auto"/>
              <w:left w:val="nil"/>
              <w:bottom w:val="single" w:sz="4" w:space="0" w:color="auto"/>
              <w:right w:val="nil"/>
            </w:tcBorders>
            <w:shd w:val="clear" w:color="auto" w:fill="auto"/>
            <w:vAlign w:val="center"/>
          </w:tcPr>
          <w:p w14:paraId="77042A44" w14:textId="77777777" w:rsidR="00FF17B6" w:rsidRDefault="00FF17B6" w:rsidP="00C6168E">
            <w:pPr>
              <w:pStyle w:val="Tabletext1"/>
              <w:keepNext/>
              <w:keepLines/>
              <w:jc w:val="center"/>
              <w:rPr>
                <w:snapToGrid w:val="0"/>
              </w:rPr>
            </w:pPr>
          </w:p>
        </w:tc>
        <w:tc>
          <w:tcPr>
            <w:tcW w:w="835" w:type="pct"/>
            <w:tcBorders>
              <w:top w:val="single" w:sz="4" w:space="0" w:color="auto"/>
              <w:left w:val="nil"/>
              <w:bottom w:val="single" w:sz="4" w:space="0" w:color="auto"/>
              <w:right w:val="nil"/>
            </w:tcBorders>
            <w:shd w:val="clear" w:color="auto" w:fill="auto"/>
            <w:vAlign w:val="center"/>
          </w:tcPr>
          <w:p w14:paraId="75D6669D" w14:textId="77777777" w:rsidR="00FF17B6" w:rsidRDefault="00FF17B6" w:rsidP="00C6168E">
            <w:pPr>
              <w:pStyle w:val="Tabletext1"/>
              <w:keepNext/>
              <w:keepLines/>
              <w:jc w:val="center"/>
              <w:rPr>
                <w:snapToGrid w:val="0"/>
              </w:rPr>
            </w:pPr>
          </w:p>
        </w:tc>
        <w:tc>
          <w:tcPr>
            <w:tcW w:w="637" w:type="pct"/>
            <w:tcBorders>
              <w:top w:val="single" w:sz="4" w:space="0" w:color="auto"/>
              <w:left w:val="nil"/>
              <w:bottom w:val="single" w:sz="4" w:space="0" w:color="auto"/>
              <w:right w:val="nil"/>
            </w:tcBorders>
            <w:shd w:val="clear" w:color="auto" w:fill="auto"/>
            <w:vAlign w:val="center"/>
          </w:tcPr>
          <w:p w14:paraId="3D2B953D" w14:textId="77777777" w:rsidR="00FF17B6" w:rsidRDefault="00FF17B6" w:rsidP="00C6168E">
            <w:pPr>
              <w:pStyle w:val="Tabletext1"/>
              <w:keepNext/>
              <w:keepLines/>
              <w:jc w:val="center"/>
              <w:rPr>
                <w:snapToGrid w:val="0"/>
              </w:rPr>
            </w:pPr>
          </w:p>
        </w:tc>
        <w:tc>
          <w:tcPr>
            <w:tcW w:w="456" w:type="pct"/>
            <w:tcBorders>
              <w:top w:val="single" w:sz="4" w:space="0" w:color="auto"/>
              <w:left w:val="nil"/>
              <w:bottom w:val="single" w:sz="4" w:space="0" w:color="auto"/>
              <w:right w:val="single" w:sz="4" w:space="0" w:color="auto"/>
            </w:tcBorders>
            <w:shd w:val="clear" w:color="auto" w:fill="auto"/>
            <w:vAlign w:val="center"/>
          </w:tcPr>
          <w:p w14:paraId="4C0916E8" w14:textId="77777777" w:rsidR="00FF17B6" w:rsidRDefault="00FF17B6" w:rsidP="00C6168E">
            <w:pPr>
              <w:pStyle w:val="Tabletext1"/>
              <w:keepNext/>
              <w:keepLines/>
              <w:jc w:val="center"/>
              <w:rPr>
                <w:snapToGrid w:val="0"/>
              </w:rPr>
            </w:pPr>
          </w:p>
        </w:tc>
      </w:tr>
      <w:tr w:rsidR="008B6FC0" w:rsidRPr="00CE45B9" w14:paraId="6DF37758" w14:textId="77777777" w:rsidTr="001F64FE">
        <w:trPr>
          <w:cantSplit/>
        </w:trPr>
        <w:tc>
          <w:tcPr>
            <w:tcW w:w="652" w:type="pct"/>
            <w:tcBorders>
              <w:top w:val="single" w:sz="4" w:space="0" w:color="auto"/>
            </w:tcBorders>
            <w:shd w:val="clear" w:color="auto" w:fill="auto"/>
          </w:tcPr>
          <w:p w14:paraId="221F3EA1" w14:textId="226E36DD" w:rsidR="000C2935" w:rsidRPr="005C3B2B" w:rsidRDefault="00211285" w:rsidP="00C6168E">
            <w:pPr>
              <w:pStyle w:val="Tabletext1"/>
              <w:keepNext/>
              <w:keepLines/>
            </w:pPr>
            <w:hyperlink w:anchor="_ENREF_55" w:tooltip="Navran, 2019 #62" w:history="1">
              <w:r w:rsidR="008B6FC0">
                <w:fldChar w:fldCharType="begin"/>
              </w:r>
              <w:r w:rsidR="008B6FC0">
                <w:instrText xml:space="preserve"> ADDIN EN.CITE &lt;EndNote&gt;&lt;Cite AuthorYear="1"&gt;&lt;Author&gt;Navran&lt;/Author&gt;&lt;Year&gt;2019&lt;/Year&gt;&lt;RecNum&gt;62&lt;/RecNum&gt;&lt;DisplayText&gt;Navran et al. (2019)&lt;/DisplayText&gt;&lt;record&gt;&lt;rec-number&gt;62&lt;/rec-number&gt;&lt;foreign-keys&gt;&lt;key app="EN" db-id="sx5wsdwv795wvue959xxw0ptaewvdezxxp05" timestamp="1604876396"&gt;62&lt;/key&gt;&lt;/foreign-keys&gt;&lt;ref-type name="Journal Article"&gt;17&lt;/ref-type&gt;&lt;contributors&gt;&lt;authors&gt;&lt;author&gt;Navran, A.&lt;/author&gt;&lt;author&gt;Heemsbergen, W.&lt;/author&gt;&lt;author&gt;Janssen, T.&lt;/author&gt;&lt;author&gt;Hamming-Vrieze, O.&lt;/author&gt;&lt;author&gt;Jonker, M.&lt;/author&gt;&lt;author&gt;Zuur, C.&lt;/author&gt;&lt;author&gt;Verheij, M.&lt;/author&gt;&lt;author&gt;Remeijer, P.&lt;/author&gt;&lt;author&gt;Sonke, J. J.&lt;/author&gt;&lt;author&gt;van den Brekel, M.&lt;/author&gt;&lt;author&gt;Al-Mamgani, A.&lt;/author&gt;&lt;/authors&gt;&lt;/contributors&gt;&lt;titles&gt;&lt;title&gt;The impact of margin reduction on outcome and toxicity in head and neck cancer patients treated with image-guided volumetric modulated arc therapy (VMAT)&lt;/title&gt;&lt;secondary-title&gt;Radiother Oncol&lt;/secondary-title&gt;&lt;/titles&gt;&lt;pages&gt;25-31&lt;/pages&gt;&lt;volume&gt;130&lt;/volume&gt;&lt;dates&gt;&lt;year&gt;2019&lt;/year&gt;&lt;/dates&gt;&lt;accession-num&gt;30005953&lt;/accession-num&gt;&lt;urls&gt;&lt;related-urls&gt;&lt;url&gt;http://ezproxy.library.usyd.edu.au/login?url=http://ovidsp.ovid.com/ovidweb.cgi?T=JS&amp;amp;CSC=Y&amp;amp;NEWS=N&amp;amp;PAGE=fulltext&amp;amp;D=medl&amp;amp;AN=30005953https://sydney.alma.exlibrisgroup.com/openurl/61USYD_INST/61USYD_INST:sydney?sid=OVID:medline&amp;amp;id=pmid:30005953&amp;amp;id=doi:10.1016&lt;/url&gt;&lt;/related-urls&gt;&lt;/urls&gt;&lt;electronic-resource-num&gt;https://dx.doi.org/10.1016/j.radonc.2018.06.032&lt;/electronic-resource-num&gt;&lt;/record&gt;&lt;/Cite&gt;&lt;/EndNote&gt;</w:instrText>
              </w:r>
              <w:r w:rsidR="008B6FC0">
                <w:fldChar w:fldCharType="separate"/>
              </w:r>
              <w:r w:rsidR="008B6FC0">
                <w:rPr>
                  <w:noProof/>
                </w:rPr>
                <w:t>Navran et al. (2019)</w:t>
              </w:r>
              <w:r w:rsidR="008B6FC0">
                <w:fldChar w:fldCharType="end"/>
              </w:r>
            </w:hyperlink>
          </w:p>
        </w:tc>
        <w:tc>
          <w:tcPr>
            <w:tcW w:w="562" w:type="pct"/>
            <w:tcBorders>
              <w:top w:val="single" w:sz="4" w:space="0" w:color="auto"/>
            </w:tcBorders>
            <w:shd w:val="clear" w:color="auto" w:fill="auto"/>
          </w:tcPr>
          <w:p w14:paraId="23B2741E" w14:textId="445C6243" w:rsidR="000C2935" w:rsidRDefault="000C2935" w:rsidP="00C6168E">
            <w:pPr>
              <w:pStyle w:val="Tabletext1"/>
              <w:keepNext/>
              <w:keepLines/>
              <w:jc w:val="center"/>
              <w:rPr>
                <w:snapToGrid w:val="0"/>
              </w:rPr>
            </w:pPr>
            <w:r w:rsidRPr="005C3B2B">
              <w:t>414</w:t>
            </w:r>
          </w:p>
        </w:tc>
        <w:tc>
          <w:tcPr>
            <w:tcW w:w="1088" w:type="pct"/>
            <w:tcBorders>
              <w:top w:val="single" w:sz="4" w:space="0" w:color="auto"/>
            </w:tcBorders>
            <w:shd w:val="clear" w:color="auto" w:fill="auto"/>
          </w:tcPr>
          <w:p w14:paraId="101D5D45" w14:textId="05128860" w:rsidR="000C2935" w:rsidRDefault="00B11854" w:rsidP="00C6168E">
            <w:pPr>
              <w:pStyle w:val="Tabletext1"/>
              <w:keepNext/>
              <w:keepLines/>
              <w:jc w:val="center"/>
              <w:rPr>
                <w:snapToGrid w:val="0"/>
              </w:rPr>
            </w:pPr>
            <w:r w:rsidRPr="005C3B2B">
              <w:t>Consecutive Coh, comparative (b</w:t>
            </w:r>
            <w:r w:rsidR="001E750F" w:rsidRPr="005C3B2B">
              <w:t>efore</w:t>
            </w:r>
            <w:r w:rsidR="000C2935" w:rsidRPr="005C3B2B">
              <w:t>-after</w:t>
            </w:r>
            <w:r w:rsidRPr="005C3B2B">
              <w:t xml:space="preserve">, </w:t>
            </w:r>
            <w:r w:rsidR="000C2935" w:rsidRPr="005C3B2B">
              <w:t xml:space="preserve"> CTV-PTV margin 5mm vs 3 mm</w:t>
            </w:r>
            <w:r w:rsidR="005F7A49" w:rsidRPr="005C3B2B">
              <w:t>)</w:t>
            </w:r>
          </w:p>
        </w:tc>
        <w:tc>
          <w:tcPr>
            <w:tcW w:w="770" w:type="pct"/>
            <w:tcBorders>
              <w:top w:val="single" w:sz="4" w:space="0" w:color="auto"/>
            </w:tcBorders>
            <w:shd w:val="clear" w:color="auto" w:fill="auto"/>
          </w:tcPr>
          <w:p w14:paraId="518FE6A6" w14:textId="174D9AA3" w:rsidR="000C2935" w:rsidRDefault="000C2935" w:rsidP="00C6168E">
            <w:pPr>
              <w:pStyle w:val="Tabletext1"/>
              <w:keepNext/>
              <w:keepLines/>
              <w:jc w:val="center"/>
              <w:rPr>
                <w:snapToGrid w:val="0"/>
              </w:rPr>
            </w:pPr>
            <w:r w:rsidRPr="005C3B2B">
              <w:t>VMAT</w:t>
            </w:r>
          </w:p>
        </w:tc>
        <w:tc>
          <w:tcPr>
            <w:tcW w:w="835" w:type="pct"/>
            <w:tcBorders>
              <w:top w:val="single" w:sz="4" w:space="0" w:color="auto"/>
            </w:tcBorders>
            <w:shd w:val="clear" w:color="auto" w:fill="auto"/>
          </w:tcPr>
          <w:p w14:paraId="18904C31" w14:textId="050E3CEE" w:rsidR="000C2935" w:rsidRDefault="000C2935" w:rsidP="00C6168E">
            <w:pPr>
              <w:pStyle w:val="Tabletext1"/>
              <w:keepNext/>
              <w:keepLines/>
              <w:jc w:val="center"/>
              <w:rPr>
                <w:snapToGrid w:val="0"/>
              </w:rPr>
            </w:pPr>
            <w:r w:rsidRPr="005C3B2B">
              <w:t>Head and neck</w:t>
            </w:r>
            <w:r w:rsidR="005F7A49" w:rsidRPr="005C3B2B">
              <w:t xml:space="preserve"> cancer</w:t>
            </w:r>
          </w:p>
        </w:tc>
        <w:tc>
          <w:tcPr>
            <w:tcW w:w="637" w:type="pct"/>
            <w:tcBorders>
              <w:top w:val="single" w:sz="4" w:space="0" w:color="auto"/>
            </w:tcBorders>
            <w:shd w:val="clear" w:color="auto" w:fill="auto"/>
          </w:tcPr>
          <w:p w14:paraId="56DF8592" w14:textId="77777777" w:rsidR="000C2935" w:rsidRDefault="000C2935" w:rsidP="00C6168E">
            <w:pPr>
              <w:pStyle w:val="Tabletext1"/>
              <w:keepNext/>
              <w:keepLines/>
              <w:jc w:val="center"/>
              <w:rPr>
                <w:snapToGrid w:val="0"/>
              </w:rPr>
            </w:pPr>
            <w:r>
              <w:rPr>
                <w:snapToGrid w:val="0"/>
              </w:rPr>
              <w:t>Toxicity</w:t>
            </w:r>
          </w:p>
          <w:p w14:paraId="25D76FA9" w14:textId="77777777" w:rsidR="00007E0E" w:rsidRDefault="00007E0E" w:rsidP="00C6168E">
            <w:pPr>
              <w:pStyle w:val="Tabletext1"/>
              <w:keepNext/>
              <w:keepLines/>
              <w:jc w:val="center"/>
              <w:rPr>
                <w:snapToGrid w:val="0"/>
              </w:rPr>
            </w:pPr>
            <w:r>
              <w:rPr>
                <w:snapToGrid w:val="0"/>
              </w:rPr>
              <w:t>OS</w:t>
            </w:r>
          </w:p>
          <w:p w14:paraId="73FC8467" w14:textId="77777777" w:rsidR="00007E0E" w:rsidRDefault="00007E0E" w:rsidP="00C6168E">
            <w:pPr>
              <w:pStyle w:val="Tabletext1"/>
              <w:keepNext/>
              <w:keepLines/>
              <w:jc w:val="center"/>
              <w:rPr>
                <w:snapToGrid w:val="0"/>
              </w:rPr>
            </w:pPr>
            <w:r>
              <w:rPr>
                <w:snapToGrid w:val="0"/>
              </w:rPr>
              <w:t>DFS</w:t>
            </w:r>
          </w:p>
          <w:p w14:paraId="72C7BE20" w14:textId="28DE2EBF" w:rsidR="00007E0E" w:rsidRDefault="00007E0E" w:rsidP="00C6168E">
            <w:pPr>
              <w:pStyle w:val="Tabletext1"/>
              <w:keepNext/>
              <w:keepLines/>
              <w:jc w:val="center"/>
              <w:rPr>
                <w:snapToGrid w:val="0"/>
              </w:rPr>
            </w:pPr>
            <w:r>
              <w:rPr>
                <w:snapToGrid w:val="0"/>
              </w:rPr>
              <w:t>LC</w:t>
            </w:r>
          </w:p>
        </w:tc>
        <w:tc>
          <w:tcPr>
            <w:tcW w:w="456" w:type="pct"/>
            <w:tcBorders>
              <w:top w:val="single" w:sz="4" w:space="0" w:color="auto"/>
            </w:tcBorders>
            <w:shd w:val="clear" w:color="auto" w:fill="auto"/>
          </w:tcPr>
          <w:p w14:paraId="73D5D905" w14:textId="217ACB47" w:rsidR="000C2935" w:rsidRDefault="000C2935" w:rsidP="00C6168E">
            <w:pPr>
              <w:pStyle w:val="Tabletext1"/>
              <w:keepNext/>
              <w:keepLines/>
              <w:jc w:val="center"/>
              <w:rPr>
                <w:snapToGrid w:val="0"/>
              </w:rPr>
            </w:pPr>
            <w:r w:rsidRPr="0085503A">
              <w:rPr>
                <w:snapToGrid w:val="0"/>
              </w:rPr>
              <w:t>Not used</w:t>
            </w:r>
          </w:p>
        </w:tc>
      </w:tr>
    </w:tbl>
    <w:p w14:paraId="5313C20C" w14:textId="6C1E3DC9" w:rsidR="0071475D" w:rsidRPr="00CE45B9" w:rsidRDefault="005B6F83" w:rsidP="00C6168E">
      <w:pPr>
        <w:pStyle w:val="TFAbbrevs0"/>
        <w:spacing w:before="0"/>
        <w:rPr>
          <w:rStyle w:val="TablenotesChar0"/>
        </w:rPr>
      </w:pPr>
      <w:r>
        <w:rPr>
          <w:rStyle w:val="TablenotesChar0"/>
        </w:rPr>
        <w:t>3D-CRT</w:t>
      </w:r>
      <w:r w:rsidR="00263F24">
        <w:rPr>
          <w:rStyle w:val="TablenotesChar0"/>
        </w:rPr>
        <w:t>=</w:t>
      </w:r>
      <w:r w:rsidR="00E037CE">
        <w:rPr>
          <w:rStyle w:val="TablenotesChar0"/>
        </w:rPr>
        <w:t xml:space="preserve">3-dimensional conformal radiation therapy; </w:t>
      </w:r>
      <w:r w:rsidR="004943F9">
        <w:rPr>
          <w:rStyle w:val="TablenotesChar0"/>
        </w:rPr>
        <w:t>BCLC</w:t>
      </w:r>
      <w:r w:rsidR="00263F24">
        <w:rPr>
          <w:rStyle w:val="TablenotesChar0"/>
        </w:rPr>
        <w:t>=</w:t>
      </w:r>
      <w:r w:rsidR="004943F9">
        <w:rPr>
          <w:rStyle w:val="TablenotesChar0"/>
        </w:rPr>
        <w:t xml:space="preserve">Barcelona </w:t>
      </w:r>
      <w:r w:rsidR="00344DEE">
        <w:rPr>
          <w:rStyle w:val="TablenotesChar0"/>
        </w:rPr>
        <w:t xml:space="preserve">Clinic Liver Cancer; </w:t>
      </w:r>
      <w:r w:rsidR="00657CA3">
        <w:rPr>
          <w:rStyle w:val="TablenotesChar0"/>
        </w:rPr>
        <w:t>BRT</w:t>
      </w:r>
      <w:r w:rsidR="00263F24">
        <w:rPr>
          <w:rStyle w:val="TablenotesChar0"/>
        </w:rPr>
        <w:t>=</w:t>
      </w:r>
      <w:r w:rsidR="00657CA3">
        <w:rPr>
          <w:rStyle w:val="TablenotesChar0"/>
        </w:rPr>
        <w:t xml:space="preserve">brachytherapy; </w:t>
      </w:r>
      <w:r w:rsidR="00987325">
        <w:rPr>
          <w:rStyle w:val="TablenotesChar0"/>
        </w:rPr>
        <w:t>CBCT</w:t>
      </w:r>
      <w:r w:rsidR="00263F24">
        <w:rPr>
          <w:rStyle w:val="TablenotesChar0"/>
        </w:rPr>
        <w:t>=</w:t>
      </w:r>
      <w:r w:rsidR="00987325">
        <w:rPr>
          <w:rStyle w:val="TablenotesChar0"/>
        </w:rPr>
        <w:t xml:space="preserve">cone-beam computed tomography; </w:t>
      </w:r>
      <w:r w:rsidR="0071475D" w:rsidRPr="00CE45B9">
        <w:rPr>
          <w:rStyle w:val="TablenotesChar0"/>
        </w:rPr>
        <w:t>Coh</w:t>
      </w:r>
      <w:r w:rsidR="00263F24">
        <w:rPr>
          <w:rStyle w:val="TablenotesChar0"/>
        </w:rPr>
        <w:t>=</w:t>
      </w:r>
      <w:r w:rsidR="0071475D" w:rsidRPr="00CE45B9">
        <w:rPr>
          <w:rStyle w:val="TablenotesChar0"/>
        </w:rPr>
        <w:t>cohort; CS</w:t>
      </w:r>
      <w:r w:rsidR="00263F24">
        <w:rPr>
          <w:rStyle w:val="TablenotesChar0"/>
        </w:rPr>
        <w:t>=</w:t>
      </w:r>
      <w:r w:rsidR="0071475D" w:rsidRPr="00CE45B9">
        <w:rPr>
          <w:rStyle w:val="TablenotesChar0"/>
        </w:rPr>
        <w:t>case series;</w:t>
      </w:r>
      <w:r w:rsidR="004F3FFF">
        <w:rPr>
          <w:rStyle w:val="TablenotesChar0"/>
        </w:rPr>
        <w:t xml:space="preserve"> CSS</w:t>
      </w:r>
      <w:r w:rsidR="00263F24">
        <w:rPr>
          <w:rStyle w:val="TablenotesChar0"/>
        </w:rPr>
        <w:t>=</w:t>
      </w:r>
      <w:r w:rsidR="004F3FFF">
        <w:rPr>
          <w:rStyle w:val="TablenotesChar0"/>
        </w:rPr>
        <w:t>cancer-specific survival;</w:t>
      </w:r>
      <w:r w:rsidR="008E193E">
        <w:rPr>
          <w:rStyle w:val="TablenotesChar0"/>
        </w:rPr>
        <w:t xml:space="preserve"> DE</w:t>
      </w:r>
      <w:r w:rsidR="00263F24">
        <w:rPr>
          <w:rStyle w:val="TablenotesChar0"/>
        </w:rPr>
        <w:t>=</w:t>
      </w:r>
      <w:r w:rsidR="008E193E">
        <w:rPr>
          <w:rStyle w:val="TablenotesChar0"/>
        </w:rPr>
        <w:t>dose-escalated;</w:t>
      </w:r>
      <w:r w:rsidR="0071475D" w:rsidRPr="00CE45B9">
        <w:rPr>
          <w:rStyle w:val="TablenotesChar0"/>
        </w:rPr>
        <w:t xml:space="preserve"> </w:t>
      </w:r>
      <w:r w:rsidR="0071475D">
        <w:rPr>
          <w:rStyle w:val="TablenotesChar0"/>
        </w:rPr>
        <w:t>DFS</w:t>
      </w:r>
      <w:r w:rsidR="00263F24">
        <w:rPr>
          <w:rStyle w:val="TablenotesChar0"/>
        </w:rPr>
        <w:t>=</w:t>
      </w:r>
      <w:r w:rsidR="0071475D">
        <w:rPr>
          <w:rStyle w:val="TablenotesChar0"/>
        </w:rPr>
        <w:t xml:space="preserve">disease-free survival; </w:t>
      </w:r>
      <w:r w:rsidR="005D57FA">
        <w:rPr>
          <w:rStyle w:val="TablenotesChar0"/>
        </w:rPr>
        <w:t>EPID</w:t>
      </w:r>
      <w:r w:rsidR="00263F24">
        <w:rPr>
          <w:rStyle w:val="TablenotesChar0"/>
        </w:rPr>
        <w:t>=</w:t>
      </w:r>
      <w:r w:rsidR="005D57FA">
        <w:rPr>
          <w:rStyle w:val="TablenotesChar0"/>
        </w:rPr>
        <w:t xml:space="preserve">electronic portal imaging device; </w:t>
      </w:r>
      <w:r w:rsidR="004943F9">
        <w:rPr>
          <w:rStyle w:val="TablenotesChar0"/>
        </w:rPr>
        <w:t xml:space="preserve">HCC=hepatocellular carcinoma; </w:t>
      </w:r>
      <w:r w:rsidR="00E037CE">
        <w:rPr>
          <w:rStyle w:val="TablenotesChar0"/>
        </w:rPr>
        <w:t>IGRT</w:t>
      </w:r>
      <w:r w:rsidR="00263F24">
        <w:rPr>
          <w:rStyle w:val="TablenotesChar0"/>
        </w:rPr>
        <w:t>=</w:t>
      </w:r>
      <w:r w:rsidR="00E037CE">
        <w:rPr>
          <w:rStyle w:val="TablenotesChar0"/>
        </w:rPr>
        <w:t xml:space="preserve">image-guided radiation therapy; </w:t>
      </w:r>
      <w:r w:rsidR="006814F3">
        <w:rPr>
          <w:rStyle w:val="TablenotesChar0"/>
        </w:rPr>
        <w:t>IMRT</w:t>
      </w:r>
      <w:r w:rsidR="00263F24">
        <w:rPr>
          <w:rStyle w:val="TablenotesChar0"/>
        </w:rPr>
        <w:t>=</w:t>
      </w:r>
      <w:r w:rsidR="006814F3">
        <w:rPr>
          <w:rStyle w:val="TablenotesChar0"/>
        </w:rPr>
        <w:t xml:space="preserve">image modulated radiation therapy; </w:t>
      </w:r>
      <w:r w:rsidR="00120FC4">
        <w:rPr>
          <w:rStyle w:val="TablenotesChar0"/>
        </w:rPr>
        <w:t>LC</w:t>
      </w:r>
      <w:r w:rsidR="00263F24">
        <w:rPr>
          <w:rStyle w:val="TablenotesChar0"/>
        </w:rPr>
        <w:t>=</w:t>
      </w:r>
      <w:r w:rsidR="00120FC4">
        <w:rPr>
          <w:rStyle w:val="TablenotesChar0"/>
        </w:rPr>
        <w:t xml:space="preserve">local control; </w:t>
      </w:r>
      <w:r w:rsidR="0071475D">
        <w:rPr>
          <w:rStyle w:val="TablenotesChar0"/>
        </w:rPr>
        <w:t>MR-IGRT</w:t>
      </w:r>
      <w:r w:rsidR="00263F24">
        <w:rPr>
          <w:rStyle w:val="TablenotesChar0"/>
        </w:rPr>
        <w:t>=</w:t>
      </w:r>
      <w:r w:rsidR="0071475D">
        <w:rPr>
          <w:rStyle w:val="TablenotesChar0"/>
        </w:rPr>
        <w:t>magnetic resonance image guided radiation therapy; NA</w:t>
      </w:r>
      <w:r w:rsidR="00263F24">
        <w:rPr>
          <w:rStyle w:val="TablenotesChar0"/>
        </w:rPr>
        <w:t>=</w:t>
      </w:r>
      <w:r w:rsidR="0071475D">
        <w:rPr>
          <w:rStyle w:val="TablenotesChar0"/>
        </w:rPr>
        <w:t xml:space="preserve">not assessed; </w:t>
      </w:r>
      <w:r w:rsidR="003533A0">
        <w:rPr>
          <w:rStyle w:val="TablenotesChar0"/>
        </w:rPr>
        <w:t>NSCLC</w:t>
      </w:r>
      <w:r w:rsidR="00263F24">
        <w:rPr>
          <w:rStyle w:val="TablenotesChar0"/>
        </w:rPr>
        <w:t>=</w:t>
      </w:r>
      <w:r w:rsidR="003533A0">
        <w:rPr>
          <w:rStyle w:val="TablenotesChar0"/>
        </w:rPr>
        <w:t xml:space="preserve">non-small cell lung cancer; </w:t>
      </w:r>
      <w:r w:rsidR="0071475D">
        <w:rPr>
          <w:rStyle w:val="TablenotesChar0"/>
        </w:rPr>
        <w:t>OS</w:t>
      </w:r>
      <w:r w:rsidR="00263F24">
        <w:rPr>
          <w:rStyle w:val="TablenotesChar0"/>
        </w:rPr>
        <w:t>=</w:t>
      </w:r>
      <w:r w:rsidR="0071475D">
        <w:rPr>
          <w:rStyle w:val="TablenotesChar0"/>
        </w:rPr>
        <w:t xml:space="preserve">overall survival; </w:t>
      </w:r>
      <w:r w:rsidR="008E2D2C">
        <w:rPr>
          <w:rStyle w:val="TablenotesChar0"/>
        </w:rPr>
        <w:t>PFS</w:t>
      </w:r>
      <w:r w:rsidR="00263F24">
        <w:rPr>
          <w:rStyle w:val="TablenotesChar0"/>
        </w:rPr>
        <w:t>=</w:t>
      </w:r>
      <w:r w:rsidR="008E2D2C">
        <w:rPr>
          <w:rStyle w:val="TablenotesChar0"/>
        </w:rPr>
        <w:t xml:space="preserve">progression-free survival; </w:t>
      </w:r>
      <w:r w:rsidR="00D83930">
        <w:rPr>
          <w:rStyle w:val="TablenotesChar0"/>
        </w:rPr>
        <w:t>PORT</w:t>
      </w:r>
      <w:r w:rsidR="00263F24">
        <w:rPr>
          <w:rStyle w:val="TablenotesChar0"/>
        </w:rPr>
        <w:t>=</w:t>
      </w:r>
      <w:r w:rsidR="00D83930">
        <w:rPr>
          <w:rStyle w:val="TablenotesChar0"/>
        </w:rPr>
        <w:t xml:space="preserve">prostate-only radiotherapy; </w:t>
      </w:r>
      <w:r w:rsidR="00BE51C5">
        <w:rPr>
          <w:rStyle w:val="TablenotesChar0"/>
        </w:rPr>
        <w:t>PSM</w:t>
      </w:r>
      <w:r w:rsidR="00263F24">
        <w:rPr>
          <w:rStyle w:val="TablenotesChar0"/>
        </w:rPr>
        <w:t>=</w:t>
      </w:r>
      <w:r w:rsidR="00BE51C5">
        <w:rPr>
          <w:rStyle w:val="TablenotesChar0"/>
        </w:rPr>
        <w:t xml:space="preserve">propensity score matching; </w:t>
      </w:r>
      <w:r w:rsidR="00657CA3">
        <w:rPr>
          <w:rStyle w:val="TablenotesChar0"/>
        </w:rPr>
        <w:t>RCT</w:t>
      </w:r>
      <w:r w:rsidR="00263F24">
        <w:rPr>
          <w:rStyle w:val="TablenotesChar0"/>
        </w:rPr>
        <w:t>=</w:t>
      </w:r>
      <w:r w:rsidR="00657CA3">
        <w:rPr>
          <w:rStyle w:val="TablenotesChar0"/>
        </w:rPr>
        <w:t xml:space="preserve">randomised controlled trial; </w:t>
      </w:r>
      <w:r w:rsidR="00BE51C5">
        <w:rPr>
          <w:rStyle w:val="TablenotesChar0"/>
        </w:rPr>
        <w:t>RFA</w:t>
      </w:r>
      <w:r w:rsidR="00263F24">
        <w:rPr>
          <w:rStyle w:val="TablenotesChar0"/>
        </w:rPr>
        <w:t>=</w:t>
      </w:r>
      <w:r w:rsidR="00BE51C5">
        <w:rPr>
          <w:rStyle w:val="TablenotesChar0"/>
        </w:rPr>
        <w:t>radiofrequency ablation</w:t>
      </w:r>
      <w:r w:rsidR="00657CA3">
        <w:rPr>
          <w:rStyle w:val="TablenotesChar0"/>
        </w:rPr>
        <w:t xml:space="preserve">; </w:t>
      </w:r>
      <w:r w:rsidR="005B5EBC">
        <w:rPr>
          <w:rStyle w:val="TablenotesChar0"/>
        </w:rPr>
        <w:t>RP</w:t>
      </w:r>
      <w:r w:rsidR="00263F24">
        <w:rPr>
          <w:rStyle w:val="TablenotesChar0"/>
        </w:rPr>
        <w:t>=</w:t>
      </w:r>
      <w:r w:rsidR="005B5EBC">
        <w:rPr>
          <w:rStyle w:val="TablenotesChar0"/>
        </w:rPr>
        <w:t xml:space="preserve">radical prostatectomy; </w:t>
      </w:r>
      <w:r w:rsidR="006814F3">
        <w:rPr>
          <w:rStyle w:val="TablenotesChar0"/>
        </w:rPr>
        <w:t>SA</w:t>
      </w:r>
      <w:r w:rsidR="00263F24">
        <w:rPr>
          <w:rStyle w:val="TablenotesChar0"/>
        </w:rPr>
        <w:t>=</w:t>
      </w:r>
      <w:r w:rsidR="006814F3">
        <w:rPr>
          <w:rStyle w:val="TablenotesChar0"/>
        </w:rPr>
        <w:t xml:space="preserve">single-arm; </w:t>
      </w:r>
      <w:r w:rsidR="00993851">
        <w:rPr>
          <w:rStyle w:val="TablenotesChar0"/>
        </w:rPr>
        <w:t>SABR</w:t>
      </w:r>
      <w:r w:rsidR="00263F24">
        <w:rPr>
          <w:rStyle w:val="TablenotesChar0"/>
        </w:rPr>
        <w:t>=</w:t>
      </w:r>
      <w:r w:rsidR="00993851">
        <w:rPr>
          <w:rStyle w:val="TablenotesChar0"/>
        </w:rPr>
        <w:t xml:space="preserve">stereotactic ablative </w:t>
      </w:r>
      <w:r w:rsidR="00BF7EDE">
        <w:rPr>
          <w:rStyle w:val="TablenotesChar0"/>
        </w:rPr>
        <w:t xml:space="preserve">radiotherapy; </w:t>
      </w:r>
      <w:r w:rsidR="0071475D">
        <w:rPr>
          <w:rStyle w:val="TablenotesChar0"/>
        </w:rPr>
        <w:t>SBRT</w:t>
      </w:r>
      <w:r w:rsidR="00263F24">
        <w:rPr>
          <w:rStyle w:val="TablenotesChar0"/>
        </w:rPr>
        <w:t>=</w:t>
      </w:r>
      <w:r w:rsidR="0071475D">
        <w:rPr>
          <w:rStyle w:val="TablenotesChar0"/>
        </w:rPr>
        <w:t xml:space="preserve">stereotactic body radiation therapy; </w:t>
      </w:r>
      <w:r w:rsidR="003533A0">
        <w:rPr>
          <w:rStyle w:val="TablenotesChar0"/>
        </w:rPr>
        <w:t>SCLC</w:t>
      </w:r>
      <w:r w:rsidR="00263F24">
        <w:rPr>
          <w:rStyle w:val="TablenotesChar0"/>
        </w:rPr>
        <w:t>=</w:t>
      </w:r>
      <w:r w:rsidR="003533A0">
        <w:rPr>
          <w:rStyle w:val="TablenotesChar0"/>
        </w:rPr>
        <w:t xml:space="preserve">small-cell lung cancer; </w:t>
      </w:r>
      <w:r w:rsidR="005A59B4">
        <w:rPr>
          <w:rStyle w:val="TablenotesChar0"/>
        </w:rPr>
        <w:t>SIB</w:t>
      </w:r>
      <w:r w:rsidR="00263F24">
        <w:rPr>
          <w:rStyle w:val="TablenotesChar0"/>
        </w:rPr>
        <w:t>=</w:t>
      </w:r>
      <w:r w:rsidR="005A59B4">
        <w:rPr>
          <w:rStyle w:val="TablenotesChar0"/>
        </w:rPr>
        <w:t>simu</w:t>
      </w:r>
      <w:r w:rsidR="009A6B66">
        <w:rPr>
          <w:rStyle w:val="TablenotesChar0"/>
        </w:rPr>
        <w:t xml:space="preserve">ltaneous integrated boost; </w:t>
      </w:r>
      <w:r w:rsidR="00EA5563">
        <w:rPr>
          <w:rStyle w:val="TablenotesChar0"/>
        </w:rPr>
        <w:t>QoL</w:t>
      </w:r>
      <w:r w:rsidR="00263F24">
        <w:rPr>
          <w:rStyle w:val="TablenotesChar0"/>
        </w:rPr>
        <w:t>=</w:t>
      </w:r>
      <w:r w:rsidR="0071475D">
        <w:rPr>
          <w:rStyle w:val="TablenotesChar0"/>
        </w:rPr>
        <w:t>quality of life;</w:t>
      </w:r>
      <w:r w:rsidR="006814F3">
        <w:rPr>
          <w:rStyle w:val="TablenotesChar0"/>
        </w:rPr>
        <w:t xml:space="preserve"> VMAT</w:t>
      </w:r>
      <w:r w:rsidR="00263F24">
        <w:rPr>
          <w:rStyle w:val="TablenotesChar0"/>
        </w:rPr>
        <w:t>=</w:t>
      </w:r>
      <w:r w:rsidR="006814F3" w:rsidRPr="006814F3">
        <w:rPr>
          <w:rStyle w:val="TablenotesChar0"/>
          <w:snapToGrid/>
        </w:rPr>
        <w:t>volumetric modulated arc therapy</w:t>
      </w:r>
      <w:r w:rsidR="0038181C">
        <w:rPr>
          <w:rStyle w:val="TablenotesChar0"/>
          <w:snapToGrid/>
        </w:rPr>
        <w:t>; WP</w:t>
      </w:r>
      <w:r w:rsidR="00263F24">
        <w:rPr>
          <w:rStyle w:val="TablenotesChar0"/>
          <w:snapToGrid/>
        </w:rPr>
        <w:t>=</w:t>
      </w:r>
      <w:r w:rsidR="0038181C">
        <w:rPr>
          <w:rStyle w:val="TablenotesChar0"/>
          <w:snapToGrid/>
        </w:rPr>
        <w:t>whole-pelvic</w:t>
      </w:r>
    </w:p>
    <w:p w14:paraId="38082E23" w14:textId="2C95ABBC" w:rsidR="0071475D" w:rsidRPr="00CE45B9" w:rsidRDefault="0071475D" w:rsidP="0071475D">
      <w:pPr>
        <w:pStyle w:val="Tablenotes0"/>
        <w:jc w:val="left"/>
        <w:rPr>
          <w:rStyle w:val="TablenotesChar0"/>
        </w:rPr>
      </w:pPr>
      <w:r>
        <w:rPr>
          <w:rStyle w:val="TablenotesChar0"/>
        </w:rPr>
        <w:t>*</w:t>
      </w:r>
      <w:r w:rsidR="00987325">
        <w:rPr>
          <w:rStyle w:val="TablenotesChar0"/>
        </w:rPr>
        <w:t xml:space="preserve"> Only patients treated with </w:t>
      </w:r>
      <w:r w:rsidR="00440349">
        <w:rPr>
          <w:rStyle w:val="TablenotesChar0"/>
        </w:rPr>
        <w:t>daily CBCT-guided IGRT were included in the assessment</w:t>
      </w:r>
      <w:r>
        <w:rPr>
          <w:rStyle w:val="TablenotesChar0"/>
        </w:rPr>
        <w:br/>
      </w:r>
    </w:p>
    <w:p w14:paraId="5F90B761" w14:textId="77777777" w:rsidR="008D77C9" w:rsidRPr="00183E4D" w:rsidRDefault="008D77C9" w:rsidP="00340972">
      <w:pPr>
        <w:pStyle w:val="Heading2"/>
        <w:numPr>
          <w:ilvl w:val="1"/>
          <w:numId w:val="9"/>
        </w:numPr>
      </w:pPr>
      <w:bookmarkStart w:id="324" w:name="_Toc59018775"/>
      <w:bookmarkStart w:id="325" w:name="_Toc59020319"/>
      <w:bookmarkStart w:id="326" w:name="_Toc59439541"/>
      <w:bookmarkStart w:id="327" w:name="_Toc89857813"/>
      <w:r w:rsidRPr="00183E4D">
        <w:t>Outcome</w:t>
      </w:r>
      <w:r w:rsidR="0060025E" w:rsidRPr="00183E4D">
        <w:t xml:space="preserve"> Measure</w:t>
      </w:r>
      <w:r w:rsidRPr="00183E4D">
        <w:t>s</w:t>
      </w:r>
      <w:r w:rsidR="0060025E" w:rsidRPr="00183E4D">
        <w:t xml:space="preserve"> and Analysis</w:t>
      </w:r>
      <w:bookmarkStart w:id="328" w:name="_Toc381796462"/>
      <w:bookmarkStart w:id="329" w:name="_Toc381796467"/>
      <w:bookmarkStart w:id="330" w:name="_Toc379118083"/>
      <w:bookmarkEnd w:id="324"/>
      <w:bookmarkEnd w:id="325"/>
      <w:bookmarkEnd w:id="326"/>
      <w:bookmarkEnd w:id="327"/>
    </w:p>
    <w:p w14:paraId="4DD7DE3A" w14:textId="669DE04D" w:rsidR="0060025E" w:rsidRDefault="0060025E" w:rsidP="0060025E">
      <w:r w:rsidRPr="00183E4D">
        <w:t xml:space="preserve">See </w:t>
      </w:r>
      <w:r w:rsidRPr="00BB6D51">
        <w:t>Appendix C</w:t>
      </w:r>
      <w:r w:rsidRPr="00183E4D">
        <w:t xml:space="preserve"> for details on the outcomes measured in the included studies, along with the statistical methods used to analyse the results.</w:t>
      </w:r>
    </w:p>
    <w:p w14:paraId="51B2E4A1" w14:textId="2DF43CE4" w:rsidR="00B328FC" w:rsidRDefault="00B328FC" w:rsidP="0060025E">
      <w:r>
        <w:t>A meta-analysis was not conducted as there were no studies identified for which this would be appropriate.</w:t>
      </w:r>
    </w:p>
    <w:p w14:paraId="1B4FEAEC" w14:textId="793B6E09" w:rsidR="001E29A5" w:rsidRDefault="00211285" w:rsidP="001E29A5">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AE4807">
        <w:t xml:space="preserve"> </w:t>
      </w:r>
      <w:r w:rsidR="001E29A5">
        <w:t>reported the</w:t>
      </w:r>
      <w:r w:rsidR="001E29A5" w:rsidDel="005A7365">
        <w:t xml:space="preserve"> </w:t>
      </w:r>
      <w:r w:rsidR="005A7365">
        <w:t xml:space="preserve">lung </w:t>
      </w:r>
      <w:r w:rsidR="001E29A5">
        <w:t xml:space="preserve">density changes following completion of radiation therapy </w:t>
      </w:r>
      <w:r w:rsidR="00143692">
        <w:t>on</w:t>
      </w:r>
      <w:r w:rsidR="001E29A5">
        <w:t xml:space="preserve"> one</w:t>
      </w:r>
      <w:r w:rsidR="00143692">
        <w:t>-</w:t>
      </w:r>
      <w:r w:rsidR="001E29A5">
        <w:t>month and four to six</w:t>
      </w:r>
      <w:r w:rsidR="00143692">
        <w:t>-</w:t>
      </w:r>
      <w:r w:rsidR="001E29A5">
        <w:t xml:space="preserve">month follow-up </w:t>
      </w:r>
      <w:r w:rsidR="005A7365">
        <w:t xml:space="preserve">CT </w:t>
      </w:r>
      <w:r w:rsidR="001E29A5">
        <w:t>scans. CT density changes were taken</w:t>
      </w:r>
      <w:r w:rsidR="005A7365">
        <w:t xml:space="preserve"> as</w:t>
      </w:r>
      <w:r w:rsidR="001E29A5">
        <w:t xml:space="preserve"> an objective and quantitative method to assess lung toxicity after radiotherapy. However, </w:t>
      </w:r>
      <w:r w:rsidR="006B1F85">
        <w:t xml:space="preserve">the study </w:t>
      </w:r>
      <w:r w:rsidR="001E29A5">
        <w:t xml:space="preserve">authors acknowledged the fact that </w:t>
      </w:r>
      <w:r w:rsidR="001A0CF3">
        <w:t>a</w:t>
      </w:r>
      <w:r w:rsidR="001E29A5">
        <w:t xml:space="preserve"> </w:t>
      </w:r>
      <w:r w:rsidR="008B46D6">
        <w:t>clinically significant</w:t>
      </w:r>
      <w:r w:rsidR="001E29A5">
        <w:t xml:space="preserve"> cut-off value of the </w:t>
      </w:r>
      <w:r w:rsidR="001A0CF3">
        <w:t xml:space="preserve">lung </w:t>
      </w:r>
      <w:r w:rsidR="001E29A5">
        <w:t xml:space="preserve">density change </w:t>
      </w:r>
      <w:r w:rsidR="00340972">
        <w:t xml:space="preserve">had </w:t>
      </w:r>
      <w:r w:rsidR="001E29A5">
        <w:t>not been proposed.</w:t>
      </w:r>
    </w:p>
    <w:p w14:paraId="1FBD3343" w14:textId="4B9BE672" w:rsidR="0030758B" w:rsidRDefault="00A72C02" w:rsidP="001E29A5">
      <w:r>
        <w:t>T</w:t>
      </w:r>
      <w:r w:rsidR="0030758B">
        <w:t>he Common Terminology Criteria for Adverse Events (CTCAE)</w:t>
      </w:r>
      <w:r w:rsidR="000E4521">
        <w:rPr>
          <w:rStyle w:val="FootnoteReference"/>
        </w:rPr>
        <w:footnoteReference w:id="6"/>
      </w:r>
      <w:r w:rsidR="0030758B">
        <w:t xml:space="preserve"> version 4 or higher was used</w:t>
      </w:r>
      <w:r w:rsidR="00136E79">
        <w:t xml:space="preserve"> in studies assessing </w:t>
      </w:r>
      <w:r>
        <w:t>treatment toxicity</w:t>
      </w:r>
      <w:r w:rsidR="0030758B">
        <w:t>.</w:t>
      </w:r>
      <w:r w:rsidR="00AD30A6">
        <w:t xml:space="preserve"> </w:t>
      </w:r>
    </w:p>
    <w:p w14:paraId="0EE930FC" w14:textId="235773A3" w:rsidR="00050248" w:rsidRDefault="00A84946" w:rsidP="001E29A5">
      <w:r>
        <w:t>Clinical effectiveness was assessed in terms of survival</w:t>
      </w:r>
      <w:r w:rsidR="00C71A48">
        <w:t xml:space="preserve">. </w:t>
      </w:r>
      <w:r w:rsidR="003E4512">
        <w:t xml:space="preserve">A </w:t>
      </w:r>
      <w:r w:rsidR="00FD16D6">
        <w:t xml:space="preserve">wide array of </w:t>
      </w:r>
      <w:r w:rsidR="00AA3F92">
        <w:t>survival measures</w:t>
      </w:r>
      <w:r w:rsidR="00621F28">
        <w:t xml:space="preserve"> (</w:t>
      </w:r>
      <w:r w:rsidR="001C5837">
        <w:t>overall</w:t>
      </w:r>
      <w:r w:rsidR="00880629">
        <w:t xml:space="preserve"> survival</w:t>
      </w:r>
      <w:r w:rsidR="001C5837">
        <w:t>, disease progression, treatment failure</w:t>
      </w:r>
      <w:r w:rsidR="00880629">
        <w:t xml:space="preserve"> rates</w:t>
      </w:r>
      <w:r w:rsidR="001C5837">
        <w:t xml:space="preserve">, </w:t>
      </w:r>
      <w:r w:rsidR="00D545D2">
        <w:t xml:space="preserve">control rates, </w:t>
      </w:r>
      <w:r w:rsidR="00A11457">
        <w:t xml:space="preserve">etc.) </w:t>
      </w:r>
      <w:r w:rsidR="004F72EE">
        <w:t xml:space="preserve">was </w:t>
      </w:r>
      <w:r w:rsidR="00082562">
        <w:t>reported by the included studies.</w:t>
      </w:r>
    </w:p>
    <w:p w14:paraId="69F3EF5A" w14:textId="52F8FBE7" w:rsidR="00DC7D1E" w:rsidRDefault="00EA5563" w:rsidP="001E29A5">
      <w:r>
        <w:t xml:space="preserve">Quality of life (QoL) </w:t>
      </w:r>
      <w:r w:rsidR="00AF2AE7">
        <w:t>measures</w:t>
      </w:r>
      <w:r w:rsidR="00894C6B">
        <w:t xml:space="preserve"> were assessed using validated questionnaires including </w:t>
      </w:r>
      <w:r w:rsidR="002D07F9">
        <w:t>the European Organisation for Research and Treatment of Cancer (EORTC) QLQ-C30</w:t>
      </w:r>
      <w:r w:rsidR="00F703E0">
        <w:t xml:space="preserve">, a questionnaire </w:t>
      </w:r>
      <w:r w:rsidR="009608E7">
        <w:t>used to assess the quality of life of</w:t>
      </w:r>
      <w:r w:rsidR="00F703E0">
        <w:t xml:space="preserve"> </w:t>
      </w:r>
      <w:r w:rsidR="009608E7">
        <w:t>patients</w:t>
      </w:r>
      <w:r w:rsidR="002A5A21">
        <w:t xml:space="preserve"> with</w:t>
      </w:r>
      <w:r w:rsidR="0064453E">
        <w:t xml:space="preserve"> </w:t>
      </w:r>
      <w:r w:rsidR="002A5A21">
        <w:t>cancer</w:t>
      </w:r>
      <w:r w:rsidR="00340972">
        <w:t>,</w:t>
      </w:r>
      <w:r w:rsidR="002A5A21">
        <w:t xml:space="preserve"> </w:t>
      </w:r>
      <w:r w:rsidR="0064453E">
        <w:t xml:space="preserve">and </w:t>
      </w:r>
      <w:r w:rsidR="009608E7">
        <w:t>the EORTC QLQ-PR25</w:t>
      </w:r>
      <w:r w:rsidR="0064453E">
        <w:t xml:space="preserve">, developed for assessing </w:t>
      </w:r>
      <w:r w:rsidR="00AC093F">
        <w:t>quality of life of</w:t>
      </w:r>
      <w:r w:rsidR="0064453E">
        <w:t xml:space="preserve"> </w:t>
      </w:r>
      <w:r w:rsidR="00AC093F">
        <w:t>patients</w:t>
      </w:r>
      <w:r w:rsidR="002A5A21" w:rsidRPr="002A5A21">
        <w:t xml:space="preserve"> </w:t>
      </w:r>
      <w:r w:rsidR="002A5A21">
        <w:t>with prostate cancer</w:t>
      </w:r>
      <w:r w:rsidR="009608E7">
        <w:t>.</w:t>
      </w:r>
      <w:r w:rsidR="00AF2AE7">
        <w:t xml:space="preserve"> </w:t>
      </w:r>
    </w:p>
    <w:p w14:paraId="57D086D7" w14:textId="6D18935A" w:rsidR="00443D68" w:rsidRDefault="000B4FB3" w:rsidP="001E29A5">
      <w:r>
        <w:t>Various dosimetric outcomes were evaluated</w:t>
      </w:r>
      <w:r w:rsidR="001E587E">
        <w:t>;</w:t>
      </w:r>
      <w:r w:rsidR="005C1F08">
        <w:t xml:space="preserve"> </w:t>
      </w:r>
      <w:r w:rsidR="001E587E">
        <w:t>each of the three included studies reported on</w:t>
      </w:r>
      <w:r w:rsidR="005C1F08">
        <w:t xml:space="preserve"> different </w:t>
      </w:r>
      <w:r w:rsidR="001E587E">
        <w:t>outcomes</w:t>
      </w:r>
      <w:r w:rsidR="005C1F08">
        <w:t>.</w:t>
      </w:r>
    </w:p>
    <w:p w14:paraId="45B0AB70" w14:textId="77777777" w:rsidR="00D347A1" w:rsidRDefault="000C1E95" w:rsidP="00D347A1">
      <w:r>
        <w:t>A meaningful comparison of treatment safety and effectiveness between the intervention and comparator was difficult to carry out due to the variety of treatment modalities, treatment schedules, total dose delivered, and differing patient characteristics encountered.</w:t>
      </w:r>
      <w:bookmarkStart w:id="331" w:name="_Toc59018776"/>
      <w:bookmarkStart w:id="332" w:name="_Toc59020320"/>
      <w:bookmarkStart w:id="333" w:name="_Toc59439542"/>
      <w:bookmarkStart w:id="334" w:name="_Toc122538326"/>
      <w:bookmarkStart w:id="335" w:name="_Toc143663862"/>
      <w:bookmarkStart w:id="336" w:name="_Ref144697268"/>
      <w:bookmarkStart w:id="337" w:name="_Ref144697275"/>
    </w:p>
    <w:p w14:paraId="2866419A" w14:textId="77777777" w:rsidR="007E10A9" w:rsidRDefault="007E10A9" w:rsidP="00D347A1">
      <w:pPr>
        <w:sectPr w:rsidR="007E10A9" w:rsidSect="00E360E5">
          <w:footerReference w:type="even" r:id="rId27"/>
          <w:type w:val="oddPage"/>
          <w:pgSz w:w="11906" w:h="16838"/>
          <w:pgMar w:top="1440" w:right="1440" w:bottom="1440" w:left="1440" w:header="720" w:footer="720" w:gutter="0"/>
          <w:cols w:space="720"/>
        </w:sectPr>
      </w:pPr>
    </w:p>
    <w:p w14:paraId="79F62D39" w14:textId="6AFB3CBC" w:rsidR="00214F7B" w:rsidRPr="00183E4D" w:rsidRDefault="00214F7B" w:rsidP="00D347A1">
      <w:pPr>
        <w:pStyle w:val="Heading2"/>
        <w:numPr>
          <w:ilvl w:val="1"/>
          <w:numId w:val="9"/>
        </w:numPr>
      </w:pPr>
      <w:bookmarkStart w:id="338" w:name="_Toc89857814"/>
      <w:r w:rsidRPr="00183E4D">
        <w:t>Results of the Systematic Literature review</w:t>
      </w:r>
      <w:bookmarkEnd w:id="331"/>
      <w:bookmarkEnd w:id="332"/>
      <w:bookmarkEnd w:id="333"/>
      <w:bookmarkEnd w:id="338"/>
    </w:p>
    <w:p w14:paraId="7431DFB6" w14:textId="77777777" w:rsidR="008F59A8" w:rsidRDefault="008F59A8" w:rsidP="00DF343F">
      <w:pPr>
        <w:pStyle w:val="Heading2"/>
        <w:jc w:val="both"/>
      </w:pPr>
      <w:bookmarkStart w:id="339" w:name="_Toc59018777"/>
      <w:bookmarkStart w:id="340" w:name="_Toc59020321"/>
      <w:bookmarkStart w:id="341" w:name="_Toc59439543"/>
      <w:bookmarkStart w:id="342" w:name="_Toc89857815"/>
      <w:bookmarkEnd w:id="328"/>
      <w:bookmarkEnd w:id="334"/>
      <w:bookmarkEnd w:id="335"/>
      <w:bookmarkEnd w:id="336"/>
      <w:bookmarkEnd w:id="337"/>
      <w:r w:rsidRPr="00183E4D">
        <w:t>Is it safe?</w:t>
      </w:r>
      <w:bookmarkEnd w:id="329"/>
      <w:bookmarkEnd w:id="339"/>
      <w:bookmarkEnd w:id="340"/>
      <w:bookmarkEnd w:id="341"/>
      <w:bookmarkEnd w:id="342"/>
      <w:r w:rsidRPr="00183E4D">
        <w:t xml:space="preserve"> </w:t>
      </w:r>
      <w:bookmarkEnd w:id="330"/>
    </w:p>
    <w:p w14:paraId="38603AA2" w14:textId="226CB669" w:rsidR="00A6596E" w:rsidRPr="005C3B2B" w:rsidRDefault="00A6596E"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5C3B2B">
        <w:rPr>
          <w:rFonts w:asciiTheme="minorHAnsi" w:hAnsiTheme="minorHAnsi" w:cstheme="minorHAnsi"/>
        </w:rPr>
        <w:t xml:space="preserve">Summary – </w:t>
      </w:r>
      <w:r w:rsidR="00D11FEF" w:rsidRPr="005C3B2B">
        <w:rPr>
          <w:rFonts w:asciiTheme="minorHAnsi" w:hAnsiTheme="minorHAnsi" w:cstheme="minorHAnsi"/>
        </w:rPr>
        <w:t>What is the safety of MR-IGRT, compared to CBCT-guided radiation therapy, in persons with cancer who undergo EBRT?</w:t>
      </w:r>
    </w:p>
    <w:p w14:paraId="46C880DE" w14:textId="20B9D04F" w:rsidR="001A29B1" w:rsidRPr="005C3B2B" w:rsidRDefault="00D1132C"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5C3B2B">
        <w:rPr>
          <w:rFonts w:asciiTheme="minorHAnsi" w:hAnsiTheme="minorHAnsi" w:cstheme="minorHAnsi"/>
          <w:b w:val="0"/>
          <w:bCs/>
        </w:rPr>
        <w:t xml:space="preserve">Comparative evidence on the safety of MR-IGRT compared to CBCT-IGRT was scarce, </w:t>
      </w:r>
      <w:r w:rsidR="00B569B9" w:rsidRPr="005C3B2B">
        <w:rPr>
          <w:rFonts w:asciiTheme="minorHAnsi" w:hAnsiTheme="minorHAnsi" w:cstheme="minorHAnsi"/>
          <w:b w:val="0"/>
          <w:bCs/>
        </w:rPr>
        <w:t xml:space="preserve">with only one </w:t>
      </w:r>
      <w:r w:rsidR="00E73D7D" w:rsidRPr="005C3B2B">
        <w:rPr>
          <w:rFonts w:asciiTheme="minorHAnsi" w:hAnsiTheme="minorHAnsi" w:cstheme="minorHAnsi"/>
          <w:b w:val="0"/>
          <w:bCs/>
        </w:rPr>
        <w:t xml:space="preserve">study identified. </w:t>
      </w:r>
      <w:r w:rsidR="00E31D2C" w:rsidRPr="005C3B2B">
        <w:rPr>
          <w:rFonts w:asciiTheme="minorHAnsi" w:hAnsiTheme="minorHAnsi" w:cstheme="minorHAnsi"/>
          <w:b w:val="0"/>
          <w:bCs/>
        </w:rPr>
        <w:t xml:space="preserve">Therefore, a naïve comparison </w:t>
      </w:r>
      <w:r w:rsidR="003027F1" w:rsidRPr="005C3B2B">
        <w:rPr>
          <w:rFonts w:asciiTheme="minorHAnsi" w:hAnsiTheme="minorHAnsi" w:cstheme="minorHAnsi"/>
          <w:b w:val="0"/>
          <w:bCs/>
        </w:rPr>
        <w:t xml:space="preserve">of single-arm MR-IGRT studies </w:t>
      </w:r>
      <w:r w:rsidR="00C25B7B" w:rsidRPr="005C3B2B">
        <w:rPr>
          <w:rFonts w:asciiTheme="minorHAnsi" w:hAnsiTheme="minorHAnsi" w:cstheme="minorHAnsi"/>
          <w:b w:val="0"/>
          <w:bCs/>
        </w:rPr>
        <w:t>and CBCT-IGRT studies was attempted.</w:t>
      </w:r>
      <w:r w:rsidR="00AB36C4" w:rsidRPr="005C3B2B">
        <w:rPr>
          <w:rFonts w:asciiTheme="minorHAnsi" w:hAnsiTheme="minorHAnsi" w:cstheme="minorHAnsi"/>
          <w:b w:val="0"/>
          <w:bCs/>
        </w:rPr>
        <w:t xml:space="preserve"> The</w:t>
      </w:r>
      <w:r w:rsidR="001874CF" w:rsidRPr="005C3B2B">
        <w:rPr>
          <w:rFonts w:asciiTheme="minorHAnsi" w:hAnsiTheme="minorHAnsi" w:cstheme="minorHAnsi"/>
          <w:b w:val="0"/>
          <w:bCs/>
        </w:rPr>
        <w:t xml:space="preserve"> overall</w:t>
      </w:r>
      <w:r w:rsidR="00AB36C4" w:rsidRPr="005C3B2B">
        <w:rPr>
          <w:rFonts w:asciiTheme="minorHAnsi" w:hAnsiTheme="minorHAnsi" w:cstheme="minorHAnsi"/>
          <w:b w:val="0"/>
          <w:bCs/>
        </w:rPr>
        <w:t xml:space="preserve"> contribution of </w:t>
      </w:r>
      <w:r w:rsidR="004501B2" w:rsidRPr="005C3B2B">
        <w:rPr>
          <w:rFonts w:asciiTheme="minorHAnsi" w:hAnsiTheme="minorHAnsi" w:cstheme="minorHAnsi"/>
          <w:b w:val="0"/>
          <w:bCs/>
        </w:rPr>
        <w:t xml:space="preserve">this </w:t>
      </w:r>
      <w:r w:rsidR="001874CF" w:rsidRPr="005C3B2B">
        <w:rPr>
          <w:rFonts w:asciiTheme="minorHAnsi" w:hAnsiTheme="minorHAnsi" w:cstheme="minorHAnsi"/>
          <w:b w:val="0"/>
          <w:bCs/>
        </w:rPr>
        <w:t xml:space="preserve">naïve </w:t>
      </w:r>
      <w:r w:rsidR="004501B2" w:rsidRPr="005C3B2B">
        <w:rPr>
          <w:rFonts w:asciiTheme="minorHAnsi" w:hAnsiTheme="minorHAnsi" w:cstheme="minorHAnsi"/>
          <w:b w:val="0"/>
          <w:bCs/>
        </w:rPr>
        <w:t xml:space="preserve">comparison to the </w:t>
      </w:r>
      <w:r w:rsidR="001874CF" w:rsidRPr="005C3B2B">
        <w:rPr>
          <w:rFonts w:asciiTheme="minorHAnsi" w:hAnsiTheme="minorHAnsi" w:cstheme="minorHAnsi"/>
          <w:b w:val="0"/>
          <w:bCs/>
        </w:rPr>
        <w:t xml:space="preserve">evidence base is </w:t>
      </w:r>
      <w:r w:rsidR="005D3AC9" w:rsidRPr="005C3B2B">
        <w:rPr>
          <w:rFonts w:asciiTheme="minorHAnsi" w:hAnsiTheme="minorHAnsi" w:cstheme="minorHAnsi"/>
          <w:b w:val="0"/>
          <w:bCs/>
        </w:rPr>
        <w:t>limited</w:t>
      </w:r>
      <w:r w:rsidR="001874CF" w:rsidRPr="005C3B2B">
        <w:rPr>
          <w:rFonts w:asciiTheme="minorHAnsi" w:hAnsiTheme="minorHAnsi" w:cstheme="minorHAnsi"/>
          <w:b w:val="0"/>
          <w:bCs/>
        </w:rPr>
        <w:t xml:space="preserve"> due to </w:t>
      </w:r>
      <w:r w:rsidR="00CA53CE" w:rsidRPr="005C3B2B">
        <w:rPr>
          <w:rFonts w:asciiTheme="minorHAnsi" w:hAnsiTheme="minorHAnsi" w:cstheme="minorHAnsi"/>
          <w:b w:val="0"/>
          <w:bCs/>
        </w:rPr>
        <w:t xml:space="preserve">low </w:t>
      </w:r>
      <w:r w:rsidR="005865E4" w:rsidRPr="005C3B2B">
        <w:rPr>
          <w:rFonts w:asciiTheme="minorHAnsi" w:hAnsiTheme="minorHAnsi" w:cstheme="minorHAnsi"/>
          <w:b w:val="0"/>
          <w:bCs/>
        </w:rPr>
        <w:t>methodologic quality of the included studies</w:t>
      </w:r>
      <w:r w:rsidR="00F45F6F" w:rsidRPr="005C3B2B">
        <w:rPr>
          <w:rFonts w:asciiTheme="minorHAnsi" w:hAnsiTheme="minorHAnsi" w:cstheme="minorHAnsi"/>
          <w:b w:val="0"/>
          <w:bCs/>
        </w:rPr>
        <w:t xml:space="preserve"> and a </w:t>
      </w:r>
      <w:r w:rsidR="00954B51" w:rsidRPr="005C3B2B">
        <w:rPr>
          <w:rFonts w:asciiTheme="minorHAnsi" w:hAnsiTheme="minorHAnsi" w:cstheme="minorHAnsi"/>
          <w:b w:val="0"/>
          <w:bCs/>
        </w:rPr>
        <w:t>considerable</w:t>
      </w:r>
      <w:r w:rsidR="001874CF" w:rsidRPr="005C3B2B">
        <w:rPr>
          <w:rFonts w:asciiTheme="minorHAnsi" w:hAnsiTheme="minorHAnsi" w:cstheme="minorHAnsi"/>
          <w:b w:val="0"/>
          <w:bCs/>
        </w:rPr>
        <w:t xml:space="preserve"> heterogeneity in patient populations, </w:t>
      </w:r>
      <w:r w:rsidR="00996378" w:rsidRPr="005C3B2B">
        <w:rPr>
          <w:rFonts w:asciiTheme="minorHAnsi" w:hAnsiTheme="minorHAnsi" w:cstheme="minorHAnsi"/>
          <w:b w:val="0"/>
          <w:bCs/>
        </w:rPr>
        <w:t>technolog</w:t>
      </w:r>
      <w:r w:rsidR="006D23CC" w:rsidRPr="005C3B2B">
        <w:rPr>
          <w:rFonts w:asciiTheme="minorHAnsi" w:hAnsiTheme="minorHAnsi" w:cstheme="minorHAnsi"/>
          <w:b w:val="0"/>
          <w:bCs/>
        </w:rPr>
        <w:t>ies</w:t>
      </w:r>
      <w:r w:rsidR="00996378" w:rsidRPr="005C3B2B">
        <w:rPr>
          <w:rFonts w:asciiTheme="minorHAnsi" w:hAnsiTheme="minorHAnsi" w:cstheme="minorHAnsi"/>
          <w:b w:val="0"/>
          <w:bCs/>
        </w:rPr>
        <w:t xml:space="preserve"> used, and </w:t>
      </w:r>
      <w:r w:rsidR="00684FF9" w:rsidRPr="005C3B2B">
        <w:rPr>
          <w:rFonts w:asciiTheme="minorHAnsi" w:hAnsiTheme="minorHAnsi" w:cstheme="minorHAnsi"/>
          <w:b w:val="0"/>
          <w:bCs/>
        </w:rPr>
        <w:t>radiation dose received</w:t>
      </w:r>
      <w:r w:rsidR="00996378" w:rsidRPr="005C3B2B">
        <w:rPr>
          <w:rFonts w:asciiTheme="minorHAnsi" w:hAnsiTheme="minorHAnsi" w:cstheme="minorHAnsi"/>
          <w:b w:val="0"/>
          <w:bCs/>
        </w:rPr>
        <w:t>.</w:t>
      </w:r>
    </w:p>
    <w:p w14:paraId="07221063" w14:textId="77777777" w:rsidR="004A2121" w:rsidRPr="005C3B2B" w:rsidRDefault="004A2121" w:rsidP="00E644A8">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5C3B2B">
        <w:rPr>
          <w:rFonts w:asciiTheme="minorHAnsi" w:hAnsiTheme="minorHAnsi" w:cstheme="minorHAnsi"/>
        </w:rPr>
        <w:t>Lung cancer</w:t>
      </w:r>
    </w:p>
    <w:p w14:paraId="1AA81960" w14:textId="5911E271" w:rsidR="00B5281F" w:rsidRPr="005C3B2B" w:rsidRDefault="00B5281F"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5C3B2B">
        <w:rPr>
          <w:rFonts w:asciiTheme="minorHAnsi" w:hAnsiTheme="minorHAnsi" w:cstheme="minorHAnsi"/>
          <w:b w:val="0"/>
          <w:bCs/>
        </w:rPr>
        <w:t xml:space="preserve">One retrospective </w:t>
      </w:r>
      <w:r w:rsidR="00CB76BE" w:rsidRPr="005C3B2B">
        <w:rPr>
          <w:rFonts w:asciiTheme="minorHAnsi" w:hAnsiTheme="minorHAnsi" w:cstheme="minorHAnsi"/>
          <w:b w:val="0"/>
          <w:bCs/>
        </w:rPr>
        <w:t xml:space="preserve">cohort </w:t>
      </w:r>
      <w:r w:rsidRPr="005C3B2B">
        <w:rPr>
          <w:rFonts w:asciiTheme="minorHAnsi" w:hAnsiTheme="minorHAnsi" w:cstheme="minorHAnsi"/>
          <w:b w:val="0"/>
          <w:bCs/>
        </w:rPr>
        <w:t>study comparing radiation-induced lung damage (RILD)</w:t>
      </w:r>
      <w:r w:rsidR="00AC590B" w:rsidRPr="005C3B2B">
        <w:rPr>
          <w:rFonts w:asciiTheme="minorHAnsi" w:hAnsiTheme="minorHAnsi" w:cstheme="minorHAnsi"/>
          <w:b w:val="0"/>
          <w:bCs/>
        </w:rPr>
        <w:t xml:space="preserve"> between MR-IGRT and CBCT-IGRT</w:t>
      </w:r>
      <w:r w:rsidRPr="005C3B2B">
        <w:rPr>
          <w:rFonts w:asciiTheme="minorHAnsi" w:hAnsiTheme="minorHAnsi" w:cstheme="minorHAnsi"/>
          <w:b w:val="0"/>
          <w:bCs/>
        </w:rPr>
        <w:t xml:space="preserve"> on follow-up CT scans was identified. </w:t>
      </w:r>
      <w:r w:rsidR="005600A0" w:rsidRPr="005C3B2B">
        <w:rPr>
          <w:rFonts w:asciiTheme="minorHAnsi" w:hAnsiTheme="minorHAnsi" w:cstheme="minorHAnsi"/>
          <w:b w:val="0"/>
          <w:bCs/>
        </w:rPr>
        <w:t xml:space="preserve">The </w:t>
      </w:r>
      <w:r w:rsidR="00195787" w:rsidRPr="005C3B2B">
        <w:rPr>
          <w:rFonts w:asciiTheme="minorHAnsi" w:hAnsiTheme="minorHAnsi" w:cstheme="minorHAnsi"/>
          <w:b w:val="0"/>
          <w:bCs/>
        </w:rPr>
        <w:t xml:space="preserve">study quality was fair, however, </w:t>
      </w:r>
      <w:r w:rsidR="007D52E7" w:rsidRPr="005C3B2B">
        <w:rPr>
          <w:rFonts w:asciiTheme="minorHAnsi" w:hAnsiTheme="minorHAnsi" w:cstheme="minorHAnsi"/>
          <w:b w:val="0"/>
          <w:bCs/>
        </w:rPr>
        <w:t>it</w:t>
      </w:r>
      <w:r w:rsidR="00195787" w:rsidRPr="005C3B2B">
        <w:rPr>
          <w:rFonts w:asciiTheme="minorHAnsi" w:hAnsiTheme="minorHAnsi" w:cstheme="minorHAnsi"/>
          <w:b w:val="0"/>
          <w:bCs/>
        </w:rPr>
        <w:t xml:space="preserve"> used outdated MR-IGRT technology and a proxy </w:t>
      </w:r>
      <w:r w:rsidR="004A2121" w:rsidRPr="005C3B2B">
        <w:rPr>
          <w:rFonts w:asciiTheme="minorHAnsi" w:hAnsiTheme="minorHAnsi" w:cstheme="minorHAnsi"/>
          <w:b w:val="0"/>
          <w:bCs/>
        </w:rPr>
        <w:t>indicator for lung injury</w:t>
      </w:r>
      <w:r w:rsidR="00312D6C" w:rsidRPr="005C3B2B">
        <w:rPr>
          <w:rFonts w:asciiTheme="minorHAnsi" w:hAnsiTheme="minorHAnsi" w:cstheme="minorHAnsi"/>
          <w:b w:val="0"/>
          <w:bCs/>
        </w:rPr>
        <w:t xml:space="preserve"> (lung density changes on CT)</w:t>
      </w:r>
      <w:r w:rsidR="004A2121" w:rsidRPr="005C3B2B">
        <w:rPr>
          <w:rFonts w:asciiTheme="minorHAnsi" w:hAnsiTheme="minorHAnsi" w:cstheme="minorHAnsi"/>
          <w:b w:val="0"/>
          <w:bCs/>
        </w:rPr>
        <w:t xml:space="preserve">. </w:t>
      </w:r>
      <w:r w:rsidRPr="005C3B2B">
        <w:rPr>
          <w:rFonts w:asciiTheme="minorHAnsi" w:hAnsiTheme="minorHAnsi" w:cstheme="minorHAnsi"/>
          <w:b w:val="0"/>
          <w:bCs/>
        </w:rPr>
        <w:t xml:space="preserve">No statistically significant difference was found between </w:t>
      </w:r>
      <w:r w:rsidR="00AC590B" w:rsidRPr="005C3B2B">
        <w:rPr>
          <w:rFonts w:asciiTheme="minorHAnsi" w:hAnsiTheme="minorHAnsi" w:cstheme="minorHAnsi"/>
          <w:b w:val="0"/>
          <w:bCs/>
        </w:rPr>
        <w:t>the two image guidance modalities;</w:t>
      </w:r>
      <w:r w:rsidR="004C43F6" w:rsidRPr="005C3B2B">
        <w:rPr>
          <w:rFonts w:asciiTheme="minorHAnsi" w:hAnsiTheme="minorHAnsi" w:cstheme="minorHAnsi"/>
          <w:b w:val="0"/>
          <w:bCs/>
        </w:rPr>
        <w:t xml:space="preserve"> a</w:t>
      </w:r>
      <w:r w:rsidR="003E0260" w:rsidRPr="005C3B2B">
        <w:rPr>
          <w:rFonts w:asciiTheme="minorHAnsi" w:hAnsiTheme="minorHAnsi" w:cstheme="minorHAnsi"/>
          <w:b w:val="0"/>
          <w:bCs/>
        </w:rPr>
        <w:t>nd a</w:t>
      </w:r>
      <w:r w:rsidR="00AC590B" w:rsidRPr="005C3B2B">
        <w:rPr>
          <w:rFonts w:asciiTheme="minorHAnsi" w:hAnsiTheme="minorHAnsi" w:cstheme="minorHAnsi"/>
          <w:b w:val="0"/>
          <w:bCs/>
        </w:rPr>
        <w:t xml:space="preserve"> clinically </w:t>
      </w:r>
      <w:r w:rsidR="003E0260" w:rsidRPr="005C3B2B">
        <w:rPr>
          <w:rFonts w:asciiTheme="minorHAnsi" w:hAnsiTheme="minorHAnsi" w:cstheme="minorHAnsi"/>
          <w:b w:val="0"/>
          <w:bCs/>
        </w:rPr>
        <w:t xml:space="preserve">significant </w:t>
      </w:r>
      <w:r w:rsidR="00AC590B" w:rsidRPr="005C3B2B">
        <w:rPr>
          <w:rFonts w:asciiTheme="minorHAnsi" w:hAnsiTheme="minorHAnsi" w:cstheme="minorHAnsi"/>
          <w:b w:val="0"/>
          <w:bCs/>
        </w:rPr>
        <w:t xml:space="preserve">difference </w:t>
      </w:r>
      <w:r w:rsidR="003E0260" w:rsidRPr="005C3B2B">
        <w:rPr>
          <w:rFonts w:asciiTheme="minorHAnsi" w:hAnsiTheme="minorHAnsi" w:cstheme="minorHAnsi"/>
          <w:b w:val="0"/>
          <w:bCs/>
        </w:rPr>
        <w:t xml:space="preserve">for lung density change </w:t>
      </w:r>
      <w:r w:rsidR="002A66C6" w:rsidRPr="005C3B2B">
        <w:rPr>
          <w:rFonts w:asciiTheme="minorHAnsi" w:hAnsiTheme="minorHAnsi" w:cstheme="minorHAnsi"/>
          <w:b w:val="0"/>
          <w:bCs/>
        </w:rPr>
        <w:t>has</w:t>
      </w:r>
      <w:r w:rsidR="00AC590B" w:rsidRPr="005C3B2B">
        <w:rPr>
          <w:rFonts w:asciiTheme="minorHAnsi" w:hAnsiTheme="minorHAnsi" w:cstheme="minorHAnsi"/>
          <w:b w:val="0"/>
          <w:bCs/>
        </w:rPr>
        <w:t xml:space="preserve"> not been </w:t>
      </w:r>
      <w:r w:rsidR="003E0260" w:rsidRPr="005C3B2B">
        <w:rPr>
          <w:rFonts w:asciiTheme="minorHAnsi" w:hAnsiTheme="minorHAnsi" w:cstheme="minorHAnsi"/>
          <w:b w:val="0"/>
          <w:bCs/>
        </w:rPr>
        <w:t xml:space="preserve">proposed </w:t>
      </w:r>
      <w:r w:rsidR="00AC590B" w:rsidRPr="005C3B2B">
        <w:rPr>
          <w:rFonts w:asciiTheme="minorHAnsi" w:hAnsiTheme="minorHAnsi" w:cstheme="minorHAnsi"/>
          <w:b w:val="0"/>
          <w:bCs/>
        </w:rPr>
        <w:t xml:space="preserve">either. </w:t>
      </w:r>
    </w:p>
    <w:p w14:paraId="42CC5D79" w14:textId="77DA6684" w:rsidR="004A2121" w:rsidRPr="005C3B2B" w:rsidRDefault="00987445"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5C3B2B">
        <w:rPr>
          <w:rFonts w:asciiTheme="minorHAnsi" w:hAnsiTheme="minorHAnsi" w:cstheme="minorHAnsi"/>
          <w:b w:val="0"/>
          <w:bCs/>
        </w:rPr>
        <w:t xml:space="preserve">Two single-arm </w:t>
      </w:r>
      <w:r w:rsidR="006567EE" w:rsidRPr="005C3B2B">
        <w:rPr>
          <w:rFonts w:asciiTheme="minorHAnsi" w:hAnsiTheme="minorHAnsi" w:cstheme="minorHAnsi"/>
          <w:b w:val="0"/>
          <w:bCs/>
        </w:rPr>
        <w:t xml:space="preserve">studies reported on the </w:t>
      </w:r>
      <w:r w:rsidR="0055235E" w:rsidRPr="005C3B2B">
        <w:rPr>
          <w:rFonts w:asciiTheme="minorHAnsi" w:hAnsiTheme="minorHAnsi" w:cstheme="minorHAnsi"/>
          <w:b w:val="0"/>
          <w:bCs/>
        </w:rPr>
        <w:t xml:space="preserve">toxicity of </w:t>
      </w:r>
      <w:r w:rsidR="00C232C1" w:rsidRPr="005C3B2B">
        <w:rPr>
          <w:rFonts w:asciiTheme="minorHAnsi" w:hAnsiTheme="minorHAnsi" w:cstheme="minorHAnsi"/>
          <w:b w:val="0"/>
          <w:bCs/>
        </w:rPr>
        <w:t xml:space="preserve">MR-IGRT treatment for lung </w:t>
      </w:r>
      <w:r w:rsidR="00A67D79" w:rsidRPr="005C3B2B">
        <w:rPr>
          <w:rFonts w:asciiTheme="minorHAnsi" w:hAnsiTheme="minorHAnsi" w:cstheme="minorHAnsi"/>
          <w:b w:val="0"/>
          <w:bCs/>
        </w:rPr>
        <w:t>malignancies</w:t>
      </w:r>
      <w:r w:rsidR="00C232C1" w:rsidRPr="005C3B2B">
        <w:rPr>
          <w:rFonts w:asciiTheme="minorHAnsi" w:hAnsiTheme="minorHAnsi" w:cstheme="minorHAnsi"/>
          <w:b w:val="0"/>
          <w:bCs/>
        </w:rPr>
        <w:t xml:space="preserve">. One of them reported </w:t>
      </w:r>
      <w:r w:rsidR="001204AB" w:rsidRPr="005C3B2B">
        <w:rPr>
          <w:rFonts w:asciiTheme="minorHAnsi" w:hAnsiTheme="minorHAnsi" w:cstheme="minorHAnsi"/>
          <w:b w:val="0"/>
          <w:bCs/>
        </w:rPr>
        <w:t>15/</w:t>
      </w:r>
      <w:r w:rsidR="00637D4A" w:rsidRPr="005C3B2B">
        <w:rPr>
          <w:rFonts w:asciiTheme="minorHAnsi" w:hAnsiTheme="minorHAnsi" w:cstheme="minorHAnsi"/>
          <w:b w:val="0"/>
          <w:bCs/>
        </w:rPr>
        <w:t xml:space="preserve">50 (30%) of patients experienced any grade ≥2 </w:t>
      </w:r>
      <w:r w:rsidR="00681BDF" w:rsidRPr="005C3B2B">
        <w:rPr>
          <w:rFonts w:asciiTheme="minorHAnsi" w:hAnsiTheme="minorHAnsi" w:cstheme="minorHAnsi"/>
          <w:b w:val="0"/>
          <w:bCs/>
        </w:rPr>
        <w:t>treatment-related toxicity.</w:t>
      </w:r>
    </w:p>
    <w:p w14:paraId="1882563B" w14:textId="4803F723" w:rsidR="006B6249" w:rsidRPr="005C3B2B" w:rsidRDefault="00E20BEC"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5C3B2B">
        <w:rPr>
          <w:rFonts w:asciiTheme="minorHAnsi" w:hAnsiTheme="minorHAnsi" w:cstheme="minorHAnsi"/>
          <w:b w:val="0"/>
          <w:bCs/>
        </w:rPr>
        <w:t xml:space="preserve">Six </w:t>
      </w:r>
      <w:r w:rsidR="0078031B" w:rsidRPr="005C3B2B">
        <w:rPr>
          <w:rFonts w:asciiTheme="minorHAnsi" w:hAnsiTheme="minorHAnsi" w:cstheme="minorHAnsi"/>
          <w:b w:val="0"/>
          <w:bCs/>
        </w:rPr>
        <w:t xml:space="preserve">studies </w:t>
      </w:r>
      <w:r w:rsidR="00A67D79" w:rsidRPr="005C3B2B">
        <w:rPr>
          <w:rFonts w:asciiTheme="minorHAnsi" w:hAnsiTheme="minorHAnsi" w:cstheme="minorHAnsi"/>
          <w:b w:val="0"/>
          <w:bCs/>
        </w:rPr>
        <w:t>reported on the toxicity of CBCT-IGRT treatment for lung malignancies.</w:t>
      </w:r>
      <w:r w:rsidR="00361A40" w:rsidRPr="005C3B2B">
        <w:rPr>
          <w:rFonts w:asciiTheme="minorHAnsi" w:hAnsiTheme="minorHAnsi" w:cstheme="minorHAnsi"/>
          <w:b w:val="0"/>
          <w:bCs/>
        </w:rPr>
        <w:t xml:space="preserve"> Treatment toxicity </w:t>
      </w:r>
      <w:r w:rsidR="007F2F43" w:rsidRPr="005C3B2B">
        <w:rPr>
          <w:rFonts w:asciiTheme="minorHAnsi" w:hAnsiTheme="minorHAnsi" w:cstheme="minorHAnsi"/>
          <w:b w:val="0"/>
          <w:bCs/>
        </w:rPr>
        <w:t>varied</w:t>
      </w:r>
      <w:r w:rsidR="00057B5C" w:rsidRPr="005C3B2B">
        <w:rPr>
          <w:rFonts w:asciiTheme="minorHAnsi" w:hAnsiTheme="minorHAnsi" w:cstheme="minorHAnsi"/>
          <w:b w:val="0"/>
          <w:bCs/>
        </w:rPr>
        <w:t xml:space="preserve"> in severity</w:t>
      </w:r>
      <w:r w:rsidR="008A0C22" w:rsidRPr="005C3B2B">
        <w:rPr>
          <w:rFonts w:asciiTheme="minorHAnsi" w:hAnsiTheme="minorHAnsi" w:cstheme="minorHAnsi"/>
          <w:b w:val="0"/>
          <w:bCs/>
        </w:rPr>
        <w:t xml:space="preserve"> and symptoms</w:t>
      </w:r>
      <w:r w:rsidR="007F2F43" w:rsidRPr="005C3B2B">
        <w:rPr>
          <w:rFonts w:asciiTheme="minorHAnsi" w:hAnsiTheme="minorHAnsi" w:cstheme="minorHAnsi"/>
          <w:b w:val="0"/>
          <w:bCs/>
        </w:rPr>
        <w:t xml:space="preserve"> across studies; one study reported that 92% of patients experienced any acute or late grade ≥1 trea</w:t>
      </w:r>
      <w:r w:rsidR="00ED69C0" w:rsidRPr="005C3B2B">
        <w:rPr>
          <w:rFonts w:asciiTheme="minorHAnsi" w:hAnsiTheme="minorHAnsi" w:cstheme="minorHAnsi"/>
          <w:b w:val="0"/>
          <w:bCs/>
        </w:rPr>
        <w:t>t</w:t>
      </w:r>
      <w:r w:rsidR="007F2F43" w:rsidRPr="005C3B2B">
        <w:rPr>
          <w:rFonts w:asciiTheme="minorHAnsi" w:hAnsiTheme="minorHAnsi" w:cstheme="minorHAnsi"/>
          <w:b w:val="0"/>
          <w:bCs/>
        </w:rPr>
        <w:t>ment-related toxicity.</w:t>
      </w:r>
    </w:p>
    <w:p w14:paraId="687B83A1" w14:textId="26DED6E3" w:rsidR="00D11FEF" w:rsidRPr="005C3B2B" w:rsidRDefault="00D11FEF" w:rsidP="008D3A8A">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5C3B2B">
        <w:rPr>
          <w:rFonts w:asciiTheme="minorHAnsi" w:hAnsiTheme="minorHAnsi" w:cstheme="minorHAnsi"/>
        </w:rPr>
        <w:t>Prostate cancer</w:t>
      </w:r>
    </w:p>
    <w:p w14:paraId="1DB2DBE6" w14:textId="3626A936" w:rsidR="00CB76BE" w:rsidRPr="005C3B2B" w:rsidRDefault="00CB76BE"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 w:val="0"/>
        </w:rPr>
      </w:pPr>
      <w:r w:rsidRPr="005C3B2B">
        <w:rPr>
          <w:rFonts w:asciiTheme="minorHAnsi" w:hAnsiTheme="minorHAnsi" w:cstheme="minorHAnsi"/>
          <w:b w:val="0"/>
        </w:rPr>
        <w:t xml:space="preserve">One prospective </w:t>
      </w:r>
      <w:r w:rsidR="00546C5C" w:rsidRPr="005C3B2B">
        <w:rPr>
          <w:rFonts w:asciiTheme="minorHAnsi" w:hAnsiTheme="minorHAnsi" w:cstheme="minorHAnsi"/>
          <w:b w:val="0"/>
        </w:rPr>
        <w:t xml:space="preserve">single-arm </w:t>
      </w:r>
      <w:r w:rsidRPr="005C3B2B">
        <w:rPr>
          <w:rFonts w:asciiTheme="minorHAnsi" w:hAnsiTheme="minorHAnsi" w:cstheme="minorHAnsi"/>
          <w:b w:val="0"/>
        </w:rPr>
        <w:t>case series</w:t>
      </w:r>
      <w:r w:rsidR="00751778" w:rsidRPr="005C3B2B">
        <w:rPr>
          <w:rFonts w:asciiTheme="minorHAnsi" w:hAnsiTheme="minorHAnsi" w:cstheme="minorHAnsi"/>
          <w:b w:val="0"/>
        </w:rPr>
        <w:t xml:space="preserve"> evaluated acute toxicit</w:t>
      </w:r>
      <w:r w:rsidR="00336552" w:rsidRPr="005C3B2B">
        <w:rPr>
          <w:rFonts w:asciiTheme="minorHAnsi" w:hAnsiTheme="minorHAnsi" w:cstheme="minorHAnsi"/>
          <w:b w:val="0"/>
        </w:rPr>
        <w:t>y</w:t>
      </w:r>
      <w:r w:rsidR="00751778" w:rsidRPr="005C3B2B">
        <w:rPr>
          <w:rFonts w:asciiTheme="minorHAnsi" w:hAnsiTheme="minorHAnsi" w:cstheme="minorHAnsi"/>
          <w:b w:val="0"/>
        </w:rPr>
        <w:t xml:space="preserve"> of </w:t>
      </w:r>
      <w:r w:rsidR="007E4D1F" w:rsidRPr="005C3B2B">
        <w:rPr>
          <w:rFonts w:asciiTheme="minorHAnsi" w:hAnsiTheme="minorHAnsi" w:cstheme="minorHAnsi"/>
          <w:b w:val="0"/>
        </w:rPr>
        <w:t>MR-IGRT in patients</w:t>
      </w:r>
      <w:r w:rsidR="002A5A21" w:rsidRPr="005C3B2B">
        <w:rPr>
          <w:rFonts w:asciiTheme="minorHAnsi" w:hAnsiTheme="minorHAnsi" w:cstheme="minorHAnsi"/>
          <w:b w:val="0"/>
        </w:rPr>
        <w:t xml:space="preserve"> with localised prostate cancer</w:t>
      </w:r>
      <w:r w:rsidR="007E4D1F" w:rsidRPr="005C3B2B">
        <w:rPr>
          <w:rFonts w:asciiTheme="minorHAnsi" w:hAnsiTheme="minorHAnsi" w:cstheme="minorHAnsi"/>
          <w:b w:val="0"/>
        </w:rPr>
        <w:t xml:space="preserve">, reporting </w:t>
      </w:r>
      <w:r w:rsidR="000012D2" w:rsidRPr="005C3B2B">
        <w:rPr>
          <w:rFonts w:asciiTheme="minorHAnsi" w:hAnsiTheme="minorHAnsi" w:cstheme="minorHAnsi"/>
          <w:b w:val="0"/>
        </w:rPr>
        <w:t>24% and 12%</w:t>
      </w:r>
      <w:r w:rsidR="00F108F7" w:rsidRPr="005C3B2B">
        <w:rPr>
          <w:rFonts w:asciiTheme="minorHAnsi" w:hAnsiTheme="minorHAnsi" w:cstheme="minorHAnsi"/>
          <w:b w:val="0"/>
        </w:rPr>
        <w:t xml:space="preserve"> of patients suffering </w:t>
      </w:r>
      <w:r w:rsidR="00F46C26" w:rsidRPr="005C3B2B">
        <w:rPr>
          <w:rFonts w:asciiTheme="minorHAnsi" w:hAnsiTheme="minorHAnsi" w:cstheme="minorHAnsi"/>
          <w:b w:val="0"/>
        </w:rPr>
        <w:t xml:space="preserve">grade 1 and 2 </w:t>
      </w:r>
      <w:r w:rsidR="00336552" w:rsidRPr="005C3B2B">
        <w:rPr>
          <w:rFonts w:asciiTheme="minorHAnsi" w:hAnsiTheme="minorHAnsi" w:cstheme="minorHAnsi"/>
          <w:b w:val="0"/>
        </w:rPr>
        <w:t>genitourinary (</w:t>
      </w:r>
      <w:r w:rsidR="00F46C26" w:rsidRPr="005C3B2B">
        <w:rPr>
          <w:rFonts w:asciiTheme="minorHAnsi" w:hAnsiTheme="minorHAnsi" w:cstheme="minorHAnsi"/>
          <w:b w:val="0"/>
        </w:rPr>
        <w:t>GU</w:t>
      </w:r>
      <w:r w:rsidR="00336552" w:rsidRPr="005C3B2B">
        <w:rPr>
          <w:rFonts w:asciiTheme="minorHAnsi" w:hAnsiTheme="minorHAnsi" w:cstheme="minorHAnsi"/>
          <w:b w:val="0"/>
        </w:rPr>
        <w:t>)</w:t>
      </w:r>
      <w:r w:rsidR="00F46C26" w:rsidRPr="005C3B2B">
        <w:rPr>
          <w:rFonts w:asciiTheme="minorHAnsi" w:hAnsiTheme="minorHAnsi" w:cstheme="minorHAnsi"/>
          <w:b w:val="0"/>
        </w:rPr>
        <w:t xml:space="preserve"> toxicity</w:t>
      </w:r>
      <w:r w:rsidR="00B82274" w:rsidRPr="005C3B2B">
        <w:rPr>
          <w:rFonts w:asciiTheme="minorHAnsi" w:hAnsiTheme="minorHAnsi" w:cstheme="minorHAnsi"/>
          <w:b w:val="0"/>
        </w:rPr>
        <w:t xml:space="preserve">, and </w:t>
      </w:r>
      <w:r w:rsidR="00136844" w:rsidRPr="005C3B2B">
        <w:rPr>
          <w:rFonts w:asciiTheme="minorHAnsi" w:hAnsiTheme="minorHAnsi" w:cstheme="minorHAnsi"/>
          <w:b w:val="0"/>
        </w:rPr>
        <w:t xml:space="preserve">8% and </w:t>
      </w:r>
      <w:r w:rsidR="00BB43EC" w:rsidRPr="005C3B2B">
        <w:rPr>
          <w:rFonts w:asciiTheme="minorHAnsi" w:hAnsiTheme="minorHAnsi" w:cstheme="minorHAnsi"/>
          <w:b w:val="0"/>
        </w:rPr>
        <w:t xml:space="preserve">4% of patients suffering </w:t>
      </w:r>
      <w:r w:rsidR="00B82274" w:rsidRPr="005C3B2B">
        <w:rPr>
          <w:rFonts w:asciiTheme="minorHAnsi" w:hAnsiTheme="minorHAnsi" w:cstheme="minorHAnsi"/>
          <w:b w:val="0"/>
        </w:rPr>
        <w:t xml:space="preserve">grade </w:t>
      </w:r>
      <w:r w:rsidR="00BB43EC" w:rsidRPr="005C3B2B">
        <w:rPr>
          <w:rFonts w:asciiTheme="minorHAnsi" w:hAnsiTheme="minorHAnsi" w:cstheme="minorHAnsi"/>
          <w:b w:val="0"/>
        </w:rPr>
        <w:t>1 and 2 gastrointestinal (GI) toxicity, respectively.</w:t>
      </w:r>
      <w:r w:rsidR="001778B1" w:rsidRPr="005C3B2B">
        <w:rPr>
          <w:rFonts w:asciiTheme="minorHAnsi" w:hAnsiTheme="minorHAnsi" w:cstheme="minorHAnsi"/>
          <w:b w:val="0"/>
        </w:rPr>
        <w:t xml:space="preserve"> No grade ≥3 events were encountered.</w:t>
      </w:r>
    </w:p>
    <w:p w14:paraId="27ED7A4D" w14:textId="10726BD0" w:rsidR="00C07AF8" w:rsidRPr="005C3B2B" w:rsidRDefault="00334DD2"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 w:val="0"/>
        </w:rPr>
      </w:pPr>
      <w:r w:rsidRPr="005C3B2B">
        <w:rPr>
          <w:rFonts w:asciiTheme="minorHAnsi" w:hAnsiTheme="minorHAnsi" w:cstheme="minorHAnsi"/>
          <w:b w:val="0"/>
        </w:rPr>
        <w:t>Thirty-three studies reported on the safety of CBCT-IGRT</w:t>
      </w:r>
      <w:r w:rsidR="000331F7" w:rsidRPr="005C3B2B">
        <w:rPr>
          <w:rFonts w:asciiTheme="minorHAnsi" w:hAnsiTheme="minorHAnsi" w:cstheme="minorHAnsi"/>
          <w:b w:val="0"/>
        </w:rPr>
        <w:t xml:space="preserve"> in </w:t>
      </w:r>
      <w:r w:rsidR="002A5A21" w:rsidRPr="005C3B2B">
        <w:rPr>
          <w:rFonts w:asciiTheme="minorHAnsi" w:hAnsiTheme="minorHAnsi" w:cstheme="minorHAnsi"/>
          <w:b w:val="0"/>
        </w:rPr>
        <w:t xml:space="preserve">patients with </w:t>
      </w:r>
      <w:r w:rsidR="001776E3" w:rsidRPr="005C3B2B">
        <w:rPr>
          <w:rFonts w:asciiTheme="minorHAnsi" w:hAnsiTheme="minorHAnsi" w:cstheme="minorHAnsi"/>
          <w:b w:val="0"/>
        </w:rPr>
        <w:t xml:space="preserve">prostate cancer. </w:t>
      </w:r>
      <w:r w:rsidR="002B5407" w:rsidRPr="005C3B2B">
        <w:rPr>
          <w:rFonts w:asciiTheme="minorHAnsi" w:hAnsiTheme="minorHAnsi" w:cstheme="minorHAnsi"/>
          <w:b w:val="0"/>
        </w:rPr>
        <w:t>Population</w:t>
      </w:r>
      <w:r w:rsidR="001776E3" w:rsidRPr="005C3B2B">
        <w:rPr>
          <w:rFonts w:asciiTheme="minorHAnsi" w:hAnsiTheme="minorHAnsi" w:cstheme="minorHAnsi"/>
          <w:b w:val="0"/>
        </w:rPr>
        <w:t xml:space="preserve"> characteristics ranged from localised </w:t>
      </w:r>
      <w:r w:rsidR="002B5407" w:rsidRPr="005C3B2B">
        <w:rPr>
          <w:rFonts w:asciiTheme="minorHAnsi" w:hAnsiTheme="minorHAnsi" w:cstheme="minorHAnsi"/>
          <w:b w:val="0"/>
        </w:rPr>
        <w:t xml:space="preserve">to </w:t>
      </w:r>
      <w:r w:rsidR="00A4226C" w:rsidRPr="005C3B2B">
        <w:rPr>
          <w:rFonts w:asciiTheme="minorHAnsi" w:hAnsiTheme="minorHAnsi" w:cstheme="minorHAnsi"/>
          <w:b w:val="0"/>
        </w:rPr>
        <w:t>locally</w:t>
      </w:r>
      <w:r w:rsidR="001D2F38" w:rsidRPr="005C3B2B">
        <w:rPr>
          <w:rFonts w:asciiTheme="minorHAnsi" w:hAnsiTheme="minorHAnsi" w:cstheme="minorHAnsi"/>
          <w:b w:val="0"/>
        </w:rPr>
        <w:t>-</w:t>
      </w:r>
      <w:r w:rsidR="00A4226C" w:rsidRPr="005C3B2B">
        <w:rPr>
          <w:rFonts w:asciiTheme="minorHAnsi" w:hAnsiTheme="minorHAnsi" w:cstheme="minorHAnsi"/>
          <w:b w:val="0"/>
        </w:rPr>
        <w:t>advanced</w:t>
      </w:r>
      <w:r w:rsidR="002B5407" w:rsidRPr="005C3B2B">
        <w:rPr>
          <w:rFonts w:asciiTheme="minorHAnsi" w:hAnsiTheme="minorHAnsi" w:cstheme="minorHAnsi"/>
          <w:b w:val="0"/>
        </w:rPr>
        <w:t xml:space="preserve"> disease, low</w:t>
      </w:r>
      <w:r w:rsidR="005B5E81" w:rsidRPr="005C3B2B">
        <w:rPr>
          <w:rFonts w:asciiTheme="minorHAnsi" w:hAnsiTheme="minorHAnsi" w:cstheme="minorHAnsi"/>
          <w:b w:val="0"/>
        </w:rPr>
        <w:t xml:space="preserve"> to high</w:t>
      </w:r>
      <w:r w:rsidR="00767689" w:rsidRPr="005C3B2B">
        <w:rPr>
          <w:rFonts w:asciiTheme="minorHAnsi" w:hAnsiTheme="minorHAnsi" w:cstheme="minorHAnsi"/>
          <w:b w:val="0"/>
        </w:rPr>
        <w:t xml:space="preserve"> risk, </w:t>
      </w:r>
      <w:r w:rsidR="00F70B23" w:rsidRPr="005C3B2B">
        <w:rPr>
          <w:rFonts w:asciiTheme="minorHAnsi" w:hAnsiTheme="minorHAnsi" w:cstheme="minorHAnsi"/>
          <w:b w:val="0"/>
        </w:rPr>
        <w:t>newly</w:t>
      </w:r>
      <w:r w:rsidR="001D2F38" w:rsidRPr="005C3B2B">
        <w:rPr>
          <w:rFonts w:asciiTheme="minorHAnsi" w:hAnsiTheme="minorHAnsi" w:cstheme="minorHAnsi"/>
          <w:b w:val="0"/>
        </w:rPr>
        <w:t>-</w:t>
      </w:r>
      <w:r w:rsidR="00F70B23" w:rsidRPr="005C3B2B">
        <w:rPr>
          <w:rFonts w:asciiTheme="minorHAnsi" w:hAnsiTheme="minorHAnsi" w:cstheme="minorHAnsi"/>
          <w:b w:val="0"/>
        </w:rPr>
        <w:t>diagnosed</w:t>
      </w:r>
      <w:r w:rsidR="005A6943" w:rsidRPr="005C3B2B">
        <w:rPr>
          <w:rFonts w:asciiTheme="minorHAnsi" w:hAnsiTheme="minorHAnsi" w:cstheme="minorHAnsi"/>
          <w:b w:val="0"/>
        </w:rPr>
        <w:t xml:space="preserve"> or relapsing disease, and </w:t>
      </w:r>
      <w:r w:rsidR="00F701D2" w:rsidRPr="005C3B2B">
        <w:rPr>
          <w:rFonts w:asciiTheme="minorHAnsi" w:hAnsiTheme="minorHAnsi" w:cstheme="minorHAnsi"/>
          <w:b w:val="0"/>
        </w:rPr>
        <w:t xml:space="preserve">both radical or post-radical prostatectomy radiation therapy. </w:t>
      </w:r>
      <w:r w:rsidR="00647259" w:rsidRPr="005C3B2B">
        <w:rPr>
          <w:rFonts w:asciiTheme="minorHAnsi" w:hAnsiTheme="minorHAnsi" w:cstheme="minorHAnsi"/>
          <w:b w:val="0"/>
        </w:rPr>
        <w:t xml:space="preserve">Both acute and late </w:t>
      </w:r>
      <w:r w:rsidR="001C10A4" w:rsidRPr="005C3B2B">
        <w:rPr>
          <w:rFonts w:asciiTheme="minorHAnsi" w:hAnsiTheme="minorHAnsi" w:cstheme="minorHAnsi"/>
          <w:b w:val="0"/>
        </w:rPr>
        <w:t xml:space="preserve">treatment-related </w:t>
      </w:r>
      <w:r w:rsidR="00647259" w:rsidRPr="005C3B2B">
        <w:rPr>
          <w:rFonts w:asciiTheme="minorHAnsi" w:hAnsiTheme="minorHAnsi" w:cstheme="minorHAnsi"/>
          <w:b w:val="0"/>
        </w:rPr>
        <w:t xml:space="preserve">toxicity </w:t>
      </w:r>
      <w:r w:rsidR="001C10A4" w:rsidRPr="005C3B2B">
        <w:rPr>
          <w:rFonts w:asciiTheme="minorHAnsi" w:hAnsiTheme="minorHAnsi" w:cstheme="minorHAnsi"/>
          <w:b w:val="0"/>
        </w:rPr>
        <w:t>was reported</w:t>
      </w:r>
      <w:r w:rsidR="00457BD8" w:rsidRPr="005C3B2B">
        <w:rPr>
          <w:rFonts w:asciiTheme="minorHAnsi" w:hAnsiTheme="minorHAnsi" w:cstheme="minorHAnsi"/>
          <w:b w:val="0"/>
        </w:rPr>
        <w:t>, mostly of grade 1-2. Grade ≥3 events were rare</w:t>
      </w:r>
      <w:r w:rsidR="002D6F5B" w:rsidRPr="005C3B2B">
        <w:rPr>
          <w:rFonts w:asciiTheme="minorHAnsi" w:hAnsiTheme="minorHAnsi" w:cstheme="minorHAnsi"/>
          <w:b w:val="0"/>
        </w:rPr>
        <w:t xml:space="preserve">, and reported in less than 5% of patients </w:t>
      </w:r>
      <w:r w:rsidR="008C34F7" w:rsidRPr="005C3B2B">
        <w:rPr>
          <w:rFonts w:asciiTheme="minorHAnsi" w:hAnsiTheme="minorHAnsi" w:cstheme="minorHAnsi"/>
          <w:b w:val="0"/>
        </w:rPr>
        <w:t xml:space="preserve">except for one study which reported grade 3 GU toxicity in 6/69 </w:t>
      </w:r>
      <w:r w:rsidR="008C34F7" w:rsidRPr="005C3B2B">
        <w:rPr>
          <w:rFonts w:asciiTheme="minorHAnsi" w:hAnsiTheme="minorHAnsi" w:cstheme="minorHAnsi"/>
          <w:b w:val="0"/>
        </w:rPr>
        <w:lastRenderedPageBreak/>
        <w:t>(9%) patients</w:t>
      </w:r>
      <w:r w:rsidR="00632AEE" w:rsidRPr="005C3B2B">
        <w:rPr>
          <w:rFonts w:asciiTheme="minorHAnsi" w:hAnsiTheme="minorHAnsi" w:cstheme="minorHAnsi"/>
          <w:b w:val="0"/>
        </w:rPr>
        <w:t xml:space="preserve"> </w:t>
      </w:r>
      <w:r w:rsidR="005342CE" w:rsidRPr="005C3B2B">
        <w:rPr>
          <w:rFonts w:asciiTheme="minorHAnsi" w:hAnsiTheme="minorHAnsi" w:cstheme="minorHAnsi"/>
          <w:b w:val="0"/>
        </w:rPr>
        <w:t xml:space="preserve">receiving </w:t>
      </w:r>
      <w:r w:rsidR="00A95852" w:rsidRPr="005C3B2B">
        <w:rPr>
          <w:rFonts w:asciiTheme="minorHAnsi" w:hAnsiTheme="minorHAnsi" w:cstheme="minorHAnsi"/>
          <w:b w:val="0"/>
        </w:rPr>
        <w:t xml:space="preserve">dose-escalated </w:t>
      </w:r>
      <w:r w:rsidR="005342CE" w:rsidRPr="005C3B2B">
        <w:rPr>
          <w:rFonts w:asciiTheme="minorHAnsi" w:hAnsiTheme="minorHAnsi" w:cstheme="minorHAnsi"/>
          <w:b w:val="0"/>
        </w:rPr>
        <w:t xml:space="preserve">salvage radiotherapy </w:t>
      </w:r>
      <w:r w:rsidR="00556B43" w:rsidRPr="005C3B2B">
        <w:rPr>
          <w:rFonts w:asciiTheme="minorHAnsi" w:hAnsiTheme="minorHAnsi" w:cstheme="minorHAnsi"/>
          <w:b w:val="0"/>
        </w:rPr>
        <w:t>after radical prostatectomy and macroscopic local recurrence</w:t>
      </w:r>
      <w:r w:rsidR="00457BD8" w:rsidRPr="005C3B2B">
        <w:rPr>
          <w:rFonts w:asciiTheme="minorHAnsi" w:hAnsiTheme="minorHAnsi" w:cstheme="minorHAnsi"/>
          <w:b w:val="0"/>
        </w:rPr>
        <w:t>.</w:t>
      </w:r>
    </w:p>
    <w:p w14:paraId="20EDA632" w14:textId="3C8A7D16" w:rsidR="00D11FEF" w:rsidRPr="005C3B2B" w:rsidRDefault="00D11FEF"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Cs/>
        </w:rPr>
      </w:pPr>
      <w:r w:rsidRPr="005C3B2B">
        <w:rPr>
          <w:rFonts w:asciiTheme="minorHAnsi" w:hAnsiTheme="minorHAnsi" w:cstheme="minorHAnsi"/>
          <w:bCs/>
        </w:rPr>
        <w:t>Abdominal malignancies</w:t>
      </w:r>
    </w:p>
    <w:p w14:paraId="1BF7842D" w14:textId="201E5504" w:rsidR="000B1B24" w:rsidRPr="005C3B2B" w:rsidRDefault="00DE0821"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 w:val="0"/>
          <w:bCs/>
        </w:rPr>
      </w:pPr>
      <w:r w:rsidRPr="005C3B2B">
        <w:rPr>
          <w:rFonts w:asciiTheme="minorHAnsi" w:hAnsiTheme="minorHAnsi" w:cstheme="minorHAnsi"/>
          <w:b w:val="0"/>
          <w:bCs/>
        </w:rPr>
        <w:t>Three</w:t>
      </w:r>
      <w:r w:rsidR="003D650D" w:rsidRPr="005C3B2B">
        <w:rPr>
          <w:rFonts w:asciiTheme="minorHAnsi" w:hAnsiTheme="minorHAnsi" w:cstheme="minorHAnsi"/>
          <w:b w:val="0"/>
          <w:bCs/>
        </w:rPr>
        <w:t xml:space="preserve"> case series evaluated the safety of </w:t>
      </w:r>
      <w:r w:rsidR="00D71A42" w:rsidRPr="005C3B2B">
        <w:rPr>
          <w:rFonts w:asciiTheme="minorHAnsi" w:hAnsiTheme="minorHAnsi" w:cstheme="minorHAnsi"/>
          <w:b w:val="0"/>
          <w:bCs/>
        </w:rPr>
        <w:t>M</w:t>
      </w:r>
      <w:r w:rsidR="003D650D" w:rsidRPr="005C3B2B">
        <w:rPr>
          <w:rFonts w:asciiTheme="minorHAnsi" w:hAnsiTheme="minorHAnsi" w:cstheme="minorHAnsi"/>
          <w:b w:val="0"/>
          <w:bCs/>
        </w:rPr>
        <w:t xml:space="preserve">R-guided SBRT for abdominal malignancies (liver or non-liver, primary or metastatic lesions). </w:t>
      </w:r>
      <w:r w:rsidR="009F7628" w:rsidRPr="005C3B2B">
        <w:rPr>
          <w:rFonts w:asciiTheme="minorHAnsi" w:hAnsiTheme="minorHAnsi" w:cstheme="minorHAnsi"/>
          <w:b w:val="0"/>
          <w:bCs/>
        </w:rPr>
        <w:t xml:space="preserve">One study reported </w:t>
      </w:r>
      <w:r w:rsidR="00042E93" w:rsidRPr="005C3B2B">
        <w:rPr>
          <w:rFonts w:asciiTheme="minorHAnsi" w:hAnsiTheme="minorHAnsi" w:cstheme="minorHAnsi"/>
          <w:b w:val="0"/>
          <w:bCs/>
        </w:rPr>
        <w:t xml:space="preserve">2/20 (10%) of patients experiencing acute grade 1 GI toxicity, one study reported </w:t>
      </w:r>
      <w:r w:rsidR="006277EB" w:rsidRPr="005C3B2B">
        <w:rPr>
          <w:rFonts w:asciiTheme="minorHAnsi" w:hAnsiTheme="minorHAnsi" w:cstheme="minorHAnsi"/>
          <w:b w:val="0"/>
          <w:bCs/>
        </w:rPr>
        <w:t>acute grade 2 toxicity in</w:t>
      </w:r>
      <w:r w:rsidR="00042E93" w:rsidRPr="005C3B2B">
        <w:rPr>
          <w:rFonts w:asciiTheme="minorHAnsi" w:hAnsiTheme="minorHAnsi" w:cstheme="minorHAnsi"/>
          <w:b w:val="0"/>
          <w:bCs/>
        </w:rPr>
        <w:t xml:space="preserve"> </w:t>
      </w:r>
      <w:r w:rsidR="006277EB" w:rsidRPr="005C3B2B">
        <w:rPr>
          <w:rFonts w:asciiTheme="minorHAnsi" w:hAnsiTheme="minorHAnsi" w:cstheme="minorHAnsi"/>
          <w:b w:val="0"/>
          <w:bCs/>
        </w:rPr>
        <w:t>5% of patients</w:t>
      </w:r>
      <w:r w:rsidR="00F3492B" w:rsidRPr="005C3B2B">
        <w:rPr>
          <w:rFonts w:asciiTheme="minorHAnsi" w:hAnsiTheme="minorHAnsi" w:cstheme="minorHAnsi"/>
          <w:b w:val="0"/>
          <w:bCs/>
        </w:rPr>
        <w:t xml:space="preserve"> and no a</w:t>
      </w:r>
      <w:r w:rsidR="00667CB2" w:rsidRPr="005C3B2B">
        <w:rPr>
          <w:rFonts w:asciiTheme="minorHAnsi" w:hAnsiTheme="minorHAnsi" w:cstheme="minorHAnsi"/>
          <w:b w:val="0"/>
          <w:bCs/>
        </w:rPr>
        <w:t xml:space="preserve">cute </w:t>
      </w:r>
      <w:r w:rsidR="00F3492B" w:rsidRPr="005C3B2B">
        <w:rPr>
          <w:rFonts w:asciiTheme="minorHAnsi" w:hAnsiTheme="minorHAnsi" w:cstheme="minorHAnsi"/>
          <w:b w:val="0"/>
          <w:bCs/>
        </w:rPr>
        <w:t>grade 3</w:t>
      </w:r>
      <w:r w:rsidR="00667CB2" w:rsidRPr="005C3B2B">
        <w:rPr>
          <w:rFonts w:asciiTheme="minorHAnsi" w:hAnsiTheme="minorHAnsi" w:cstheme="minorHAnsi"/>
          <w:b w:val="0"/>
          <w:bCs/>
        </w:rPr>
        <w:t xml:space="preserve"> and no late treatment-related toxicity.</w:t>
      </w:r>
      <w:r w:rsidR="006277EB" w:rsidRPr="005C3B2B">
        <w:rPr>
          <w:rFonts w:asciiTheme="minorHAnsi" w:hAnsiTheme="minorHAnsi" w:cstheme="minorHAnsi"/>
          <w:b w:val="0"/>
          <w:bCs/>
        </w:rPr>
        <w:t xml:space="preserve"> </w:t>
      </w:r>
      <w:r w:rsidR="00812AAD" w:rsidRPr="005C3B2B">
        <w:rPr>
          <w:rFonts w:asciiTheme="minorHAnsi" w:hAnsiTheme="minorHAnsi" w:cstheme="minorHAnsi"/>
          <w:b w:val="0"/>
          <w:bCs/>
        </w:rPr>
        <w:t xml:space="preserve">One study reported </w:t>
      </w:r>
      <w:r w:rsidR="00C856E1" w:rsidRPr="005C3B2B">
        <w:rPr>
          <w:rFonts w:asciiTheme="minorHAnsi" w:hAnsiTheme="minorHAnsi" w:cstheme="minorHAnsi"/>
          <w:b w:val="0"/>
          <w:bCs/>
        </w:rPr>
        <w:t xml:space="preserve">acute </w:t>
      </w:r>
      <w:r w:rsidR="0079235B" w:rsidRPr="005C3B2B">
        <w:rPr>
          <w:rFonts w:asciiTheme="minorHAnsi" w:hAnsiTheme="minorHAnsi" w:cstheme="minorHAnsi"/>
          <w:b w:val="0"/>
          <w:bCs/>
        </w:rPr>
        <w:t xml:space="preserve">cumulative </w:t>
      </w:r>
      <w:r w:rsidR="00C856E1" w:rsidRPr="005C3B2B">
        <w:rPr>
          <w:rFonts w:asciiTheme="minorHAnsi" w:hAnsiTheme="minorHAnsi" w:cstheme="minorHAnsi"/>
          <w:b w:val="0"/>
          <w:bCs/>
        </w:rPr>
        <w:t>grade ≥3 GI toxicity</w:t>
      </w:r>
      <w:r w:rsidR="000B1B24" w:rsidRPr="005C3B2B">
        <w:rPr>
          <w:rFonts w:asciiTheme="minorHAnsi" w:hAnsiTheme="minorHAnsi" w:cstheme="minorHAnsi"/>
          <w:b w:val="0"/>
          <w:bCs/>
        </w:rPr>
        <w:t xml:space="preserve"> of 7%. </w:t>
      </w:r>
    </w:p>
    <w:p w14:paraId="030F12D8" w14:textId="2C41F224" w:rsidR="000B1B24" w:rsidRPr="005C3B2B" w:rsidRDefault="008F1ED2"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 w:val="0"/>
          <w:bCs/>
        </w:rPr>
      </w:pPr>
      <w:r w:rsidRPr="005C3B2B">
        <w:rPr>
          <w:rFonts w:asciiTheme="minorHAnsi" w:hAnsiTheme="minorHAnsi" w:cstheme="minorHAnsi"/>
          <w:b w:val="0"/>
          <w:bCs/>
        </w:rPr>
        <w:t xml:space="preserve">Seven </w:t>
      </w:r>
      <w:r w:rsidR="00FC3D5E" w:rsidRPr="005C3B2B">
        <w:rPr>
          <w:rFonts w:asciiTheme="minorHAnsi" w:hAnsiTheme="minorHAnsi" w:cstheme="minorHAnsi"/>
          <w:b w:val="0"/>
          <w:bCs/>
        </w:rPr>
        <w:t xml:space="preserve">retrospective case series and one prospective </w:t>
      </w:r>
      <w:r w:rsidR="008D7458" w:rsidRPr="005C3B2B">
        <w:rPr>
          <w:rFonts w:asciiTheme="minorHAnsi" w:hAnsiTheme="minorHAnsi" w:cstheme="minorHAnsi"/>
          <w:b w:val="0"/>
          <w:bCs/>
        </w:rPr>
        <w:t>trial</w:t>
      </w:r>
      <w:r w:rsidR="009A4323" w:rsidRPr="005C3B2B">
        <w:rPr>
          <w:rFonts w:asciiTheme="minorHAnsi" w:hAnsiTheme="minorHAnsi" w:cstheme="minorHAnsi"/>
          <w:b w:val="0"/>
          <w:bCs/>
        </w:rPr>
        <w:t xml:space="preserve"> on the safety</w:t>
      </w:r>
      <w:r w:rsidR="008D7458" w:rsidRPr="005C3B2B">
        <w:rPr>
          <w:rFonts w:asciiTheme="minorHAnsi" w:hAnsiTheme="minorHAnsi" w:cstheme="minorHAnsi"/>
          <w:b w:val="0"/>
          <w:bCs/>
        </w:rPr>
        <w:t xml:space="preserve"> of CBCT-guided SBRT </w:t>
      </w:r>
      <w:r w:rsidR="009A4323" w:rsidRPr="005C3B2B">
        <w:rPr>
          <w:rFonts w:asciiTheme="minorHAnsi" w:hAnsiTheme="minorHAnsi" w:cstheme="minorHAnsi"/>
          <w:b w:val="0"/>
          <w:bCs/>
        </w:rPr>
        <w:t>in abdominal malignancies (</w:t>
      </w:r>
      <w:r w:rsidR="009907DA" w:rsidRPr="005C3B2B">
        <w:rPr>
          <w:rFonts w:asciiTheme="minorHAnsi" w:hAnsiTheme="minorHAnsi" w:cstheme="minorHAnsi"/>
          <w:b w:val="0"/>
          <w:bCs/>
        </w:rPr>
        <w:t xml:space="preserve">liver, pancreas, oligometastases) </w:t>
      </w:r>
      <w:r w:rsidR="008D7458" w:rsidRPr="005C3B2B">
        <w:rPr>
          <w:rFonts w:asciiTheme="minorHAnsi" w:hAnsiTheme="minorHAnsi" w:cstheme="minorHAnsi"/>
          <w:b w:val="0"/>
          <w:bCs/>
        </w:rPr>
        <w:t xml:space="preserve">were </w:t>
      </w:r>
      <w:r w:rsidR="009A4323" w:rsidRPr="005C3B2B">
        <w:rPr>
          <w:rFonts w:asciiTheme="minorHAnsi" w:hAnsiTheme="minorHAnsi" w:cstheme="minorHAnsi"/>
          <w:b w:val="0"/>
          <w:bCs/>
        </w:rPr>
        <w:t>identified.</w:t>
      </w:r>
      <w:r w:rsidR="00AD319F" w:rsidRPr="005C3B2B">
        <w:rPr>
          <w:rFonts w:asciiTheme="minorHAnsi" w:hAnsiTheme="minorHAnsi" w:cstheme="minorHAnsi"/>
          <w:b w:val="0"/>
          <w:bCs/>
        </w:rPr>
        <w:t xml:space="preserve"> </w:t>
      </w:r>
      <w:r w:rsidR="00F91689" w:rsidRPr="005C3B2B">
        <w:rPr>
          <w:rFonts w:asciiTheme="minorHAnsi" w:hAnsiTheme="minorHAnsi" w:cstheme="minorHAnsi"/>
          <w:b w:val="0"/>
          <w:bCs/>
        </w:rPr>
        <w:t>No a</w:t>
      </w:r>
      <w:r w:rsidR="00AD319F" w:rsidRPr="005C3B2B">
        <w:rPr>
          <w:rFonts w:asciiTheme="minorHAnsi" w:hAnsiTheme="minorHAnsi" w:cstheme="minorHAnsi"/>
          <w:b w:val="0"/>
          <w:bCs/>
        </w:rPr>
        <w:t xml:space="preserve">cute </w:t>
      </w:r>
      <w:r w:rsidR="005A40AD" w:rsidRPr="005C3B2B">
        <w:rPr>
          <w:rFonts w:asciiTheme="minorHAnsi" w:hAnsiTheme="minorHAnsi" w:cstheme="minorHAnsi"/>
          <w:b w:val="0"/>
          <w:bCs/>
        </w:rPr>
        <w:t xml:space="preserve">toxicity grade ≥3 was </w:t>
      </w:r>
      <w:r w:rsidR="00F91689" w:rsidRPr="005C3B2B">
        <w:rPr>
          <w:rFonts w:asciiTheme="minorHAnsi" w:hAnsiTheme="minorHAnsi" w:cstheme="minorHAnsi"/>
          <w:b w:val="0"/>
          <w:bCs/>
        </w:rPr>
        <w:t xml:space="preserve">found in </w:t>
      </w:r>
      <w:r w:rsidR="00546C5C" w:rsidRPr="005C3B2B">
        <w:rPr>
          <w:rFonts w:asciiTheme="minorHAnsi" w:hAnsiTheme="minorHAnsi" w:cstheme="minorHAnsi"/>
          <w:b w:val="0"/>
          <w:bCs/>
        </w:rPr>
        <w:t>seven</w:t>
      </w:r>
      <w:r w:rsidR="00F91689" w:rsidRPr="005C3B2B">
        <w:rPr>
          <w:rFonts w:asciiTheme="minorHAnsi" w:hAnsiTheme="minorHAnsi" w:cstheme="minorHAnsi"/>
          <w:b w:val="0"/>
          <w:bCs/>
        </w:rPr>
        <w:t xml:space="preserve"> studies, and </w:t>
      </w:r>
      <w:r w:rsidR="006D24E1" w:rsidRPr="005C3B2B">
        <w:rPr>
          <w:rFonts w:asciiTheme="minorHAnsi" w:hAnsiTheme="minorHAnsi" w:cstheme="minorHAnsi"/>
          <w:b w:val="0"/>
          <w:bCs/>
        </w:rPr>
        <w:t xml:space="preserve">one study reported </w:t>
      </w:r>
      <w:r w:rsidR="00F91689" w:rsidRPr="005C3B2B">
        <w:rPr>
          <w:rFonts w:asciiTheme="minorHAnsi" w:hAnsiTheme="minorHAnsi" w:cstheme="minorHAnsi"/>
          <w:b w:val="0"/>
          <w:bCs/>
        </w:rPr>
        <w:t xml:space="preserve">acute toxicity grade ≥3 was found </w:t>
      </w:r>
      <w:r w:rsidR="006D24E1" w:rsidRPr="005C3B2B">
        <w:rPr>
          <w:rFonts w:asciiTheme="minorHAnsi" w:hAnsiTheme="minorHAnsi" w:cstheme="minorHAnsi"/>
          <w:b w:val="0"/>
          <w:bCs/>
        </w:rPr>
        <w:t>in</w:t>
      </w:r>
      <w:r w:rsidR="00F91689" w:rsidRPr="005C3B2B">
        <w:rPr>
          <w:rFonts w:asciiTheme="minorHAnsi" w:hAnsiTheme="minorHAnsi" w:cstheme="minorHAnsi"/>
          <w:b w:val="0"/>
          <w:bCs/>
        </w:rPr>
        <w:t xml:space="preserve"> </w:t>
      </w:r>
      <w:r w:rsidR="007F2737" w:rsidRPr="005C3B2B">
        <w:rPr>
          <w:rFonts w:asciiTheme="minorHAnsi" w:hAnsiTheme="minorHAnsi" w:cstheme="minorHAnsi"/>
          <w:b w:val="0"/>
          <w:bCs/>
        </w:rPr>
        <w:t>&lt;1%</w:t>
      </w:r>
      <w:r w:rsidR="006D24E1" w:rsidRPr="005C3B2B">
        <w:rPr>
          <w:rFonts w:asciiTheme="minorHAnsi" w:hAnsiTheme="minorHAnsi" w:cstheme="minorHAnsi"/>
          <w:b w:val="0"/>
          <w:bCs/>
        </w:rPr>
        <w:t xml:space="preserve"> of </w:t>
      </w:r>
      <w:r w:rsidR="004A6763" w:rsidRPr="005C3B2B">
        <w:rPr>
          <w:rFonts w:asciiTheme="minorHAnsi" w:hAnsiTheme="minorHAnsi" w:cstheme="minorHAnsi"/>
          <w:b w:val="0"/>
          <w:bCs/>
        </w:rPr>
        <w:t>patients treated for liver metastases</w:t>
      </w:r>
      <w:r w:rsidR="007F2737" w:rsidRPr="005C3B2B">
        <w:rPr>
          <w:rFonts w:asciiTheme="minorHAnsi" w:hAnsiTheme="minorHAnsi" w:cstheme="minorHAnsi"/>
          <w:b w:val="0"/>
          <w:bCs/>
        </w:rPr>
        <w:t>.</w:t>
      </w:r>
      <w:r w:rsidR="00793B6D" w:rsidRPr="005C3B2B">
        <w:rPr>
          <w:rFonts w:asciiTheme="minorHAnsi" w:hAnsiTheme="minorHAnsi" w:cstheme="minorHAnsi"/>
          <w:b w:val="0"/>
          <w:bCs/>
        </w:rPr>
        <w:t xml:space="preserve"> Similarly, </w:t>
      </w:r>
      <w:r w:rsidR="00546C5C" w:rsidRPr="005C3B2B">
        <w:rPr>
          <w:rFonts w:asciiTheme="minorHAnsi" w:hAnsiTheme="minorHAnsi" w:cstheme="minorHAnsi"/>
          <w:b w:val="0"/>
          <w:bCs/>
        </w:rPr>
        <w:t>seven</w:t>
      </w:r>
      <w:r w:rsidR="00793B6D" w:rsidRPr="005C3B2B">
        <w:rPr>
          <w:rFonts w:asciiTheme="minorHAnsi" w:hAnsiTheme="minorHAnsi" w:cstheme="minorHAnsi"/>
          <w:b w:val="0"/>
          <w:bCs/>
        </w:rPr>
        <w:t xml:space="preserve"> studies observed no cases of late toxicity grade ≥3, whereas one study observed </w:t>
      </w:r>
      <w:r w:rsidR="00FF2DCF" w:rsidRPr="005C3B2B">
        <w:rPr>
          <w:rFonts w:asciiTheme="minorHAnsi" w:hAnsiTheme="minorHAnsi" w:cstheme="minorHAnsi"/>
          <w:b w:val="0"/>
          <w:bCs/>
        </w:rPr>
        <w:t xml:space="preserve">late </w:t>
      </w:r>
      <w:r w:rsidR="00633E79" w:rsidRPr="005C3B2B">
        <w:rPr>
          <w:rFonts w:asciiTheme="minorHAnsi" w:hAnsiTheme="minorHAnsi" w:cstheme="minorHAnsi"/>
          <w:b w:val="0"/>
          <w:bCs/>
        </w:rPr>
        <w:t>grade ≥3 toxicity in 4/47</w:t>
      </w:r>
      <w:r w:rsidR="00E53B59" w:rsidRPr="005C3B2B">
        <w:rPr>
          <w:rFonts w:asciiTheme="minorHAnsi" w:hAnsiTheme="minorHAnsi" w:cstheme="minorHAnsi"/>
          <w:b w:val="0"/>
          <w:bCs/>
        </w:rPr>
        <w:t xml:space="preserve"> (9%)</w:t>
      </w:r>
      <w:r w:rsidR="00633E79" w:rsidRPr="005C3B2B">
        <w:rPr>
          <w:rFonts w:asciiTheme="minorHAnsi" w:hAnsiTheme="minorHAnsi" w:cstheme="minorHAnsi"/>
          <w:b w:val="0"/>
          <w:bCs/>
        </w:rPr>
        <w:t xml:space="preserve"> patients with abdominopelvic tumours, one of them being of grade 5.</w:t>
      </w:r>
    </w:p>
    <w:p w14:paraId="118DDA20" w14:textId="01966E38" w:rsidR="00D11FEF" w:rsidRPr="005C3B2B" w:rsidRDefault="00D11FEF"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rPr>
      </w:pPr>
      <w:r w:rsidRPr="005C3B2B">
        <w:rPr>
          <w:rFonts w:asciiTheme="minorHAnsi" w:hAnsiTheme="minorHAnsi" w:cstheme="minorHAnsi"/>
        </w:rPr>
        <w:t>Head and neck cancer</w:t>
      </w:r>
    </w:p>
    <w:p w14:paraId="7323BD39" w14:textId="521294E5" w:rsidR="001359B2" w:rsidRPr="005C3B2B" w:rsidRDefault="00843838"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 w:val="0"/>
        </w:rPr>
      </w:pPr>
      <w:r w:rsidRPr="005C3B2B">
        <w:rPr>
          <w:rFonts w:asciiTheme="minorHAnsi" w:hAnsiTheme="minorHAnsi" w:cstheme="minorHAnsi"/>
          <w:b w:val="0"/>
        </w:rPr>
        <w:t>One prospective</w:t>
      </w:r>
      <w:r w:rsidR="00546C5C" w:rsidRPr="005C3B2B">
        <w:rPr>
          <w:rFonts w:asciiTheme="minorHAnsi" w:hAnsiTheme="minorHAnsi" w:cstheme="minorHAnsi"/>
          <w:b w:val="0"/>
        </w:rPr>
        <w:t xml:space="preserve"> single-arm</w:t>
      </w:r>
      <w:r w:rsidRPr="005C3B2B">
        <w:rPr>
          <w:rFonts w:asciiTheme="minorHAnsi" w:hAnsiTheme="minorHAnsi" w:cstheme="minorHAnsi"/>
          <w:b w:val="0"/>
        </w:rPr>
        <w:t xml:space="preserve"> case series evaluated the safety of MR-IGRT in </w:t>
      </w:r>
      <w:r w:rsidR="002A5A21" w:rsidRPr="005C3B2B">
        <w:rPr>
          <w:rFonts w:asciiTheme="minorHAnsi" w:hAnsiTheme="minorHAnsi" w:cstheme="minorHAnsi"/>
          <w:b w:val="0"/>
        </w:rPr>
        <w:t xml:space="preserve">patients with </w:t>
      </w:r>
      <w:r w:rsidRPr="005C3B2B">
        <w:rPr>
          <w:rFonts w:asciiTheme="minorHAnsi" w:hAnsiTheme="minorHAnsi" w:cstheme="minorHAnsi"/>
          <w:b w:val="0"/>
        </w:rPr>
        <w:t>head and neck cancer.</w:t>
      </w:r>
      <w:r w:rsidR="006F2C7A" w:rsidRPr="005C3B2B">
        <w:rPr>
          <w:rFonts w:asciiTheme="minorHAnsi" w:hAnsiTheme="minorHAnsi" w:cstheme="minorHAnsi"/>
          <w:b w:val="0"/>
        </w:rPr>
        <w:t xml:space="preserve"> </w:t>
      </w:r>
      <w:r w:rsidR="00894669" w:rsidRPr="005C3B2B">
        <w:rPr>
          <w:rFonts w:asciiTheme="minorHAnsi" w:hAnsiTheme="minorHAnsi" w:cstheme="minorHAnsi"/>
          <w:b w:val="0"/>
        </w:rPr>
        <w:t>A total of 44%</w:t>
      </w:r>
      <w:r w:rsidR="00F37A6D" w:rsidRPr="005C3B2B">
        <w:rPr>
          <w:rFonts w:asciiTheme="minorHAnsi" w:hAnsiTheme="minorHAnsi" w:cstheme="minorHAnsi"/>
          <w:b w:val="0"/>
        </w:rPr>
        <w:t xml:space="preserve"> of patients experienced acute grade 3 toxicity.</w:t>
      </w:r>
    </w:p>
    <w:p w14:paraId="6DED6DBB" w14:textId="2DE6F5DA" w:rsidR="00F37A6D" w:rsidRPr="005C3B2B" w:rsidRDefault="007E029B"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 w:val="0"/>
        </w:rPr>
      </w:pPr>
      <w:r w:rsidRPr="005C3B2B">
        <w:rPr>
          <w:rFonts w:asciiTheme="minorHAnsi" w:hAnsiTheme="minorHAnsi" w:cstheme="minorHAnsi"/>
          <w:b w:val="0"/>
        </w:rPr>
        <w:t xml:space="preserve">One </w:t>
      </w:r>
      <w:r w:rsidR="009C4245" w:rsidRPr="005C3B2B">
        <w:rPr>
          <w:rFonts w:asciiTheme="minorHAnsi" w:hAnsiTheme="minorHAnsi" w:cstheme="minorHAnsi"/>
          <w:b w:val="0"/>
        </w:rPr>
        <w:t xml:space="preserve">cohort </w:t>
      </w:r>
      <w:r w:rsidR="00B305B2" w:rsidRPr="005C3B2B">
        <w:rPr>
          <w:rFonts w:asciiTheme="minorHAnsi" w:hAnsiTheme="minorHAnsi" w:cstheme="minorHAnsi"/>
          <w:b w:val="0"/>
        </w:rPr>
        <w:t xml:space="preserve">study </w:t>
      </w:r>
      <w:r w:rsidR="009C4245" w:rsidRPr="005C3B2B">
        <w:rPr>
          <w:rFonts w:asciiTheme="minorHAnsi" w:hAnsiTheme="minorHAnsi" w:cstheme="minorHAnsi"/>
          <w:b w:val="0"/>
        </w:rPr>
        <w:t xml:space="preserve">reporting on </w:t>
      </w:r>
      <w:r w:rsidRPr="005C3B2B">
        <w:rPr>
          <w:rFonts w:asciiTheme="minorHAnsi" w:hAnsiTheme="minorHAnsi" w:cstheme="minorHAnsi"/>
          <w:b w:val="0"/>
        </w:rPr>
        <w:t xml:space="preserve">the safety of </w:t>
      </w:r>
      <w:r w:rsidR="009C4245" w:rsidRPr="005C3B2B">
        <w:rPr>
          <w:rFonts w:asciiTheme="minorHAnsi" w:hAnsiTheme="minorHAnsi" w:cstheme="minorHAnsi"/>
          <w:b w:val="0"/>
        </w:rPr>
        <w:t>CBCT-IGRT in head and neck cancer was identified.</w:t>
      </w:r>
      <w:r w:rsidR="0041744A" w:rsidRPr="005C3B2B">
        <w:rPr>
          <w:rFonts w:asciiTheme="minorHAnsi" w:hAnsiTheme="minorHAnsi" w:cstheme="minorHAnsi"/>
          <w:b w:val="0"/>
        </w:rPr>
        <w:t xml:space="preserve"> </w:t>
      </w:r>
      <w:r w:rsidR="00894669" w:rsidRPr="005C3B2B">
        <w:rPr>
          <w:rFonts w:asciiTheme="minorHAnsi" w:hAnsiTheme="minorHAnsi" w:cstheme="minorHAnsi"/>
          <w:b w:val="0"/>
        </w:rPr>
        <w:t xml:space="preserve">A total of 54% </w:t>
      </w:r>
      <w:r w:rsidR="0041744A" w:rsidRPr="005C3B2B">
        <w:rPr>
          <w:rFonts w:asciiTheme="minorHAnsi" w:hAnsiTheme="minorHAnsi" w:cstheme="minorHAnsi"/>
          <w:b w:val="0"/>
        </w:rPr>
        <w:t xml:space="preserve">of patients experienced acute grade 3 toxicity and </w:t>
      </w:r>
      <w:r w:rsidR="006169EA" w:rsidRPr="005C3B2B">
        <w:rPr>
          <w:rFonts w:asciiTheme="minorHAnsi" w:hAnsiTheme="minorHAnsi" w:cstheme="minorHAnsi"/>
          <w:b w:val="0"/>
        </w:rPr>
        <w:t>65% experienced late grade 3 toxicity.</w:t>
      </w:r>
    </w:p>
    <w:p w14:paraId="42DE316C" w14:textId="504B9B6E" w:rsidR="00D11FEF" w:rsidRPr="005C3B2B" w:rsidRDefault="00D11FEF"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Cs/>
        </w:rPr>
      </w:pPr>
      <w:r w:rsidRPr="005C3B2B">
        <w:rPr>
          <w:rFonts w:asciiTheme="minorHAnsi" w:hAnsiTheme="minorHAnsi" w:cstheme="minorHAnsi"/>
          <w:bCs/>
        </w:rPr>
        <w:t>Patient tolerance</w:t>
      </w:r>
    </w:p>
    <w:p w14:paraId="01D97C20" w14:textId="718E1BF3" w:rsidR="001C118D" w:rsidRPr="005C3B2B" w:rsidRDefault="00B81AAD"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 w:val="0"/>
        </w:rPr>
      </w:pPr>
      <w:r w:rsidRPr="005C3B2B">
        <w:rPr>
          <w:rFonts w:asciiTheme="minorHAnsi" w:hAnsiTheme="minorHAnsi" w:cstheme="minorHAnsi"/>
          <w:b w:val="0"/>
        </w:rPr>
        <w:t>Three single</w:t>
      </w:r>
      <w:r w:rsidR="000A4B92" w:rsidRPr="005C3B2B">
        <w:rPr>
          <w:rFonts w:asciiTheme="minorHAnsi" w:hAnsiTheme="minorHAnsi" w:cstheme="minorHAnsi"/>
          <w:b w:val="0"/>
        </w:rPr>
        <w:t>-</w:t>
      </w:r>
      <w:r w:rsidRPr="005C3B2B">
        <w:rPr>
          <w:rFonts w:asciiTheme="minorHAnsi" w:hAnsiTheme="minorHAnsi" w:cstheme="minorHAnsi"/>
          <w:b w:val="0"/>
        </w:rPr>
        <w:t>arm studies reported on MR-IGRT</w:t>
      </w:r>
      <w:r w:rsidR="000A4B92" w:rsidRPr="005C3B2B">
        <w:rPr>
          <w:rFonts w:asciiTheme="minorHAnsi" w:hAnsiTheme="minorHAnsi" w:cstheme="minorHAnsi"/>
          <w:b w:val="0"/>
        </w:rPr>
        <w:t>-</w:t>
      </w:r>
      <w:r w:rsidR="00C708D7" w:rsidRPr="005C3B2B">
        <w:rPr>
          <w:rFonts w:asciiTheme="minorHAnsi" w:hAnsiTheme="minorHAnsi" w:cstheme="minorHAnsi"/>
          <w:b w:val="0"/>
        </w:rPr>
        <w:t>related</w:t>
      </w:r>
      <w:r w:rsidR="00C4352F" w:rsidRPr="005C3B2B">
        <w:rPr>
          <w:rFonts w:asciiTheme="minorHAnsi" w:hAnsiTheme="minorHAnsi" w:cstheme="minorHAnsi"/>
          <w:b w:val="0"/>
        </w:rPr>
        <w:t xml:space="preserve"> complaints</w:t>
      </w:r>
      <w:r w:rsidR="00C708D7" w:rsidRPr="005C3B2B">
        <w:rPr>
          <w:rFonts w:asciiTheme="minorHAnsi" w:hAnsiTheme="minorHAnsi" w:cstheme="minorHAnsi"/>
          <w:b w:val="0"/>
        </w:rPr>
        <w:t xml:space="preserve">. </w:t>
      </w:r>
      <w:r w:rsidR="00644F0E" w:rsidRPr="005C3B2B">
        <w:rPr>
          <w:rFonts w:asciiTheme="minorHAnsi" w:hAnsiTheme="minorHAnsi" w:cstheme="minorHAnsi"/>
          <w:b w:val="0"/>
        </w:rPr>
        <w:t>In two studies, 65% and 89/150 (80%) of patients reported at least some degree of potential MR-IGRT</w:t>
      </w:r>
      <w:r w:rsidR="007E39C4" w:rsidRPr="005C3B2B">
        <w:rPr>
          <w:rFonts w:asciiTheme="minorHAnsi" w:hAnsiTheme="minorHAnsi" w:cstheme="minorHAnsi"/>
          <w:b w:val="0"/>
        </w:rPr>
        <w:t>-</w:t>
      </w:r>
      <w:r w:rsidR="00644F0E" w:rsidRPr="005C3B2B">
        <w:rPr>
          <w:rFonts w:asciiTheme="minorHAnsi" w:hAnsiTheme="minorHAnsi" w:cstheme="minorHAnsi"/>
          <w:b w:val="0"/>
        </w:rPr>
        <w:t>related complaints.</w:t>
      </w:r>
    </w:p>
    <w:p w14:paraId="2320C3A0" w14:textId="592F2CE0" w:rsidR="001C118D" w:rsidRPr="005C3B2B" w:rsidRDefault="001C118D" w:rsidP="005C061E">
      <w:pPr>
        <w:pStyle w:val="Summaryboxheading"/>
        <w:pBdr>
          <w:top w:val="single" w:sz="4" w:space="1" w:color="auto"/>
          <w:left w:val="single" w:sz="4" w:space="4" w:color="auto"/>
          <w:bottom w:val="single" w:sz="4" w:space="1" w:color="auto"/>
          <w:right w:val="single" w:sz="4" w:space="4" w:color="auto"/>
        </w:pBdr>
        <w:spacing w:after="240" w:afterAutospacing="0"/>
        <w:jc w:val="both"/>
        <w:rPr>
          <w:rFonts w:asciiTheme="minorHAnsi" w:hAnsiTheme="minorHAnsi" w:cstheme="minorHAnsi"/>
          <w:b w:val="0"/>
        </w:rPr>
      </w:pPr>
      <w:r w:rsidRPr="005C3B2B">
        <w:rPr>
          <w:rFonts w:asciiTheme="minorHAnsi" w:hAnsiTheme="minorHAnsi" w:cstheme="minorHAnsi"/>
          <w:b w:val="0"/>
        </w:rPr>
        <w:t>No studies on patient tolerance of CBCT-IGRT were identified.</w:t>
      </w:r>
    </w:p>
    <w:p w14:paraId="3FABE041" w14:textId="4B438F3B" w:rsidR="001266F0" w:rsidRDefault="00EC1AEB" w:rsidP="00DF343F">
      <w:pPr>
        <w:pStyle w:val="Heading3"/>
        <w:jc w:val="both"/>
      </w:pPr>
      <w:bookmarkStart w:id="343" w:name="_Toc59018778"/>
      <w:bookmarkStart w:id="344" w:name="_Toc59020322"/>
      <w:bookmarkStart w:id="345" w:name="_Toc59439544"/>
      <w:bookmarkStart w:id="346" w:name="_Toc89857816"/>
      <w:r w:rsidRPr="00EC1AEB">
        <w:t>Toxicity</w:t>
      </w:r>
      <w:bookmarkStart w:id="347" w:name="_Toc395200779"/>
      <w:bookmarkEnd w:id="343"/>
      <w:bookmarkEnd w:id="344"/>
      <w:bookmarkEnd w:id="345"/>
      <w:bookmarkEnd w:id="346"/>
    </w:p>
    <w:p w14:paraId="41B45386" w14:textId="77F9407C" w:rsidR="007961CE" w:rsidRDefault="007961CE" w:rsidP="007961CE">
      <w:r>
        <w:t>One comparative study on the safety of MR-IGRT for treatment of lung cancer (primary or lung metastases)</w:t>
      </w:r>
      <w:r w:rsidR="0038309A">
        <w:t xml:space="preserve"> was identified</w:t>
      </w:r>
      <w:r w:rsidR="00D52D69">
        <w:t xml:space="preserve"> </w:t>
      </w:r>
      <w:r w:rsidR="000C77B0">
        <w:fldChar w:fldCharType="begin"/>
      </w:r>
      <w:r w:rsidR="001F781A">
        <w:instrText xml:space="preserve"> ADDIN EN.CITE &lt;EndNote&gt;&lt;Cite&gt;&lt;Author&gt;Kim&lt;/Author&gt;&lt;Year&gt;2018&lt;/Year&gt;&lt;RecNum&gt;19&lt;/RecNum&gt;&lt;DisplayText&gt;(E.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0C77B0">
        <w:fldChar w:fldCharType="separate"/>
      </w:r>
      <w:r w:rsidR="001F781A">
        <w:rPr>
          <w:noProof/>
        </w:rPr>
        <w:t>(</w:t>
      </w:r>
      <w:hyperlink w:anchor="_ENREF_46" w:tooltip="Kim, 2018 #19" w:history="1">
        <w:r w:rsidR="001F781A">
          <w:rPr>
            <w:noProof/>
          </w:rPr>
          <w:t>E. Kim et al., 2018</w:t>
        </w:r>
      </w:hyperlink>
      <w:r w:rsidR="001F781A">
        <w:rPr>
          <w:noProof/>
        </w:rPr>
        <w:t>)</w:t>
      </w:r>
      <w:r w:rsidR="000C77B0">
        <w:fldChar w:fldCharType="end"/>
      </w:r>
      <w:r w:rsidR="0038309A">
        <w:t>.</w:t>
      </w:r>
    </w:p>
    <w:p w14:paraId="50907F13" w14:textId="45D20D3D" w:rsidR="0038309A" w:rsidRDefault="0038309A" w:rsidP="007961CE">
      <w:r>
        <w:t>Additional single-arm studies on MR-IGRT safety were identified for lung cancer</w:t>
      </w:r>
      <w:r w:rsidR="00D52D69">
        <w:t xml:space="preserve"> </w:t>
      </w:r>
      <w:r w:rsidR="000C77B0">
        <w:fldChar w:fldCharType="begin">
          <w:fldData xml:space="preserve">PEVuZE5vdGU+PENpdGU+PEF1dGhvcj5GaW5henppPC9BdXRob3I+PFllYXI+MjAyMDwvWWVhcj48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</w:fldData>
        </w:fldChar>
      </w:r>
      <w:r w:rsidR="000C77B0">
        <w:instrText xml:space="preserve"> ADDIN EN.CITE </w:instrText>
      </w:r>
      <w:r w:rsidR="000C77B0">
        <w:fldChar w:fldCharType="begin">
          <w:fldData xml:space="preserve">PEVuZE5vdGU+PENpdGU+PEF1dGhvcj5GaW5henppPC9BdXRob3I+PFllYXI+MjAyMDwvWWVhcj48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</w:fldData>
        </w:fldChar>
      </w:r>
      <w:r w:rsidR="000C77B0">
        <w:instrText xml:space="preserve"> ADDIN EN.CITE.DATA </w:instrText>
      </w:r>
      <w:r w:rsidR="000C77B0">
        <w:fldChar w:fldCharType="end"/>
      </w:r>
      <w:r w:rsidR="000C77B0">
        <w:fldChar w:fldCharType="separate"/>
      </w:r>
      <w:r w:rsidR="000C77B0">
        <w:rPr>
          <w:noProof/>
        </w:rPr>
        <w:t>(</w:t>
      </w:r>
      <w:hyperlink w:anchor="_ENREF_28" w:tooltip="Finazzi, 2020 #16" w:history="1">
        <w:r w:rsidR="008B6FC0">
          <w:rPr>
            <w:noProof/>
          </w:rPr>
          <w:t>Finazzi</w:t>
        </w:r>
        <w:r w:rsidR="001F781A">
          <w:rPr>
            <w:noProof/>
          </w:rPr>
          <w:t>, Haasbeek,</w:t>
        </w:r>
        <w:r w:rsidR="008B6FC0">
          <w:rPr>
            <w:noProof/>
          </w:rPr>
          <w:t xml:space="preserve"> et al., </w:t>
        </w:r>
        <w:r w:rsidR="001F781A">
          <w:rPr>
            <w:noProof/>
          </w:rPr>
          <w:t>2020</w:t>
        </w:r>
      </w:hyperlink>
      <w:r w:rsidR="000C77B0">
        <w:rPr>
          <w:noProof/>
        </w:rPr>
        <w:t xml:space="preserve">; </w:t>
      </w:r>
      <w:hyperlink w:anchor="_ENREF_29" w:tooltip="Finazzi, 2020 #17" w:history="1">
        <w:r w:rsidR="008B6FC0">
          <w:rPr>
            <w:noProof/>
          </w:rPr>
          <w:t>Finazzi</w:t>
        </w:r>
        <w:r w:rsidR="001F781A">
          <w:rPr>
            <w:noProof/>
          </w:rPr>
          <w:t>, van Sornsen de Koste,</w:t>
        </w:r>
        <w:r w:rsidR="008B6FC0">
          <w:rPr>
            <w:noProof/>
          </w:rPr>
          <w:t xml:space="preserve"> et al., </w:t>
        </w:r>
        <w:r w:rsidR="001F781A">
          <w:rPr>
            <w:noProof/>
          </w:rPr>
          <w:t>2020</w:t>
        </w:r>
      </w:hyperlink>
      <w:r w:rsidR="000C77B0">
        <w:rPr>
          <w:noProof/>
        </w:rPr>
        <w:t>)</w:t>
      </w:r>
      <w:r w:rsidR="000C77B0">
        <w:fldChar w:fldCharType="end"/>
      </w:r>
      <w:r>
        <w:t>, prostate cancer</w:t>
      </w:r>
      <w:r w:rsidR="00D52D69">
        <w:t xml:space="preserve"> </w:t>
      </w:r>
      <w:r w:rsidR="000C77B0">
        <w:fldChar w:fldCharType="begin"/>
      </w:r>
      <w:r w:rsidR="000C77B0">
        <w:instrText xml:space="preserve"> ADDIN EN.CITE &lt;EndNote&gt;&lt;Cite&gt;&lt;Author&gt;Alongi&lt;/Author&gt;&lt;Year&gt;2020&lt;/Year&gt;&lt;RecNum&gt;13&lt;/RecNum&gt;&lt;DisplayText&gt;(Alongi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0C77B0">
        <w:fldChar w:fldCharType="separate"/>
      </w:r>
      <w:r w:rsidR="000C77B0">
        <w:rPr>
          <w:noProof/>
        </w:rPr>
        <w:t>(</w:t>
      </w:r>
      <w:hyperlink w:anchor="_ENREF_1" w:tooltip="Alongi, 2020 #13" w:history="1">
        <w:r w:rsidR="008B6FC0">
          <w:rPr>
            <w:noProof/>
          </w:rPr>
          <w:t>Alongi et al., 2020</w:t>
        </w:r>
      </w:hyperlink>
      <w:r w:rsidR="000C77B0">
        <w:rPr>
          <w:noProof/>
        </w:rPr>
        <w:t>)</w:t>
      </w:r>
      <w:r w:rsidR="000C77B0">
        <w:fldChar w:fldCharType="end"/>
      </w:r>
      <w:r>
        <w:t>, liver cancer (hepatocellular carcinoma and liver metastases</w:t>
      </w:r>
      <w:r w:rsidR="00BC7E84">
        <w:t xml:space="preserve"> </w:t>
      </w:r>
      <w:r w:rsidR="000C77B0">
        <w:fldChar w:fldCharType="begin">
          <w:fldData xml:space="preserve">PEVuZE5vdGU+PENpdGU+PEF1dGhvcj5GZWxkbWFuPC9BdXRob3I+PFllYXI+MjAxOTwvWWVhcj48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=
</w:fldData>
        </w:fldChar>
      </w:r>
      <w:r w:rsidR="000C77B0">
        <w:instrText xml:space="preserve"> ADDIN EN.CITE </w:instrText>
      </w:r>
      <w:r w:rsidR="000C77B0">
        <w:fldChar w:fldCharType="begin">
          <w:fldData xml:space="preserve">PEVuZE5vdGU+PENpdGU+PEF1dGhvcj5GZWxkbWFuPC9BdXRob3I+PFllYXI+MjAxOTwvWWVhcj48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=
</w:fldData>
        </w:fldChar>
      </w:r>
      <w:r w:rsidR="000C77B0">
        <w:instrText xml:space="preserve"> ADDIN EN.CITE.DATA </w:instrText>
      </w:r>
      <w:r w:rsidR="000C77B0">
        <w:fldChar w:fldCharType="end"/>
      </w:r>
      <w:r w:rsidR="000C77B0">
        <w:fldChar w:fldCharType="separate"/>
      </w:r>
      <w:r w:rsidR="000C77B0">
        <w:rPr>
          <w:noProof/>
        </w:rPr>
        <w:t>(</w:t>
      </w:r>
      <w:hyperlink w:anchor="_ENREF_27" w:tooltip="Feldman, 2019 #15" w:history="1">
        <w:r w:rsidR="008B6FC0">
          <w:rPr>
            <w:noProof/>
          </w:rPr>
          <w:t>Feldman et al., 2019</w:t>
        </w:r>
      </w:hyperlink>
      <w:r w:rsidR="000C77B0">
        <w:rPr>
          <w:noProof/>
        </w:rPr>
        <w:t xml:space="preserve">; </w:t>
      </w:r>
      <w:hyperlink w:anchor="_ENREF_37" w:tooltip="Henke, 2018 #18" w:history="1">
        <w:r w:rsidR="008B6FC0">
          <w:rPr>
            <w:noProof/>
          </w:rPr>
          <w:t>Henke et al., 2018</w:t>
        </w:r>
      </w:hyperlink>
      <w:r w:rsidR="000C77B0">
        <w:rPr>
          <w:noProof/>
        </w:rPr>
        <w:t xml:space="preserve">; </w:t>
      </w:r>
      <w:hyperlink w:anchor="_ENREF_61" w:tooltip="Rudra, 2019 #22" w:history="1">
        <w:r w:rsidR="008B6FC0">
          <w:rPr>
            <w:noProof/>
          </w:rPr>
          <w:t>Rudra et al., 2019</w:t>
        </w:r>
      </w:hyperlink>
      <w:r w:rsidR="000C77B0">
        <w:rPr>
          <w:noProof/>
        </w:rPr>
        <w:t>)</w:t>
      </w:r>
      <w:r w:rsidR="000C77B0">
        <w:fldChar w:fldCharType="end"/>
      </w:r>
      <w:r>
        <w:t>), head and neck cancer</w:t>
      </w:r>
      <w:r w:rsidR="00BC7E84">
        <w:t xml:space="preserve"> </w:t>
      </w:r>
      <w:r w:rsidR="000C77B0">
        <w:fldChar w:fldCharType="begin">
          <w:fldData xml:space="preserve">PEVuZE5vdGU+PENpdGU+PEF1dGhvcj5DaGVuPC9BdXRob3I+PFllYXI+MjAxODwvWWVhcj48UmVj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</w:fldData>
        </w:fldChar>
      </w:r>
      <w:r w:rsidR="000C77B0">
        <w:instrText xml:space="preserve"> ADDIN EN.CITE </w:instrText>
      </w:r>
      <w:r w:rsidR="000C77B0">
        <w:fldChar w:fldCharType="begin">
          <w:fldData xml:space="preserve">PEVuZE5vdGU+PENpdGU+PEF1dGhvcj5DaGVuPC9BdXRob3I+PFllYXI+MjAxODwvWWVhcj48UmVj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</w:fldData>
        </w:fldChar>
      </w:r>
      <w:r w:rsidR="000C77B0">
        <w:instrText xml:space="preserve"> ADDIN EN.CITE.DATA </w:instrText>
      </w:r>
      <w:r w:rsidR="000C77B0">
        <w:fldChar w:fldCharType="end"/>
      </w:r>
      <w:r w:rsidR="000C77B0">
        <w:fldChar w:fldCharType="separate"/>
      </w:r>
      <w:r w:rsidR="000C77B0">
        <w:rPr>
          <w:noProof/>
        </w:rPr>
        <w:t>(</w:t>
      </w:r>
      <w:hyperlink w:anchor="_ENREF_21" w:tooltip="Chen, 2018 #24" w:history="1">
        <w:r w:rsidR="008B6FC0">
          <w:rPr>
            <w:noProof/>
          </w:rPr>
          <w:t>Chen et al., 2018</w:t>
        </w:r>
      </w:hyperlink>
      <w:r w:rsidR="000C77B0">
        <w:rPr>
          <w:noProof/>
        </w:rPr>
        <w:t>)</w:t>
      </w:r>
      <w:r w:rsidR="000C77B0">
        <w:fldChar w:fldCharType="end"/>
      </w:r>
      <w:r>
        <w:t>, and for mixed cancer population</w:t>
      </w:r>
      <w:r w:rsidR="00BC7E84">
        <w:t xml:space="preserve"> </w:t>
      </w:r>
      <w:r w:rsidR="000C77B0">
        <w:fldChar w:fldCharType="begin"/>
      </w:r>
      <w:r w:rsidR="000C77B0">
        <w:instrText xml:space="preserve"> ADDIN EN.CITE &lt;EndNote&gt;&lt;Cite&gt;&lt;Author&gt;Kluter&lt;/Author&gt;&lt;Year&gt;2020&lt;/Year&gt;&lt;RecNum&gt;20&lt;/RecNum&gt;&lt;DisplayText&gt;(Kluter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0C77B0">
        <w:fldChar w:fldCharType="separate"/>
      </w:r>
      <w:r w:rsidR="000C77B0">
        <w:rPr>
          <w:noProof/>
        </w:rPr>
        <w:t>(</w:t>
      </w:r>
      <w:hyperlink w:anchor="_ENREF_48" w:tooltip="Kluter, 2020 #20" w:history="1">
        <w:r w:rsidR="008B6FC0">
          <w:rPr>
            <w:noProof/>
          </w:rPr>
          <w:t>Kluter et al., 2020</w:t>
        </w:r>
      </w:hyperlink>
      <w:r w:rsidR="000C77B0">
        <w:rPr>
          <w:noProof/>
        </w:rPr>
        <w:t>)</w:t>
      </w:r>
      <w:r w:rsidR="000C77B0">
        <w:fldChar w:fldCharType="end"/>
      </w:r>
      <w:r>
        <w:t>.</w:t>
      </w:r>
    </w:p>
    <w:p w14:paraId="533842AB" w14:textId="33558FAC" w:rsidR="00BC7E84" w:rsidRPr="007961CE" w:rsidRDefault="00BC7E84" w:rsidP="007961CE">
      <w:r>
        <w:lastRenderedPageBreak/>
        <w:t>In the absence of comparative evidence, a naïve comparison was attempted, using single-arm studies of CBCT-IGRT</w:t>
      </w:r>
      <w:r w:rsidR="004043A8">
        <w:t xml:space="preserve"> toxicity</w:t>
      </w:r>
      <w:r>
        <w:t xml:space="preserve"> for </w:t>
      </w:r>
      <w:r w:rsidR="004043A8">
        <w:t xml:space="preserve">those same cancer sites. </w:t>
      </w:r>
    </w:p>
    <w:bookmarkEnd w:id="347"/>
    <w:p w14:paraId="7E8ADA5B" w14:textId="006E7147" w:rsidR="000768BB" w:rsidRDefault="00964207" w:rsidP="00964207">
      <w:pPr>
        <w:pStyle w:val="Heading4"/>
      </w:pPr>
      <w:r>
        <w:t xml:space="preserve">Lung </w:t>
      </w:r>
      <w:r w:rsidR="00EC1AEB">
        <w:t>cancer</w:t>
      </w:r>
    </w:p>
    <w:p w14:paraId="04780D77" w14:textId="2652A5C4" w:rsidR="00964207" w:rsidRDefault="00211285" w:rsidP="00964207">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964207">
        <w:t xml:space="preserve"> reported on the </w:t>
      </w:r>
      <w:r w:rsidR="004043A8">
        <w:t xml:space="preserve">early radiological lung </w:t>
      </w:r>
      <w:r w:rsidR="00964207">
        <w:t xml:space="preserve">density changes following completion of </w:t>
      </w:r>
      <w:r w:rsidR="004043A8">
        <w:t>SABR</w:t>
      </w:r>
      <w:r w:rsidR="00466D5A">
        <w:t xml:space="preserve"> for </w:t>
      </w:r>
      <w:r w:rsidR="007F2091">
        <w:t xml:space="preserve">primary or metastatic </w:t>
      </w:r>
      <w:r w:rsidR="00466D5A">
        <w:t>lung cancer</w:t>
      </w:r>
      <w:r w:rsidR="00964207">
        <w:t xml:space="preserve"> </w:t>
      </w:r>
      <w:r w:rsidR="00964207" w:rsidDel="004043A8">
        <w:t xml:space="preserve">at </w:t>
      </w:r>
      <w:r w:rsidR="00964207">
        <w:t>one</w:t>
      </w:r>
      <w:r w:rsidR="004043A8">
        <w:t>-</w:t>
      </w:r>
      <w:r w:rsidR="00964207">
        <w:t>month and four to six</w:t>
      </w:r>
      <w:r w:rsidR="00B543B1">
        <w:t>-</w:t>
      </w:r>
      <w:r w:rsidR="00964207">
        <w:t xml:space="preserve">month follow-up </w:t>
      </w:r>
      <w:r w:rsidR="00B543B1">
        <w:t xml:space="preserve">CT </w:t>
      </w:r>
      <w:r w:rsidR="00964207">
        <w:t xml:space="preserve">scans. </w:t>
      </w:r>
      <w:r w:rsidR="001E29A5">
        <w:t xml:space="preserve">Lung density was </w:t>
      </w:r>
      <w:r w:rsidR="00846B88">
        <w:t>regarded</w:t>
      </w:r>
      <w:r w:rsidR="001E29A5">
        <w:t xml:space="preserve"> as a</w:t>
      </w:r>
      <w:r w:rsidR="00B543B1">
        <w:t xml:space="preserve"> quantitative parameter</w:t>
      </w:r>
      <w:r w:rsidR="004D214C">
        <w:t xml:space="preserve"> for early detection</w:t>
      </w:r>
      <w:r w:rsidR="001E29A5">
        <w:t xml:space="preserve"> of </w:t>
      </w:r>
      <w:r w:rsidR="00B543B1">
        <w:t>RILD</w:t>
      </w:r>
      <w:r w:rsidR="001E29A5">
        <w:t>.</w:t>
      </w:r>
      <w:r w:rsidR="003E0260">
        <w:t xml:space="preserve"> The authors noted that in general, radiological changes would occur at least 3 months after completing a course of conventional </w:t>
      </w:r>
      <w:r w:rsidR="00F34033">
        <w:t>EBRT and</w:t>
      </w:r>
      <w:r w:rsidR="003E0260">
        <w:t xml:space="preserve"> would stabilise after about 9-12 months. Patients were treated with an older MR-IGRT technology, which used cobalt-60 radiation beams. </w:t>
      </w:r>
    </w:p>
    <w:p w14:paraId="621DD3AF" w14:textId="302CBAED" w:rsidR="00466D5A" w:rsidRDefault="00466D5A" w:rsidP="00964207">
      <w:r>
        <w:t xml:space="preserve">Comparison of lung density in </w:t>
      </w:r>
      <w:r w:rsidRPr="00466D5A">
        <w:t>Hounsfield unit</w:t>
      </w:r>
      <w:r w:rsidR="005A7365">
        <w:t>s</w:t>
      </w:r>
      <w:r>
        <w:t xml:space="preserve"> (HU) between MR-linac SBRT and conventional</w:t>
      </w:r>
      <w:r w:rsidR="0081537A">
        <w:t xml:space="preserve"> CBCT</w:t>
      </w:r>
      <w:r w:rsidR="005A7365">
        <w:t>-</w:t>
      </w:r>
      <w:r w:rsidR="0081537A">
        <w:t>guided</w:t>
      </w:r>
      <w:r>
        <w:t xml:space="preserve"> SBRT for different isodose regions</w:t>
      </w:r>
      <w:r w:rsidR="00B24093">
        <w:t xml:space="preserve"> at </w:t>
      </w:r>
      <w:r w:rsidR="0018339F">
        <w:t>first and</w:t>
      </w:r>
      <w:r w:rsidR="00B24093">
        <w:t xml:space="preserve"> second follow up</w:t>
      </w:r>
      <w:r>
        <w:t xml:space="preserve"> is summarised in </w:t>
      </w:r>
      <w:r w:rsidR="004D214C">
        <w:fldChar w:fldCharType="begin"/>
      </w:r>
      <w:r w:rsidR="004D214C">
        <w:instrText xml:space="preserve"> REF _Ref55898511 \h </w:instrText>
      </w:r>
      <w:r w:rsidR="004D214C">
        <w:fldChar w:fldCharType="separate"/>
      </w:r>
      <w:r w:rsidR="00451350" w:rsidRPr="00E86441">
        <w:t xml:space="preserve">Table </w:t>
      </w:r>
      <w:r w:rsidR="00451350">
        <w:rPr>
          <w:noProof/>
        </w:rPr>
        <w:t>17</w:t>
      </w:r>
      <w:r w:rsidR="004D214C">
        <w:fldChar w:fldCharType="end"/>
      </w:r>
      <w:r w:rsidR="004A49E4">
        <w:t xml:space="preserve"> </w:t>
      </w:r>
      <w:r w:rsidR="009E321D" w:rsidDel="004D214C">
        <w:t xml:space="preserve">and </w:t>
      </w:r>
      <w:r w:rsidR="00A6095E">
        <w:fldChar w:fldCharType="begin"/>
      </w:r>
      <w:r w:rsidR="00A6095E">
        <w:instrText xml:space="preserve"> REF _Ref55898545 \h </w:instrText>
      </w:r>
      <w:r w:rsidR="00A6095E">
        <w:fldChar w:fldCharType="separate"/>
      </w:r>
      <w:r w:rsidR="00451350">
        <w:t xml:space="preserve">Figure </w:t>
      </w:r>
      <w:r w:rsidR="00451350">
        <w:rPr>
          <w:noProof/>
        </w:rPr>
        <w:t>5</w:t>
      </w:r>
      <w:r w:rsidR="00A6095E">
        <w:fldChar w:fldCharType="end"/>
      </w:r>
      <w:r>
        <w:t>.</w:t>
      </w:r>
      <w:r w:rsidR="00B24093">
        <w:t xml:space="preserve"> There were no significant differences in lung density changes </w:t>
      </w:r>
      <w:r w:rsidR="006D2E09">
        <w:t>by</w:t>
      </w:r>
      <w:r w:rsidR="00B24093">
        <w:t xml:space="preserve"> treatment modality for all dose regions</w:t>
      </w:r>
      <w:r w:rsidR="00B52252">
        <w:t xml:space="preserve"> assessed</w:t>
      </w:r>
      <w:r w:rsidR="00B24093">
        <w:t xml:space="preserve">. </w:t>
      </w:r>
    </w:p>
    <w:p w14:paraId="7F9E31F5" w14:textId="3F0BD6D6" w:rsidR="009E321D" w:rsidRPr="00183E4D" w:rsidRDefault="009E321D" w:rsidP="009D04C3">
      <w:pPr>
        <w:pStyle w:val="Caption"/>
        <w:keepNext/>
        <w:rPr>
          <w:snapToGrid w:val="0"/>
          <w:lang w:eastAsia="en-US"/>
        </w:rPr>
      </w:pPr>
      <w:bookmarkStart w:id="348" w:name="_Ref55898511"/>
      <w:bookmarkStart w:id="349" w:name="_Toc89857888"/>
      <w:r w:rsidRPr="00E86441">
        <w:t xml:space="preserve">Table </w:t>
      </w:r>
      <w:r w:rsidR="00211285">
        <w:fldChar w:fldCharType="begin"/>
      </w:r>
      <w:r w:rsidR="00211285">
        <w:instrText xml:space="preserve"> SEQ Table \* ARABIC </w:instrText>
      </w:r>
      <w:r w:rsidR="00211285">
        <w:fldChar w:fldCharType="separate"/>
      </w:r>
      <w:r w:rsidR="00451350">
        <w:rPr>
          <w:noProof/>
        </w:rPr>
        <w:t>17</w:t>
      </w:r>
      <w:r w:rsidR="00211285">
        <w:rPr>
          <w:noProof/>
        </w:rPr>
        <w:fldChar w:fldCharType="end"/>
      </w:r>
      <w:bookmarkEnd w:id="348"/>
      <w:r w:rsidRPr="00E86441">
        <w:tab/>
        <w:t>Results</w:t>
      </w:r>
      <w:r w:rsidRPr="00183E4D">
        <w:rPr>
          <w:snapToGrid w:val="0"/>
          <w:lang w:eastAsia="en-US"/>
        </w:rPr>
        <w:t xml:space="preserve"> of </w:t>
      </w:r>
      <w:r>
        <w:rPr>
          <w:snapToGrid w:val="0"/>
          <w:lang w:eastAsia="en-US"/>
        </w:rPr>
        <w:t>toxicity</w:t>
      </w:r>
      <w:r w:rsidR="006A4D8D">
        <w:rPr>
          <w:snapToGrid w:val="0"/>
          <w:lang w:eastAsia="en-US"/>
        </w:rPr>
        <w:t xml:space="preserve">: </w:t>
      </w:r>
      <w:r w:rsidRPr="00183E4D">
        <w:rPr>
          <w:snapToGrid w:val="0"/>
          <w:lang w:eastAsia="en-US"/>
        </w:rPr>
        <w:t xml:space="preserve"> </w:t>
      </w:r>
      <w:r w:rsidR="006A4D8D" w:rsidRPr="00B2301A">
        <w:rPr>
          <w:snapToGrid w:val="0"/>
        </w:rPr>
        <w:t xml:space="preserve">mean </w:t>
      </w:r>
      <w:r w:rsidR="009847DD" w:rsidRPr="00B2301A">
        <w:rPr>
          <w:snapToGrid w:val="0"/>
        </w:rPr>
        <w:t xml:space="preserve">lung </w:t>
      </w:r>
      <w:r w:rsidR="006A4D8D" w:rsidRPr="00B2301A">
        <w:rPr>
          <w:snapToGrid w:val="0"/>
        </w:rPr>
        <w:t xml:space="preserve">density changes in </w:t>
      </w:r>
      <w:r w:rsidR="006A4D8D">
        <w:rPr>
          <w:snapToGrid w:val="0"/>
        </w:rPr>
        <w:t>isodose (HU)</w:t>
      </w:r>
      <w:r w:rsidR="003E0260">
        <w:rPr>
          <w:snapToGrid w:val="0"/>
        </w:rPr>
        <w:t xml:space="preserve"> - </w:t>
      </w:r>
      <w:hyperlink w:anchor="_ENREF_46" w:tooltip="Kim, 2018 #19" w:history="1">
        <w:r w:rsidR="001F781A">
          <w:rPr>
            <w:snapToGrid w:val="0"/>
          </w:rPr>
          <w:fldChar w:fldCharType="begin"/>
        </w:r>
        <w:r w:rsidR="001F781A">
          <w:rPr>
            <w:snapToGrid w:val="0"/>
          </w:rPr>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rPr>
            <w:snapToGrid w:val="0"/>
          </w:rPr>
          <w:fldChar w:fldCharType="separate"/>
        </w:r>
        <w:r w:rsidR="001F781A">
          <w:rPr>
            <w:noProof/>
            <w:snapToGrid w:val="0"/>
          </w:rPr>
          <w:t>E. Kim et al. (2018)</w:t>
        </w:r>
        <w:bookmarkEnd w:id="349"/>
        <w:r w:rsidR="001F781A">
          <w:rPr>
            <w:snapToGrid w:val="0"/>
          </w:rPr>
          <w:fldChar w:fldCharType="end"/>
        </w:r>
      </w:hyperlink>
    </w:p>
    <w:tbl>
      <w:tblPr>
        <w:tblStyle w:val="TableGrid1"/>
        <w:tblW w:w="5000" w:type="pct"/>
        <w:tblCellMar>
          <w:left w:w="28" w:type="dxa"/>
          <w:right w:w="28" w:type="dxa"/>
        </w:tblCellMar>
        <w:tblLook w:val="04A0" w:firstRow="1" w:lastRow="0" w:firstColumn="1" w:lastColumn="0" w:noHBand="0" w:noVBand="1"/>
        <w:tblCaption w:val="Table 17 Results of toxicity:  mean lung density changes in isodose (HU) - Kim, 2018"/>
        <w:tblDescription w:val="This table provides results of toxicity: mean lung density changes in isodose (HU) from Kim, 2018."/>
      </w:tblPr>
      <w:tblGrid>
        <w:gridCol w:w="1864"/>
        <w:gridCol w:w="1780"/>
        <w:gridCol w:w="747"/>
        <w:gridCol w:w="849"/>
        <w:gridCol w:w="1823"/>
        <w:gridCol w:w="1953"/>
      </w:tblGrid>
      <w:tr w:rsidR="00F01B96" w:rsidRPr="00B2301A" w14:paraId="30546239" w14:textId="77777777" w:rsidTr="00A6095E">
        <w:trPr>
          <w:cnfStyle w:val="100000000000" w:firstRow="1" w:lastRow="0" w:firstColumn="0" w:lastColumn="0" w:oddVBand="0" w:evenVBand="0" w:oddHBand="0" w:evenHBand="0" w:firstRowFirstColumn="0" w:firstRowLastColumn="0" w:lastRowFirstColumn="0" w:lastRowLastColumn="0"/>
          <w:tblHeader/>
        </w:trPr>
        <w:tc>
          <w:tcPr>
            <w:tcW w:w="1034" w:type="pct"/>
            <w:tcBorders>
              <w:bottom w:val="single" w:sz="4" w:space="0" w:color="auto"/>
            </w:tcBorders>
            <w:shd w:val="clear" w:color="auto" w:fill="auto"/>
          </w:tcPr>
          <w:p w14:paraId="72EF8ADF" w14:textId="77777777" w:rsidR="009E321D" w:rsidRPr="00B2301A" w:rsidRDefault="009E321D" w:rsidP="00C6168E">
            <w:pPr>
              <w:pStyle w:val="TableHeading"/>
              <w:rPr>
                <w:snapToGrid w:val="0"/>
                <w:lang w:eastAsia="en-US"/>
              </w:rPr>
            </w:pPr>
            <w:r w:rsidRPr="00B2301A">
              <w:rPr>
                <w:snapToGrid w:val="0"/>
                <w:lang w:eastAsia="en-US"/>
              </w:rPr>
              <w:t>Study ID</w:t>
            </w:r>
          </w:p>
        </w:tc>
        <w:tc>
          <w:tcPr>
            <w:tcW w:w="987" w:type="pct"/>
            <w:tcBorders>
              <w:bottom w:val="single" w:sz="4" w:space="0" w:color="auto"/>
            </w:tcBorders>
          </w:tcPr>
          <w:p w14:paraId="6AAF8B6A" w14:textId="10AE5219" w:rsidR="009E321D" w:rsidRPr="00B2301A" w:rsidRDefault="00E726F1" w:rsidP="00C6168E">
            <w:pPr>
              <w:pStyle w:val="TableHeading"/>
              <w:jc w:val="center"/>
              <w:rPr>
                <w:snapToGrid w:val="0"/>
                <w:lang w:eastAsia="en-US"/>
              </w:rPr>
            </w:pPr>
            <w:r>
              <w:rPr>
                <w:snapToGrid w:val="0"/>
                <w:lang w:eastAsia="en-US"/>
              </w:rPr>
              <w:t>Isodose</w:t>
            </w:r>
          </w:p>
        </w:tc>
        <w:tc>
          <w:tcPr>
            <w:tcW w:w="885" w:type="pct"/>
            <w:gridSpan w:val="2"/>
            <w:tcBorders>
              <w:bottom w:val="single" w:sz="4" w:space="0" w:color="auto"/>
            </w:tcBorders>
            <w:shd w:val="clear" w:color="auto" w:fill="auto"/>
          </w:tcPr>
          <w:p w14:paraId="6B844BD4" w14:textId="77777777" w:rsidR="009E321D" w:rsidRDefault="009E321D" w:rsidP="00C6168E">
            <w:pPr>
              <w:pStyle w:val="TableHeading"/>
              <w:jc w:val="center"/>
              <w:rPr>
                <w:snapToGrid w:val="0"/>
                <w:lang w:eastAsia="en-US"/>
              </w:rPr>
            </w:pPr>
            <w:r>
              <w:rPr>
                <w:snapToGrid w:val="0"/>
                <w:lang w:eastAsia="en-US"/>
              </w:rPr>
              <w:t>MR-IGRT</w:t>
            </w:r>
          </w:p>
          <w:p w14:paraId="4D5DFA8D" w14:textId="70E832FC" w:rsidR="009E321D" w:rsidRPr="00B2301A" w:rsidRDefault="006A4D8D" w:rsidP="00C6168E">
            <w:pPr>
              <w:pStyle w:val="TableHeading"/>
              <w:jc w:val="center"/>
              <w:rPr>
                <w:snapToGrid w:val="0"/>
                <w:lang w:eastAsia="en-US"/>
              </w:rPr>
            </w:pPr>
            <w:r>
              <w:rPr>
                <w:snapToGrid w:val="0"/>
                <w:lang w:eastAsia="en-US"/>
              </w:rPr>
              <w:t>(HU)</w:t>
            </w:r>
          </w:p>
        </w:tc>
        <w:tc>
          <w:tcPr>
            <w:tcW w:w="1011" w:type="pct"/>
            <w:tcBorders>
              <w:bottom w:val="single" w:sz="4" w:space="0" w:color="auto"/>
            </w:tcBorders>
            <w:shd w:val="clear" w:color="auto" w:fill="auto"/>
          </w:tcPr>
          <w:p w14:paraId="2961DADA" w14:textId="77777777" w:rsidR="009E321D" w:rsidRDefault="009E321D" w:rsidP="00C6168E">
            <w:pPr>
              <w:pStyle w:val="TableHeading"/>
              <w:jc w:val="center"/>
              <w:rPr>
                <w:snapToGrid w:val="0"/>
                <w:lang w:eastAsia="en-US"/>
              </w:rPr>
            </w:pPr>
            <w:r>
              <w:rPr>
                <w:snapToGrid w:val="0"/>
                <w:lang w:eastAsia="en-US"/>
              </w:rPr>
              <w:t>CBCT-IGRT</w:t>
            </w:r>
          </w:p>
          <w:p w14:paraId="2A1598B1" w14:textId="0A5A5097" w:rsidR="009E321D" w:rsidRPr="00B2301A" w:rsidRDefault="006A4D8D" w:rsidP="00C6168E">
            <w:pPr>
              <w:pStyle w:val="TableHeading"/>
              <w:jc w:val="center"/>
              <w:rPr>
                <w:snapToGrid w:val="0"/>
                <w:lang w:eastAsia="en-US"/>
              </w:rPr>
            </w:pPr>
            <w:r>
              <w:rPr>
                <w:snapToGrid w:val="0"/>
                <w:lang w:eastAsia="en-US"/>
              </w:rPr>
              <w:t>(HU)</w:t>
            </w:r>
          </w:p>
        </w:tc>
        <w:tc>
          <w:tcPr>
            <w:tcW w:w="1083" w:type="pct"/>
            <w:tcBorders>
              <w:bottom w:val="single" w:sz="4" w:space="0" w:color="auto"/>
            </w:tcBorders>
            <w:shd w:val="clear" w:color="auto" w:fill="auto"/>
          </w:tcPr>
          <w:p w14:paraId="198F7A52" w14:textId="77777777" w:rsidR="009E321D" w:rsidRPr="00B2301A" w:rsidRDefault="009E321D" w:rsidP="00C6168E">
            <w:pPr>
              <w:pStyle w:val="TableHeading"/>
              <w:jc w:val="center"/>
              <w:rPr>
                <w:snapToGrid w:val="0"/>
                <w:lang w:eastAsia="en-US"/>
              </w:rPr>
            </w:pPr>
            <w:r>
              <w:rPr>
                <w:snapToGrid w:val="0"/>
                <w:lang w:eastAsia="en-US"/>
              </w:rPr>
              <w:t>P-value</w:t>
            </w:r>
          </w:p>
        </w:tc>
      </w:tr>
      <w:tr w:rsidR="00F01B96" w:rsidRPr="00B2301A" w14:paraId="1B362DC3" w14:textId="77777777" w:rsidTr="00A6095E">
        <w:tc>
          <w:tcPr>
            <w:tcW w:w="1034" w:type="pct"/>
            <w:tcBorders>
              <w:top w:val="nil"/>
              <w:bottom w:val="nil"/>
            </w:tcBorders>
            <w:shd w:val="clear" w:color="auto" w:fill="auto"/>
          </w:tcPr>
          <w:p w14:paraId="4C98AA81" w14:textId="443DA72F" w:rsidR="009E321D" w:rsidRPr="00B2301A" w:rsidRDefault="00211285" w:rsidP="00C6168E">
            <w:pPr>
              <w:pStyle w:val="Tabletext1"/>
              <w:jc w:val="center"/>
              <w:rPr>
                <w:snapToGrid w:val="0"/>
              </w:rPr>
            </w:pPr>
            <w:hyperlink w:anchor="_ENREF_46" w:tooltip="Kim, 2018 #19" w:history="1">
              <w:r w:rsidR="001F781A">
                <w:rPr>
                  <w:snapToGrid w:val="0"/>
                </w:rPr>
                <w:fldChar w:fldCharType="begin"/>
              </w:r>
              <w:r w:rsidR="001F781A">
                <w:rPr>
                  <w:snapToGrid w:val="0"/>
                </w:rPr>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rPr>
                  <w:snapToGrid w:val="0"/>
                </w:rPr>
                <w:fldChar w:fldCharType="separate"/>
              </w:r>
              <w:r w:rsidR="001F781A">
                <w:rPr>
                  <w:noProof/>
                  <w:snapToGrid w:val="0"/>
                </w:rPr>
                <w:t>E. Kim et al. (2018)</w:t>
              </w:r>
              <w:r w:rsidR="001F781A">
                <w:rPr>
                  <w:snapToGrid w:val="0"/>
                </w:rPr>
                <w:fldChar w:fldCharType="end"/>
              </w:r>
            </w:hyperlink>
          </w:p>
        </w:tc>
        <w:tc>
          <w:tcPr>
            <w:tcW w:w="987" w:type="pct"/>
            <w:tcBorders>
              <w:bottom w:val="single" w:sz="4" w:space="0" w:color="auto"/>
            </w:tcBorders>
            <w:vAlign w:val="center"/>
          </w:tcPr>
          <w:p w14:paraId="17D1E7B7" w14:textId="3A94F29D" w:rsidR="009E321D" w:rsidRPr="00B2301A" w:rsidRDefault="009E321D" w:rsidP="00C6168E">
            <w:pPr>
              <w:pStyle w:val="Tabletext1"/>
              <w:jc w:val="center"/>
              <w:rPr>
                <w:snapToGrid w:val="0"/>
              </w:rPr>
            </w:pPr>
            <w:r>
              <w:rPr>
                <w:snapToGrid w:val="0"/>
              </w:rPr>
              <w:t>&gt;</w:t>
            </w:r>
            <w:r w:rsidRPr="00B2301A">
              <w:rPr>
                <w:snapToGrid w:val="0"/>
              </w:rPr>
              <w:t xml:space="preserve"> 48 Gy</w:t>
            </w:r>
            <w:r w:rsidR="00DA77B8">
              <w:rPr>
                <w:snapToGrid w:val="0"/>
              </w:rPr>
              <w:t xml:space="preserve"> (</w:t>
            </w:r>
            <w:r w:rsidR="0018339F">
              <w:rPr>
                <w:snapToGrid w:val="0"/>
              </w:rPr>
              <w:t>one month</w:t>
            </w:r>
            <w:r w:rsidR="00DA77B8">
              <w:rPr>
                <w:snapToGrid w:val="0"/>
              </w:rPr>
              <w:t xml:space="preserve"> follow-up)</w:t>
            </w:r>
          </w:p>
        </w:tc>
        <w:tc>
          <w:tcPr>
            <w:tcW w:w="885" w:type="pct"/>
            <w:gridSpan w:val="2"/>
            <w:tcBorders>
              <w:bottom w:val="single" w:sz="4" w:space="0" w:color="auto"/>
            </w:tcBorders>
            <w:shd w:val="clear" w:color="auto" w:fill="auto"/>
          </w:tcPr>
          <w:p w14:paraId="6AB30A94" w14:textId="6D873077" w:rsidR="009E321D" w:rsidRDefault="003E0260" w:rsidP="00C6168E">
            <w:pPr>
              <w:pStyle w:val="Tabletext1"/>
              <w:jc w:val="center"/>
              <w:rPr>
                <w:snapToGrid w:val="0"/>
              </w:rPr>
            </w:pPr>
            <w:r>
              <w:rPr>
                <w:snapToGrid w:val="0"/>
              </w:rPr>
              <w:t>-</w:t>
            </w:r>
            <w:r w:rsidR="009E321D" w:rsidRPr="00B2301A">
              <w:rPr>
                <w:snapToGrid w:val="0"/>
              </w:rPr>
              <w:t>37.79</w:t>
            </w:r>
          </w:p>
          <w:p w14:paraId="71A9CB52" w14:textId="77777777" w:rsidR="009E321D" w:rsidRPr="00B2301A" w:rsidRDefault="009E321D" w:rsidP="00C6168E">
            <w:pPr>
              <w:pStyle w:val="Tabletext1"/>
              <w:jc w:val="center"/>
              <w:rPr>
                <w:snapToGrid w:val="0"/>
              </w:rPr>
            </w:pPr>
            <w:r>
              <w:rPr>
                <w:snapToGrid w:val="0"/>
              </w:rPr>
              <w:t>(</w:t>
            </w:r>
            <w:r w:rsidRPr="00B2301A">
              <w:rPr>
                <w:snapToGrid w:val="0"/>
              </w:rPr>
              <w:t>95% CI, − 78.38 to 2.8</w:t>
            </w:r>
            <w:r>
              <w:rPr>
                <w:snapToGrid w:val="0"/>
              </w:rPr>
              <w:t>)</w:t>
            </w:r>
          </w:p>
        </w:tc>
        <w:tc>
          <w:tcPr>
            <w:tcW w:w="1011" w:type="pct"/>
            <w:tcBorders>
              <w:bottom w:val="single" w:sz="4" w:space="0" w:color="auto"/>
            </w:tcBorders>
            <w:shd w:val="clear" w:color="auto" w:fill="auto"/>
          </w:tcPr>
          <w:p w14:paraId="19E9F6C9" w14:textId="77777777" w:rsidR="009E321D" w:rsidRDefault="009E321D" w:rsidP="00C6168E">
            <w:pPr>
              <w:pStyle w:val="Tabletext1"/>
              <w:jc w:val="center"/>
            </w:pPr>
            <w:r w:rsidRPr="00B2301A">
              <w:t>10.98</w:t>
            </w:r>
          </w:p>
          <w:p w14:paraId="3FAD495F" w14:textId="77777777" w:rsidR="009E321D" w:rsidRPr="00B2301A" w:rsidRDefault="009E321D" w:rsidP="00C6168E">
            <w:pPr>
              <w:pStyle w:val="Tabletext1"/>
              <w:jc w:val="center"/>
              <w:rPr>
                <w:snapToGrid w:val="0"/>
              </w:rPr>
            </w:pPr>
            <w:r>
              <w:t>(</w:t>
            </w:r>
            <w:r w:rsidRPr="00B2301A">
              <w:t>95% CI, −34.65 to 56.61</w:t>
            </w:r>
            <w:r>
              <w:t>)</w:t>
            </w:r>
          </w:p>
        </w:tc>
        <w:tc>
          <w:tcPr>
            <w:tcW w:w="1083" w:type="pct"/>
            <w:tcBorders>
              <w:bottom w:val="single" w:sz="4" w:space="0" w:color="auto"/>
            </w:tcBorders>
            <w:shd w:val="clear" w:color="auto" w:fill="auto"/>
          </w:tcPr>
          <w:p w14:paraId="1617697A" w14:textId="54C78AEF" w:rsidR="009E321D" w:rsidRPr="00B2301A" w:rsidRDefault="009E321D" w:rsidP="00C6168E">
            <w:pPr>
              <w:pStyle w:val="Tabletext1"/>
              <w:jc w:val="center"/>
              <w:rPr>
                <w:snapToGrid w:val="0"/>
              </w:rPr>
            </w:pPr>
            <w:r w:rsidRPr="00B2301A">
              <w:t>P &gt; 0.05</w:t>
            </w:r>
            <w:r w:rsidR="008B63EE">
              <w:t xml:space="preserve"> for all dose regions</w:t>
            </w:r>
          </w:p>
        </w:tc>
      </w:tr>
      <w:tr w:rsidR="0018339F" w:rsidRPr="00B2301A" w14:paraId="323A0A1B" w14:textId="77777777" w:rsidTr="00A6095E">
        <w:tc>
          <w:tcPr>
            <w:tcW w:w="1034" w:type="pct"/>
            <w:tcBorders>
              <w:top w:val="nil"/>
              <w:bottom w:val="nil"/>
            </w:tcBorders>
            <w:shd w:val="clear" w:color="auto" w:fill="auto"/>
          </w:tcPr>
          <w:p w14:paraId="62179927" w14:textId="77777777" w:rsidR="0018339F" w:rsidRPr="00B2301A" w:rsidRDefault="0018339F" w:rsidP="00C6168E">
            <w:pPr>
              <w:pStyle w:val="Tabletext1"/>
              <w:jc w:val="center"/>
              <w:rPr>
                <w:snapToGrid w:val="0"/>
              </w:rPr>
            </w:pPr>
          </w:p>
        </w:tc>
        <w:tc>
          <w:tcPr>
            <w:tcW w:w="1401" w:type="pct"/>
            <w:gridSpan w:val="2"/>
            <w:tcBorders>
              <w:right w:val="nil"/>
            </w:tcBorders>
            <w:vAlign w:val="center"/>
          </w:tcPr>
          <w:p w14:paraId="3E5B5971" w14:textId="4A306817" w:rsidR="0018339F" w:rsidRDefault="0018339F" w:rsidP="00C6168E">
            <w:pPr>
              <w:pStyle w:val="Tabletext1"/>
              <w:jc w:val="center"/>
            </w:pPr>
            <w:r>
              <w:t xml:space="preserve">Four </w:t>
            </w:r>
            <w:r w:rsidR="00A6095E">
              <w:t xml:space="preserve">to six </w:t>
            </w:r>
            <w:r>
              <w:t>months follow-up scan</w:t>
            </w:r>
          </w:p>
        </w:tc>
        <w:tc>
          <w:tcPr>
            <w:tcW w:w="471" w:type="pct"/>
            <w:tcBorders>
              <w:left w:val="nil"/>
              <w:right w:val="nil"/>
            </w:tcBorders>
            <w:shd w:val="clear" w:color="auto" w:fill="auto"/>
          </w:tcPr>
          <w:p w14:paraId="51830995" w14:textId="77777777" w:rsidR="0018339F" w:rsidRPr="00B2301A" w:rsidRDefault="0018339F" w:rsidP="00C6168E">
            <w:pPr>
              <w:pStyle w:val="Tabletext1"/>
              <w:jc w:val="center"/>
            </w:pPr>
          </w:p>
        </w:tc>
        <w:tc>
          <w:tcPr>
            <w:tcW w:w="1011" w:type="pct"/>
            <w:tcBorders>
              <w:left w:val="nil"/>
              <w:right w:val="nil"/>
            </w:tcBorders>
            <w:shd w:val="clear" w:color="auto" w:fill="auto"/>
          </w:tcPr>
          <w:p w14:paraId="2B13888D" w14:textId="77777777" w:rsidR="0018339F" w:rsidRPr="00B2301A" w:rsidRDefault="0018339F" w:rsidP="00C6168E">
            <w:pPr>
              <w:pStyle w:val="Tabletext1"/>
              <w:jc w:val="center"/>
              <w:rPr>
                <w:snapToGrid w:val="0"/>
              </w:rPr>
            </w:pPr>
          </w:p>
        </w:tc>
        <w:tc>
          <w:tcPr>
            <w:tcW w:w="1083" w:type="pct"/>
            <w:tcBorders>
              <w:left w:val="nil"/>
            </w:tcBorders>
            <w:shd w:val="clear" w:color="auto" w:fill="auto"/>
          </w:tcPr>
          <w:p w14:paraId="276A4086" w14:textId="77777777" w:rsidR="0018339F" w:rsidRPr="00B2301A" w:rsidRDefault="0018339F" w:rsidP="00C6168E">
            <w:pPr>
              <w:pStyle w:val="Tabletext1"/>
              <w:jc w:val="center"/>
              <w:rPr>
                <w:snapToGrid w:val="0"/>
              </w:rPr>
            </w:pPr>
          </w:p>
        </w:tc>
      </w:tr>
      <w:tr w:rsidR="00F01B96" w:rsidRPr="00B2301A" w14:paraId="4452A688" w14:textId="77777777" w:rsidTr="00A6095E">
        <w:tc>
          <w:tcPr>
            <w:tcW w:w="1034" w:type="pct"/>
            <w:tcBorders>
              <w:top w:val="nil"/>
              <w:bottom w:val="nil"/>
            </w:tcBorders>
            <w:shd w:val="clear" w:color="auto" w:fill="auto"/>
          </w:tcPr>
          <w:p w14:paraId="08864D69" w14:textId="77777777" w:rsidR="009E321D" w:rsidRPr="00B2301A" w:rsidRDefault="009E321D" w:rsidP="00C6168E">
            <w:pPr>
              <w:pStyle w:val="Tabletext1"/>
              <w:jc w:val="center"/>
              <w:rPr>
                <w:snapToGrid w:val="0"/>
              </w:rPr>
            </w:pPr>
          </w:p>
        </w:tc>
        <w:tc>
          <w:tcPr>
            <w:tcW w:w="987" w:type="pct"/>
            <w:vAlign w:val="center"/>
          </w:tcPr>
          <w:p w14:paraId="23547822" w14:textId="77777777" w:rsidR="009E321D" w:rsidRPr="00B2301A" w:rsidRDefault="009E321D" w:rsidP="00C6168E">
            <w:pPr>
              <w:pStyle w:val="Tabletext1"/>
              <w:jc w:val="center"/>
              <w:rPr>
                <w:snapToGrid w:val="0"/>
              </w:rPr>
            </w:pPr>
            <w:r>
              <w:t>6 - 12 Gy</w:t>
            </w:r>
          </w:p>
        </w:tc>
        <w:tc>
          <w:tcPr>
            <w:tcW w:w="885" w:type="pct"/>
            <w:gridSpan w:val="2"/>
            <w:shd w:val="clear" w:color="auto" w:fill="auto"/>
          </w:tcPr>
          <w:p w14:paraId="38E8B415" w14:textId="5AF76B77" w:rsidR="009E321D" w:rsidRPr="00B2301A" w:rsidRDefault="009E321D" w:rsidP="00C6168E">
            <w:pPr>
              <w:pStyle w:val="Tabletext1"/>
              <w:jc w:val="center"/>
              <w:rPr>
                <w:snapToGrid w:val="0"/>
              </w:rPr>
            </w:pPr>
            <w:r w:rsidRPr="00B2301A">
              <w:t>25.6</w:t>
            </w:r>
          </w:p>
        </w:tc>
        <w:tc>
          <w:tcPr>
            <w:tcW w:w="1011" w:type="pct"/>
            <w:shd w:val="clear" w:color="auto" w:fill="auto"/>
          </w:tcPr>
          <w:p w14:paraId="15C3D6E4" w14:textId="6442E1CF" w:rsidR="009E321D" w:rsidRPr="00B2301A" w:rsidRDefault="009E321D" w:rsidP="00C6168E">
            <w:pPr>
              <w:pStyle w:val="Tabletext1"/>
              <w:jc w:val="center"/>
              <w:rPr>
                <w:snapToGrid w:val="0"/>
              </w:rPr>
            </w:pPr>
            <w:r w:rsidRPr="00B2301A">
              <w:rPr>
                <w:snapToGrid w:val="0"/>
              </w:rPr>
              <w:t>23.6</w:t>
            </w:r>
          </w:p>
        </w:tc>
        <w:tc>
          <w:tcPr>
            <w:tcW w:w="1083" w:type="pct"/>
            <w:shd w:val="clear" w:color="auto" w:fill="auto"/>
          </w:tcPr>
          <w:p w14:paraId="4874CFBF" w14:textId="3E160C67" w:rsidR="009E321D" w:rsidRPr="00B2301A" w:rsidRDefault="009E321D" w:rsidP="00C6168E">
            <w:pPr>
              <w:pStyle w:val="Tabletext1"/>
              <w:jc w:val="center"/>
              <w:rPr>
                <w:snapToGrid w:val="0"/>
              </w:rPr>
            </w:pPr>
            <w:r w:rsidRPr="00B2301A">
              <w:rPr>
                <w:snapToGrid w:val="0"/>
              </w:rPr>
              <w:t>0.871</w:t>
            </w:r>
          </w:p>
        </w:tc>
      </w:tr>
      <w:tr w:rsidR="00F01B96" w:rsidRPr="00B2301A" w14:paraId="2BD0CE0B" w14:textId="77777777" w:rsidTr="00A6095E">
        <w:tc>
          <w:tcPr>
            <w:tcW w:w="1034" w:type="pct"/>
            <w:tcBorders>
              <w:top w:val="nil"/>
              <w:bottom w:val="nil"/>
            </w:tcBorders>
            <w:shd w:val="clear" w:color="auto" w:fill="auto"/>
          </w:tcPr>
          <w:p w14:paraId="31CB8892" w14:textId="77777777" w:rsidR="009E321D" w:rsidRPr="00B2301A" w:rsidRDefault="009E321D" w:rsidP="00C6168E">
            <w:pPr>
              <w:pStyle w:val="Tabletext1"/>
              <w:jc w:val="center"/>
              <w:rPr>
                <w:snapToGrid w:val="0"/>
              </w:rPr>
            </w:pPr>
          </w:p>
        </w:tc>
        <w:tc>
          <w:tcPr>
            <w:tcW w:w="987" w:type="pct"/>
            <w:vAlign w:val="center"/>
          </w:tcPr>
          <w:p w14:paraId="684328B8" w14:textId="77777777" w:rsidR="009E321D" w:rsidRPr="00B2301A" w:rsidRDefault="009E321D" w:rsidP="00C6168E">
            <w:pPr>
              <w:pStyle w:val="Tabletext1"/>
              <w:jc w:val="center"/>
            </w:pPr>
            <w:r w:rsidRPr="00B2301A">
              <w:t xml:space="preserve">12 </w:t>
            </w:r>
            <w:r>
              <w:t xml:space="preserve">- </w:t>
            </w:r>
            <w:r w:rsidRPr="00B2301A">
              <w:t>18 Gy</w:t>
            </w:r>
          </w:p>
        </w:tc>
        <w:tc>
          <w:tcPr>
            <w:tcW w:w="885" w:type="pct"/>
            <w:gridSpan w:val="2"/>
            <w:shd w:val="clear" w:color="auto" w:fill="auto"/>
          </w:tcPr>
          <w:p w14:paraId="737E1952" w14:textId="77777777" w:rsidR="009E321D" w:rsidRPr="00B2301A" w:rsidRDefault="009E321D" w:rsidP="00C6168E">
            <w:pPr>
              <w:pStyle w:val="Tabletext1"/>
              <w:jc w:val="center"/>
            </w:pPr>
            <w:r w:rsidRPr="00B2301A">
              <w:t>38.5</w:t>
            </w:r>
          </w:p>
        </w:tc>
        <w:tc>
          <w:tcPr>
            <w:tcW w:w="1011" w:type="pct"/>
            <w:shd w:val="clear" w:color="auto" w:fill="auto"/>
          </w:tcPr>
          <w:p w14:paraId="479E5001" w14:textId="77777777" w:rsidR="009E321D" w:rsidRPr="00B2301A" w:rsidRDefault="009E321D" w:rsidP="00C6168E">
            <w:pPr>
              <w:pStyle w:val="Tabletext1"/>
              <w:jc w:val="center"/>
              <w:rPr>
                <w:snapToGrid w:val="0"/>
              </w:rPr>
            </w:pPr>
            <w:r w:rsidRPr="00B2301A">
              <w:rPr>
                <w:snapToGrid w:val="0"/>
              </w:rPr>
              <w:t>45.4</w:t>
            </w:r>
          </w:p>
        </w:tc>
        <w:tc>
          <w:tcPr>
            <w:tcW w:w="1083" w:type="pct"/>
            <w:shd w:val="clear" w:color="auto" w:fill="auto"/>
          </w:tcPr>
          <w:p w14:paraId="1F7021E3" w14:textId="77777777" w:rsidR="009E321D" w:rsidRPr="00B2301A" w:rsidRDefault="009E321D" w:rsidP="00C6168E">
            <w:pPr>
              <w:pStyle w:val="Tabletext1"/>
              <w:jc w:val="center"/>
              <w:rPr>
                <w:snapToGrid w:val="0"/>
              </w:rPr>
            </w:pPr>
            <w:r w:rsidRPr="00B2301A">
              <w:rPr>
                <w:snapToGrid w:val="0"/>
              </w:rPr>
              <w:t>0.999</w:t>
            </w:r>
          </w:p>
        </w:tc>
      </w:tr>
      <w:tr w:rsidR="00F01B96" w:rsidRPr="00B2301A" w14:paraId="239AB744" w14:textId="77777777" w:rsidTr="00A6095E">
        <w:tc>
          <w:tcPr>
            <w:tcW w:w="1034" w:type="pct"/>
            <w:tcBorders>
              <w:top w:val="nil"/>
              <w:bottom w:val="nil"/>
            </w:tcBorders>
            <w:shd w:val="clear" w:color="auto" w:fill="auto"/>
          </w:tcPr>
          <w:p w14:paraId="047D47E7" w14:textId="77777777" w:rsidR="009E321D" w:rsidRPr="00B2301A" w:rsidRDefault="009E321D" w:rsidP="00C6168E">
            <w:pPr>
              <w:pStyle w:val="Tabletext1"/>
              <w:jc w:val="center"/>
              <w:rPr>
                <w:snapToGrid w:val="0"/>
              </w:rPr>
            </w:pPr>
          </w:p>
        </w:tc>
        <w:tc>
          <w:tcPr>
            <w:tcW w:w="987" w:type="pct"/>
            <w:vAlign w:val="center"/>
          </w:tcPr>
          <w:p w14:paraId="553C1C78" w14:textId="77777777" w:rsidR="009E321D" w:rsidRPr="00B2301A" w:rsidRDefault="009E321D" w:rsidP="00C6168E">
            <w:pPr>
              <w:pStyle w:val="Tabletext1"/>
              <w:jc w:val="center"/>
            </w:pPr>
            <w:r w:rsidRPr="00B2301A">
              <w:t xml:space="preserve">18 </w:t>
            </w:r>
            <w:r>
              <w:t>-</w:t>
            </w:r>
            <w:r w:rsidRPr="00B2301A">
              <w:t xml:space="preserve"> 24 Gy</w:t>
            </w:r>
          </w:p>
        </w:tc>
        <w:tc>
          <w:tcPr>
            <w:tcW w:w="885" w:type="pct"/>
            <w:gridSpan w:val="2"/>
            <w:shd w:val="clear" w:color="auto" w:fill="auto"/>
          </w:tcPr>
          <w:p w14:paraId="7E1D003B" w14:textId="77777777" w:rsidR="009E321D" w:rsidRPr="00B2301A" w:rsidRDefault="009E321D" w:rsidP="00C6168E">
            <w:pPr>
              <w:pStyle w:val="Tabletext1"/>
              <w:jc w:val="center"/>
            </w:pPr>
            <w:r w:rsidRPr="00B2301A">
              <w:t>69.9</w:t>
            </w:r>
          </w:p>
        </w:tc>
        <w:tc>
          <w:tcPr>
            <w:tcW w:w="1011" w:type="pct"/>
            <w:shd w:val="clear" w:color="auto" w:fill="auto"/>
          </w:tcPr>
          <w:p w14:paraId="399ED311" w14:textId="77777777" w:rsidR="009E321D" w:rsidRPr="00B2301A" w:rsidRDefault="009E321D" w:rsidP="00C6168E">
            <w:pPr>
              <w:pStyle w:val="Tabletext1"/>
              <w:jc w:val="center"/>
              <w:rPr>
                <w:snapToGrid w:val="0"/>
              </w:rPr>
            </w:pPr>
            <w:r w:rsidRPr="00B2301A">
              <w:rPr>
                <w:snapToGrid w:val="0"/>
              </w:rPr>
              <w:t>74.5</w:t>
            </w:r>
          </w:p>
        </w:tc>
        <w:tc>
          <w:tcPr>
            <w:tcW w:w="1083" w:type="pct"/>
            <w:shd w:val="clear" w:color="auto" w:fill="auto"/>
          </w:tcPr>
          <w:p w14:paraId="1D1401EE" w14:textId="77777777" w:rsidR="009E321D" w:rsidRPr="00B2301A" w:rsidRDefault="009E321D" w:rsidP="00C6168E">
            <w:pPr>
              <w:pStyle w:val="Tabletext1"/>
              <w:jc w:val="center"/>
              <w:rPr>
                <w:snapToGrid w:val="0"/>
              </w:rPr>
            </w:pPr>
            <w:r w:rsidRPr="00B2301A">
              <w:rPr>
                <w:snapToGrid w:val="0"/>
              </w:rPr>
              <w:t>0.982</w:t>
            </w:r>
          </w:p>
        </w:tc>
      </w:tr>
      <w:tr w:rsidR="00F01B96" w:rsidRPr="00B2301A" w14:paraId="4CC20055" w14:textId="77777777" w:rsidTr="00A6095E">
        <w:tc>
          <w:tcPr>
            <w:tcW w:w="1034" w:type="pct"/>
            <w:tcBorders>
              <w:top w:val="nil"/>
              <w:bottom w:val="nil"/>
            </w:tcBorders>
            <w:shd w:val="clear" w:color="auto" w:fill="auto"/>
          </w:tcPr>
          <w:p w14:paraId="01758133" w14:textId="77777777" w:rsidR="009E321D" w:rsidRPr="00B2301A" w:rsidRDefault="009E321D" w:rsidP="00C6168E">
            <w:pPr>
              <w:pStyle w:val="Tabletext1"/>
              <w:jc w:val="center"/>
              <w:rPr>
                <w:snapToGrid w:val="0"/>
              </w:rPr>
            </w:pPr>
          </w:p>
        </w:tc>
        <w:tc>
          <w:tcPr>
            <w:tcW w:w="987" w:type="pct"/>
            <w:vAlign w:val="center"/>
          </w:tcPr>
          <w:p w14:paraId="13EA3EAC" w14:textId="77777777" w:rsidR="009E321D" w:rsidRPr="00B2301A" w:rsidRDefault="009E321D" w:rsidP="00C6168E">
            <w:pPr>
              <w:pStyle w:val="Tabletext1"/>
              <w:jc w:val="center"/>
            </w:pPr>
            <w:r w:rsidRPr="00B2301A">
              <w:t xml:space="preserve">24 </w:t>
            </w:r>
            <w:r>
              <w:t>-</w:t>
            </w:r>
            <w:r w:rsidRPr="00B2301A">
              <w:t xml:space="preserve"> 36 Gy</w:t>
            </w:r>
          </w:p>
        </w:tc>
        <w:tc>
          <w:tcPr>
            <w:tcW w:w="885" w:type="pct"/>
            <w:gridSpan w:val="2"/>
            <w:shd w:val="clear" w:color="auto" w:fill="auto"/>
          </w:tcPr>
          <w:p w14:paraId="1C73085B" w14:textId="77777777" w:rsidR="009E321D" w:rsidRPr="00B2301A" w:rsidRDefault="009E321D" w:rsidP="00C6168E">
            <w:pPr>
              <w:pStyle w:val="Tabletext1"/>
              <w:jc w:val="center"/>
            </w:pPr>
            <w:r w:rsidRPr="00B2301A">
              <w:t>122.4</w:t>
            </w:r>
          </w:p>
        </w:tc>
        <w:tc>
          <w:tcPr>
            <w:tcW w:w="1011" w:type="pct"/>
            <w:shd w:val="clear" w:color="auto" w:fill="auto"/>
          </w:tcPr>
          <w:p w14:paraId="04144F0F" w14:textId="77777777" w:rsidR="009E321D" w:rsidRPr="00B2301A" w:rsidRDefault="009E321D" w:rsidP="00C6168E">
            <w:pPr>
              <w:pStyle w:val="Tabletext1"/>
              <w:jc w:val="center"/>
              <w:rPr>
                <w:snapToGrid w:val="0"/>
              </w:rPr>
            </w:pPr>
            <w:r w:rsidRPr="00B2301A">
              <w:rPr>
                <w:snapToGrid w:val="0"/>
              </w:rPr>
              <w:t>92.7</w:t>
            </w:r>
          </w:p>
        </w:tc>
        <w:tc>
          <w:tcPr>
            <w:tcW w:w="1083" w:type="pct"/>
            <w:shd w:val="clear" w:color="auto" w:fill="auto"/>
          </w:tcPr>
          <w:p w14:paraId="1A29B2ED" w14:textId="77777777" w:rsidR="009E321D" w:rsidRPr="00B2301A" w:rsidRDefault="009E321D" w:rsidP="00C6168E">
            <w:pPr>
              <w:pStyle w:val="Tabletext1"/>
              <w:jc w:val="center"/>
              <w:rPr>
                <w:snapToGrid w:val="0"/>
              </w:rPr>
            </w:pPr>
            <w:r w:rsidRPr="00B2301A">
              <w:rPr>
                <w:snapToGrid w:val="0"/>
              </w:rPr>
              <w:t>0.978</w:t>
            </w:r>
          </w:p>
        </w:tc>
      </w:tr>
      <w:tr w:rsidR="00F01B96" w:rsidRPr="00B2301A" w14:paraId="677F0AB0" w14:textId="77777777" w:rsidTr="00A6095E">
        <w:tc>
          <w:tcPr>
            <w:tcW w:w="1034" w:type="pct"/>
            <w:tcBorders>
              <w:top w:val="nil"/>
              <w:bottom w:val="nil"/>
            </w:tcBorders>
            <w:shd w:val="clear" w:color="auto" w:fill="auto"/>
          </w:tcPr>
          <w:p w14:paraId="499390FC" w14:textId="77777777" w:rsidR="009E321D" w:rsidRPr="00B2301A" w:rsidRDefault="009E321D" w:rsidP="00C6168E">
            <w:pPr>
              <w:pStyle w:val="Tabletext1"/>
              <w:jc w:val="center"/>
              <w:rPr>
                <w:snapToGrid w:val="0"/>
              </w:rPr>
            </w:pPr>
          </w:p>
        </w:tc>
        <w:tc>
          <w:tcPr>
            <w:tcW w:w="987" w:type="pct"/>
            <w:vAlign w:val="center"/>
          </w:tcPr>
          <w:p w14:paraId="3D2DFC72" w14:textId="77777777" w:rsidR="009E321D" w:rsidRPr="00B2301A" w:rsidRDefault="009E321D" w:rsidP="00C6168E">
            <w:pPr>
              <w:pStyle w:val="Tabletext1"/>
              <w:jc w:val="center"/>
            </w:pPr>
            <w:r w:rsidRPr="00B2301A">
              <w:t xml:space="preserve">36 </w:t>
            </w:r>
            <w:r>
              <w:t>-</w:t>
            </w:r>
            <w:r w:rsidRPr="00B2301A">
              <w:t xml:space="preserve"> 48</w:t>
            </w:r>
            <w:r>
              <w:t xml:space="preserve"> </w:t>
            </w:r>
            <w:r w:rsidRPr="00B2301A">
              <w:t>Gy</w:t>
            </w:r>
          </w:p>
        </w:tc>
        <w:tc>
          <w:tcPr>
            <w:tcW w:w="885" w:type="pct"/>
            <w:gridSpan w:val="2"/>
            <w:shd w:val="clear" w:color="auto" w:fill="auto"/>
          </w:tcPr>
          <w:p w14:paraId="283A86A5" w14:textId="77777777" w:rsidR="009E321D" w:rsidRPr="00B2301A" w:rsidRDefault="009E321D" w:rsidP="00C6168E">
            <w:pPr>
              <w:pStyle w:val="Tabletext1"/>
              <w:jc w:val="center"/>
            </w:pPr>
            <w:r w:rsidRPr="00B2301A">
              <w:t>167.1</w:t>
            </w:r>
          </w:p>
        </w:tc>
        <w:tc>
          <w:tcPr>
            <w:tcW w:w="1011" w:type="pct"/>
            <w:shd w:val="clear" w:color="auto" w:fill="auto"/>
          </w:tcPr>
          <w:p w14:paraId="684C2AA0" w14:textId="77777777" w:rsidR="009E321D" w:rsidRPr="00B2301A" w:rsidRDefault="009E321D" w:rsidP="00C6168E">
            <w:pPr>
              <w:pStyle w:val="Tabletext1"/>
              <w:jc w:val="center"/>
              <w:rPr>
                <w:snapToGrid w:val="0"/>
              </w:rPr>
            </w:pPr>
            <w:r w:rsidRPr="00B2301A">
              <w:rPr>
                <w:snapToGrid w:val="0"/>
              </w:rPr>
              <w:t>91.8</w:t>
            </w:r>
          </w:p>
        </w:tc>
        <w:tc>
          <w:tcPr>
            <w:tcW w:w="1083" w:type="pct"/>
            <w:shd w:val="clear" w:color="auto" w:fill="auto"/>
          </w:tcPr>
          <w:p w14:paraId="4D0C2F4A" w14:textId="77777777" w:rsidR="009E321D" w:rsidRPr="00B2301A" w:rsidRDefault="009E321D" w:rsidP="00C6168E">
            <w:pPr>
              <w:pStyle w:val="Tabletext1"/>
              <w:jc w:val="center"/>
              <w:rPr>
                <w:snapToGrid w:val="0"/>
              </w:rPr>
            </w:pPr>
            <w:r w:rsidRPr="00B2301A">
              <w:rPr>
                <w:snapToGrid w:val="0"/>
              </w:rPr>
              <w:t>0.545</w:t>
            </w:r>
          </w:p>
        </w:tc>
      </w:tr>
      <w:tr w:rsidR="00F01B96" w:rsidRPr="00B2301A" w14:paraId="0BE783AE" w14:textId="77777777" w:rsidTr="00A6095E">
        <w:tc>
          <w:tcPr>
            <w:tcW w:w="1034" w:type="pct"/>
            <w:tcBorders>
              <w:top w:val="nil"/>
              <w:bottom w:val="single" w:sz="4" w:space="0" w:color="auto"/>
            </w:tcBorders>
            <w:shd w:val="clear" w:color="auto" w:fill="auto"/>
          </w:tcPr>
          <w:p w14:paraId="0FC9F5DB" w14:textId="77777777" w:rsidR="009E321D" w:rsidRPr="00B2301A" w:rsidRDefault="009E321D" w:rsidP="00C6168E">
            <w:pPr>
              <w:pStyle w:val="Tabletext1"/>
              <w:jc w:val="center"/>
              <w:rPr>
                <w:snapToGrid w:val="0"/>
              </w:rPr>
            </w:pPr>
          </w:p>
        </w:tc>
        <w:tc>
          <w:tcPr>
            <w:tcW w:w="987" w:type="pct"/>
            <w:vAlign w:val="center"/>
          </w:tcPr>
          <w:p w14:paraId="51E985F5" w14:textId="77777777" w:rsidR="009E321D" w:rsidRPr="00B2301A" w:rsidRDefault="009E321D" w:rsidP="00C6168E">
            <w:pPr>
              <w:pStyle w:val="Tabletext1"/>
              <w:jc w:val="center"/>
            </w:pPr>
            <w:r>
              <w:rPr>
                <w:snapToGrid w:val="0"/>
              </w:rPr>
              <w:t>&gt;</w:t>
            </w:r>
            <w:r w:rsidRPr="00B2301A">
              <w:rPr>
                <w:snapToGrid w:val="0"/>
              </w:rPr>
              <w:t xml:space="preserve"> 48 Gy</w:t>
            </w:r>
          </w:p>
        </w:tc>
        <w:tc>
          <w:tcPr>
            <w:tcW w:w="885" w:type="pct"/>
            <w:gridSpan w:val="2"/>
            <w:shd w:val="clear" w:color="auto" w:fill="auto"/>
          </w:tcPr>
          <w:p w14:paraId="06C4F913" w14:textId="77777777" w:rsidR="009E321D" w:rsidRPr="00B2301A" w:rsidRDefault="009E321D" w:rsidP="00C6168E">
            <w:pPr>
              <w:pStyle w:val="Tabletext1"/>
              <w:jc w:val="center"/>
            </w:pPr>
            <w:r w:rsidRPr="00B2301A">
              <w:t>154.2</w:t>
            </w:r>
          </w:p>
        </w:tc>
        <w:tc>
          <w:tcPr>
            <w:tcW w:w="1011" w:type="pct"/>
            <w:shd w:val="clear" w:color="auto" w:fill="auto"/>
          </w:tcPr>
          <w:p w14:paraId="4D94050D" w14:textId="77777777" w:rsidR="009E321D" w:rsidRPr="00B2301A" w:rsidRDefault="009E321D" w:rsidP="00C6168E">
            <w:pPr>
              <w:pStyle w:val="Tabletext1"/>
              <w:jc w:val="center"/>
              <w:rPr>
                <w:snapToGrid w:val="0"/>
              </w:rPr>
            </w:pPr>
            <w:r w:rsidRPr="00B2301A">
              <w:rPr>
                <w:snapToGrid w:val="0"/>
              </w:rPr>
              <w:t>100.8</w:t>
            </w:r>
          </w:p>
        </w:tc>
        <w:tc>
          <w:tcPr>
            <w:tcW w:w="1083" w:type="pct"/>
            <w:shd w:val="clear" w:color="auto" w:fill="auto"/>
          </w:tcPr>
          <w:p w14:paraId="42929193" w14:textId="77777777" w:rsidR="009E321D" w:rsidRPr="00B2301A" w:rsidRDefault="009E321D" w:rsidP="00C6168E">
            <w:pPr>
              <w:pStyle w:val="Tabletext1"/>
              <w:jc w:val="center"/>
              <w:rPr>
                <w:snapToGrid w:val="0"/>
              </w:rPr>
            </w:pPr>
            <w:r>
              <w:rPr>
                <w:snapToGrid w:val="0"/>
              </w:rPr>
              <w:t>0.665</w:t>
            </w:r>
          </w:p>
        </w:tc>
      </w:tr>
    </w:tbl>
    <w:p w14:paraId="3F8F82EA" w14:textId="6F59A7B0" w:rsidR="009E321D" w:rsidRDefault="00263F24" w:rsidP="00CF7922">
      <w:pPr>
        <w:pStyle w:val="Tablenotes0"/>
      </w:pPr>
      <w:r>
        <w:t>CBC=</w:t>
      </w:r>
      <w:r w:rsidR="006A4D8D">
        <w:t xml:space="preserve">cone-beam computed tomography; </w:t>
      </w:r>
      <w:r w:rsidR="00427EDA">
        <w:t>CI</w:t>
      </w:r>
      <w:r>
        <w:t>=</w:t>
      </w:r>
      <w:r w:rsidR="00427EDA">
        <w:t xml:space="preserve">confidence interval; </w:t>
      </w:r>
      <w:r w:rsidR="006A4D8D">
        <w:t>Gy</w:t>
      </w:r>
      <w:r>
        <w:t>=</w:t>
      </w:r>
      <w:r w:rsidR="006A4D8D">
        <w:t>Gray; HU</w:t>
      </w:r>
      <w:r>
        <w:t>=</w:t>
      </w:r>
      <w:r w:rsidR="006A4D8D">
        <w:t>Hounsfield unit; IGRT</w:t>
      </w:r>
      <w:r>
        <w:t>=</w:t>
      </w:r>
      <w:r w:rsidR="006A4D8D">
        <w:t>image-guided radiation therapy; MR</w:t>
      </w:r>
      <w:r>
        <w:t>=</w:t>
      </w:r>
      <w:r w:rsidR="006A4D8D">
        <w:t>magnetic resonance</w:t>
      </w:r>
    </w:p>
    <w:p w14:paraId="4398ED15" w14:textId="405118D6" w:rsidR="001E29A5" w:rsidRDefault="00211285" w:rsidP="00E12692">
      <w:pPr>
        <w:jc w:val="center"/>
      </w:pPr>
      <w:r w:rsidRPr="00211285">
        <w:lastRenderedPageBreak/>
        <w:drawing>
          <wp:inline distT="0" distB="0" distL="0" distR="0" wp14:anchorId="12DA4913" wp14:editId="48494891">
            <wp:extent cx="5731510" cy="4132580"/>
            <wp:effectExtent l="0" t="0" r="2540" b="1270"/>
            <wp:docPr id="1" name="Picture 1" descr="Figure 5 Mean lung density changes according to treatment modality for different isodose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Mean lung density changes according to treatment modality for different isodose regio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132580"/>
                    </a:xfrm>
                    <a:prstGeom prst="rect">
                      <a:avLst/>
                    </a:prstGeom>
                    <a:noFill/>
                    <a:ln>
                      <a:noFill/>
                    </a:ln>
                  </pic:spPr>
                </pic:pic>
              </a:graphicData>
            </a:graphic>
          </wp:inline>
        </w:drawing>
      </w:r>
    </w:p>
    <w:p w14:paraId="3C2FE8F4" w14:textId="7BB2FCA9" w:rsidR="00466D5A" w:rsidRDefault="00466D5A" w:rsidP="00466D5A">
      <w:pPr>
        <w:pStyle w:val="Caption"/>
      </w:pPr>
      <w:bookmarkStart w:id="350" w:name="_Ref55898545"/>
      <w:bookmarkStart w:id="351" w:name="_Ref55898540"/>
      <w:bookmarkStart w:id="352" w:name="_Toc89857964"/>
      <w:r>
        <w:t xml:space="preserve">Figure </w:t>
      </w:r>
      <w:r w:rsidR="00211285">
        <w:fldChar w:fldCharType="begin"/>
      </w:r>
      <w:r w:rsidR="00211285">
        <w:instrText xml:space="preserve"> SEQ Figure \* ARABIC </w:instrText>
      </w:r>
      <w:r w:rsidR="00211285">
        <w:fldChar w:fldCharType="separate"/>
      </w:r>
      <w:r w:rsidR="00451350">
        <w:rPr>
          <w:noProof/>
        </w:rPr>
        <w:t>5</w:t>
      </w:r>
      <w:r w:rsidR="00211285">
        <w:rPr>
          <w:noProof/>
        </w:rPr>
        <w:fldChar w:fldCharType="end"/>
      </w:r>
      <w:bookmarkEnd w:id="350"/>
      <w:r>
        <w:tab/>
        <w:t>Mean lung density changes according to treatment modality for different isodose regions</w:t>
      </w:r>
      <w:bookmarkEnd w:id="351"/>
      <w:bookmarkEnd w:id="352"/>
      <w:r>
        <w:t xml:space="preserve"> </w:t>
      </w:r>
    </w:p>
    <w:p w14:paraId="198AD3A1" w14:textId="0C438EF1" w:rsidR="00466D5A" w:rsidRPr="00466D5A" w:rsidRDefault="00466D5A" w:rsidP="00466D5A">
      <w:pPr>
        <w:pStyle w:val="TFAbbrevs18"/>
      </w:pPr>
      <w:r>
        <w:t xml:space="preserve">Error bars </w:t>
      </w:r>
      <w:r w:rsidRPr="00466D5A">
        <w:t>represent</w:t>
      </w:r>
      <w:r>
        <w:t xml:space="preserve"> 95% confidence interval</w:t>
      </w:r>
      <w:r>
        <w:br/>
      </w:r>
      <w:r w:rsidRPr="00466D5A">
        <w:t>Source</w:t>
      </w:r>
      <w:r>
        <w:t xml:space="preserve">: </w:t>
      </w: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D54E92">
        <w:t xml:space="preserve">, p 6, </w:t>
      </w:r>
      <w:r>
        <w:t>Fig 2</w:t>
      </w:r>
      <w:r w:rsidR="003E0260">
        <w:t>B</w:t>
      </w:r>
    </w:p>
    <w:p w14:paraId="1A6D83DD" w14:textId="182D5E47" w:rsidR="009E321D" w:rsidRDefault="008F087E" w:rsidP="003363E1">
      <w:pPr>
        <w:rPr>
          <w:rFonts w:cs="Calibri"/>
        </w:rPr>
      </w:pPr>
      <w:bookmarkStart w:id="353" w:name="_Ref360617011"/>
      <w:r>
        <w:t xml:space="preserve">Two </w:t>
      </w:r>
      <w:r w:rsidR="004D14E9">
        <w:t>case series</w:t>
      </w:r>
      <w:r>
        <w:t xml:space="preserve"> reported toxicity rates in patients </w:t>
      </w:r>
      <w:r w:rsidR="002A5A21">
        <w:t xml:space="preserve">with lung cancer </w:t>
      </w:r>
      <w:r w:rsidR="000C77B0">
        <w:fldChar w:fldCharType="begin">
          <w:fldData xml:space="preserve">PEVuZE5vdGU+PENpdGU+PEF1dGhvcj5GaW5henppPC9BdXRob3I+PFllYXI+MjAyMDwvWWVhcj48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</w:fldData>
        </w:fldChar>
      </w:r>
      <w:r w:rsidR="000C77B0">
        <w:instrText xml:space="preserve"> ADDIN EN.CITE </w:instrText>
      </w:r>
      <w:r w:rsidR="000C77B0">
        <w:fldChar w:fldCharType="begin">
          <w:fldData xml:space="preserve">PEVuZE5vdGU+PENpdGU+PEF1dGhvcj5GaW5henppPC9BdXRob3I+PFllYXI+MjAyMDwvWWVhcj48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</w:fldData>
        </w:fldChar>
      </w:r>
      <w:r w:rsidR="000C77B0">
        <w:instrText xml:space="preserve"> ADDIN EN.CITE.DATA </w:instrText>
      </w:r>
      <w:r w:rsidR="000C77B0">
        <w:fldChar w:fldCharType="end"/>
      </w:r>
      <w:r w:rsidR="000C77B0">
        <w:fldChar w:fldCharType="separate"/>
      </w:r>
      <w:r w:rsidR="000C77B0">
        <w:rPr>
          <w:noProof/>
        </w:rPr>
        <w:t>(</w:t>
      </w:r>
      <w:hyperlink w:anchor="_ENREF_28" w:tooltip="Finazzi, 2020 #16" w:history="1">
        <w:r w:rsidR="008B6FC0">
          <w:rPr>
            <w:noProof/>
          </w:rPr>
          <w:t>Finazzi</w:t>
        </w:r>
        <w:r w:rsidR="001F781A">
          <w:rPr>
            <w:noProof/>
          </w:rPr>
          <w:t>, Haasbeek,</w:t>
        </w:r>
        <w:r w:rsidR="008B6FC0">
          <w:rPr>
            <w:noProof/>
          </w:rPr>
          <w:t xml:space="preserve"> et al., </w:t>
        </w:r>
        <w:r w:rsidR="001F781A">
          <w:rPr>
            <w:noProof/>
          </w:rPr>
          <w:t>2020</w:t>
        </w:r>
      </w:hyperlink>
      <w:r w:rsidR="000C77B0">
        <w:rPr>
          <w:noProof/>
        </w:rPr>
        <w:t xml:space="preserve">; </w:t>
      </w:r>
      <w:hyperlink w:anchor="_ENREF_29" w:tooltip="Finazzi, 2020 #17" w:history="1">
        <w:r w:rsidR="008B6FC0">
          <w:rPr>
            <w:noProof/>
          </w:rPr>
          <w:t>Finazzi</w:t>
        </w:r>
        <w:r w:rsidR="001F781A">
          <w:rPr>
            <w:noProof/>
          </w:rPr>
          <w:t>, van Sornsen de Koste,</w:t>
        </w:r>
        <w:r w:rsidR="008B6FC0">
          <w:rPr>
            <w:noProof/>
          </w:rPr>
          <w:t xml:space="preserve"> et al., </w:t>
        </w:r>
        <w:r w:rsidR="001F781A">
          <w:rPr>
            <w:noProof/>
          </w:rPr>
          <w:t>2020</w:t>
        </w:r>
      </w:hyperlink>
      <w:r w:rsidR="000C77B0">
        <w:rPr>
          <w:noProof/>
        </w:rPr>
        <w:t>)</w:t>
      </w:r>
      <w:r w:rsidR="000C77B0">
        <w:fldChar w:fldCharType="end"/>
      </w:r>
      <w:r w:rsidR="00E86441">
        <w:t>.</w:t>
      </w:r>
      <w:r w:rsidR="00E86441" w:rsidDel="00164A44">
        <w:t xml:space="preserve"> </w:t>
      </w:r>
      <w:hyperlink w:anchor="_ENREF_28" w:tooltip="Finazzi, 2020 #16" w:history="1">
        <w:r w:rsidR="001F781A">
          <w:fldChar w:fldCharType="begin"/>
        </w:r>
        <w:r w:rsidR="001F781A">
          <w:instrText xml:space="preserve"> ADDIN EN.CITE &lt;EndNote&gt;&lt;Cite AuthorYear="1"&gt;&lt;Author&gt;Finazzi&lt;/Author&gt;&lt;Year&gt;2020&lt;/Year&gt;&lt;RecNum&gt;16&lt;/RecNum&gt;&lt;DisplayText&gt;Finazzi,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1F781A">
          <w:fldChar w:fldCharType="separate"/>
        </w:r>
        <w:r w:rsidR="001F781A">
          <w:rPr>
            <w:noProof/>
          </w:rPr>
          <w:t>Finazzi, Haasbeek, et al. (2020)</w:t>
        </w:r>
        <w:r w:rsidR="001F781A">
          <w:fldChar w:fldCharType="end"/>
        </w:r>
      </w:hyperlink>
      <w:r w:rsidR="009E1A78">
        <w:t xml:space="preserve"> </w:t>
      </w:r>
      <w:r w:rsidR="00A43B46">
        <w:t xml:space="preserve">reported that 15 of 50 (30%) of </w:t>
      </w:r>
      <w:r w:rsidR="002A5A21">
        <w:t xml:space="preserve">patients with </w:t>
      </w:r>
      <w:r w:rsidR="00A43B46">
        <w:t>lung cancer at high risk of radiation toxicity</w:t>
      </w:r>
      <w:r w:rsidR="003E0260">
        <w:t xml:space="preserve"> (owing to tumour location, motion or pulmonary comorbidity)</w:t>
      </w:r>
      <w:r w:rsidR="00A43B46">
        <w:t xml:space="preserve"> experienced grade </w:t>
      </w:r>
      <w:r w:rsidR="00A43B46">
        <w:rPr>
          <w:rFonts w:cs="Calibri"/>
        </w:rPr>
        <w:t xml:space="preserve">≥2 toxicities. </w:t>
      </w:r>
      <w:r w:rsidR="00322FD5">
        <w:rPr>
          <w:rFonts w:cs="Calibri"/>
        </w:rPr>
        <w:t>In</w:t>
      </w:r>
      <w:r w:rsidR="00322FD5" w:rsidDel="00774653">
        <w:rPr>
          <w:rFonts w:cs="Calibri"/>
        </w:rPr>
        <w:t xml:space="preserve"> </w:t>
      </w:r>
      <w:r w:rsidR="00774653">
        <w:rPr>
          <w:rFonts w:cs="Calibri"/>
        </w:rPr>
        <w:t>a</w:t>
      </w:r>
      <w:r w:rsidR="00322FD5">
        <w:rPr>
          <w:rFonts w:cs="Calibri"/>
        </w:rPr>
        <w:t xml:space="preserve"> </w:t>
      </w:r>
      <w:r w:rsidR="004D14E9">
        <w:rPr>
          <w:rFonts w:cs="Calibri"/>
        </w:rPr>
        <w:t>case series</w:t>
      </w:r>
      <w:r w:rsidR="00322FD5">
        <w:rPr>
          <w:rFonts w:cs="Calibri"/>
        </w:rPr>
        <w:t xml:space="preserve"> of early</w:t>
      </w:r>
      <w:r w:rsidR="00774653">
        <w:rPr>
          <w:rFonts w:cs="Calibri"/>
        </w:rPr>
        <w:t>-</w:t>
      </w:r>
      <w:r w:rsidR="00322FD5">
        <w:rPr>
          <w:rFonts w:cs="Calibri"/>
        </w:rPr>
        <w:t>stage lung cancer</w:t>
      </w:r>
      <w:r w:rsidR="00774653">
        <w:rPr>
          <w:rFonts w:cs="Calibri"/>
        </w:rPr>
        <w:t>,</w:t>
      </w:r>
      <w:r w:rsidR="00322FD5">
        <w:rPr>
          <w:rFonts w:cs="Calibri"/>
        </w:rPr>
        <w:t xml:space="preserve"> two out of 10 </w:t>
      </w:r>
      <w:r w:rsidR="00774653">
        <w:rPr>
          <w:rFonts w:cs="Calibri"/>
        </w:rPr>
        <w:t>patients</w:t>
      </w:r>
      <w:r w:rsidR="00322FD5">
        <w:rPr>
          <w:rFonts w:cs="Calibri"/>
        </w:rPr>
        <w:t xml:space="preserve"> experienced grade 2 toxicities </w:t>
      </w:r>
      <w:r w:rsidR="000C77B0">
        <w:rPr>
          <w:rFonts w:cs="Calibri"/>
        </w:rPr>
        <w:fldChar w:fldCharType="begin"/>
      </w:r>
      <w:r w:rsidR="001F781A">
        <w:rPr>
          <w:rFonts w:cs="Calibri"/>
        </w:rPr>
        <w:instrText xml:space="preserve"> ADDIN EN.CITE &lt;EndNote&gt;&lt;Cite&gt;&lt;Author&gt;Finazzi&lt;/Author&gt;&lt;Year&gt;2020&lt;/Year&gt;&lt;RecNum&gt;17&lt;/RecNum&gt;&lt;DisplayText&gt;(Finazzi, van Sornsen de Koste, et al., 2020)&lt;/DisplayText&gt;&lt;record&gt;&lt;rec-number&gt;17&lt;/rec-number&gt;&lt;foreign-keys&gt;&lt;key app="EN" db-id="sx5wsdwv795wvue959xxw0ptaewvdezxxp05" timestamp="1604454186"&gt;17&lt;/key&gt;&lt;/foreign-keys&gt;&lt;ref-type name="Journal Article"&gt;17&lt;/ref-type&gt;&lt;contributors&gt;&lt;authors&gt;&lt;author&gt;Finazzi, T.&lt;/author&gt;&lt;author&gt;van Sornsen de Koste, J. R.&lt;/author&gt;&lt;author&gt;Palacios, M. A.&lt;/author&gt;&lt;author&gt;Spoelstra, F. O. B.&lt;/author&gt;&lt;author&gt;Slotman, B. J.&lt;/author&gt;&lt;author&gt;Haasbeek, C. J. A.&lt;/author&gt;&lt;author&gt;Senan, S.&lt;/author&gt;&lt;/authors&gt;&lt;/contributors&gt;&lt;titles&gt;&lt;title&gt;Delivery of magnetic resonance-guided single-fraction stereotactic lung radiotherapy&lt;/title&gt;&lt;secondary-title&gt;Physics and Imaging in Radiation Oncology&lt;/secondary-title&gt;&lt;/titles&gt;&lt;pages&gt;17-23&lt;/pages&gt;&lt;volume&gt;14&lt;/volume&gt;&lt;dates&gt;&lt;year&gt;2020&lt;/year&gt;&lt;/dates&gt;&lt;accession-num&gt;2005948675&lt;/accession-num&gt;&lt;urls&gt;&lt;related-urls&gt;&lt;url&gt;https://www.journals.elsevier.com/physics-and-imaging-in-radiation-oncology/http://ezproxy.library.usyd.edu.au/login?url=http://ovidsp.ovid.com/ovidweb.cgi?T=JS&amp;amp;CSC=Y&amp;amp;NEWS=N&amp;amp;PAGE=fulltext&amp;amp;D=emexb&amp;amp;AN=2005948675https://sydney.alma.exlibrisgroup.com/openurl/&lt;/url&gt;&lt;/related-urls&gt;&lt;/urls&gt;&lt;custom2&gt;single arm safety SBRT&lt;/custom2&gt;&lt;electronic-resource-num&gt;http://dx.doi.org/10.1016/j.phro.2020.05.002&lt;/electronic-resource-num&gt;&lt;/record&gt;&lt;/Cite&gt;&lt;/EndNote&gt;</w:instrText>
      </w:r>
      <w:r w:rsidR="000C77B0">
        <w:rPr>
          <w:rFonts w:cs="Calibri"/>
        </w:rPr>
        <w:fldChar w:fldCharType="separate"/>
      </w:r>
      <w:r w:rsidR="001F781A">
        <w:rPr>
          <w:rFonts w:cs="Calibri"/>
          <w:noProof/>
        </w:rPr>
        <w:t>(</w:t>
      </w:r>
      <w:hyperlink w:anchor="_ENREF_29" w:tooltip="Finazzi, 2020 #17" w:history="1">
        <w:r w:rsidR="001F781A">
          <w:rPr>
            <w:rFonts w:cs="Calibri"/>
            <w:noProof/>
          </w:rPr>
          <w:t>Finazzi, van Sornsen de Koste, et al., 2020</w:t>
        </w:r>
      </w:hyperlink>
      <w:r w:rsidR="001F781A">
        <w:rPr>
          <w:rFonts w:cs="Calibri"/>
          <w:noProof/>
        </w:rPr>
        <w:t>)</w:t>
      </w:r>
      <w:r w:rsidR="000C77B0">
        <w:rPr>
          <w:rFonts w:cs="Calibri"/>
        </w:rPr>
        <w:fldChar w:fldCharType="end"/>
      </w:r>
      <w:r w:rsidR="00322FD5">
        <w:rPr>
          <w:rFonts w:cs="Calibri"/>
        </w:rPr>
        <w:t xml:space="preserve">. All </w:t>
      </w:r>
      <w:r w:rsidR="00FA7A34">
        <w:rPr>
          <w:rFonts w:cs="Calibri"/>
        </w:rPr>
        <w:t xml:space="preserve">reported </w:t>
      </w:r>
      <w:r w:rsidR="00322FD5">
        <w:rPr>
          <w:rFonts w:cs="Calibri"/>
        </w:rPr>
        <w:t>toxicities</w:t>
      </w:r>
      <w:r w:rsidR="009B6277">
        <w:rPr>
          <w:rFonts w:cs="Calibri"/>
        </w:rPr>
        <w:t xml:space="preserve"> </w:t>
      </w:r>
      <w:r w:rsidR="00322FD5">
        <w:rPr>
          <w:rFonts w:cs="Calibri"/>
        </w:rPr>
        <w:t xml:space="preserve">are </w:t>
      </w:r>
      <w:r w:rsidR="00164A44">
        <w:rPr>
          <w:rFonts w:cs="Calibri"/>
        </w:rPr>
        <w:t xml:space="preserve">summarised </w:t>
      </w:r>
      <w:r w:rsidR="00322FD5">
        <w:rPr>
          <w:rFonts w:cs="Calibri"/>
        </w:rPr>
        <w:t xml:space="preserve">in </w:t>
      </w:r>
      <w:r w:rsidR="00164A44">
        <w:rPr>
          <w:rFonts w:cs="Calibri"/>
        </w:rPr>
        <w:fldChar w:fldCharType="begin"/>
      </w:r>
      <w:r w:rsidR="00164A44">
        <w:rPr>
          <w:rFonts w:cs="Calibri"/>
        </w:rPr>
        <w:instrText xml:space="preserve"> REF _Ref55823892 \h </w:instrText>
      </w:r>
      <w:r w:rsidR="00164A44">
        <w:rPr>
          <w:rFonts w:cs="Calibri"/>
        </w:rPr>
      </w:r>
      <w:r w:rsidR="00164A44">
        <w:rPr>
          <w:rFonts w:cs="Calibri"/>
        </w:rPr>
        <w:fldChar w:fldCharType="separate"/>
      </w:r>
      <w:r w:rsidR="00451350">
        <w:t xml:space="preserve">Table </w:t>
      </w:r>
      <w:r w:rsidR="00451350">
        <w:rPr>
          <w:noProof/>
        </w:rPr>
        <w:t>18</w:t>
      </w:r>
      <w:r w:rsidR="00164A44">
        <w:rPr>
          <w:rFonts w:cs="Calibri"/>
        </w:rPr>
        <w:fldChar w:fldCharType="end"/>
      </w:r>
      <w:r w:rsidR="00322FD5">
        <w:rPr>
          <w:rFonts w:cs="Calibri"/>
        </w:rPr>
        <w:t>.</w:t>
      </w:r>
    </w:p>
    <w:p w14:paraId="723FC00A" w14:textId="47980B37" w:rsidR="006A4D8D" w:rsidRDefault="006A4D8D" w:rsidP="000E515E">
      <w:pPr>
        <w:pStyle w:val="Caption"/>
        <w:keepNext/>
      </w:pPr>
      <w:bookmarkStart w:id="354" w:name="_Ref55823892"/>
      <w:bookmarkStart w:id="355" w:name="_Toc89857889"/>
      <w:r>
        <w:t xml:space="preserve">Table </w:t>
      </w:r>
      <w:r w:rsidR="00211285">
        <w:fldChar w:fldCharType="begin"/>
      </w:r>
      <w:r w:rsidR="00211285">
        <w:instrText xml:space="preserve"> SEQ Table \* ARABIC </w:instrText>
      </w:r>
      <w:r w:rsidR="00211285">
        <w:fldChar w:fldCharType="separate"/>
      </w:r>
      <w:r w:rsidR="00451350">
        <w:rPr>
          <w:noProof/>
        </w:rPr>
        <w:t>18</w:t>
      </w:r>
      <w:r w:rsidR="00211285">
        <w:rPr>
          <w:noProof/>
        </w:rPr>
        <w:fldChar w:fldCharType="end"/>
      </w:r>
      <w:bookmarkEnd w:id="354"/>
      <w:r>
        <w:t xml:space="preserve"> </w:t>
      </w:r>
      <w:r>
        <w:tab/>
      </w:r>
      <w:r w:rsidRPr="00860D5F">
        <w:t xml:space="preserve">Results of toxicity across the studies, lung cancer, </w:t>
      </w:r>
      <w:r>
        <w:t>MR</w:t>
      </w:r>
      <w:r w:rsidRPr="00860D5F">
        <w:t>-IGRT</w:t>
      </w:r>
      <w:bookmarkEnd w:id="355"/>
    </w:p>
    <w:tbl>
      <w:tblPr>
        <w:tblStyle w:val="TableGrid1"/>
        <w:tblW w:w="5000" w:type="pct"/>
        <w:tblCellMar>
          <w:left w:w="28" w:type="dxa"/>
          <w:right w:w="28" w:type="dxa"/>
        </w:tblCellMar>
        <w:tblLook w:val="04A0" w:firstRow="1" w:lastRow="0" w:firstColumn="1" w:lastColumn="0" w:noHBand="0" w:noVBand="1"/>
        <w:tblCaption w:val="Table 18  Results of toxicity across the studies, lung cancer, MR-IGRT"/>
        <w:tblDescription w:val="This table provides results of toxicity across studies in Lung cancer for MR-IGRT."/>
      </w:tblPr>
      <w:tblGrid>
        <w:gridCol w:w="1184"/>
        <w:gridCol w:w="1807"/>
        <w:gridCol w:w="1507"/>
        <w:gridCol w:w="1507"/>
        <w:gridCol w:w="1507"/>
        <w:gridCol w:w="1504"/>
      </w:tblGrid>
      <w:tr w:rsidR="005C3B2B" w:rsidRPr="00B2301A" w14:paraId="7941EAE5" w14:textId="4500FB14" w:rsidTr="005C3B2B">
        <w:trPr>
          <w:cnfStyle w:val="100000000000" w:firstRow="1" w:lastRow="0" w:firstColumn="0" w:lastColumn="0" w:oddVBand="0" w:evenVBand="0" w:oddHBand="0" w:evenHBand="0" w:firstRowFirstColumn="0" w:firstRowLastColumn="0" w:lastRowFirstColumn="0" w:lastRowLastColumn="0"/>
          <w:tblHeader/>
        </w:trPr>
        <w:tc>
          <w:tcPr>
            <w:tcW w:w="656" w:type="pct"/>
            <w:tcBorders>
              <w:top w:val="single" w:sz="4" w:space="0" w:color="auto"/>
              <w:left w:val="single" w:sz="4" w:space="0" w:color="auto"/>
              <w:bottom w:val="nil"/>
              <w:right w:val="single" w:sz="4" w:space="0" w:color="auto"/>
            </w:tcBorders>
            <w:shd w:val="clear" w:color="auto" w:fill="auto"/>
          </w:tcPr>
          <w:p w14:paraId="04EF87D3" w14:textId="2B129C87" w:rsidR="005C3B2B" w:rsidRDefault="005C3B2B" w:rsidP="000E515E">
            <w:pPr>
              <w:pStyle w:val="TableHeading"/>
              <w:rPr>
                <w:snapToGrid w:val="0"/>
              </w:rPr>
            </w:pPr>
            <w:r w:rsidRPr="00B2301A">
              <w:rPr>
                <w:snapToGrid w:val="0"/>
                <w:lang w:eastAsia="en-US"/>
              </w:rPr>
              <w:t>Study ID</w:t>
            </w:r>
          </w:p>
        </w:tc>
        <w:tc>
          <w:tcPr>
            <w:tcW w:w="1002" w:type="pct"/>
            <w:tcBorders>
              <w:left w:val="single" w:sz="4" w:space="0" w:color="auto"/>
              <w:bottom w:val="single" w:sz="4" w:space="0" w:color="auto"/>
              <w:right w:val="single" w:sz="4" w:space="0" w:color="auto"/>
            </w:tcBorders>
          </w:tcPr>
          <w:p w14:paraId="743A5243" w14:textId="3E860EA4" w:rsidR="005C3B2B" w:rsidRDefault="005C3B2B" w:rsidP="005C3B2B">
            <w:pPr>
              <w:pStyle w:val="TableHeading"/>
              <w:jc w:val="center"/>
            </w:pPr>
            <w:r>
              <w:t>Toxicity</w:t>
            </w:r>
          </w:p>
        </w:tc>
        <w:tc>
          <w:tcPr>
            <w:tcW w:w="3342" w:type="pct"/>
            <w:gridSpan w:val="4"/>
            <w:tcBorders>
              <w:top w:val="single" w:sz="4" w:space="0" w:color="auto"/>
              <w:left w:val="single" w:sz="4" w:space="0" w:color="auto"/>
              <w:bottom w:val="single" w:sz="4" w:space="0" w:color="auto"/>
              <w:right w:val="single" w:sz="4" w:space="0" w:color="auto"/>
            </w:tcBorders>
          </w:tcPr>
          <w:p w14:paraId="51AD1A89" w14:textId="184DAA0F" w:rsidR="005C3B2B" w:rsidRDefault="005C3B2B" w:rsidP="005C3B2B">
            <w:pPr>
              <w:pStyle w:val="TableHeading"/>
              <w:jc w:val="center"/>
              <w:rPr>
                <w:snapToGrid w:val="0"/>
                <w:lang w:eastAsia="en-US"/>
              </w:rPr>
            </w:pPr>
            <w:r>
              <w:rPr>
                <w:snapToGrid w:val="0"/>
                <w:lang w:eastAsia="en-US"/>
              </w:rPr>
              <w:t>Any (acute or late)</w:t>
            </w:r>
          </w:p>
        </w:tc>
      </w:tr>
      <w:tr w:rsidR="00D060CA" w:rsidRPr="00B2301A" w14:paraId="4A577BDE" w14:textId="77777777" w:rsidTr="005C3B2B">
        <w:trPr>
          <w:cnfStyle w:val="100000000000" w:firstRow="1" w:lastRow="0" w:firstColumn="0" w:lastColumn="0" w:oddVBand="0" w:evenVBand="0" w:oddHBand="0" w:evenHBand="0" w:firstRowFirstColumn="0" w:firstRowLastColumn="0" w:lastRowFirstColumn="0" w:lastRowLastColumn="0"/>
          <w:tblHeader/>
        </w:trPr>
        <w:tc>
          <w:tcPr>
            <w:tcW w:w="656" w:type="pct"/>
            <w:tcBorders>
              <w:top w:val="nil"/>
              <w:left w:val="single" w:sz="4" w:space="0" w:color="auto"/>
              <w:bottom w:val="single" w:sz="4" w:space="0" w:color="auto"/>
              <w:right w:val="single" w:sz="4" w:space="0" w:color="auto"/>
            </w:tcBorders>
            <w:shd w:val="clear" w:color="auto" w:fill="auto"/>
          </w:tcPr>
          <w:p w14:paraId="55C5310F" w14:textId="4E6F9E24" w:rsidR="00D060CA" w:rsidRPr="00B2301A" w:rsidRDefault="00D060CA" w:rsidP="000E515E">
            <w:pPr>
              <w:pStyle w:val="TableHeading"/>
              <w:rPr>
                <w:snapToGrid w:val="0"/>
                <w:lang w:eastAsia="en-US"/>
              </w:rPr>
            </w:pPr>
          </w:p>
        </w:tc>
        <w:tc>
          <w:tcPr>
            <w:tcW w:w="1002" w:type="pct"/>
            <w:tcBorders>
              <w:left w:val="single" w:sz="4" w:space="0" w:color="auto"/>
              <w:bottom w:val="single" w:sz="4" w:space="0" w:color="auto"/>
            </w:tcBorders>
          </w:tcPr>
          <w:p w14:paraId="08F7F128" w14:textId="37EC8E95" w:rsidR="00D060CA" w:rsidRDefault="00D060CA" w:rsidP="005C3B2B">
            <w:pPr>
              <w:pStyle w:val="TableHeading"/>
              <w:jc w:val="center"/>
              <w:rPr>
                <w:snapToGrid w:val="0"/>
                <w:lang w:eastAsia="en-US"/>
              </w:rPr>
            </w:pPr>
            <w:r>
              <w:rPr>
                <w:snapToGrid w:val="0"/>
                <w:lang w:eastAsia="en-US"/>
              </w:rPr>
              <w:t>Grade</w:t>
            </w:r>
          </w:p>
        </w:tc>
        <w:tc>
          <w:tcPr>
            <w:tcW w:w="836" w:type="pct"/>
            <w:tcBorders>
              <w:top w:val="single" w:sz="4" w:space="0" w:color="auto"/>
              <w:bottom w:val="single" w:sz="4" w:space="0" w:color="auto"/>
            </w:tcBorders>
          </w:tcPr>
          <w:p w14:paraId="1E94F920" w14:textId="1937D954" w:rsidR="00D060CA" w:rsidRDefault="00D060CA" w:rsidP="005C3B2B">
            <w:pPr>
              <w:pStyle w:val="TableHeading"/>
              <w:jc w:val="center"/>
              <w:rPr>
                <w:snapToGrid w:val="0"/>
                <w:lang w:eastAsia="en-US"/>
              </w:rPr>
            </w:pPr>
            <w:r>
              <w:rPr>
                <w:snapToGrid w:val="0"/>
                <w:lang w:eastAsia="en-US"/>
              </w:rPr>
              <w:t>0</w:t>
            </w:r>
          </w:p>
        </w:tc>
        <w:tc>
          <w:tcPr>
            <w:tcW w:w="836" w:type="pct"/>
            <w:tcBorders>
              <w:top w:val="single" w:sz="4" w:space="0" w:color="auto"/>
              <w:bottom w:val="single" w:sz="4" w:space="0" w:color="auto"/>
            </w:tcBorders>
          </w:tcPr>
          <w:p w14:paraId="5425F872" w14:textId="0E9931A7" w:rsidR="00D060CA" w:rsidRDefault="00D060CA" w:rsidP="005C3B2B">
            <w:pPr>
              <w:pStyle w:val="TableHeading"/>
              <w:jc w:val="center"/>
              <w:rPr>
                <w:snapToGrid w:val="0"/>
                <w:lang w:eastAsia="en-US"/>
              </w:rPr>
            </w:pPr>
            <w:r>
              <w:rPr>
                <w:snapToGrid w:val="0"/>
                <w:lang w:eastAsia="en-US"/>
              </w:rPr>
              <w:t>1</w:t>
            </w:r>
          </w:p>
        </w:tc>
        <w:tc>
          <w:tcPr>
            <w:tcW w:w="836" w:type="pct"/>
            <w:tcBorders>
              <w:top w:val="single" w:sz="4" w:space="0" w:color="auto"/>
              <w:bottom w:val="single" w:sz="4" w:space="0" w:color="auto"/>
            </w:tcBorders>
          </w:tcPr>
          <w:p w14:paraId="4FB9139E" w14:textId="261287BF" w:rsidR="00D060CA" w:rsidRDefault="00D060CA" w:rsidP="005C3B2B">
            <w:pPr>
              <w:pStyle w:val="TableHeading"/>
              <w:jc w:val="center"/>
              <w:rPr>
                <w:snapToGrid w:val="0"/>
                <w:lang w:eastAsia="en-US"/>
              </w:rPr>
            </w:pPr>
            <w:r>
              <w:rPr>
                <w:snapToGrid w:val="0"/>
                <w:lang w:eastAsia="en-US"/>
              </w:rPr>
              <w:t>2</w:t>
            </w:r>
          </w:p>
        </w:tc>
        <w:tc>
          <w:tcPr>
            <w:tcW w:w="835" w:type="pct"/>
            <w:tcBorders>
              <w:top w:val="single" w:sz="4" w:space="0" w:color="auto"/>
              <w:bottom w:val="single" w:sz="4" w:space="0" w:color="auto"/>
            </w:tcBorders>
          </w:tcPr>
          <w:p w14:paraId="0A3264F3" w14:textId="2FEE6714" w:rsidR="00D060CA" w:rsidRDefault="00D060CA" w:rsidP="005C3B2B">
            <w:pPr>
              <w:pStyle w:val="TableHeading"/>
              <w:jc w:val="center"/>
              <w:rPr>
                <w:snapToGrid w:val="0"/>
                <w:lang w:eastAsia="en-US"/>
              </w:rPr>
            </w:pPr>
            <w:r>
              <w:rPr>
                <w:snapToGrid w:val="0"/>
                <w:lang w:eastAsia="en-US"/>
              </w:rPr>
              <w:t>3</w:t>
            </w:r>
          </w:p>
        </w:tc>
      </w:tr>
      <w:tr w:rsidR="00D060CA" w:rsidRPr="00B2301A" w14:paraId="7A1218E8" w14:textId="78DFE5AA" w:rsidTr="005C3B2B">
        <w:tc>
          <w:tcPr>
            <w:tcW w:w="656" w:type="pct"/>
            <w:tcBorders>
              <w:top w:val="single" w:sz="4" w:space="0" w:color="auto"/>
              <w:bottom w:val="nil"/>
            </w:tcBorders>
            <w:shd w:val="clear" w:color="auto" w:fill="auto"/>
          </w:tcPr>
          <w:p w14:paraId="6B5D49B0" w14:textId="1F8685AA" w:rsidR="00D060CA" w:rsidRPr="00B2301A" w:rsidRDefault="00211285" w:rsidP="006A4D8D">
            <w:pPr>
              <w:pStyle w:val="Tabletext1"/>
              <w:rPr>
                <w:snapToGrid w:val="0"/>
              </w:rPr>
            </w:pPr>
            <w:hyperlink w:anchor="_ENREF_28" w:tooltip="Finazzi, 2020 #16" w:history="1">
              <w:r w:rsidR="001F781A">
                <w:rPr>
                  <w:snapToGrid w:val="0"/>
                </w:rPr>
                <w:fldChar w:fldCharType="begin"/>
              </w:r>
              <w:r w:rsidR="001F781A">
                <w:rPr>
                  <w:snapToGrid w:val="0"/>
                </w:rPr>
                <w:instrText xml:space="preserve"> ADDIN EN.CITE &lt;EndNote&gt;&lt;Cite AuthorYear="1"&gt;&lt;Author&gt;Finazzi&lt;/Author&gt;&lt;Year&gt;2020&lt;/Year&gt;&lt;RecNum&gt;16&lt;/RecNum&gt;&lt;DisplayText&gt;Finazzi,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1F781A">
                <w:rPr>
                  <w:snapToGrid w:val="0"/>
                </w:rPr>
                <w:fldChar w:fldCharType="separate"/>
              </w:r>
              <w:r w:rsidR="001F781A">
                <w:rPr>
                  <w:noProof/>
                  <w:snapToGrid w:val="0"/>
                </w:rPr>
                <w:t>Finazzi, Haasbeek, et al. (2020)</w:t>
              </w:r>
              <w:r w:rsidR="001F781A">
                <w:rPr>
                  <w:snapToGrid w:val="0"/>
                </w:rPr>
                <w:fldChar w:fldCharType="end"/>
              </w:r>
            </w:hyperlink>
          </w:p>
        </w:tc>
        <w:tc>
          <w:tcPr>
            <w:tcW w:w="1002" w:type="pct"/>
            <w:tcBorders>
              <w:bottom w:val="single" w:sz="4" w:space="0" w:color="auto"/>
            </w:tcBorders>
            <w:vAlign w:val="center"/>
          </w:tcPr>
          <w:p w14:paraId="74E0C3A5" w14:textId="2B913DA6" w:rsidR="00D060CA" w:rsidRPr="00B2301A" w:rsidRDefault="00D060CA" w:rsidP="005C3B2B">
            <w:pPr>
              <w:pStyle w:val="Tabletext1"/>
              <w:jc w:val="center"/>
              <w:rPr>
                <w:snapToGrid w:val="0"/>
              </w:rPr>
            </w:pPr>
            <w:r>
              <w:t>Any toxicities, Grade ≥2</w:t>
            </w:r>
          </w:p>
        </w:tc>
        <w:tc>
          <w:tcPr>
            <w:tcW w:w="836" w:type="pct"/>
            <w:tcBorders>
              <w:bottom w:val="single" w:sz="4" w:space="0" w:color="auto"/>
            </w:tcBorders>
          </w:tcPr>
          <w:p w14:paraId="35692FC6" w14:textId="77777777" w:rsidR="00D060CA" w:rsidRDefault="00D060CA" w:rsidP="005C3B2B">
            <w:pPr>
              <w:pStyle w:val="Tabletext1"/>
              <w:jc w:val="center"/>
            </w:pPr>
          </w:p>
        </w:tc>
        <w:tc>
          <w:tcPr>
            <w:tcW w:w="836" w:type="pct"/>
            <w:tcBorders>
              <w:bottom w:val="single" w:sz="4" w:space="0" w:color="auto"/>
            </w:tcBorders>
          </w:tcPr>
          <w:p w14:paraId="784B9E2B" w14:textId="77777777" w:rsidR="00D060CA" w:rsidRDefault="00D060CA" w:rsidP="005C3B2B">
            <w:pPr>
              <w:pStyle w:val="Tabletext1"/>
              <w:jc w:val="center"/>
            </w:pPr>
          </w:p>
        </w:tc>
        <w:tc>
          <w:tcPr>
            <w:tcW w:w="836" w:type="pct"/>
            <w:tcBorders>
              <w:bottom w:val="single" w:sz="4" w:space="0" w:color="auto"/>
            </w:tcBorders>
          </w:tcPr>
          <w:p w14:paraId="6974CBF0" w14:textId="7B778D6E" w:rsidR="00D060CA" w:rsidRDefault="00D060CA" w:rsidP="005C3B2B">
            <w:pPr>
              <w:pStyle w:val="Tabletext1"/>
              <w:jc w:val="center"/>
            </w:pPr>
            <w:r>
              <w:t>15/50 (30%)</w:t>
            </w:r>
          </w:p>
        </w:tc>
        <w:tc>
          <w:tcPr>
            <w:tcW w:w="835" w:type="pct"/>
            <w:tcBorders>
              <w:bottom w:val="single" w:sz="4" w:space="0" w:color="auto"/>
            </w:tcBorders>
          </w:tcPr>
          <w:p w14:paraId="407A9A2D" w14:textId="77777777" w:rsidR="00D060CA" w:rsidRDefault="00D060CA" w:rsidP="005C3B2B">
            <w:pPr>
              <w:pStyle w:val="Tabletext1"/>
              <w:jc w:val="center"/>
            </w:pPr>
          </w:p>
        </w:tc>
      </w:tr>
      <w:tr w:rsidR="00D060CA" w:rsidRPr="00B2301A" w14:paraId="6D59C011" w14:textId="6A64FEE0" w:rsidTr="005C3B2B">
        <w:tc>
          <w:tcPr>
            <w:tcW w:w="656" w:type="pct"/>
            <w:tcBorders>
              <w:top w:val="nil"/>
              <w:bottom w:val="nil"/>
            </w:tcBorders>
            <w:shd w:val="clear" w:color="auto" w:fill="auto"/>
          </w:tcPr>
          <w:p w14:paraId="45CDA51D" w14:textId="77777777" w:rsidR="00D060CA" w:rsidRDefault="00D060CA" w:rsidP="006A4D8D">
            <w:pPr>
              <w:pStyle w:val="Tabletext1"/>
              <w:rPr>
                <w:snapToGrid w:val="0"/>
              </w:rPr>
            </w:pPr>
          </w:p>
        </w:tc>
        <w:tc>
          <w:tcPr>
            <w:tcW w:w="1002" w:type="pct"/>
            <w:vAlign w:val="center"/>
          </w:tcPr>
          <w:p w14:paraId="7D442398" w14:textId="77777777" w:rsidR="00D060CA" w:rsidRDefault="00D060CA" w:rsidP="005C3B2B">
            <w:pPr>
              <w:pStyle w:val="Tabletext1"/>
              <w:jc w:val="center"/>
            </w:pPr>
            <w:r w:rsidRPr="003B7A18">
              <w:t>Radiation pneumonitis</w:t>
            </w:r>
          </w:p>
        </w:tc>
        <w:tc>
          <w:tcPr>
            <w:tcW w:w="836" w:type="pct"/>
          </w:tcPr>
          <w:p w14:paraId="4190A525" w14:textId="77777777" w:rsidR="00D060CA" w:rsidRDefault="00D060CA" w:rsidP="005C3B2B">
            <w:pPr>
              <w:pStyle w:val="Tabletext1"/>
              <w:jc w:val="center"/>
            </w:pPr>
          </w:p>
        </w:tc>
        <w:tc>
          <w:tcPr>
            <w:tcW w:w="836" w:type="pct"/>
          </w:tcPr>
          <w:p w14:paraId="6F40AE01" w14:textId="77777777" w:rsidR="00D060CA" w:rsidRDefault="00D060CA" w:rsidP="005C3B2B">
            <w:pPr>
              <w:pStyle w:val="Tabletext1"/>
              <w:jc w:val="center"/>
            </w:pPr>
          </w:p>
        </w:tc>
        <w:tc>
          <w:tcPr>
            <w:tcW w:w="836" w:type="pct"/>
          </w:tcPr>
          <w:p w14:paraId="42107540" w14:textId="73E540A5" w:rsidR="00D060CA" w:rsidRDefault="00D060CA" w:rsidP="005C3B2B">
            <w:pPr>
              <w:pStyle w:val="Tabletext1"/>
              <w:jc w:val="center"/>
            </w:pPr>
            <w:r>
              <w:t>4/50 (8%)</w:t>
            </w:r>
          </w:p>
        </w:tc>
        <w:tc>
          <w:tcPr>
            <w:tcW w:w="835" w:type="pct"/>
          </w:tcPr>
          <w:p w14:paraId="3F92B915" w14:textId="4E759990" w:rsidR="00D060CA" w:rsidRDefault="00D060CA" w:rsidP="005C3B2B">
            <w:pPr>
              <w:pStyle w:val="Tabletext1"/>
              <w:jc w:val="center"/>
            </w:pPr>
            <w:r>
              <w:t>1/50 (2%)</w:t>
            </w:r>
          </w:p>
        </w:tc>
      </w:tr>
      <w:tr w:rsidR="00D060CA" w:rsidRPr="00B2301A" w14:paraId="0ABF168B" w14:textId="7AD32F12" w:rsidTr="005C3B2B">
        <w:tc>
          <w:tcPr>
            <w:tcW w:w="656" w:type="pct"/>
            <w:tcBorders>
              <w:top w:val="nil"/>
              <w:bottom w:val="nil"/>
            </w:tcBorders>
            <w:shd w:val="clear" w:color="auto" w:fill="auto"/>
          </w:tcPr>
          <w:p w14:paraId="1CF7949B" w14:textId="77777777" w:rsidR="00D060CA" w:rsidRDefault="00D060CA" w:rsidP="00D060CA">
            <w:pPr>
              <w:pStyle w:val="Tabletext1"/>
              <w:rPr>
                <w:snapToGrid w:val="0"/>
              </w:rPr>
            </w:pPr>
          </w:p>
        </w:tc>
        <w:tc>
          <w:tcPr>
            <w:tcW w:w="1002" w:type="pct"/>
            <w:vAlign w:val="center"/>
          </w:tcPr>
          <w:p w14:paraId="610CBDB2" w14:textId="37927E39" w:rsidR="00D060CA" w:rsidRDefault="00D060CA" w:rsidP="005C3B2B">
            <w:pPr>
              <w:pStyle w:val="Tabletext1"/>
              <w:jc w:val="center"/>
            </w:pPr>
            <w:r>
              <w:t>Chest wall pain</w:t>
            </w:r>
          </w:p>
        </w:tc>
        <w:tc>
          <w:tcPr>
            <w:tcW w:w="836" w:type="pct"/>
          </w:tcPr>
          <w:p w14:paraId="0A100660" w14:textId="77777777" w:rsidR="00D060CA" w:rsidRDefault="00D060CA" w:rsidP="005C3B2B">
            <w:pPr>
              <w:pStyle w:val="Tabletext1"/>
              <w:jc w:val="center"/>
            </w:pPr>
          </w:p>
        </w:tc>
        <w:tc>
          <w:tcPr>
            <w:tcW w:w="836" w:type="pct"/>
          </w:tcPr>
          <w:p w14:paraId="4D9E2614" w14:textId="77777777" w:rsidR="00D060CA" w:rsidRDefault="00D060CA" w:rsidP="005C3B2B">
            <w:pPr>
              <w:pStyle w:val="Tabletext1"/>
              <w:jc w:val="center"/>
            </w:pPr>
          </w:p>
        </w:tc>
        <w:tc>
          <w:tcPr>
            <w:tcW w:w="836" w:type="pct"/>
          </w:tcPr>
          <w:p w14:paraId="15BD7FE1" w14:textId="3E7719F8" w:rsidR="00D060CA" w:rsidRDefault="00D060CA" w:rsidP="005C3B2B">
            <w:pPr>
              <w:pStyle w:val="Tabletext1"/>
              <w:jc w:val="center"/>
            </w:pPr>
            <w:r>
              <w:t>3/50 (6%)</w:t>
            </w:r>
          </w:p>
        </w:tc>
        <w:tc>
          <w:tcPr>
            <w:tcW w:w="835" w:type="pct"/>
          </w:tcPr>
          <w:p w14:paraId="12C1BA95" w14:textId="66BABD81" w:rsidR="00D060CA" w:rsidRDefault="00D060CA" w:rsidP="005C3B2B">
            <w:pPr>
              <w:pStyle w:val="Tabletext1"/>
              <w:jc w:val="center"/>
            </w:pPr>
            <w:r>
              <w:t>1/50 (2%)</w:t>
            </w:r>
          </w:p>
        </w:tc>
      </w:tr>
      <w:tr w:rsidR="00D060CA" w:rsidRPr="00B2301A" w14:paraId="471E1888" w14:textId="2D1F8F1E" w:rsidTr="005C3B2B">
        <w:tc>
          <w:tcPr>
            <w:tcW w:w="656" w:type="pct"/>
            <w:tcBorders>
              <w:top w:val="nil"/>
              <w:bottom w:val="nil"/>
            </w:tcBorders>
            <w:shd w:val="clear" w:color="auto" w:fill="auto"/>
          </w:tcPr>
          <w:p w14:paraId="601A7752" w14:textId="77777777" w:rsidR="00D060CA" w:rsidRDefault="00D060CA" w:rsidP="00D060CA">
            <w:pPr>
              <w:pStyle w:val="Tabletext1"/>
              <w:rPr>
                <w:snapToGrid w:val="0"/>
              </w:rPr>
            </w:pPr>
          </w:p>
        </w:tc>
        <w:tc>
          <w:tcPr>
            <w:tcW w:w="1002" w:type="pct"/>
            <w:vAlign w:val="center"/>
          </w:tcPr>
          <w:p w14:paraId="726080DE" w14:textId="77777777" w:rsidR="00D060CA" w:rsidRDefault="00D060CA" w:rsidP="005C3B2B">
            <w:pPr>
              <w:pStyle w:val="Tabletext1"/>
              <w:jc w:val="center"/>
            </w:pPr>
            <w:r>
              <w:t>Esophagitis</w:t>
            </w:r>
          </w:p>
        </w:tc>
        <w:tc>
          <w:tcPr>
            <w:tcW w:w="836" w:type="pct"/>
          </w:tcPr>
          <w:p w14:paraId="3090C757" w14:textId="77777777" w:rsidR="00D060CA" w:rsidRDefault="00D060CA" w:rsidP="005C3B2B">
            <w:pPr>
              <w:pStyle w:val="Tabletext1"/>
              <w:jc w:val="center"/>
            </w:pPr>
          </w:p>
        </w:tc>
        <w:tc>
          <w:tcPr>
            <w:tcW w:w="836" w:type="pct"/>
          </w:tcPr>
          <w:p w14:paraId="552340EC" w14:textId="77777777" w:rsidR="00D060CA" w:rsidRDefault="00D060CA" w:rsidP="005C3B2B">
            <w:pPr>
              <w:pStyle w:val="Tabletext1"/>
              <w:jc w:val="center"/>
            </w:pPr>
          </w:p>
        </w:tc>
        <w:tc>
          <w:tcPr>
            <w:tcW w:w="836" w:type="pct"/>
          </w:tcPr>
          <w:p w14:paraId="174BB212" w14:textId="7A2C21FF" w:rsidR="00D060CA" w:rsidRDefault="00D060CA" w:rsidP="005C3B2B">
            <w:pPr>
              <w:pStyle w:val="Tabletext1"/>
              <w:jc w:val="center"/>
            </w:pPr>
            <w:r>
              <w:t>2/50 (4%)</w:t>
            </w:r>
          </w:p>
        </w:tc>
        <w:tc>
          <w:tcPr>
            <w:tcW w:w="835" w:type="pct"/>
          </w:tcPr>
          <w:p w14:paraId="2EC23316" w14:textId="77777777" w:rsidR="00D060CA" w:rsidRDefault="00D060CA" w:rsidP="005C3B2B">
            <w:pPr>
              <w:pStyle w:val="Tabletext1"/>
              <w:jc w:val="center"/>
            </w:pPr>
          </w:p>
        </w:tc>
      </w:tr>
      <w:tr w:rsidR="00D060CA" w:rsidRPr="00B2301A" w14:paraId="1E377FE3" w14:textId="6B2EADE1" w:rsidTr="005C3B2B">
        <w:tc>
          <w:tcPr>
            <w:tcW w:w="656" w:type="pct"/>
            <w:tcBorders>
              <w:top w:val="nil"/>
              <w:bottom w:val="nil"/>
            </w:tcBorders>
            <w:shd w:val="clear" w:color="auto" w:fill="auto"/>
          </w:tcPr>
          <w:p w14:paraId="5BBC4420" w14:textId="77777777" w:rsidR="00D060CA" w:rsidRDefault="00D060CA" w:rsidP="00D060CA">
            <w:pPr>
              <w:pStyle w:val="Tabletext1"/>
              <w:rPr>
                <w:snapToGrid w:val="0"/>
              </w:rPr>
            </w:pPr>
          </w:p>
        </w:tc>
        <w:tc>
          <w:tcPr>
            <w:tcW w:w="1002" w:type="pct"/>
            <w:vAlign w:val="center"/>
          </w:tcPr>
          <w:p w14:paraId="608E6BBF" w14:textId="77777777" w:rsidR="00D060CA" w:rsidRDefault="00D060CA" w:rsidP="005C3B2B">
            <w:pPr>
              <w:pStyle w:val="Tabletext1"/>
              <w:jc w:val="center"/>
            </w:pPr>
            <w:r>
              <w:t>Pleural effusion</w:t>
            </w:r>
          </w:p>
        </w:tc>
        <w:tc>
          <w:tcPr>
            <w:tcW w:w="836" w:type="pct"/>
          </w:tcPr>
          <w:p w14:paraId="46255BBC" w14:textId="77777777" w:rsidR="00D060CA" w:rsidRDefault="00D060CA" w:rsidP="005C3B2B">
            <w:pPr>
              <w:pStyle w:val="Tabletext1"/>
              <w:jc w:val="center"/>
            </w:pPr>
          </w:p>
        </w:tc>
        <w:tc>
          <w:tcPr>
            <w:tcW w:w="836" w:type="pct"/>
          </w:tcPr>
          <w:p w14:paraId="446A60CE" w14:textId="77777777" w:rsidR="00D060CA" w:rsidRDefault="00D060CA" w:rsidP="005C3B2B">
            <w:pPr>
              <w:pStyle w:val="Tabletext1"/>
              <w:jc w:val="center"/>
            </w:pPr>
          </w:p>
        </w:tc>
        <w:tc>
          <w:tcPr>
            <w:tcW w:w="836" w:type="pct"/>
          </w:tcPr>
          <w:p w14:paraId="355CE736" w14:textId="0A212ADA" w:rsidR="00D060CA" w:rsidRDefault="00D060CA" w:rsidP="005C3B2B">
            <w:pPr>
              <w:pStyle w:val="Tabletext1"/>
              <w:jc w:val="center"/>
            </w:pPr>
            <w:r>
              <w:t>2/50 (4%)</w:t>
            </w:r>
          </w:p>
        </w:tc>
        <w:tc>
          <w:tcPr>
            <w:tcW w:w="835" w:type="pct"/>
          </w:tcPr>
          <w:p w14:paraId="78D1773D" w14:textId="77777777" w:rsidR="00D060CA" w:rsidRDefault="00D060CA" w:rsidP="005C3B2B">
            <w:pPr>
              <w:pStyle w:val="Tabletext1"/>
              <w:jc w:val="center"/>
            </w:pPr>
          </w:p>
        </w:tc>
      </w:tr>
      <w:tr w:rsidR="00D060CA" w:rsidRPr="00B2301A" w14:paraId="410C67C8" w14:textId="16D84B96" w:rsidTr="005C3B2B">
        <w:tc>
          <w:tcPr>
            <w:tcW w:w="656" w:type="pct"/>
            <w:tcBorders>
              <w:top w:val="nil"/>
              <w:bottom w:val="nil"/>
            </w:tcBorders>
            <w:shd w:val="clear" w:color="auto" w:fill="auto"/>
          </w:tcPr>
          <w:p w14:paraId="61049A8D" w14:textId="77777777" w:rsidR="00D060CA" w:rsidRDefault="00D060CA" w:rsidP="00D060CA">
            <w:pPr>
              <w:pStyle w:val="Tabletext1"/>
              <w:rPr>
                <w:snapToGrid w:val="0"/>
              </w:rPr>
            </w:pPr>
          </w:p>
        </w:tc>
        <w:tc>
          <w:tcPr>
            <w:tcW w:w="1002" w:type="pct"/>
            <w:vAlign w:val="center"/>
          </w:tcPr>
          <w:p w14:paraId="08AA0E69" w14:textId="77777777" w:rsidR="00D060CA" w:rsidRDefault="00D060CA" w:rsidP="005C3B2B">
            <w:pPr>
              <w:pStyle w:val="Tabletext1"/>
              <w:jc w:val="center"/>
            </w:pPr>
            <w:r>
              <w:t>Fatigue</w:t>
            </w:r>
          </w:p>
        </w:tc>
        <w:tc>
          <w:tcPr>
            <w:tcW w:w="836" w:type="pct"/>
          </w:tcPr>
          <w:p w14:paraId="1EF2F3C6" w14:textId="77777777" w:rsidR="00D060CA" w:rsidRDefault="00D060CA" w:rsidP="005C3B2B">
            <w:pPr>
              <w:pStyle w:val="Tabletext1"/>
              <w:jc w:val="center"/>
            </w:pPr>
          </w:p>
        </w:tc>
        <w:tc>
          <w:tcPr>
            <w:tcW w:w="836" w:type="pct"/>
          </w:tcPr>
          <w:p w14:paraId="57A417AF" w14:textId="77777777" w:rsidR="00D060CA" w:rsidRDefault="00D060CA" w:rsidP="005C3B2B">
            <w:pPr>
              <w:pStyle w:val="Tabletext1"/>
              <w:jc w:val="center"/>
            </w:pPr>
          </w:p>
        </w:tc>
        <w:tc>
          <w:tcPr>
            <w:tcW w:w="836" w:type="pct"/>
          </w:tcPr>
          <w:p w14:paraId="5FCBEAE7" w14:textId="3575A05F" w:rsidR="00D060CA" w:rsidRDefault="00D060CA" w:rsidP="005C3B2B">
            <w:pPr>
              <w:pStyle w:val="Tabletext1"/>
              <w:jc w:val="center"/>
            </w:pPr>
            <w:r>
              <w:t>1/50 (2%)</w:t>
            </w:r>
          </w:p>
        </w:tc>
        <w:tc>
          <w:tcPr>
            <w:tcW w:w="835" w:type="pct"/>
          </w:tcPr>
          <w:p w14:paraId="02D866AE" w14:textId="77777777" w:rsidR="00D060CA" w:rsidRDefault="00D060CA" w:rsidP="005C3B2B">
            <w:pPr>
              <w:pStyle w:val="Tabletext1"/>
              <w:jc w:val="center"/>
            </w:pPr>
          </w:p>
        </w:tc>
      </w:tr>
      <w:tr w:rsidR="00D060CA" w:rsidRPr="00B2301A" w14:paraId="5BE05971" w14:textId="42E7C2A1" w:rsidTr="005C3B2B">
        <w:tc>
          <w:tcPr>
            <w:tcW w:w="656" w:type="pct"/>
            <w:tcBorders>
              <w:top w:val="nil"/>
              <w:bottom w:val="nil"/>
            </w:tcBorders>
            <w:shd w:val="clear" w:color="auto" w:fill="auto"/>
          </w:tcPr>
          <w:p w14:paraId="66493DD6" w14:textId="77777777" w:rsidR="00D060CA" w:rsidRDefault="00D060CA" w:rsidP="00D060CA">
            <w:pPr>
              <w:pStyle w:val="Tabletext1"/>
              <w:rPr>
                <w:snapToGrid w:val="0"/>
              </w:rPr>
            </w:pPr>
          </w:p>
        </w:tc>
        <w:tc>
          <w:tcPr>
            <w:tcW w:w="1002" w:type="pct"/>
            <w:tcBorders>
              <w:bottom w:val="single" w:sz="4" w:space="0" w:color="auto"/>
            </w:tcBorders>
            <w:vAlign w:val="center"/>
          </w:tcPr>
          <w:p w14:paraId="22D62571" w14:textId="77777777" w:rsidR="00D060CA" w:rsidRDefault="00D060CA" w:rsidP="005C3B2B">
            <w:pPr>
              <w:pStyle w:val="Tabletext1"/>
              <w:jc w:val="center"/>
            </w:pPr>
            <w:r>
              <w:t>Atelectasis</w:t>
            </w:r>
          </w:p>
        </w:tc>
        <w:tc>
          <w:tcPr>
            <w:tcW w:w="836" w:type="pct"/>
            <w:tcBorders>
              <w:bottom w:val="single" w:sz="4" w:space="0" w:color="auto"/>
            </w:tcBorders>
          </w:tcPr>
          <w:p w14:paraId="3CFEBBB8" w14:textId="77777777" w:rsidR="00D060CA" w:rsidRDefault="00D060CA" w:rsidP="005C3B2B">
            <w:pPr>
              <w:pStyle w:val="Tabletext1"/>
              <w:jc w:val="center"/>
            </w:pPr>
          </w:p>
        </w:tc>
        <w:tc>
          <w:tcPr>
            <w:tcW w:w="836" w:type="pct"/>
            <w:tcBorders>
              <w:bottom w:val="single" w:sz="4" w:space="0" w:color="auto"/>
            </w:tcBorders>
          </w:tcPr>
          <w:p w14:paraId="62AF8D27" w14:textId="77777777" w:rsidR="00D060CA" w:rsidRDefault="00D060CA" w:rsidP="005C3B2B">
            <w:pPr>
              <w:pStyle w:val="Tabletext1"/>
              <w:jc w:val="center"/>
            </w:pPr>
          </w:p>
        </w:tc>
        <w:tc>
          <w:tcPr>
            <w:tcW w:w="836" w:type="pct"/>
            <w:tcBorders>
              <w:bottom w:val="single" w:sz="4" w:space="0" w:color="auto"/>
            </w:tcBorders>
          </w:tcPr>
          <w:p w14:paraId="62C8F84C" w14:textId="7C9638AC" w:rsidR="00D060CA" w:rsidRDefault="00D060CA" w:rsidP="005C3B2B">
            <w:pPr>
              <w:pStyle w:val="Tabletext1"/>
              <w:jc w:val="center"/>
            </w:pPr>
            <w:r>
              <w:t>1/50 (2%)</w:t>
            </w:r>
          </w:p>
        </w:tc>
        <w:tc>
          <w:tcPr>
            <w:tcW w:w="835" w:type="pct"/>
            <w:tcBorders>
              <w:bottom w:val="single" w:sz="4" w:space="0" w:color="auto"/>
            </w:tcBorders>
          </w:tcPr>
          <w:p w14:paraId="502274C7" w14:textId="77777777" w:rsidR="00D060CA" w:rsidRDefault="00D060CA" w:rsidP="005C3B2B">
            <w:pPr>
              <w:pStyle w:val="Tabletext1"/>
              <w:jc w:val="center"/>
            </w:pPr>
          </w:p>
        </w:tc>
      </w:tr>
      <w:tr w:rsidR="00D060CA" w:rsidRPr="00B2301A" w14:paraId="12F9A144" w14:textId="7531FEE3" w:rsidTr="005C3B2B">
        <w:tc>
          <w:tcPr>
            <w:tcW w:w="656" w:type="pct"/>
            <w:tcBorders>
              <w:top w:val="nil"/>
              <w:bottom w:val="single" w:sz="4" w:space="0" w:color="auto"/>
            </w:tcBorders>
            <w:shd w:val="clear" w:color="auto" w:fill="auto"/>
          </w:tcPr>
          <w:p w14:paraId="477C79D9" w14:textId="77777777" w:rsidR="00D060CA" w:rsidRDefault="00D060CA" w:rsidP="00D060CA">
            <w:pPr>
              <w:pStyle w:val="Tabletext1"/>
              <w:rPr>
                <w:snapToGrid w:val="0"/>
              </w:rPr>
            </w:pPr>
          </w:p>
        </w:tc>
        <w:tc>
          <w:tcPr>
            <w:tcW w:w="1002" w:type="pct"/>
            <w:vAlign w:val="center"/>
          </w:tcPr>
          <w:p w14:paraId="0D5B51E0" w14:textId="77777777" w:rsidR="00D060CA" w:rsidRDefault="00D060CA" w:rsidP="005C3B2B">
            <w:pPr>
              <w:pStyle w:val="Tabletext1"/>
              <w:jc w:val="center"/>
            </w:pPr>
            <w:r w:rsidRPr="003B7A18">
              <w:t>Pneumothorax</w:t>
            </w:r>
          </w:p>
        </w:tc>
        <w:tc>
          <w:tcPr>
            <w:tcW w:w="836" w:type="pct"/>
          </w:tcPr>
          <w:p w14:paraId="53FE65D1" w14:textId="77777777" w:rsidR="00D060CA" w:rsidRDefault="00D060CA" w:rsidP="005C3B2B">
            <w:pPr>
              <w:pStyle w:val="Tabletext1"/>
              <w:jc w:val="center"/>
            </w:pPr>
          </w:p>
        </w:tc>
        <w:tc>
          <w:tcPr>
            <w:tcW w:w="836" w:type="pct"/>
          </w:tcPr>
          <w:p w14:paraId="225D024B" w14:textId="77777777" w:rsidR="00D060CA" w:rsidRDefault="00D060CA" w:rsidP="005C3B2B">
            <w:pPr>
              <w:pStyle w:val="Tabletext1"/>
              <w:jc w:val="center"/>
            </w:pPr>
          </w:p>
        </w:tc>
        <w:tc>
          <w:tcPr>
            <w:tcW w:w="836" w:type="pct"/>
          </w:tcPr>
          <w:p w14:paraId="7C9C87D7" w14:textId="77777777" w:rsidR="00D060CA" w:rsidRDefault="00D060CA" w:rsidP="005C3B2B">
            <w:pPr>
              <w:pStyle w:val="Tabletext1"/>
              <w:jc w:val="center"/>
            </w:pPr>
          </w:p>
        </w:tc>
        <w:tc>
          <w:tcPr>
            <w:tcW w:w="835" w:type="pct"/>
          </w:tcPr>
          <w:p w14:paraId="1A0C4DBE" w14:textId="2213A673" w:rsidR="00D060CA" w:rsidRDefault="00D060CA" w:rsidP="005C3B2B">
            <w:pPr>
              <w:pStyle w:val="Tabletext1"/>
              <w:jc w:val="center"/>
            </w:pPr>
            <w:r>
              <w:t>2/50 (4%)</w:t>
            </w:r>
          </w:p>
        </w:tc>
      </w:tr>
      <w:tr w:rsidR="00D060CA" w:rsidRPr="00B2301A" w14:paraId="5D777BED" w14:textId="05FFC449" w:rsidTr="005C3B2B">
        <w:tc>
          <w:tcPr>
            <w:tcW w:w="656" w:type="pct"/>
            <w:tcBorders>
              <w:top w:val="single" w:sz="4" w:space="0" w:color="auto"/>
              <w:bottom w:val="nil"/>
            </w:tcBorders>
            <w:shd w:val="clear" w:color="auto" w:fill="auto"/>
          </w:tcPr>
          <w:p w14:paraId="7CCE0D42" w14:textId="06C28342" w:rsidR="00D060CA" w:rsidRDefault="00211285" w:rsidP="00D060CA">
            <w:pPr>
              <w:pStyle w:val="Tabletext1"/>
              <w:rPr>
                <w:snapToGrid w:val="0"/>
              </w:rPr>
            </w:pPr>
            <w:hyperlink w:anchor="_ENREF_29" w:tooltip="Finazzi, 2020 #17" w:history="1">
              <w:r w:rsidR="001F781A">
                <w:rPr>
                  <w:snapToGrid w:val="0"/>
                </w:rPr>
                <w:fldChar w:fldCharType="begin"/>
              </w:r>
              <w:r w:rsidR="001F781A">
                <w:rPr>
                  <w:snapToGrid w:val="0"/>
                </w:rPr>
                <w:instrText xml:space="preserve"> ADDIN EN.CITE &lt;EndNote&gt;&lt;Cite AuthorYear="1"&gt;&lt;Author&gt;Finazzi&lt;/Author&gt;&lt;Year&gt;2020&lt;/Year&gt;&lt;RecNum&gt;17&lt;/RecNum&gt;&lt;DisplayText&gt;Finazzi, van Sornsen de Koste, et al. (2020)&lt;/DisplayText&gt;&lt;record&gt;&lt;rec-number&gt;17&lt;/rec-number&gt;&lt;foreign-keys&gt;&lt;key app="EN" db-id="sx5wsdwv795wvue959xxw0ptaewvdezxxp05" timestamp="1604454186"&gt;17&lt;/key&gt;&lt;/foreign-keys&gt;&lt;ref-type name="Journal Article"&gt;17&lt;/ref-type&gt;&lt;contributors&gt;&lt;authors&gt;&lt;author&gt;Finazzi, T.&lt;/author&gt;&lt;author&gt;van Sornsen de Koste, J. R.&lt;/author&gt;&lt;author&gt;Palacios, M. A.&lt;/author&gt;&lt;author&gt;Spoelstra, F. O. B.&lt;/author&gt;&lt;author&gt;Slotman, B. J.&lt;/author&gt;&lt;author&gt;Haasbeek, C. J. A.&lt;/author&gt;&lt;author&gt;Senan, S.&lt;/author&gt;&lt;/authors&gt;&lt;/contributors&gt;&lt;titles&gt;&lt;title&gt;Delivery of magnetic resonance-guided single-fraction stereotactic lung radiotherapy&lt;/title&gt;&lt;secondary-title&gt;Physics and Imaging in Radiation Oncology&lt;/secondary-title&gt;&lt;/titles&gt;&lt;pages&gt;17-23&lt;/pages&gt;&lt;volume&gt;14&lt;/volume&gt;&lt;dates&gt;&lt;year&gt;2020&lt;/year&gt;&lt;/dates&gt;&lt;accession-num&gt;2005948675&lt;/accession-num&gt;&lt;urls&gt;&lt;related-urls&gt;&lt;url&gt;https://www.journals.elsevier.com/physics-and-imaging-in-radiation-oncology/http://ezproxy.library.usyd.edu.au/login?url=http://ovidsp.ovid.com/ovidweb.cgi?T=JS&amp;amp;CSC=Y&amp;amp;NEWS=N&amp;amp;PAGE=fulltext&amp;amp;D=emexb&amp;amp;AN=2005948675https://sydney.alma.exlibrisgroup.com/openurl/&lt;/url&gt;&lt;/related-urls&gt;&lt;/urls&gt;&lt;custom2&gt;single arm safety SBRT&lt;/custom2&gt;&lt;electronic-resource-num&gt;http://dx.doi.org/10.1016/j.phro.2020.05.002&lt;/electronic-resource-num&gt;&lt;/record&gt;&lt;/Cite&gt;&lt;/EndNote&gt;</w:instrText>
              </w:r>
              <w:r w:rsidR="001F781A">
                <w:rPr>
                  <w:snapToGrid w:val="0"/>
                </w:rPr>
                <w:fldChar w:fldCharType="separate"/>
              </w:r>
              <w:r w:rsidR="001F781A">
                <w:rPr>
                  <w:noProof/>
                  <w:snapToGrid w:val="0"/>
                </w:rPr>
                <w:t xml:space="preserve">Finazzi, van Sornsen de </w:t>
              </w:r>
              <w:r w:rsidR="001F781A">
                <w:rPr>
                  <w:noProof/>
                  <w:snapToGrid w:val="0"/>
                </w:rPr>
                <w:lastRenderedPageBreak/>
                <w:t>Koste, et al. (2020)</w:t>
              </w:r>
              <w:r w:rsidR="001F781A">
                <w:rPr>
                  <w:snapToGrid w:val="0"/>
                </w:rPr>
                <w:fldChar w:fldCharType="end"/>
              </w:r>
            </w:hyperlink>
          </w:p>
        </w:tc>
        <w:tc>
          <w:tcPr>
            <w:tcW w:w="1002" w:type="pct"/>
          </w:tcPr>
          <w:p w14:paraId="07DFA3C7" w14:textId="77777777" w:rsidR="00D060CA" w:rsidRPr="00B2301A" w:rsidRDefault="00D060CA" w:rsidP="005C3B2B">
            <w:pPr>
              <w:pStyle w:val="Tabletext1"/>
              <w:jc w:val="center"/>
              <w:rPr>
                <w:snapToGrid w:val="0"/>
              </w:rPr>
            </w:pPr>
            <w:r>
              <w:lastRenderedPageBreak/>
              <w:t>Radiation pneumonitis</w:t>
            </w:r>
          </w:p>
        </w:tc>
        <w:tc>
          <w:tcPr>
            <w:tcW w:w="836" w:type="pct"/>
          </w:tcPr>
          <w:p w14:paraId="0317C9E3" w14:textId="77777777" w:rsidR="00D060CA" w:rsidRDefault="00D060CA" w:rsidP="005C3B2B">
            <w:pPr>
              <w:pStyle w:val="Tabletext1"/>
              <w:jc w:val="center"/>
            </w:pPr>
          </w:p>
        </w:tc>
        <w:tc>
          <w:tcPr>
            <w:tcW w:w="836" w:type="pct"/>
          </w:tcPr>
          <w:p w14:paraId="52C71611" w14:textId="77777777" w:rsidR="00D060CA" w:rsidRDefault="00D060CA" w:rsidP="005C3B2B">
            <w:pPr>
              <w:pStyle w:val="Tabletext1"/>
              <w:jc w:val="center"/>
            </w:pPr>
          </w:p>
        </w:tc>
        <w:tc>
          <w:tcPr>
            <w:tcW w:w="836" w:type="pct"/>
          </w:tcPr>
          <w:p w14:paraId="08F8A059" w14:textId="6F206DC9" w:rsidR="00D060CA" w:rsidRDefault="00D060CA" w:rsidP="005C3B2B">
            <w:pPr>
              <w:pStyle w:val="Tabletext1"/>
              <w:jc w:val="center"/>
            </w:pPr>
            <w:r>
              <w:t>1/10</w:t>
            </w:r>
            <w:r w:rsidR="0052062D">
              <w:t xml:space="preserve"> (10%)</w:t>
            </w:r>
          </w:p>
        </w:tc>
        <w:tc>
          <w:tcPr>
            <w:tcW w:w="835" w:type="pct"/>
          </w:tcPr>
          <w:p w14:paraId="4019CFC1" w14:textId="77777777" w:rsidR="00D060CA" w:rsidRDefault="00D060CA" w:rsidP="005C3B2B">
            <w:pPr>
              <w:pStyle w:val="Tabletext1"/>
              <w:jc w:val="center"/>
            </w:pPr>
          </w:p>
        </w:tc>
      </w:tr>
      <w:tr w:rsidR="00D060CA" w:rsidRPr="00B2301A" w14:paraId="730041CB" w14:textId="3943F189" w:rsidTr="005C3B2B">
        <w:tc>
          <w:tcPr>
            <w:tcW w:w="656" w:type="pct"/>
            <w:tcBorders>
              <w:top w:val="nil"/>
              <w:bottom w:val="nil"/>
            </w:tcBorders>
            <w:shd w:val="clear" w:color="auto" w:fill="auto"/>
          </w:tcPr>
          <w:p w14:paraId="08CD123D" w14:textId="77777777" w:rsidR="00D060CA" w:rsidRDefault="00D060CA" w:rsidP="00D060CA">
            <w:pPr>
              <w:pStyle w:val="Tabletext1"/>
              <w:rPr>
                <w:snapToGrid w:val="0"/>
              </w:rPr>
            </w:pPr>
          </w:p>
        </w:tc>
        <w:tc>
          <w:tcPr>
            <w:tcW w:w="1002" w:type="pct"/>
          </w:tcPr>
          <w:p w14:paraId="3E417591" w14:textId="77777777" w:rsidR="00D060CA" w:rsidRDefault="00D060CA" w:rsidP="005C3B2B">
            <w:pPr>
              <w:pStyle w:val="Tabletext1"/>
              <w:jc w:val="center"/>
            </w:pPr>
            <w:r>
              <w:t>Fatigue</w:t>
            </w:r>
          </w:p>
        </w:tc>
        <w:tc>
          <w:tcPr>
            <w:tcW w:w="836" w:type="pct"/>
          </w:tcPr>
          <w:p w14:paraId="607BE32B" w14:textId="77777777" w:rsidR="00D060CA" w:rsidRDefault="00D060CA" w:rsidP="005C3B2B">
            <w:pPr>
              <w:pStyle w:val="Tabletext1"/>
              <w:jc w:val="center"/>
            </w:pPr>
          </w:p>
        </w:tc>
        <w:tc>
          <w:tcPr>
            <w:tcW w:w="836" w:type="pct"/>
          </w:tcPr>
          <w:p w14:paraId="1F659BF3" w14:textId="77777777" w:rsidR="00D060CA" w:rsidRDefault="00D060CA" w:rsidP="005C3B2B">
            <w:pPr>
              <w:pStyle w:val="Tabletext1"/>
              <w:jc w:val="center"/>
            </w:pPr>
          </w:p>
        </w:tc>
        <w:tc>
          <w:tcPr>
            <w:tcW w:w="836" w:type="pct"/>
          </w:tcPr>
          <w:p w14:paraId="48F6AB43" w14:textId="7445532C" w:rsidR="00D060CA" w:rsidRDefault="00D060CA" w:rsidP="005C3B2B">
            <w:pPr>
              <w:pStyle w:val="Tabletext1"/>
              <w:jc w:val="center"/>
            </w:pPr>
            <w:r>
              <w:t>1/10</w:t>
            </w:r>
            <w:r w:rsidR="0052062D">
              <w:t xml:space="preserve"> (10%)</w:t>
            </w:r>
          </w:p>
        </w:tc>
        <w:tc>
          <w:tcPr>
            <w:tcW w:w="835" w:type="pct"/>
          </w:tcPr>
          <w:p w14:paraId="7E95E71D" w14:textId="77777777" w:rsidR="00D060CA" w:rsidRDefault="00D060CA" w:rsidP="005C3B2B">
            <w:pPr>
              <w:pStyle w:val="Tabletext1"/>
              <w:jc w:val="center"/>
            </w:pPr>
          </w:p>
        </w:tc>
      </w:tr>
      <w:tr w:rsidR="003E0260" w:rsidRPr="00B2301A" w14:paraId="3E469B03" w14:textId="77777777" w:rsidTr="005C3B2B">
        <w:tc>
          <w:tcPr>
            <w:tcW w:w="656" w:type="pct"/>
            <w:tcBorders>
              <w:top w:val="nil"/>
            </w:tcBorders>
            <w:shd w:val="clear" w:color="auto" w:fill="auto"/>
          </w:tcPr>
          <w:p w14:paraId="17E86CEE" w14:textId="77777777" w:rsidR="003E0260" w:rsidRDefault="003E0260" w:rsidP="00D060CA">
            <w:pPr>
              <w:pStyle w:val="Tabletext1"/>
              <w:rPr>
                <w:snapToGrid w:val="0"/>
              </w:rPr>
            </w:pPr>
          </w:p>
        </w:tc>
        <w:tc>
          <w:tcPr>
            <w:tcW w:w="1002" w:type="pct"/>
            <w:tcBorders>
              <w:bottom w:val="single" w:sz="4" w:space="0" w:color="auto"/>
            </w:tcBorders>
          </w:tcPr>
          <w:p w14:paraId="4AA79C7C" w14:textId="23BD4889" w:rsidR="003E0260" w:rsidRDefault="003E0260" w:rsidP="005C3B2B">
            <w:pPr>
              <w:pStyle w:val="Tabletext1"/>
              <w:jc w:val="center"/>
            </w:pPr>
            <w:r>
              <w:t>Any G3-G5 toxicity</w:t>
            </w:r>
          </w:p>
        </w:tc>
        <w:tc>
          <w:tcPr>
            <w:tcW w:w="836" w:type="pct"/>
            <w:tcBorders>
              <w:bottom w:val="single" w:sz="4" w:space="0" w:color="auto"/>
            </w:tcBorders>
          </w:tcPr>
          <w:p w14:paraId="1B2B1977" w14:textId="77777777" w:rsidR="003E0260" w:rsidRDefault="003E0260" w:rsidP="005C3B2B">
            <w:pPr>
              <w:pStyle w:val="Tabletext1"/>
              <w:jc w:val="center"/>
            </w:pPr>
          </w:p>
        </w:tc>
        <w:tc>
          <w:tcPr>
            <w:tcW w:w="836" w:type="pct"/>
            <w:tcBorders>
              <w:bottom w:val="single" w:sz="4" w:space="0" w:color="auto"/>
            </w:tcBorders>
          </w:tcPr>
          <w:p w14:paraId="5F7CAA98" w14:textId="77777777" w:rsidR="003E0260" w:rsidRDefault="003E0260" w:rsidP="005C3B2B">
            <w:pPr>
              <w:pStyle w:val="Tabletext1"/>
              <w:jc w:val="center"/>
            </w:pPr>
          </w:p>
        </w:tc>
        <w:tc>
          <w:tcPr>
            <w:tcW w:w="836" w:type="pct"/>
            <w:tcBorders>
              <w:bottom w:val="single" w:sz="4" w:space="0" w:color="auto"/>
            </w:tcBorders>
          </w:tcPr>
          <w:p w14:paraId="4CA9642E" w14:textId="77777777" w:rsidR="003E0260" w:rsidRDefault="003E0260" w:rsidP="005C3B2B">
            <w:pPr>
              <w:pStyle w:val="Tabletext1"/>
              <w:jc w:val="center"/>
            </w:pPr>
          </w:p>
        </w:tc>
        <w:tc>
          <w:tcPr>
            <w:tcW w:w="835" w:type="pct"/>
            <w:tcBorders>
              <w:bottom w:val="single" w:sz="4" w:space="0" w:color="auto"/>
            </w:tcBorders>
          </w:tcPr>
          <w:p w14:paraId="1975262F" w14:textId="7C6D56A4" w:rsidR="003E0260" w:rsidRDefault="003E0260" w:rsidP="005C3B2B">
            <w:pPr>
              <w:pStyle w:val="Tabletext1"/>
              <w:jc w:val="center"/>
            </w:pPr>
            <w:r>
              <w:t>0/10 (0%)</w:t>
            </w:r>
          </w:p>
        </w:tc>
      </w:tr>
    </w:tbl>
    <w:p w14:paraId="7A122ED4" w14:textId="60DFDC39" w:rsidR="009E321D" w:rsidRDefault="009E321D" w:rsidP="009E321D">
      <w:pPr>
        <w:rPr>
          <w:rFonts w:cs="Calibri"/>
        </w:rPr>
      </w:pPr>
      <w:r>
        <w:rPr>
          <w:rFonts w:cs="Calibri"/>
        </w:rPr>
        <w:t xml:space="preserve">For a naïve comparison, </w:t>
      </w:r>
      <w:r w:rsidR="00C241D7">
        <w:rPr>
          <w:rFonts w:cs="Calibri"/>
        </w:rPr>
        <w:t>six</w:t>
      </w:r>
      <w:r>
        <w:rPr>
          <w:rFonts w:cs="Calibri"/>
        </w:rPr>
        <w:t xml:space="preserve"> studies reporting on the toxicity of CBCT-guided IGRT in lung cancer were identified </w:t>
      </w:r>
      <w:r w:rsidR="000C77B0">
        <w:rPr>
          <w:rFonts w:cs="Calibri"/>
        </w:rPr>
        <w:fldChar w:fldCharType="begin">
          <w:fldData xml:space="preserve">PEVuZE5vdGU+PENpdGU+PEF1dGhvcj5CYXNjaG5hZ2VsPC9BdXRob3I+PFllYXI+MjAxMzwvWWVh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</w:fldData>
        </w:fldChar>
      </w:r>
      <w:r w:rsidR="000C77B0">
        <w:rPr>
          <w:rFonts w:cs="Calibri"/>
        </w:rPr>
        <w:instrText xml:space="preserve"> ADDIN EN.CITE </w:instrText>
      </w:r>
      <w:r w:rsidR="000C77B0">
        <w:rPr>
          <w:rFonts w:cs="Calibri"/>
        </w:rPr>
        <w:fldChar w:fldCharType="begin">
          <w:fldData xml:space="preserve">PEVuZE5vdGU+PENpdGU+PEF1dGhvcj5CYXNjaG5hZ2VsPC9BdXRob3I+PFllYXI+MjAxMzwvWWVh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</w:fldData>
        </w:fldChar>
      </w:r>
      <w:r w:rsidR="000C77B0">
        <w:rPr>
          <w:rFonts w:cs="Calibri"/>
        </w:rPr>
        <w:instrText xml:space="preserve"> ADDIN EN.CITE.DATA </w:instrText>
      </w:r>
      <w:r w:rsidR="000C77B0">
        <w:rPr>
          <w:rFonts w:cs="Calibri"/>
        </w:rPr>
      </w:r>
      <w:r w:rsidR="000C77B0">
        <w:rPr>
          <w:rFonts w:cs="Calibri"/>
        </w:rPr>
        <w:fldChar w:fldCharType="end"/>
      </w:r>
      <w:r w:rsidR="000C77B0">
        <w:rPr>
          <w:rFonts w:cs="Calibri"/>
        </w:rPr>
      </w:r>
      <w:r w:rsidR="000C77B0">
        <w:rPr>
          <w:rFonts w:cs="Calibri"/>
        </w:rPr>
        <w:fldChar w:fldCharType="separate"/>
      </w:r>
      <w:r w:rsidR="000C77B0">
        <w:rPr>
          <w:rFonts w:cs="Calibri"/>
          <w:noProof/>
        </w:rPr>
        <w:t>(</w:t>
      </w:r>
      <w:hyperlink w:anchor="_ENREF_10" w:tooltip="Baschnagel, 2013 #32" w:history="1">
        <w:r w:rsidR="008B6FC0">
          <w:rPr>
            <w:rFonts w:cs="Calibri"/>
            <w:noProof/>
          </w:rPr>
          <w:t>Baschnagel et al., 2013</w:t>
        </w:r>
      </w:hyperlink>
      <w:r w:rsidR="000C77B0">
        <w:rPr>
          <w:rFonts w:cs="Calibri"/>
          <w:noProof/>
        </w:rPr>
        <w:t xml:space="preserve">; </w:t>
      </w:r>
      <w:hyperlink w:anchor="_ENREF_33" w:tooltip="Guckenberger, 2010 #46" w:history="1">
        <w:r w:rsidR="008B6FC0">
          <w:rPr>
            <w:rFonts w:cs="Calibri"/>
            <w:noProof/>
          </w:rPr>
          <w:t>Guckenberger</w:t>
        </w:r>
        <w:r w:rsidR="001F781A">
          <w:rPr>
            <w:rFonts w:cs="Calibri"/>
            <w:noProof/>
          </w:rPr>
          <w:t>, Baier,</w:t>
        </w:r>
        <w:r w:rsidR="008B6FC0">
          <w:rPr>
            <w:rFonts w:cs="Calibri"/>
            <w:noProof/>
          </w:rPr>
          <w:t xml:space="preserve"> et al., </w:t>
        </w:r>
        <w:r w:rsidR="001F781A">
          <w:rPr>
            <w:rFonts w:cs="Calibri"/>
            <w:noProof/>
          </w:rPr>
          <w:t>2010</w:t>
        </w:r>
      </w:hyperlink>
      <w:r w:rsidR="000C77B0">
        <w:rPr>
          <w:rFonts w:cs="Calibri"/>
          <w:noProof/>
        </w:rPr>
        <w:t xml:space="preserve">; </w:t>
      </w:r>
      <w:hyperlink w:anchor="_ENREF_45" w:tooltip="Kilburn, 2016 #56" w:history="1">
        <w:r w:rsidR="008B6FC0">
          <w:rPr>
            <w:rFonts w:cs="Calibri"/>
            <w:noProof/>
          </w:rPr>
          <w:t>Kilburn et al., 2016</w:t>
        </w:r>
      </w:hyperlink>
      <w:r w:rsidR="000C77B0">
        <w:rPr>
          <w:rFonts w:cs="Calibri"/>
          <w:noProof/>
        </w:rPr>
        <w:t xml:space="preserve">; </w:t>
      </w:r>
      <w:hyperlink w:anchor="_ENREF_64" w:tooltip="Shen, 2010 #68" w:history="1">
        <w:r w:rsidR="008B6FC0">
          <w:rPr>
            <w:rFonts w:cs="Calibri"/>
            <w:noProof/>
          </w:rPr>
          <w:t>Shen et al., 2010</w:t>
        </w:r>
      </w:hyperlink>
      <w:r w:rsidR="000C77B0">
        <w:rPr>
          <w:rFonts w:cs="Calibri"/>
          <w:noProof/>
        </w:rPr>
        <w:t xml:space="preserve">; </w:t>
      </w:r>
      <w:hyperlink w:anchor="_ENREF_67" w:tooltip="Stone, 2015 #70" w:history="1">
        <w:r w:rsidR="008B6FC0">
          <w:rPr>
            <w:rFonts w:cs="Calibri"/>
            <w:noProof/>
          </w:rPr>
          <w:t>Stone et al., 2015</w:t>
        </w:r>
      </w:hyperlink>
      <w:r w:rsidR="000C77B0">
        <w:rPr>
          <w:rFonts w:cs="Calibri"/>
          <w:noProof/>
        </w:rPr>
        <w:t xml:space="preserve">; </w:t>
      </w:r>
      <w:hyperlink w:anchor="_ENREF_85" w:tooltip="Yegya-Raman, 2018 #83" w:history="1">
        <w:r w:rsidR="008B6FC0">
          <w:rPr>
            <w:rFonts w:cs="Calibri"/>
            <w:noProof/>
          </w:rPr>
          <w:t>Yegya-Raman et al., 2018</w:t>
        </w:r>
      </w:hyperlink>
      <w:r w:rsidR="000C77B0">
        <w:rPr>
          <w:rFonts w:cs="Calibri"/>
          <w:noProof/>
        </w:rPr>
        <w:t>)</w:t>
      </w:r>
      <w:r w:rsidR="000C77B0">
        <w:rPr>
          <w:rFonts w:cs="Calibri"/>
        </w:rPr>
        <w:fldChar w:fldCharType="end"/>
      </w:r>
      <w:r>
        <w:rPr>
          <w:rFonts w:cs="Calibri"/>
        </w:rPr>
        <w:t xml:space="preserve">. </w:t>
      </w:r>
      <w:r w:rsidR="00BD3D76">
        <w:rPr>
          <w:rFonts w:cs="Calibri"/>
        </w:rPr>
        <w:t xml:space="preserve">Their findings are summarised in </w:t>
      </w:r>
      <w:r w:rsidR="00BD3D76">
        <w:rPr>
          <w:rFonts w:cs="Calibri"/>
        </w:rPr>
        <w:fldChar w:fldCharType="begin"/>
      </w:r>
      <w:r w:rsidR="00BD3D76">
        <w:rPr>
          <w:rFonts w:cs="Calibri"/>
        </w:rPr>
        <w:instrText xml:space="preserve"> REF _Ref55810872 \h </w:instrText>
      </w:r>
      <w:r w:rsidR="00BD3D76">
        <w:rPr>
          <w:rFonts w:cs="Calibri"/>
        </w:rPr>
      </w:r>
      <w:r w:rsidR="00BD3D76">
        <w:rPr>
          <w:rFonts w:cs="Calibri"/>
        </w:rPr>
        <w:fldChar w:fldCharType="separate"/>
      </w:r>
      <w:r w:rsidR="00451350" w:rsidRPr="00E86441">
        <w:t xml:space="preserve">Table </w:t>
      </w:r>
      <w:r w:rsidR="00451350">
        <w:rPr>
          <w:noProof/>
        </w:rPr>
        <w:t>19</w:t>
      </w:r>
      <w:r w:rsidR="00BD3D76">
        <w:rPr>
          <w:rFonts w:cs="Calibri"/>
        </w:rPr>
        <w:fldChar w:fldCharType="end"/>
      </w:r>
      <w:r w:rsidR="00BD3D76">
        <w:rPr>
          <w:rFonts w:cs="Calibri"/>
        </w:rPr>
        <w:t>.</w:t>
      </w:r>
    </w:p>
    <w:p w14:paraId="476EF8EB" w14:textId="58AD6137" w:rsidR="009E321D" w:rsidRPr="00183E4D" w:rsidRDefault="009E321D" w:rsidP="009E321D">
      <w:pPr>
        <w:pStyle w:val="Caption"/>
        <w:keepNext/>
        <w:rPr>
          <w:snapToGrid w:val="0"/>
          <w:lang w:eastAsia="en-US"/>
        </w:rPr>
      </w:pPr>
      <w:bookmarkStart w:id="356" w:name="_Ref55810872"/>
      <w:bookmarkStart w:id="357" w:name="_Toc89857890"/>
      <w:r w:rsidRPr="00E86441">
        <w:t xml:space="preserve">Table </w:t>
      </w:r>
      <w:r w:rsidR="00211285">
        <w:fldChar w:fldCharType="begin"/>
      </w:r>
      <w:r w:rsidR="00211285">
        <w:instrText xml:space="preserve"> SEQ Table \* ARA</w:instrText>
      </w:r>
      <w:r w:rsidR="00211285">
        <w:instrText xml:space="preserve">BIC </w:instrText>
      </w:r>
      <w:r w:rsidR="00211285">
        <w:fldChar w:fldCharType="separate"/>
      </w:r>
      <w:r w:rsidR="00451350">
        <w:rPr>
          <w:noProof/>
        </w:rPr>
        <w:t>19</w:t>
      </w:r>
      <w:r w:rsidR="00211285">
        <w:rPr>
          <w:noProof/>
        </w:rPr>
        <w:fldChar w:fldCharType="end"/>
      </w:r>
      <w:bookmarkEnd w:id="356"/>
      <w:r w:rsidRPr="00E86441">
        <w:tab/>
        <w:t>Results</w:t>
      </w:r>
      <w:r w:rsidRPr="00183E4D">
        <w:rPr>
          <w:snapToGrid w:val="0"/>
          <w:lang w:eastAsia="en-US"/>
        </w:rPr>
        <w:t xml:space="preserve"> of </w:t>
      </w:r>
      <w:r w:rsidR="00974258">
        <w:rPr>
          <w:snapToGrid w:val="0"/>
          <w:lang w:eastAsia="en-US"/>
        </w:rPr>
        <w:t xml:space="preserve">pulmonary </w:t>
      </w:r>
      <w:r>
        <w:rPr>
          <w:snapToGrid w:val="0"/>
          <w:lang w:eastAsia="en-US"/>
        </w:rPr>
        <w:t>toxicity</w:t>
      </w:r>
      <w:r w:rsidRPr="00183E4D">
        <w:rPr>
          <w:snapToGrid w:val="0"/>
          <w:lang w:eastAsia="en-US"/>
        </w:rPr>
        <w:t xml:space="preserve"> across th</w:t>
      </w:r>
      <w:r w:rsidRPr="00846B88">
        <w:rPr>
          <w:snapToGrid w:val="0"/>
          <w:lang w:eastAsia="en-US"/>
        </w:rPr>
        <w:t>e studies</w:t>
      </w:r>
      <w:r>
        <w:rPr>
          <w:snapToGrid w:val="0"/>
          <w:lang w:eastAsia="en-US"/>
        </w:rPr>
        <w:t>, lung cancer, CBCT-IGRT</w:t>
      </w:r>
      <w:bookmarkEnd w:id="357"/>
      <w:r w:rsidRPr="00183E4D">
        <w:rPr>
          <w:snapToGrid w:val="0"/>
          <w:lang w:eastAsia="en-US"/>
        </w:rPr>
        <w:t xml:space="preserve"> </w:t>
      </w:r>
    </w:p>
    <w:tbl>
      <w:tblPr>
        <w:tblStyle w:val="TableGrid1"/>
        <w:tblW w:w="5000" w:type="pct"/>
        <w:tblCellMar>
          <w:left w:w="28" w:type="dxa"/>
          <w:right w:w="28" w:type="dxa"/>
        </w:tblCellMar>
        <w:tblLook w:val="04A0" w:firstRow="1" w:lastRow="0" w:firstColumn="1" w:lastColumn="0" w:noHBand="0" w:noVBand="1"/>
        <w:tblCaption w:val="Table 19 Results of pulmonary toxicity across the studies, lung cancer, CBCT-IGRT "/>
        <w:tblDescription w:val="This table provides results of pulmonary toxicity across the studies in lung cancer for CBCT-IGRT."/>
      </w:tblPr>
      <w:tblGrid>
        <w:gridCol w:w="1193"/>
        <w:gridCol w:w="1740"/>
        <w:gridCol w:w="759"/>
        <w:gridCol w:w="763"/>
        <w:gridCol w:w="763"/>
        <w:gridCol w:w="763"/>
        <w:gridCol w:w="763"/>
        <w:gridCol w:w="763"/>
        <w:gridCol w:w="757"/>
        <w:gridCol w:w="752"/>
      </w:tblGrid>
      <w:tr w:rsidR="00C6168E" w:rsidRPr="00B2301A" w14:paraId="4B313B4D" w14:textId="0034EEE7" w:rsidTr="00C6168E">
        <w:trPr>
          <w:cnfStyle w:val="100000000000" w:firstRow="1" w:lastRow="0" w:firstColumn="0" w:lastColumn="0" w:oddVBand="0" w:evenVBand="0" w:oddHBand="0" w:evenHBand="0" w:firstRowFirstColumn="0" w:firstRowLastColumn="0" w:lastRowFirstColumn="0" w:lastRowLastColumn="0"/>
          <w:cantSplit/>
          <w:tblHeader/>
        </w:trPr>
        <w:tc>
          <w:tcPr>
            <w:tcW w:w="662" w:type="pct"/>
            <w:tcBorders>
              <w:top w:val="single" w:sz="4" w:space="0" w:color="auto"/>
              <w:left w:val="single" w:sz="4" w:space="0" w:color="auto"/>
              <w:bottom w:val="nil"/>
              <w:right w:val="single" w:sz="4" w:space="0" w:color="auto"/>
            </w:tcBorders>
            <w:shd w:val="clear" w:color="auto" w:fill="auto"/>
          </w:tcPr>
          <w:p w14:paraId="07503A4C" w14:textId="77777777" w:rsidR="00C6168E" w:rsidRPr="00B2301A" w:rsidRDefault="00C6168E" w:rsidP="00C6168E">
            <w:pPr>
              <w:pStyle w:val="TableHeading"/>
              <w:rPr>
                <w:snapToGrid w:val="0"/>
                <w:lang w:eastAsia="en-US"/>
              </w:rPr>
            </w:pPr>
            <w:r w:rsidRPr="00B2301A">
              <w:rPr>
                <w:snapToGrid w:val="0"/>
                <w:lang w:eastAsia="en-US"/>
              </w:rPr>
              <w:t>Study ID</w:t>
            </w:r>
          </w:p>
        </w:tc>
        <w:tc>
          <w:tcPr>
            <w:tcW w:w="965" w:type="pct"/>
            <w:tcBorders>
              <w:right w:val="single" w:sz="4" w:space="0" w:color="auto"/>
            </w:tcBorders>
          </w:tcPr>
          <w:p w14:paraId="2BD930CE" w14:textId="11BEEE7E" w:rsidR="00C6168E" w:rsidRPr="00B2301A" w:rsidRDefault="00C6168E" w:rsidP="00C6168E">
            <w:pPr>
              <w:pStyle w:val="TableHeading"/>
              <w:jc w:val="center"/>
              <w:rPr>
                <w:snapToGrid w:val="0"/>
                <w:lang w:eastAsia="en-US"/>
              </w:rPr>
            </w:pPr>
            <w:r>
              <w:rPr>
                <w:snapToGrid w:val="0"/>
                <w:lang w:eastAsia="en-US"/>
              </w:rPr>
              <w:t>Toxicity</w:t>
            </w:r>
          </w:p>
        </w:tc>
        <w:tc>
          <w:tcPr>
            <w:tcW w:w="1690" w:type="pct"/>
            <w:gridSpan w:val="4"/>
            <w:tcBorders>
              <w:top w:val="single" w:sz="4" w:space="0" w:color="auto"/>
              <w:left w:val="single" w:sz="4" w:space="0" w:color="auto"/>
              <w:bottom w:val="single" w:sz="4" w:space="0" w:color="auto"/>
              <w:right w:val="single" w:sz="4" w:space="0" w:color="auto"/>
            </w:tcBorders>
            <w:shd w:val="clear" w:color="auto" w:fill="auto"/>
          </w:tcPr>
          <w:p w14:paraId="357701AC" w14:textId="270DD282" w:rsidR="00C6168E" w:rsidRDefault="00C6168E" w:rsidP="00C6168E">
            <w:pPr>
              <w:pStyle w:val="TableHeading"/>
              <w:jc w:val="center"/>
              <w:rPr>
                <w:snapToGrid w:val="0"/>
                <w:lang w:eastAsia="en-US"/>
              </w:rPr>
            </w:pPr>
            <w:r>
              <w:rPr>
                <w:snapToGrid w:val="0"/>
                <w:lang w:eastAsia="en-US"/>
              </w:rPr>
              <w:t>Acute</w:t>
            </w:r>
          </w:p>
        </w:tc>
        <w:tc>
          <w:tcPr>
            <w:tcW w:w="1683" w:type="pct"/>
            <w:gridSpan w:val="4"/>
            <w:tcBorders>
              <w:top w:val="single" w:sz="4" w:space="0" w:color="auto"/>
              <w:left w:val="single" w:sz="4" w:space="0" w:color="auto"/>
              <w:bottom w:val="single" w:sz="4" w:space="0" w:color="auto"/>
              <w:right w:val="single" w:sz="4" w:space="0" w:color="auto"/>
            </w:tcBorders>
          </w:tcPr>
          <w:p w14:paraId="09BDCE24" w14:textId="2190B045" w:rsidR="00C6168E" w:rsidRDefault="00C6168E" w:rsidP="00C6168E">
            <w:pPr>
              <w:pStyle w:val="TableHeading"/>
              <w:rPr>
                <w:snapToGrid w:val="0"/>
                <w:lang w:eastAsia="en-US"/>
              </w:rPr>
            </w:pPr>
            <w:r>
              <w:rPr>
                <w:snapToGrid w:val="0"/>
                <w:lang w:eastAsia="en-US"/>
              </w:rPr>
              <w:t>Late</w:t>
            </w:r>
          </w:p>
        </w:tc>
      </w:tr>
      <w:tr w:rsidR="00AC4223" w:rsidRPr="00B2301A" w14:paraId="15A4C84C" w14:textId="77777777" w:rsidTr="00C6168E">
        <w:trPr>
          <w:cnfStyle w:val="100000000000" w:firstRow="1" w:lastRow="0" w:firstColumn="0" w:lastColumn="0" w:oddVBand="0" w:evenVBand="0" w:oddHBand="0" w:evenHBand="0" w:firstRowFirstColumn="0" w:firstRowLastColumn="0" w:lastRowFirstColumn="0" w:lastRowLastColumn="0"/>
          <w:cantSplit/>
          <w:tblHeader/>
        </w:trPr>
        <w:tc>
          <w:tcPr>
            <w:tcW w:w="662" w:type="pct"/>
            <w:tcBorders>
              <w:top w:val="nil"/>
              <w:left w:val="single" w:sz="4" w:space="0" w:color="auto"/>
              <w:bottom w:val="single" w:sz="4" w:space="0" w:color="auto"/>
              <w:right w:val="single" w:sz="4" w:space="0" w:color="auto"/>
            </w:tcBorders>
            <w:shd w:val="clear" w:color="auto" w:fill="auto"/>
          </w:tcPr>
          <w:p w14:paraId="3FC5ADB1" w14:textId="77777777" w:rsidR="00AC4223" w:rsidRPr="00B2301A" w:rsidRDefault="00AC4223" w:rsidP="00C6168E">
            <w:pPr>
              <w:pStyle w:val="TableHeading"/>
              <w:rPr>
                <w:snapToGrid w:val="0"/>
                <w:lang w:eastAsia="en-US"/>
              </w:rPr>
            </w:pPr>
          </w:p>
        </w:tc>
        <w:tc>
          <w:tcPr>
            <w:tcW w:w="965" w:type="pct"/>
          </w:tcPr>
          <w:p w14:paraId="651DFC4D" w14:textId="476B946F" w:rsidR="00AC4223" w:rsidRDefault="00AC4223" w:rsidP="00C6168E">
            <w:pPr>
              <w:pStyle w:val="TableHeading"/>
              <w:jc w:val="center"/>
              <w:rPr>
                <w:snapToGrid w:val="0"/>
                <w:lang w:eastAsia="en-US"/>
              </w:rPr>
            </w:pPr>
            <w:r>
              <w:rPr>
                <w:snapToGrid w:val="0"/>
                <w:lang w:eastAsia="en-US"/>
              </w:rPr>
              <w:t>Grade</w:t>
            </w:r>
          </w:p>
        </w:tc>
        <w:tc>
          <w:tcPr>
            <w:tcW w:w="421" w:type="pct"/>
            <w:tcBorders>
              <w:top w:val="single" w:sz="4" w:space="0" w:color="auto"/>
            </w:tcBorders>
            <w:shd w:val="clear" w:color="auto" w:fill="auto"/>
          </w:tcPr>
          <w:p w14:paraId="4A650C22" w14:textId="6DA4B604" w:rsidR="00AC4223" w:rsidRDefault="00AC4223" w:rsidP="00C6168E">
            <w:pPr>
              <w:pStyle w:val="TableHeading"/>
              <w:jc w:val="center"/>
              <w:rPr>
                <w:snapToGrid w:val="0"/>
                <w:lang w:eastAsia="en-US"/>
              </w:rPr>
            </w:pPr>
            <w:r>
              <w:rPr>
                <w:snapToGrid w:val="0"/>
                <w:lang w:eastAsia="en-US"/>
              </w:rPr>
              <w:t>0</w:t>
            </w:r>
          </w:p>
        </w:tc>
        <w:tc>
          <w:tcPr>
            <w:tcW w:w="423" w:type="pct"/>
            <w:tcBorders>
              <w:top w:val="single" w:sz="4" w:space="0" w:color="auto"/>
            </w:tcBorders>
          </w:tcPr>
          <w:p w14:paraId="218F5F5A" w14:textId="62E7B050" w:rsidR="00AC4223" w:rsidRDefault="00AC4223" w:rsidP="00C6168E">
            <w:pPr>
              <w:pStyle w:val="TableHeading"/>
              <w:jc w:val="center"/>
              <w:rPr>
                <w:snapToGrid w:val="0"/>
                <w:lang w:eastAsia="en-US"/>
              </w:rPr>
            </w:pPr>
            <w:r>
              <w:rPr>
                <w:snapToGrid w:val="0"/>
                <w:lang w:eastAsia="en-US"/>
              </w:rPr>
              <w:t>1</w:t>
            </w:r>
          </w:p>
        </w:tc>
        <w:tc>
          <w:tcPr>
            <w:tcW w:w="423" w:type="pct"/>
            <w:tcBorders>
              <w:top w:val="single" w:sz="4" w:space="0" w:color="auto"/>
            </w:tcBorders>
          </w:tcPr>
          <w:p w14:paraId="1449C1DC" w14:textId="6D63C673" w:rsidR="00AC4223" w:rsidRDefault="00AC4223" w:rsidP="00C6168E">
            <w:pPr>
              <w:pStyle w:val="TableHeading"/>
              <w:jc w:val="center"/>
              <w:rPr>
                <w:snapToGrid w:val="0"/>
                <w:lang w:eastAsia="en-US"/>
              </w:rPr>
            </w:pPr>
            <w:r>
              <w:rPr>
                <w:snapToGrid w:val="0"/>
                <w:lang w:eastAsia="en-US"/>
              </w:rPr>
              <w:t>2</w:t>
            </w:r>
          </w:p>
        </w:tc>
        <w:tc>
          <w:tcPr>
            <w:tcW w:w="423" w:type="pct"/>
            <w:tcBorders>
              <w:top w:val="single" w:sz="4" w:space="0" w:color="auto"/>
            </w:tcBorders>
          </w:tcPr>
          <w:p w14:paraId="6C9ED74E" w14:textId="27C11E5E" w:rsidR="00AC4223" w:rsidRDefault="00AC4223" w:rsidP="00C6168E">
            <w:pPr>
              <w:pStyle w:val="TableHeading"/>
              <w:jc w:val="center"/>
              <w:rPr>
                <w:snapToGrid w:val="0"/>
                <w:lang w:eastAsia="en-US"/>
              </w:rPr>
            </w:pPr>
            <w:r>
              <w:rPr>
                <w:snapToGrid w:val="0"/>
                <w:lang w:eastAsia="en-US"/>
              </w:rPr>
              <w:t>3</w:t>
            </w:r>
          </w:p>
        </w:tc>
        <w:tc>
          <w:tcPr>
            <w:tcW w:w="423" w:type="pct"/>
            <w:tcBorders>
              <w:top w:val="single" w:sz="4" w:space="0" w:color="auto"/>
            </w:tcBorders>
          </w:tcPr>
          <w:p w14:paraId="0B4D901B" w14:textId="6CF79F9B" w:rsidR="00AC4223" w:rsidRDefault="00AC4223" w:rsidP="00C6168E">
            <w:pPr>
              <w:pStyle w:val="TableHeading"/>
              <w:jc w:val="center"/>
              <w:rPr>
                <w:snapToGrid w:val="0"/>
                <w:lang w:eastAsia="en-US"/>
              </w:rPr>
            </w:pPr>
            <w:r>
              <w:rPr>
                <w:snapToGrid w:val="0"/>
                <w:lang w:eastAsia="en-US"/>
              </w:rPr>
              <w:t>0</w:t>
            </w:r>
          </w:p>
        </w:tc>
        <w:tc>
          <w:tcPr>
            <w:tcW w:w="423" w:type="pct"/>
            <w:tcBorders>
              <w:top w:val="single" w:sz="4" w:space="0" w:color="auto"/>
            </w:tcBorders>
          </w:tcPr>
          <w:p w14:paraId="24B6C8FE" w14:textId="622D9F85" w:rsidR="00AC4223" w:rsidRDefault="00AC4223" w:rsidP="00C6168E">
            <w:pPr>
              <w:pStyle w:val="TableHeading"/>
              <w:jc w:val="center"/>
              <w:rPr>
                <w:snapToGrid w:val="0"/>
                <w:lang w:eastAsia="en-US"/>
              </w:rPr>
            </w:pPr>
            <w:r>
              <w:rPr>
                <w:snapToGrid w:val="0"/>
                <w:lang w:eastAsia="en-US"/>
              </w:rPr>
              <w:t>1</w:t>
            </w:r>
          </w:p>
        </w:tc>
        <w:tc>
          <w:tcPr>
            <w:tcW w:w="420" w:type="pct"/>
            <w:tcBorders>
              <w:top w:val="single" w:sz="4" w:space="0" w:color="auto"/>
            </w:tcBorders>
          </w:tcPr>
          <w:p w14:paraId="13498348" w14:textId="1D1FB4E6" w:rsidR="00AC4223" w:rsidRDefault="00AC4223" w:rsidP="00C6168E">
            <w:pPr>
              <w:pStyle w:val="TableHeading"/>
              <w:jc w:val="center"/>
              <w:rPr>
                <w:snapToGrid w:val="0"/>
                <w:lang w:eastAsia="en-US"/>
              </w:rPr>
            </w:pPr>
            <w:r>
              <w:rPr>
                <w:snapToGrid w:val="0"/>
                <w:lang w:eastAsia="en-US"/>
              </w:rPr>
              <w:t>2</w:t>
            </w:r>
          </w:p>
        </w:tc>
        <w:tc>
          <w:tcPr>
            <w:tcW w:w="417" w:type="pct"/>
            <w:tcBorders>
              <w:top w:val="single" w:sz="4" w:space="0" w:color="auto"/>
            </w:tcBorders>
          </w:tcPr>
          <w:p w14:paraId="063E0DD1" w14:textId="646B9612" w:rsidR="00AC4223" w:rsidRDefault="00AC4223" w:rsidP="00C6168E">
            <w:pPr>
              <w:pStyle w:val="TableHeading"/>
              <w:rPr>
                <w:snapToGrid w:val="0"/>
                <w:lang w:eastAsia="en-US"/>
              </w:rPr>
            </w:pPr>
            <w:r>
              <w:rPr>
                <w:snapToGrid w:val="0"/>
                <w:lang w:eastAsia="en-US"/>
              </w:rPr>
              <w:t>3</w:t>
            </w:r>
          </w:p>
        </w:tc>
      </w:tr>
      <w:tr w:rsidR="00A464B7" w:rsidRPr="00B2301A" w14:paraId="41755052" w14:textId="77777777" w:rsidTr="00096131">
        <w:trPr>
          <w:cantSplit/>
        </w:trPr>
        <w:tc>
          <w:tcPr>
            <w:tcW w:w="662" w:type="pct"/>
            <w:tcBorders>
              <w:top w:val="single" w:sz="4" w:space="0" w:color="auto"/>
              <w:left w:val="single" w:sz="4" w:space="0" w:color="auto"/>
              <w:bottom w:val="nil"/>
              <w:right w:val="single" w:sz="4" w:space="0" w:color="auto"/>
            </w:tcBorders>
            <w:shd w:val="clear" w:color="auto" w:fill="auto"/>
          </w:tcPr>
          <w:p w14:paraId="00C19FD6" w14:textId="07106C20" w:rsidR="00A464B7" w:rsidRDefault="00211285" w:rsidP="00C6168E">
            <w:pPr>
              <w:pStyle w:val="Tabletext1"/>
              <w:rPr>
                <w:snapToGrid w:val="0"/>
                <w:lang w:eastAsia="en-US"/>
              </w:rPr>
            </w:pPr>
            <w:hyperlink w:anchor="_ENREF_10" w:tooltip="Baschnagel, 2013 #32" w:history="1">
              <w:r w:rsidR="008B6FC0">
                <w:rPr>
                  <w:rFonts w:cs="Calibri"/>
                  <w:color w:val="000000"/>
                </w:rPr>
                <w:fldChar w:fldCharType="begin"/>
              </w:r>
              <w:r w:rsidR="008B6FC0">
                <w:rPr>
                  <w:rFonts w:cs="Calibri"/>
                  <w:color w:val="000000"/>
                </w:rPr>
                <w:instrText xml:space="preserve"> ADDIN EN.CITE &lt;EndNote&gt;&lt;Cite AuthorYear="1"&gt;&lt;Author&gt;Baschnagel&lt;/Author&gt;&lt;Year&gt;2013&lt;/Year&gt;&lt;RecNum&gt;32&lt;/RecNum&gt;&lt;DisplayText&gt;Baschnagel et al. (2013)&lt;/DisplayText&gt;&lt;record&gt;&lt;rec-number&gt;32&lt;/rec-number&gt;&lt;foreign-keys&gt;&lt;key app="EN" db-id="sx5wsdwv795wvue959xxw0ptaewvdezxxp05" timestamp="1604876375"&gt;32&lt;/key&gt;&lt;/foreign-keys&gt;&lt;ref-type name="Journal Article"&gt;17&lt;/ref-type&gt;&lt;contributors&gt;&lt;authors&gt;&lt;author&gt;Baschnagel, A. M.&lt;/author&gt;&lt;author&gt;Mangona, V. S.&lt;/author&gt;&lt;author&gt;Robertson, J. M.&lt;/author&gt;&lt;author&gt;Welsh, R. J.&lt;/author&gt;&lt;author&gt;Kestin, L. L.&lt;/author&gt;&lt;author&gt;Grills, I. S.&lt;/author&gt;&lt;/authors&gt;&lt;/contributors&gt;&lt;titles&gt;&lt;title&gt;Lung metastases treated with image-guided stereotactic body radiation therapy&lt;/title&gt;&lt;secondary-title&gt;Clin Oncol (R Coll Radiol)&lt;/secondary-title&gt;&lt;/titles&gt;&lt;pages&gt;236-41&lt;/pages&gt;&lt;volume&gt;25&lt;/volume&gt;&lt;number&gt;4&lt;/number&gt;&lt;dates&gt;&lt;year&gt;2013&lt;/year&gt;&lt;/dates&gt;&lt;accession-num&gt;23352916&lt;/accession-num&gt;&lt;urls&gt;&lt;related-urls&gt;&lt;url&gt;http://ezproxy.library.usyd.edu.au/login?url=http://ovidsp.ovid.com/ovidweb.cgi?T=JS&amp;amp;CSC=Y&amp;amp;NEWS=N&amp;amp;PAGE=fulltext&amp;amp;D=med10&amp;amp;AN=23352916https://sydney.alma.exlibrisgroup.com/openurl/61USYD_INST/61USYD_INST:sydney?sid=OVID:medline&amp;amp;id=pmid:23352916&amp;amp;id=doi:10.101&lt;/url&gt;&lt;/related-urls&gt;&lt;/urls&gt;&lt;electronic-resource-num&gt;https://dx.doi.org/10.1016/j.clon.2012.12.005&lt;/electronic-resource-num&gt;&lt;/record&gt;&lt;/Cite&gt;&lt;/EndNote&gt;</w:instrText>
              </w:r>
              <w:r w:rsidR="008B6FC0">
                <w:rPr>
                  <w:rFonts w:cs="Calibri"/>
                  <w:color w:val="000000"/>
                </w:rPr>
                <w:fldChar w:fldCharType="separate"/>
              </w:r>
              <w:r w:rsidR="008B6FC0">
                <w:rPr>
                  <w:rFonts w:cs="Calibri"/>
                  <w:noProof/>
                  <w:color w:val="000000"/>
                </w:rPr>
                <w:t>Baschnagel et al. (2013)</w:t>
              </w:r>
              <w:r w:rsidR="008B6FC0">
                <w:rPr>
                  <w:rFonts w:cs="Calibri"/>
                  <w:color w:val="000000"/>
                </w:rPr>
                <w:fldChar w:fldCharType="end"/>
              </w:r>
            </w:hyperlink>
          </w:p>
        </w:tc>
        <w:tc>
          <w:tcPr>
            <w:tcW w:w="965" w:type="pct"/>
            <w:tcBorders>
              <w:left w:val="single" w:sz="4" w:space="0" w:color="auto"/>
            </w:tcBorders>
          </w:tcPr>
          <w:p w14:paraId="1F1D7B55" w14:textId="70983D27" w:rsidR="00A464B7" w:rsidRDefault="00A464B7" w:rsidP="00C6168E">
            <w:pPr>
              <w:pStyle w:val="Tabletext1"/>
              <w:jc w:val="center"/>
            </w:pPr>
            <w:r w:rsidRPr="00BD6F3B">
              <w:t>Radiation pneumonitis</w:t>
            </w:r>
          </w:p>
        </w:tc>
        <w:tc>
          <w:tcPr>
            <w:tcW w:w="421" w:type="pct"/>
            <w:tcBorders>
              <w:bottom w:val="single" w:sz="4" w:space="0" w:color="auto"/>
            </w:tcBorders>
            <w:shd w:val="clear" w:color="auto" w:fill="auto"/>
          </w:tcPr>
          <w:p w14:paraId="49113443" w14:textId="77777777" w:rsidR="00A464B7" w:rsidRDefault="00A464B7" w:rsidP="00C6168E">
            <w:pPr>
              <w:pStyle w:val="Tabletext1"/>
              <w:jc w:val="center"/>
              <w:rPr>
                <w:snapToGrid w:val="0"/>
              </w:rPr>
            </w:pPr>
          </w:p>
        </w:tc>
        <w:tc>
          <w:tcPr>
            <w:tcW w:w="423" w:type="pct"/>
            <w:tcBorders>
              <w:bottom w:val="single" w:sz="4" w:space="0" w:color="auto"/>
            </w:tcBorders>
          </w:tcPr>
          <w:p w14:paraId="340EBF27" w14:textId="6736CB67" w:rsidR="00A464B7" w:rsidRDefault="00A464B7" w:rsidP="00C6168E">
            <w:pPr>
              <w:pStyle w:val="Tabletext1"/>
              <w:jc w:val="center"/>
            </w:pPr>
            <w:r w:rsidRPr="00BD6F3B">
              <w:t>6/32</w:t>
            </w:r>
            <w:r w:rsidR="006C6775">
              <w:t xml:space="preserve"> (</w:t>
            </w:r>
            <w:r w:rsidR="006776B4">
              <w:t>19</w:t>
            </w:r>
            <w:r w:rsidR="006C6775">
              <w:t>%)</w:t>
            </w:r>
          </w:p>
        </w:tc>
        <w:tc>
          <w:tcPr>
            <w:tcW w:w="423" w:type="pct"/>
            <w:tcBorders>
              <w:bottom w:val="single" w:sz="4" w:space="0" w:color="auto"/>
            </w:tcBorders>
          </w:tcPr>
          <w:p w14:paraId="34C7FE01" w14:textId="1E396E0F" w:rsidR="00A464B7" w:rsidRDefault="00A464B7" w:rsidP="00C6168E">
            <w:pPr>
              <w:pStyle w:val="Tabletext1"/>
              <w:jc w:val="center"/>
            </w:pPr>
            <w:r w:rsidRPr="00BD6F3B">
              <w:t>1/32</w:t>
            </w:r>
            <w:r w:rsidR="00811E9D">
              <w:t xml:space="preserve"> (3%)</w:t>
            </w:r>
          </w:p>
        </w:tc>
        <w:tc>
          <w:tcPr>
            <w:tcW w:w="423" w:type="pct"/>
            <w:tcBorders>
              <w:bottom w:val="single" w:sz="4" w:space="0" w:color="auto"/>
            </w:tcBorders>
          </w:tcPr>
          <w:p w14:paraId="77684719" w14:textId="6C7E3FAD" w:rsidR="00A464B7" w:rsidRDefault="00A464B7" w:rsidP="00C6168E">
            <w:pPr>
              <w:pStyle w:val="Tabletext1"/>
              <w:jc w:val="center"/>
            </w:pPr>
            <w:r w:rsidRPr="00BD6F3B">
              <w:t>1/32</w:t>
            </w:r>
            <w:r w:rsidR="00811E9D">
              <w:t xml:space="preserve"> (3%)</w:t>
            </w:r>
          </w:p>
        </w:tc>
        <w:tc>
          <w:tcPr>
            <w:tcW w:w="423" w:type="pct"/>
            <w:tcBorders>
              <w:bottom w:val="single" w:sz="4" w:space="0" w:color="auto"/>
            </w:tcBorders>
          </w:tcPr>
          <w:p w14:paraId="767C8902" w14:textId="77777777" w:rsidR="00A464B7" w:rsidRDefault="00A464B7" w:rsidP="00C6168E">
            <w:pPr>
              <w:pStyle w:val="Tabletext1"/>
              <w:jc w:val="center"/>
            </w:pPr>
          </w:p>
        </w:tc>
        <w:tc>
          <w:tcPr>
            <w:tcW w:w="423" w:type="pct"/>
            <w:tcBorders>
              <w:bottom w:val="single" w:sz="4" w:space="0" w:color="auto"/>
            </w:tcBorders>
          </w:tcPr>
          <w:p w14:paraId="22A1068B" w14:textId="77777777" w:rsidR="00A464B7" w:rsidRDefault="00A464B7" w:rsidP="00C6168E">
            <w:pPr>
              <w:pStyle w:val="Tabletext1"/>
              <w:jc w:val="center"/>
            </w:pPr>
          </w:p>
        </w:tc>
        <w:tc>
          <w:tcPr>
            <w:tcW w:w="420" w:type="pct"/>
            <w:tcBorders>
              <w:bottom w:val="single" w:sz="4" w:space="0" w:color="auto"/>
            </w:tcBorders>
          </w:tcPr>
          <w:p w14:paraId="1684BCDE" w14:textId="77777777" w:rsidR="00A464B7" w:rsidRDefault="00A464B7" w:rsidP="00C6168E">
            <w:pPr>
              <w:pStyle w:val="Tabletext1"/>
              <w:jc w:val="center"/>
            </w:pPr>
          </w:p>
        </w:tc>
        <w:tc>
          <w:tcPr>
            <w:tcW w:w="417" w:type="pct"/>
            <w:tcBorders>
              <w:bottom w:val="single" w:sz="4" w:space="0" w:color="auto"/>
            </w:tcBorders>
          </w:tcPr>
          <w:p w14:paraId="7D4E573A" w14:textId="77777777" w:rsidR="00A464B7" w:rsidRDefault="00A464B7" w:rsidP="00C6168E">
            <w:pPr>
              <w:pStyle w:val="Tabletext1"/>
            </w:pPr>
          </w:p>
        </w:tc>
      </w:tr>
      <w:tr w:rsidR="00A464B7" w:rsidRPr="00B2301A" w14:paraId="5AAE1062" w14:textId="77777777" w:rsidTr="00096131">
        <w:trPr>
          <w:cantSplit/>
        </w:trPr>
        <w:tc>
          <w:tcPr>
            <w:tcW w:w="662" w:type="pct"/>
            <w:tcBorders>
              <w:top w:val="nil"/>
              <w:left w:val="single" w:sz="4" w:space="0" w:color="auto"/>
              <w:bottom w:val="nil"/>
              <w:right w:val="single" w:sz="4" w:space="0" w:color="auto"/>
            </w:tcBorders>
            <w:shd w:val="clear" w:color="auto" w:fill="auto"/>
            <w:vAlign w:val="bottom"/>
          </w:tcPr>
          <w:p w14:paraId="6CE793F7" w14:textId="77777777" w:rsidR="00A464B7" w:rsidRDefault="00A464B7" w:rsidP="00C6168E">
            <w:pPr>
              <w:pStyle w:val="Tabletext1"/>
              <w:rPr>
                <w:snapToGrid w:val="0"/>
                <w:lang w:eastAsia="en-US"/>
              </w:rPr>
            </w:pPr>
          </w:p>
        </w:tc>
        <w:tc>
          <w:tcPr>
            <w:tcW w:w="965" w:type="pct"/>
            <w:tcBorders>
              <w:left w:val="single" w:sz="4" w:space="0" w:color="auto"/>
            </w:tcBorders>
          </w:tcPr>
          <w:p w14:paraId="0B2456EE" w14:textId="3937B6ED" w:rsidR="00A464B7" w:rsidRDefault="00A464B7" w:rsidP="00C6168E">
            <w:pPr>
              <w:pStyle w:val="Tabletext1"/>
              <w:jc w:val="center"/>
            </w:pPr>
            <w:r w:rsidRPr="00BD6F3B">
              <w:t>Dyspnoea</w:t>
            </w:r>
          </w:p>
        </w:tc>
        <w:tc>
          <w:tcPr>
            <w:tcW w:w="421" w:type="pct"/>
            <w:tcBorders>
              <w:bottom w:val="single" w:sz="4" w:space="0" w:color="auto"/>
            </w:tcBorders>
            <w:shd w:val="clear" w:color="auto" w:fill="auto"/>
          </w:tcPr>
          <w:p w14:paraId="0C27A708" w14:textId="77777777" w:rsidR="00A464B7" w:rsidRDefault="00A464B7" w:rsidP="00C6168E">
            <w:pPr>
              <w:pStyle w:val="Tabletext1"/>
              <w:jc w:val="center"/>
              <w:rPr>
                <w:snapToGrid w:val="0"/>
              </w:rPr>
            </w:pPr>
          </w:p>
        </w:tc>
        <w:tc>
          <w:tcPr>
            <w:tcW w:w="423" w:type="pct"/>
            <w:tcBorders>
              <w:bottom w:val="single" w:sz="4" w:space="0" w:color="auto"/>
            </w:tcBorders>
          </w:tcPr>
          <w:p w14:paraId="683F84B8" w14:textId="14D7D901" w:rsidR="00A464B7" w:rsidRDefault="00A464B7" w:rsidP="00C6168E">
            <w:pPr>
              <w:pStyle w:val="Tabletext1"/>
              <w:jc w:val="center"/>
            </w:pPr>
            <w:r w:rsidRPr="00BD6F3B">
              <w:t>3/32</w:t>
            </w:r>
            <w:r w:rsidR="009A0ADC">
              <w:t xml:space="preserve"> (9%)</w:t>
            </w:r>
          </w:p>
        </w:tc>
        <w:tc>
          <w:tcPr>
            <w:tcW w:w="423" w:type="pct"/>
            <w:tcBorders>
              <w:bottom w:val="single" w:sz="4" w:space="0" w:color="auto"/>
            </w:tcBorders>
          </w:tcPr>
          <w:p w14:paraId="67D36421" w14:textId="32188704" w:rsidR="00A464B7" w:rsidRDefault="00A464B7" w:rsidP="00C6168E">
            <w:pPr>
              <w:pStyle w:val="Tabletext1"/>
              <w:jc w:val="center"/>
            </w:pPr>
            <w:r w:rsidRPr="00BD6F3B">
              <w:t>1/32</w:t>
            </w:r>
            <w:r w:rsidR="00811E9D">
              <w:t xml:space="preserve"> (3%)</w:t>
            </w:r>
          </w:p>
        </w:tc>
        <w:tc>
          <w:tcPr>
            <w:tcW w:w="423" w:type="pct"/>
            <w:tcBorders>
              <w:bottom w:val="single" w:sz="4" w:space="0" w:color="auto"/>
            </w:tcBorders>
          </w:tcPr>
          <w:p w14:paraId="33B5254C" w14:textId="6E7B2191" w:rsidR="00A464B7" w:rsidRDefault="00A464B7" w:rsidP="00C6168E">
            <w:pPr>
              <w:pStyle w:val="Tabletext1"/>
              <w:jc w:val="center"/>
            </w:pPr>
            <w:r w:rsidRPr="00BD6F3B">
              <w:t>0/32</w:t>
            </w:r>
            <w:r w:rsidR="00F16BC8">
              <w:t xml:space="preserve"> (0%)</w:t>
            </w:r>
          </w:p>
        </w:tc>
        <w:tc>
          <w:tcPr>
            <w:tcW w:w="423" w:type="pct"/>
            <w:tcBorders>
              <w:bottom w:val="single" w:sz="4" w:space="0" w:color="auto"/>
            </w:tcBorders>
          </w:tcPr>
          <w:p w14:paraId="4764B03F" w14:textId="77777777" w:rsidR="00A464B7" w:rsidRDefault="00A464B7" w:rsidP="00C6168E">
            <w:pPr>
              <w:pStyle w:val="Tabletext1"/>
              <w:jc w:val="center"/>
            </w:pPr>
          </w:p>
        </w:tc>
        <w:tc>
          <w:tcPr>
            <w:tcW w:w="423" w:type="pct"/>
            <w:tcBorders>
              <w:bottom w:val="single" w:sz="4" w:space="0" w:color="auto"/>
            </w:tcBorders>
          </w:tcPr>
          <w:p w14:paraId="7CCA4058" w14:textId="1F23CC99" w:rsidR="00A464B7" w:rsidRDefault="00C241D7" w:rsidP="00C6168E">
            <w:pPr>
              <w:pStyle w:val="Tabletext1"/>
              <w:jc w:val="center"/>
            </w:pPr>
            <w:r w:rsidRPr="00BD6F3B">
              <w:t>2/32</w:t>
            </w:r>
            <w:r w:rsidR="002307EE">
              <w:t xml:space="preserve"> (6%)</w:t>
            </w:r>
          </w:p>
        </w:tc>
        <w:tc>
          <w:tcPr>
            <w:tcW w:w="420" w:type="pct"/>
            <w:tcBorders>
              <w:bottom w:val="single" w:sz="4" w:space="0" w:color="auto"/>
            </w:tcBorders>
          </w:tcPr>
          <w:p w14:paraId="7613598A" w14:textId="3B6CDB68" w:rsidR="00A464B7" w:rsidRDefault="00A464B7" w:rsidP="00C6168E">
            <w:pPr>
              <w:pStyle w:val="Tabletext1"/>
              <w:jc w:val="center"/>
            </w:pPr>
            <w:r w:rsidRPr="00BD6F3B">
              <w:t>2/32</w:t>
            </w:r>
            <w:r w:rsidR="002307EE">
              <w:t xml:space="preserve"> (6%)</w:t>
            </w:r>
          </w:p>
        </w:tc>
        <w:tc>
          <w:tcPr>
            <w:tcW w:w="417" w:type="pct"/>
            <w:tcBorders>
              <w:bottom w:val="single" w:sz="4" w:space="0" w:color="auto"/>
            </w:tcBorders>
          </w:tcPr>
          <w:p w14:paraId="5F5F00C9" w14:textId="5A29E5BE" w:rsidR="00A464B7" w:rsidRDefault="00C241D7" w:rsidP="00C6168E">
            <w:pPr>
              <w:pStyle w:val="Tabletext1"/>
            </w:pPr>
            <w:r>
              <w:t>1</w:t>
            </w:r>
            <w:r w:rsidR="00A464B7" w:rsidRPr="00BD6F3B">
              <w:t>/32</w:t>
            </w:r>
            <w:r w:rsidR="00F16BC8">
              <w:t xml:space="preserve"> (3%)</w:t>
            </w:r>
          </w:p>
        </w:tc>
      </w:tr>
      <w:tr w:rsidR="006C6775" w:rsidRPr="00B2301A" w14:paraId="3D23EB9A" w14:textId="77777777" w:rsidTr="00096131">
        <w:trPr>
          <w:cantSplit/>
        </w:trPr>
        <w:tc>
          <w:tcPr>
            <w:tcW w:w="662" w:type="pct"/>
            <w:tcBorders>
              <w:top w:val="nil"/>
              <w:left w:val="single" w:sz="4" w:space="0" w:color="auto"/>
              <w:bottom w:val="nil"/>
              <w:right w:val="single" w:sz="4" w:space="0" w:color="auto"/>
            </w:tcBorders>
            <w:shd w:val="clear" w:color="auto" w:fill="auto"/>
            <w:vAlign w:val="bottom"/>
          </w:tcPr>
          <w:p w14:paraId="76DE640B" w14:textId="77777777" w:rsidR="006C6775" w:rsidRDefault="006C6775" w:rsidP="00C6168E">
            <w:pPr>
              <w:pStyle w:val="Tabletext1"/>
              <w:rPr>
                <w:snapToGrid w:val="0"/>
                <w:lang w:eastAsia="en-US"/>
              </w:rPr>
            </w:pPr>
          </w:p>
        </w:tc>
        <w:tc>
          <w:tcPr>
            <w:tcW w:w="965" w:type="pct"/>
            <w:tcBorders>
              <w:left w:val="single" w:sz="4" w:space="0" w:color="auto"/>
            </w:tcBorders>
          </w:tcPr>
          <w:p w14:paraId="4CB0F94C" w14:textId="74F37FB0" w:rsidR="006C6775" w:rsidRDefault="006C6775" w:rsidP="00C6168E">
            <w:pPr>
              <w:pStyle w:val="Tabletext1"/>
              <w:jc w:val="center"/>
            </w:pPr>
            <w:r w:rsidRPr="00BD6F3B">
              <w:t>Cough</w:t>
            </w:r>
          </w:p>
        </w:tc>
        <w:tc>
          <w:tcPr>
            <w:tcW w:w="421" w:type="pct"/>
            <w:tcBorders>
              <w:bottom w:val="single" w:sz="4" w:space="0" w:color="auto"/>
            </w:tcBorders>
            <w:shd w:val="clear" w:color="auto" w:fill="auto"/>
          </w:tcPr>
          <w:p w14:paraId="3C58C9D4" w14:textId="77777777" w:rsidR="006C6775" w:rsidRDefault="006C6775" w:rsidP="00C6168E">
            <w:pPr>
              <w:pStyle w:val="Tabletext1"/>
              <w:jc w:val="center"/>
              <w:rPr>
                <w:snapToGrid w:val="0"/>
              </w:rPr>
            </w:pPr>
          </w:p>
        </w:tc>
        <w:tc>
          <w:tcPr>
            <w:tcW w:w="423" w:type="pct"/>
            <w:tcBorders>
              <w:bottom w:val="single" w:sz="4" w:space="0" w:color="auto"/>
            </w:tcBorders>
          </w:tcPr>
          <w:p w14:paraId="35438F1A" w14:textId="116748DF" w:rsidR="006C6775" w:rsidRDefault="006C6775" w:rsidP="00C6168E">
            <w:pPr>
              <w:pStyle w:val="Tabletext1"/>
              <w:jc w:val="center"/>
            </w:pPr>
            <w:r w:rsidRPr="00BD6F3B">
              <w:t>6/32</w:t>
            </w:r>
            <w:r>
              <w:t xml:space="preserve"> (</w:t>
            </w:r>
            <w:r w:rsidR="006776B4">
              <w:t>19</w:t>
            </w:r>
            <w:r>
              <w:t>%)</w:t>
            </w:r>
          </w:p>
        </w:tc>
        <w:tc>
          <w:tcPr>
            <w:tcW w:w="423" w:type="pct"/>
            <w:tcBorders>
              <w:bottom w:val="single" w:sz="4" w:space="0" w:color="auto"/>
            </w:tcBorders>
          </w:tcPr>
          <w:p w14:paraId="7BD59E0D" w14:textId="61559CCC" w:rsidR="006C6775" w:rsidRDefault="006C6775" w:rsidP="00C6168E">
            <w:pPr>
              <w:pStyle w:val="Tabletext1"/>
              <w:jc w:val="center"/>
            </w:pPr>
            <w:r w:rsidRPr="00BD6F3B">
              <w:t>0/32</w:t>
            </w:r>
            <w:r>
              <w:t xml:space="preserve"> (0%)</w:t>
            </w:r>
          </w:p>
        </w:tc>
        <w:tc>
          <w:tcPr>
            <w:tcW w:w="423" w:type="pct"/>
            <w:tcBorders>
              <w:bottom w:val="single" w:sz="4" w:space="0" w:color="auto"/>
            </w:tcBorders>
          </w:tcPr>
          <w:p w14:paraId="4D1D4F1C" w14:textId="787999B6" w:rsidR="006C6775" w:rsidRDefault="006C6775" w:rsidP="00C6168E">
            <w:pPr>
              <w:pStyle w:val="Tabletext1"/>
              <w:jc w:val="center"/>
            </w:pPr>
            <w:r w:rsidRPr="00BD6F3B">
              <w:t>1/32</w:t>
            </w:r>
            <w:r>
              <w:t xml:space="preserve"> (3%)</w:t>
            </w:r>
          </w:p>
        </w:tc>
        <w:tc>
          <w:tcPr>
            <w:tcW w:w="423" w:type="pct"/>
            <w:tcBorders>
              <w:bottom w:val="single" w:sz="4" w:space="0" w:color="auto"/>
            </w:tcBorders>
          </w:tcPr>
          <w:p w14:paraId="7870BEB5" w14:textId="77777777" w:rsidR="006C6775" w:rsidRDefault="006C6775" w:rsidP="00C6168E">
            <w:pPr>
              <w:pStyle w:val="Tabletext1"/>
              <w:jc w:val="center"/>
            </w:pPr>
          </w:p>
        </w:tc>
        <w:tc>
          <w:tcPr>
            <w:tcW w:w="423" w:type="pct"/>
            <w:tcBorders>
              <w:bottom w:val="single" w:sz="4" w:space="0" w:color="auto"/>
            </w:tcBorders>
          </w:tcPr>
          <w:p w14:paraId="18512848" w14:textId="77777777" w:rsidR="006C6775" w:rsidRDefault="006C6775" w:rsidP="00C6168E">
            <w:pPr>
              <w:pStyle w:val="Tabletext1"/>
              <w:jc w:val="center"/>
            </w:pPr>
          </w:p>
        </w:tc>
        <w:tc>
          <w:tcPr>
            <w:tcW w:w="420" w:type="pct"/>
            <w:tcBorders>
              <w:bottom w:val="single" w:sz="4" w:space="0" w:color="auto"/>
            </w:tcBorders>
          </w:tcPr>
          <w:p w14:paraId="7C8315D0" w14:textId="77777777" w:rsidR="006C6775" w:rsidRDefault="006C6775" w:rsidP="00C6168E">
            <w:pPr>
              <w:pStyle w:val="Tabletext1"/>
              <w:jc w:val="center"/>
            </w:pPr>
          </w:p>
        </w:tc>
        <w:tc>
          <w:tcPr>
            <w:tcW w:w="417" w:type="pct"/>
            <w:tcBorders>
              <w:bottom w:val="single" w:sz="4" w:space="0" w:color="auto"/>
            </w:tcBorders>
          </w:tcPr>
          <w:p w14:paraId="4BE8CD97" w14:textId="77777777" w:rsidR="006C6775" w:rsidRDefault="006C6775" w:rsidP="00C6168E">
            <w:pPr>
              <w:pStyle w:val="Tabletext1"/>
            </w:pPr>
          </w:p>
        </w:tc>
      </w:tr>
      <w:tr w:rsidR="006C6775" w:rsidRPr="00B2301A" w14:paraId="2779E58D" w14:textId="77777777" w:rsidTr="00096131">
        <w:trPr>
          <w:cantSplit/>
        </w:trPr>
        <w:tc>
          <w:tcPr>
            <w:tcW w:w="662" w:type="pct"/>
            <w:tcBorders>
              <w:top w:val="nil"/>
              <w:left w:val="single" w:sz="4" w:space="0" w:color="auto"/>
              <w:bottom w:val="nil"/>
              <w:right w:val="single" w:sz="4" w:space="0" w:color="auto"/>
            </w:tcBorders>
            <w:shd w:val="clear" w:color="auto" w:fill="auto"/>
            <w:vAlign w:val="bottom"/>
          </w:tcPr>
          <w:p w14:paraId="22D25D1E" w14:textId="77777777" w:rsidR="006C6775" w:rsidRDefault="006C6775" w:rsidP="00C6168E">
            <w:pPr>
              <w:pStyle w:val="Tabletext1"/>
              <w:rPr>
                <w:snapToGrid w:val="0"/>
                <w:lang w:eastAsia="en-US"/>
              </w:rPr>
            </w:pPr>
          </w:p>
        </w:tc>
        <w:tc>
          <w:tcPr>
            <w:tcW w:w="965" w:type="pct"/>
            <w:tcBorders>
              <w:left w:val="single" w:sz="4" w:space="0" w:color="auto"/>
            </w:tcBorders>
          </w:tcPr>
          <w:p w14:paraId="7B4B00D7" w14:textId="04A4EDB9" w:rsidR="006C6775" w:rsidRDefault="006C6775" w:rsidP="00C6168E">
            <w:pPr>
              <w:pStyle w:val="Tabletext1"/>
              <w:jc w:val="center"/>
            </w:pPr>
            <w:r w:rsidRPr="00BD6F3B">
              <w:t>Rib fracture</w:t>
            </w:r>
          </w:p>
        </w:tc>
        <w:tc>
          <w:tcPr>
            <w:tcW w:w="421" w:type="pct"/>
            <w:tcBorders>
              <w:bottom w:val="single" w:sz="4" w:space="0" w:color="auto"/>
            </w:tcBorders>
            <w:shd w:val="clear" w:color="auto" w:fill="auto"/>
          </w:tcPr>
          <w:p w14:paraId="076C3A1C" w14:textId="77777777" w:rsidR="006C6775" w:rsidRDefault="006C6775" w:rsidP="00C6168E">
            <w:pPr>
              <w:pStyle w:val="Tabletext1"/>
              <w:jc w:val="center"/>
              <w:rPr>
                <w:snapToGrid w:val="0"/>
              </w:rPr>
            </w:pPr>
          </w:p>
        </w:tc>
        <w:tc>
          <w:tcPr>
            <w:tcW w:w="423" w:type="pct"/>
            <w:tcBorders>
              <w:bottom w:val="single" w:sz="4" w:space="0" w:color="auto"/>
            </w:tcBorders>
          </w:tcPr>
          <w:p w14:paraId="5DFDFD57" w14:textId="72CB5B35" w:rsidR="006C6775" w:rsidRDefault="006C6775" w:rsidP="00C6168E">
            <w:pPr>
              <w:pStyle w:val="Tabletext1"/>
              <w:jc w:val="center"/>
            </w:pPr>
            <w:r w:rsidRPr="00BD6F3B">
              <w:t>3/32</w:t>
            </w:r>
            <w:r>
              <w:t xml:space="preserve"> (9%)</w:t>
            </w:r>
          </w:p>
        </w:tc>
        <w:tc>
          <w:tcPr>
            <w:tcW w:w="423" w:type="pct"/>
            <w:tcBorders>
              <w:bottom w:val="single" w:sz="4" w:space="0" w:color="auto"/>
            </w:tcBorders>
          </w:tcPr>
          <w:p w14:paraId="73ECE325" w14:textId="50556048" w:rsidR="006C6775" w:rsidRDefault="006C6775" w:rsidP="00C6168E">
            <w:pPr>
              <w:pStyle w:val="Tabletext1"/>
              <w:jc w:val="center"/>
            </w:pPr>
            <w:r w:rsidRPr="00BD6F3B">
              <w:t>1/32</w:t>
            </w:r>
            <w:r>
              <w:t xml:space="preserve"> (3%)</w:t>
            </w:r>
          </w:p>
        </w:tc>
        <w:tc>
          <w:tcPr>
            <w:tcW w:w="423" w:type="pct"/>
            <w:tcBorders>
              <w:bottom w:val="single" w:sz="4" w:space="0" w:color="auto"/>
            </w:tcBorders>
          </w:tcPr>
          <w:p w14:paraId="61D2FBE6" w14:textId="791F186D" w:rsidR="006C6775" w:rsidRDefault="006C6775" w:rsidP="00C6168E">
            <w:pPr>
              <w:pStyle w:val="Tabletext1"/>
              <w:jc w:val="center"/>
            </w:pPr>
            <w:r w:rsidRPr="00BD6F3B">
              <w:t>1/32</w:t>
            </w:r>
            <w:r>
              <w:t xml:space="preserve"> (3%)</w:t>
            </w:r>
          </w:p>
        </w:tc>
        <w:tc>
          <w:tcPr>
            <w:tcW w:w="423" w:type="pct"/>
            <w:tcBorders>
              <w:bottom w:val="single" w:sz="4" w:space="0" w:color="auto"/>
            </w:tcBorders>
          </w:tcPr>
          <w:p w14:paraId="76169153" w14:textId="77777777" w:rsidR="006C6775" w:rsidRDefault="006C6775" w:rsidP="00C6168E">
            <w:pPr>
              <w:pStyle w:val="Tabletext1"/>
              <w:jc w:val="center"/>
            </w:pPr>
          </w:p>
        </w:tc>
        <w:tc>
          <w:tcPr>
            <w:tcW w:w="423" w:type="pct"/>
            <w:tcBorders>
              <w:bottom w:val="single" w:sz="4" w:space="0" w:color="auto"/>
            </w:tcBorders>
          </w:tcPr>
          <w:p w14:paraId="5AD21722" w14:textId="77777777" w:rsidR="006C6775" w:rsidRDefault="006C6775" w:rsidP="00C6168E">
            <w:pPr>
              <w:pStyle w:val="Tabletext1"/>
              <w:jc w:val="center"/>
            </w:pPr>
          </w:p>
        </w:tc>
        <w:tc>
          <w:tcPr>
            <w:tcW w:w="420" w:type="pct"/>
            <w:tcBorders>
              <w:bottom w:val="single" w:sz="4" w:space="0" w:color="auto"/>
            </w:tcBorders>
          </w:tcPr>
          <w:p w14:paraId="48CE6877" w14:textId="77777777" w:rsidR="006C6775" w:rsidRDefault="006C6775" w:rsidP="00C6168E">
            <w:pPr>
              <w:pStyle w:val="Tabletext1"/>
              <w:jc w:val="center"/>
            </w:pPr>
          </w:p>
        </w:tc>
        <w:tc>
          <w:tcPr>
            <w:tcW w:w="417" w:type="pct"/>
            <w:tcBorders>
              <w:bottom w:val="single" w:sz="4" w:space="0" w:color="auto"/>
            </w:tcBorders>
          </w:tcPr>
          <w:p w14:paraId="318A7366" w14:textId="77777777" w:rsidR="006C6775" w:rsidRDefault="006C6775" w:rsidP="00C6168E">
            <w:pPr>
              <w:pStyle w:val="Tabletext1"/>
            </w:pPr>
          </w:p>
        </w:tc>
      </w:tr>
      <w:tr w:rsidR="006C6775" w:rsidRPr="00B2301A" w14:paraId="21A9FF8A" w14:textId="77777777" w:rsidTr="00096131">
        <w:trPr>
          <w:cantSplit/>
        </w:trPr>
        <w:tc>
          <w:tcPr>
            <w:tcW w:w="662" w:type="pct"/>
            <w:tcBorders>
              <w:top w:val="nil"/>
              <w:left w:val="single" w:sz="4" w:space="0" w:color="auto"/>
              <w:bottom w:val="nil"/>
              <w:right w:val="single" w:sz="4" w:space="0" w:color="auto"/>
            </w:tcBorders>
            <w:shd w:val="clear" w:color="auto" w:fill="auto"/>
            <w:vAlign w:val="bottom"/>
          </w:tcPr>
          <w:p w14:paraId="14773DD4" w14:textId="77777777" w:rsidR="006C6775" w:rsidRDefault="006C6775" w:rsidP="00C6168E">
            <w:pPr>
              <w:pStyle w:val="Tabletext1"/>
              <w:rPr>
                <w:snapToGrid w:val="0"/>
                <w:lang w:eastAsia="en-US"/>
              </w:rPr>
            </w:pPr>
          </w:p>
        </w:tc>
        <w:tc>
          <w:tcPr>
            <w:tcW w:w="965" w:type="pct"/>
            <w:tcBorders>
              <w:left w:val="single" w:sz="4" w:space="0" w:color="auto"/>
            </w:tcBorders>
          </w:tcPr>
          <w:p w14:paraId="3D8B9CD9" w14:textId="165319B7" w:rsidR="006C6775" w:rsidRDefault="006C6775" w:rsidP="00C6168E">
            <w:pPr>
              <w:pStyle w:val="Tabletext1"/>
              <w:jc w:val="center"/>
            </w:pPr>
            <w:r w:rsidRPr="00BD6F3B">
              <w:t>Myositis</w:t>
            </w:r>
          </w:p>
        </w:tc>
        <w:tc>
          <w:tcPr>
            <w:tcW w:w="421" w:type="pct"/>
            <w:tcBorders>
              <w:bottom w:val="single" w:sz="4" w:space="0" w:color="auto"/>
            </w:tcBorders>
            <w:shd w:val="clear" w:color="auto" w:fill="auto"/>
          </w:tcPr>
          <w:p w14:paraId="300CF877" w14:textId="77777777" w:rsidR="006C6775" w:rsidRDefault="006C6775" w:rsidP="00C6168E">
            <w:pPr>
              <w:pStyle w:val="Tabletext1"/>
              <w:jc w:val="center"/>
              <w:rPr>
                <w:snapToGrid w:val="0"/>
              </w:rPr>
            </w:pPr>
          </w:p>
        </w:tc>
        <w:tc>
          <w:tcPr>
            <w:tcW w:w="423" w:type="pct"/>
            <w:tcBorders>
              <w:bottom w:val="single" w:sz="4" w:space="0" w:color="auto"/>
            </w:tcBorders>
          </w:tcPr>
          <w:p w14:paraId="7CA4B994" w14:textId="5DCF74A6" w:rsidR="006C6775" w:rsidRDefault="006C6775" w:rsidP="00C6168E">
            <w:pPr>
              <w:pStyle w:val="Tabletext1"/>
              <w:jc w:val="center"/>
            </w:pPr>
            <w:r w:rsidRPr="00BD6F3B">
              <w:t>0/32</w:t>
            </w:r>
            <w:r>
              <w:t xml:space="preserve"> (0%)</w:t>
            </w:r>
          </w:p>
        </w:tc>
        <w:tc>
          <w:tcPr>
            <w:tcW w:w="423" w:type="pct"/>
            <w:tcBorders>
              <w:bottom w:val="single" w:sz="4" w:space="0" w:color="auto"/>
            </w:tcBorders>
          </w:tcPr>
          <w:p w14:paraId="5670667D" w14:textId="3230E4CC" w:rsidR="006C6775" w:rsidRDefault="006C6775" w:rsidP="00C6168E">
            <w:pPr>
              <w:pStyle w:val="Tabletext1"/>
              <w:jc w:val="center"/>
            </w:pPr>
            <w:r w:rsidRPr="00BD6F3B">
              <w:t>1/32</w:t>
            </w:r>
            <w:r>
              <w:t xml:space="preserve"> (3%)</w:t>
            </w:r>
          </w:p>
        </w:tc>
        <w:tc>
          <w:tcPr>
            <w:tcW w:w="423" w:type="pct"/>
            <w:tcBorders>
              <w:bottom w:val="single" w:sz="4" w:space="0" w:color="auto"/>
            </w:tcBorders>
          </w:tcPr>
          <w:p w14:paraId="3118AFD7" w14:textId="0B0F23E5" w:rsidR="006C6775" w:rsidRDefault="006C6775" w:rsidP="00C6168E">
            <w:pPr>
              <w:pStyle w:val="Tabletext1"/>
              <w:jc w:val="center"/>
            </w:pPr>
            <w:r w:rsidRPr="00BD6F3B">
              <w:t>0/32</w:t>
            </w:r>
            <w:r>
              <w:t xml:space="preserve"> (0%)</w:t>
            </w:r>
          </w:p>
        </w:tc>
        <w:tc>
          <w:tcPr>
            <w:tcW w:w="423" w:type="pct"/>
            <w:tcBorders>
              <w:bottom w:val="single" w:sz="4" w:space="0" w:color="auto"/>
            </w:tcBorders>
          </w:tcPr>
          <w:p w14:paraId="1B1E8A33" w14:textId="77777777" w:rsidR="006C6775" w:rsidRDefault="006C6775" w:rsidP="00C6168E">
            <w:pPr>
              <w:pStyle w:val="Tabletext1"/>
              <w:jc w:val="center"/>
            </w:pPr>
          </w:p>
        </w:tc>
        <w:tc>
          <w:tcPr>
            <w:tcW w:w="423" w:type="pct"/>
            <w:tcBorders>
              <w:bottom w:val="single" w:sz="4" w:space="0" w:color="auto"/>
            </w:tcBorders>
          </w:tcPr>
          <w:p w14:paraId="7DA877C0" w14:textId="77777777" w:rsidR="006C6775" w:rsidRDefault="006C6775" w:rsidP="00C6168E">
            <w:pPr>
              <w:pStyle w:val="Tabletext1"/>
              <w:jc w:val="center"/>
            </w:pPr>
          </w:p>
        </w:tc>
        <w:tc>
          <w:tcPr>
            <w:tcW w:w="420" w:type="pct"/>
            <w:tcBorders>
              <w:bottom w:val="single" w:sz="4" w:space="0" w:color="auto"/>
            </w:tcBorders>
          </w:tcPr>
          <w:p w14:paraId="43070DEA" w14:textId="77777777" w:rsidR="006C6775" w:rsidRDefault="006C6775" w:rsidP="00C6168E">
            <w:pPr>
              <w:pStyle w:val="Tabletext1"/>
              <w:jc w:val="center"/>
            </w:pPr>
          </w:p>
        </w:tc>
        <w:tc>
          <w:tcPr>
            <w:tcW w:w="417" w:type="pct"/>
            <w:tcBorders>
              <w:bottom w:val="single" w:sz="4" w:space="0" w:color="auto"/>
            </w:tcBorders>
          </w:tcPr>
          <w:p w14:paraId="00ADABF1" w14:textId="77777777" w:rsidR="006C6775" w:rsidRDefault="006C6775" w:rsidP="00C6168E">
            <w:pPr>
              <w:pStyle w:val="Tabletext1"/>
            </w:pPr>
          </w:p>
        </w:tc>
      </w:tr>
      <w:tr w:rsidR="006C6775" w:rsidRPr="00B2301A" w14:paraId="0658D39C" w14:textId="77777777" w:rsidTr="00096131">
        <w:trPr>
          <w:cantSplit/>
        </w:trPr>
        <w:tc>
          <w:tcPr>
            <w:tcW w:w="662" w:type="pct"/>
            <w:tcBorders>
              <w:top w:val="nil"/>
              <w:left w:val="single" w:sz="4" w:space="0" w:color="auto"/>
              <w:bottom w:val="nil"/>
              <w:right w:val="single" w:sz="4" w:space="0" w:color="auto"/>
            </w:tcBorders>
            <w:shd w:val="clear" w:color="auto" w:fill="auto"/>
            <w:vAlign w:val="bottom"/>
          </w:tcPr>
          <w:p w14:paraId="46927D17" w14:textId="77777777" w:rsidR="006C6775" w:rsidRDefault="006C6775" w:rsidP="00C6168E">
            <w:pPr>
              <w:pStyle w:val="Tabletext1"/>
              <w:rPr>
                <w:snapToGrid w:val="0"/>
                <w:lang w:eastAsia="en-US"/>
              </w:rPr>
            </w:pPr>
          </w:p>
        </w:tc>
        <w:tc>
          <w:tcPr>
            <w:tcW w:w="965" w:type="pct"/>
            <w:tcBorders>
              <w:left w:val="single" w:sz="4" w:space="0" w:color="auto"/>
            </w:tcBorders>
          </w:tcPr>
          <w:p w14:paraId="7CD5A408" w14:textId="243FD84C" w:rsidR="006C6775" w:rsidRDefault="006C6775" w:rsidP="00C6168E">
            <w:pPr>
              <w:pStyle w:val="Tabletext1"/>
              <w:jc w:val="center"/>
            </w:pPr>
            <w:r w:rsidRPr="00BD6F3B">
              <w:t>Pain</w:t>
            </w:r>
          </w:p>
        </w:tc>
        <w:tc>
          <w:tcPr>
            <w:tcW w:w="421" w:type="pct"/>
            <w:tcBorders>
              <w:bottom w:val="single" w:sz="4" w:space="0" w:color="auto"/>
            </w:tcBorders>
            <w:shd w:val="clear" w:color="auto" w:fill="auto"/>
          </w:tcPr>
          <w:p w14:paraId="2B02CE74" w14:textId="77777777" w:rsidR="006C6775" w:rsidRDefault="006C6775" w:rsidP="00C6168E">
            <w:pPr>
              <w:pStyle w:val="Tabletext1"/>
              <w:jc w:val="center"/>
              <w:rPr>
                <w:snapToGrid w:val="0"/>
              </w:rPr>
            </w:pPr>
          </w:p>
        </w:tc>
        <w:tc>
          <w:tcPr>
            <w:tcW w:w="423" w:type="pct"/>
            <w:tcBorders>
              <w:bottom w:val="single" w:sz="4" w:space="0" w:color="auto"/>
            </w:tcBorders>
          </w:tcPr>
          <w:p w14:paraId="25B7023F" w14:textId="2816C35C" w:rsidR="006C6775" w:rsidRDefault="006C6775" w:rsidP="00C6168E">
            <w:pPr>
              <w:pStyle w:val="Tabletext1"/>
              <w:jc w:val="center"/>
            </w:pPr>
            <w:r w:rsidRPr="00BD6F3B">
              <w:t>0/32</w:t>
            </w:r>
            <w:r>
              <w:t xml:space="preserve"> (0%)</w:t>
            </w:r>
          </w:p>
        </w:tc>
        <w:tc>
          <w:tcPr>
            <w:tcW w:w="423" w:type="pct"/>
            <w:tcBorders>
              <w:bottom w:val="single" w:sz="4" w:space="0" w:color="auto"/>
            </w:tcBorders>
          </w:tcPr>
          <w:p w14:paraId="78DDF703" w14:textId="08622106" w:rsidR="006C6775" w:rsidRDefault="006C6775" w:rsidP="00C6168E">
            <w:pPr>
              <w:pStyle w:val="Tabletext1"/>
              <w:jc w:val="center"/>
            </w:pPr>
            <w:r w:rsidRPr="00BD6F3B">
              <w:t>2/32</w:t>
            </w:r>
            <w:r>
              <w:t xml:space="preserve"> (6%)</w:t>
            </w:r>
          </w:p>
        </w:tc>
        <w:tc>
          <w:tcPr>
            <w:tcW w:w="423" w:type="pct"/>
            <w:tcBorders>
              <w:bottom w:val="single" w:sz="4" w:space="0" w:color="auto"/>
            </w:tcBorders>
          </w:tcPr>
          <w:p w14:paraId="765A1CE8" w14:textId="4656BA6D" w:rsidR="006C6775" w:rsidRDefault="006C6775" w:rsidP="00C6168E">
            <w:pPr>
              <w:pStyle w:val="Tabletext1"/>
              <w:jc w:val="center"/>
            </w:pPr>
            <w:r w:rsidRPr="00BD6F3B">
              <w:t>1/32</w:t>
            </w:r>
            <w:r>
              <w:t xml:space="preserve"> (3%)</w:t>
            </w:r>
          </w:p>
        </w:tc>
        <w:tc>
          <w:tcPr>
            <w:tcW w:w="423" w:type="pct"/>
            <w:tcBorders>
              <w:bottom w:val="single" w:sz="4" w:space="0" w:color="auto"/>
            </w:tcBorders>
          </w:tcPr>
          <w:p w14:paraId="7A13E2FE" w14:textId="77777777" w:rsidR="006C6775" w:rsidRDefault="006C6775" w:rsidP="00C6168E">
            <w:pPr>
              <w:pStyle w:val="Tabletext1"/>
              <w:jc w:val="center"/>
            </w:pPr>
          </w:p>
        </w:tc>
        <w:tc>
          <w:tcPr>
            <w:tcW w:w="423" w:type="pct"/>
            <w:tcBorders>
              <w:bottom w:val="single" w:sz="4" w:space="0" w:color="auto"/>
            </w:tcBorders>
          </w:tcPr>
          <w:p w14:paraId="67F82E12" w14:textId="77777777" w:rsidR="006C6775" w:rsidRDefault="006C6775" w:rsidP="00C6168E">
            <w:pPr>
              <w:pStyle w:val="Tabletext1"/>
              <w:jc w:val="center"/>
            </w:pPr>
          </w:p>
        </w:tc>
        <w:tc>
          <w:tcPr>
            <w:tcW w:w="420" w:type="pct"/>
            <w:tcBorders>
              <w:bottom w:val="single" w:sz="4" w:space="0" w:color="auto"/>
            </w:tcBorders>
          </w:tcPr>
          <w:p w14:paraId="370C55DC" w14:textId="77777777" w:rsidR="006C6775" w:rsidRDefault="006C6775" w:rsidP="00C6168E">
            <w:pPr>
              <w:pStyle w:val="Tabletext1"/>
              <w:jc w:val="center"/>
            </w:pPr>
          </w:p>
        </w:tc>
        <w:tc>
          <w:tcPr>
            <w:tcW w:w="417" w:type="pct"/>
            <w:tcBorders>
              <w:bottom w:val="single" w:sz="4" w:space="0" w:color="auto"/>
            </w:tcBorders>
          </w:tcPr>
          <w:p w14:paraId="6F46B348" w14:textId="77777777" w:rsidR="006C6775" w:rsidRDefault="006C6775" w:rsidP="00C6168E">
            <w:pPr>
              <w:pStyle w:val="Tabletext1"/>
            </w:pPr>
          </w:p>
        </w:tc>
      </w:tr>
      <w:tr w:rsidR="006C6775" w:rsidRPr="00B2301A" w14:paraId="5CC2C3D6" w14:textId="77777777" w:rsidTr="00096131">
        <w:trPr>
          <w:cantSplit/>
        </w:trPr>
        <w:tc>
          <w:tcPr>
            <w:tcW w:w="662" w:type="pct"/>
            <w:tcBorders>
              <w:top w:val="nil"/>
              <w:left w:val="single" w:sz="4" w:space="0" w:color="auto"/>
              <w:bottom w:val="nil"/>
              <w:right w:val="single" w:sz="4" w:space="0" w:color="auto"/>
            </w:tcBorders>
            <w:shd w:val="clear" w:color="auto" w:fill="auto"/>
            <w:vAlign w:val="bottom"/>
          </w:tcPr>
          <w:p w14:paraId="61E674B3" w14:textId="77777777" w:rsidR="006C6775" w:rsidRDefault="006C6775" w:rsidP="00C6168E">
            <w:pPr>
              <w:pStyle w:val="Tabletext1"/>
              <w:rPr>
                <w:snapToGrid w:val="0"/>
                <w:lang w:eastAsia="en-US"/>
              </w:rPr>
            </w:pPr>
          </w:p>
        </w:tc>
        <w:tc>
          <w:tcPr>
            <w:tcW w:w="965" w:type="pct"/>
            <w:tcBorders>
              <w:left w:val="single" w:sz="4" w:space="0" w:color="auto"/>
            </w:tcBorders>
          </w:tcPr>
          <w:p w14:paraId="6117CEC4" w14:textId="38C5E951" w:rsidR="006C6775" w:rsidRDefault="006C6775" w:rsidP="00C6168E">
            <w:pPr>
              <w:pStyle w:val="Tabletext1"/>
              <w:jc w:val="center"/>
            </w:pPr>
            <w:r w:rsidRPr="00BD6F3B">
              <w:t>Oesophagitis</w:t>
            </w:r>
          </w:p>
        </w:tc>
        <w:tc>
          <w:tcPr>
            <w:tcW w:w="421" w:type="pct"/>
            <w:tcBorders>
              <w:bottom w:val="single" w:sz="4" w:space="0" w:color="auto"/>
            </w:tcBorders>
            <w:shd w:val="clear" w:color="auto" w:fill="auto"/>
          </w:tcPr>
          <w:p w14:paraId="696429F0" w14:textId="77777777" w:rsidR="006C6775" w:rsidRDefault="006C6775" w:rsidP="00C6168E">
            <w:pPr>
              <w:pStyle w:val="Tabletext1"/>
              <w:jc w:val="center"/>
              <w:rPr>
                <w:snapToGrid w:val="0"/>
              </w:rPr>
            </w:pPr>
          </w:p>
        </w:tc>
        <w:tc>
          <w:tcPr>
            <w:tcW w:w="423" w:type="pct"/>
            <w:tcBorders>
              <w:bottom w:val="single" w:sz="4" w:space="0" w:color="auto"/>
            </w:tcBorders>
          </w:tcPr>
          <w:p w14:paraId="42A9DC3D" w14:textId="1670AF21" w:rsidR="006C6775" w:rsidRDefault="006C6775" w:rsidP="00C6168E">
            <w:pPr>
              <w:pStyle w:val="Tabletext1"/>
              <w:jc w:val="center"/>
            </w:pPr>
            <w:r w:rsidRPr="00BD6F3B">
              <w:t>1/32</w:t>
            </w:r>
            <w:r>
              <w:t xml:space="preserve"> (3%)</w:t>
            </w:r>
          </w:p>
        </w:tc>
        <w:tc>
          <w:tcPr>
            <w:tcW w:w="423" w:type="pct"/>
            <w:tcBorders>
              <w:bottom w:val="single" w:sz="4" w:space="0" w:color="auto"/>
            </w:tcBorders>
          </w:tcPr>
          <w:p w14:paraId="0972FA43" w14:textId="1886501B" w:rsidR="006C6775" w:rsidRDefault="006C6775" w:rsidP="00C6168E">
            <w:pPr>
              <w:pStyle w:val="Tabletext1"/>
              <w:jc w:val="center"/>
            </w:pPr>
            <w:r w:rsidRPr="00BD6F3B">
              <w:t>1/32</w:t>
            </w:r>
            <w:r>
              <w:t xml:space="preserve"> (3%)</w:t>
            </w:r>
          </w:p>
        </w:tc>
        <w:tc>
          <w:tcPr>
            <w:tcW w:w="423" w:type="pct"/>
            <w:tcBorders>
              <w:bottom w:val="single" w:sz="4" w:space="0" w:color="auto"/>
            </w:tcBorders>
          </w:tcPr>
          <w:p w14:paraId="1AF7979C" w14:textId="504266B5" w:rsidR="006C6775" w:rsidRDefault="006C6775" w:rsidP="00C6168E">
            <w:pPr>
              <w:pStyle w:val="Tabletext1"/>
              <w:jc w:val="center"/>
            </w:pPr>
            <w:r w:rsidRPr="00BD6F3B">
              <w:t>0/32</w:t>
            </w:r>
            <w:r>
              <w:t xml:space="preserve"> (0%)</w:t>
            </w:r>
          </w:p>
        </w:tc>
        <w:tc>
          <w:tcPr>
            <w:tcW w:w="423" w:type="pct"/>
            <w:tcBorders>
              <w:bottom w:val="single" w:sz="4" w:space="0" w:color="auto"/>
            </w:tcBorders>
          </w:tcPr>
          <w:p w14:paraId="27800926" w14:textId="77777777" w:rsidR="006C6775" w:rsidRDefault="006C6775" w:rsidP="00C6168E">
            <w:pPr>
              <w:pStyle w:val="Tabletext1"/>
              <w:jc w:val="center"/>
            </w:pPr>
          </w:p>
        </w:tc>
        <w:tc>
          <w:tcPr>
            <w:tcW w:w="423" w:type="pct"/>
            <w:tcBorders>
              <w:bottom w:val="single" w:sz="4" w:space="0" w:color="auto"/>
            </w:tcBorders>
          </w:tcPr>
          <w:p w14:paraId="75EBC999" w14:textId="77777777" w:rsidR="006C6775" w:rsidRDefault="006C6775" w:rsidP="00C6168E">
            <w:pPr>
              <w:pStyle w:val="Tabletext1"/>
              <w:jc w:val="center"/>
            </w:pPr>
          </w:p>
        </w:tc>
        <w:tc>
          <w:tcPr>
            <w:tcW w:w="420" w:type="pct"/>
            <w:tcBorders>
              <w:bottom w:val="single" w:sz="4" w:space="0" w:color="auto"/>
            </w:tcBorders>
          </w:tcPr>
          <w:p w14:paraId="71A1E7C4" w14:textId="77777777" w:rsidR="006C6775" w:rsidRDefault="006C6775" w:rsidP="00C6168E">
            <w:pPr>
              <w:pStyle w:val="Tabletext1"/>
              <w:jc w:val="center"/>
            </w:pPr>
          </w:p>
        </w:tc>
        <w:tc>
          <w:tcPr>
            <w:tcW w:w="417" w:type="pct"/>
            <w:tcBorders>
              <w:bottom w:val="single" w:sz="4" w:space="0" w:color="auto"/>
            </w:tcBorders>
          </w:tcPr>
          <w:p w14:paraId="6B454DB3" w14:textId="77777777" w:rsidR="006C6775" w:rsidRDefault="006C6775" w:rsidP="00C6168E">
            <w:pPr>
              <w:pStyle w:val="Tabletext1"/>
            </w:pPr>
          </w:p>
        </w:tc>
      </w:tr>
      <w:tr w:rsidR="006C6775" w:rsidRPr="00B2301A" w14:paraId="6D9744AA" w14:textId="77777777" w:rsidTr="00096131">
        <w:trPr>
          <w:cantSplit/>
        </w:trPr>
        <w:tc>
          <w:tcPr>
            <w:tcW w:w="662" w:type="pct"/>
            <w:tcBorders>
              <w:top w:val="nil"/>
              <w:left w:val="single" w:sz="4" w:space="0" w:color="auto"/>
              <w:bottom w:val="nil"/>
              <w:right w:val="single" w:sz="4" w:space="0" w:color="auto"/>
            </w:tcBorders>
            <w:shd w:val="clear" w:color="auto" w:fill="auto"/>
            <w:vAlign w:val="bottom"/>
          </w:tcPr>
          <w:p w14:paraId="44ECFD51" w14:textId="77777777" w:rsidR="006C6775" w:rsidRDefault="006C6775" w:rsidP="00C6168E">
            <w:pPr>
              <w:pStyle w:val="Tabletext1"/>
              <w:rPr>
                <w:snapToGrid w:val="0"/>
                <w:lang w:eastAsia="en-US"/>
              </w:rPr>
            </w:pPr>
          </w:p>
        </w:tc>
        <w:tc>
          <w:tcPr>
            <w:tcW w:w="965" w:type="pct"/>
            <w:tcBorders>
              <w:left w:val="single" w:sz="4" w:space="0" w:color="auto"/>
            </w:tcBorders>
          </w:tcPr>
          <w:p w14:paraId="52BEE9C9" w14:textId="0CA03925" w:rsidR="006C6775" w:rsidRDefault="006C6775" w:rsidP="00C6168E">
            <w:pPr>
              <w:pStyle w:val="Tabletext1"/>
              <w:jc w:val="center"/>
            </w:pPr>
            <w:r w:rsidRPr="00BD6F3B">
              <w:t>Dermatitis</w:t>
            </w:r>
          </w:p>
        </w:tc>
        <w:tc>
          <w:tcPr>
            <w:tcW w:w="421" w:type="pct"/>
            <w:tcBorders>
              <w:bottom w:val="single" w:sz="4" w:space="0" w:color="auto"/>
            </w:tcBorders>
            <w:shd w:val="clear" w:color="auto" w:fill="auto"/>
          </w:tcPr>
          <w:p w14:paraId="011BAA4D" w14:textId="77777777" w:rsidR="006C6775" w:rsidRDefault="006C6775" w:rsidP="00C6168E">
            <w:pPr>
              <w:pStyle w:val="Tabletext1"/>
              <w:jc w:val="center"/>
              <w:rPr>
                <w:snapToGrid w:val="0"/>
              </w:rPr>
            </w:pPr>
          </w:p>
        </w:tc>
        <w:tc>
          <w:tcPr>
            <w:tcW w:w="423" w:type="pct"/>
            <w:tcBorders>
              <w:bottom w:val="single" w:sz="4" w:space="0" w:color="auto"/>
            </w:tcBorders>
          </w:tcPr>
          <w:p w14:paraId="1D60FD21" w14:textId="3102EAB8" w:rsidR="006C6775" w:rsidRDefault="006C6775" w:rsidP="00C6168E">
            <w:pPr>
              <w:pStyle w:val="Tabletext1"/>
              <w:jc w:val="center"/>
            </w:pPr>
            <w:r w:rsidRPr="00BD6F3B">
              <w:t>8/32</w:t>
            </w:r>
            <w:r w:rsidR="00430ECF">
              <w:t xml:space="preserve"> (25%)</w:t>
            </w:r>
          </w:p>
        </w:tc>
        <w:tc>
          <w:tcPr>
            <w:tcW w:w="423" w:type="pct"/>
            <w:tcBorders>
              <w:bottom w:val="single" w:sz="4" w:space="0" w:color="auto"/>
            </w:tcBorders>
          </w:tcPr>
          <w:p w14:paraId="2CDB9476" w14:textId="07A16E78" w:rsidR="006C6775" w:rsidRDefault="006C6775" w:rsidP="00C6168E">
            <w:pPr>
              <w:pStyle w:val="Tabletext1"/>
              <w:jc w:val="center"/>
            </w:pPr>
            <w:r w:rsidRPr="00BD6F3B">
              <w:t>1/32</w:t>
            </w:r>
            <w:r>
              <w:t xml:space="preserve"> (3%)</w:t>
            </w:r>
          </w:p>
        </w:tc>
        <w:tc>
          <w:tcPr>
            <w:tcW w:w="423" w:type="pct"/>
            <w:tcBorders>
              <w:bottom w:val="single" w:sz="4" w:space="0" w:color="auto"/>
            </w:tcBorders>
          </w:tcPr>
          <w:p w14:paraId="7EDB3E0E" w14:textId="19742B57" w:rsidR="006C6775" w:rsidRDefault="006C6775" w:rsidP="00C6168E">
            <w:pPr>
              <w:pStyle w:val="Tabletext1"/>
              <w:jc w:val="center"/>
            </w:pPr>
            <w:r w:rsidRPr="00BD6F3B">
              <w:t>0/32</w:t>
            </w:r>
            <w:r>
              <w:t xml:space="preserve"> (0%)</w:t>
            </w:r>
          </w:p>
        </w:tc>
        <w:tc>
          <w:tcPr>
            <w:tcW w:w="423" w:type="pct"/>
            <w:tcBorders>
              <w:bottom w:val="single" w:sz="4" w:space="0" w:color="auto"/>
            </w:tcBorders>
          </w:tcPr>
          <w:p w14:paraId="3BE896B6" w14:textId="77777777" w:rsidR="006C6775" w:rsidRDefault="006C6775" w:rsidP="00C6168E">
            <w:pPr>
              <w:pStyle w:val="Tabletext1"/>
              <w:jc w:val="center"/>
            </w:pPr>
          </w:p>
        </w:tc>
        <w:tc>
          <w:tcPr>
            <w:tcW w:w="423" w:type="pct"/>
            <w:tcBorders>
              <w:bottom w:val="single" w:sz="4" w:space="0" w:color="auto"/>
            </w:tcBorders>
          </w:tcPr>
          <w:p w14:paraId="64EA8A79" w14:textId="77777777" w:rsidR="006C6775" w:rsidRDefault="006C6775" w:rsidP="00C6168E">
            <w:pPr>
              <w:pStyle w:val="Tabletext1"/>
              <w:jc w:val="center"/>
            </w:pPr>
          </w:p>
        </w:tc>
        <w:tc>
          <w:tcPr>
            <w:tcW w:w="420" w:type="pct"/>
            <w:tcBorders>
              <w:bottom w:val="single" w:sz="4" w:space="0" w:color="auto"/>
            </w:tcBorders>
          </w:tcPr>
          <w:p w14:paraId="14CF334E" w14:textId="77777777" w:rsidR="006C6775" w:rsidRDefault="006C6775" w:rsidP="00C6168E">
            <w:pPr>
              <w:pStyle w:val="Tabletext1"/>
              <w:jc w:val="center"/>
            </w:pPr>
          </w:p>
        </w:tc>
        <w:tc>
          <w:tcPr>
            <w:tcW w:w="417" w:type="pct"/>
            <w:tcBorders>
              <w:bottom w:val="single" w:sz="4" w:space="0" w:color="auto"/>
            </w:tcBorders>
          </w:tcPr>
          <w:p w14:paraId="6BEFE7AA" w14:textId="77777777" w:rsidR="006C6775" w:rsidRDefault="006C6775" w:rsidP="00C6168E">
            <w:pPr>
              <w:pStyle w:val="Tabletext1"/>
            </w:pPr>
          </w:p>
        </w:tc>
      </w:tr>
      <w:tr w:rsidR="006C6775" w:rsidRPr="00B2301A" w14:paraId="090D4FB3" w14:textId="77777777" w:rsidTr="00096131">
        <w:trPr>
          <w:cantSplit/>
        </w:trPr>
        <w:tc>
          <w:tcPr>
            <w:tcW w:w="662" w:type="pct"/>
            <w:tcBorders>
              <w:top w:val="nil"/>
              <w:left w:val="single" w:sz="4" w:space="0" w:color="auto"/>
              <w:bottom w:val="single" w:sz="4" w:space="0" w:color="auto"/>
              <w:right w:val="single" w:sz="4" w:space="0" w:color="auto"/>
            </w:tcBorders>
            <w:shd w:val="clear" w:color="auto" w:fill="auto"/>
            <w:vAlign w:val="bottom"/>
          </w:tcPr>
          <w:p w14:paraId="606210D6" w14:textId="77777777" w:rsidR="006C6775" w:rsidRDefault="006C6775" w:rsidP="00C6168E">
            <w:pPr>
              <w:pStyle w:val="Tabletext1"/>
              <w:rPr>
                <w:snapToGrid w:val="0"/>
                <w:lang w:eastAsia="en-US"/>
              </w:rPr>
            </w:pPr>
          </w:p>
        </w:tc>
        <w:tc>
          <w:tcPr>
            <w:tcW w:w="965" w:type="pct"/>
            <w:tcBorders>
              <w:left w:val="single" w:sz="4" w:space="0" w:color="auto"/>
            </w:tcBorders>
          </w:tcPr>
          <w:p w14:paraId="2D2CC613" w14:textId="111049F5" w:rsidR="006C6775" w:rsidRDefault="006C6775" w:rsidP="00C6168E">
            <w:pPr>
              <w:pStyle w:val="Tabletext1"/>
              <w:jc w:val="center"/>
            </w:pPr>
            <w:r w:rsidRPr="00BD6F3B">
              <w:t>Fatigue</w:t>
            </w:r>
          </w:p>
        </w:tc>
        <w:tc>
          <w:tcPr>
            <w:tcW w:w="421" w:type="pct"/>
            <w:tcBorders>
              <w:bottom w:val="single" w:sz="4" w:space="0" w:color="auto"/>
            </w:tcBorders>
            <w:shd w:val="clear" w:color="auto" w:fill="auto"/>
          </w:tcPr>
          <w:p w14:paraId="29B782B2" w14:textId="77777777" w:rsidR="006C6775" w:rsidRDefault="006C6775" w:rsidP="00C6168E">
            <w:pPr>
              <w:pStyle w:val="Tabletext1"/>
              <w:jc w:val="center"/>
              <w:rPr>
                <w:snapToGrid w:val="0"/>
              </w:rPr>
            </w:pPr>
          </w:p>
        </w:tc>
        <w:tc>
          <w:tcPr>
            <w:tcW w:w="423" w:type="pct"/>
            <w:tcBorders>
              <w:bottom w:val="single" w:sz="4" w:space="0" w:color="auto"/>
            </w:tcBorders>
          </w:tcPr>
          <w:p w14:paraId="001DBE8F" w14:textId="437A5A50" w:rsidR="006C6775" w:rsidRDefault="006C6775" w:rsidP="00C6168E">
            <w:pPr>
              <w:pStyle w:val="Tabletext1"/>
              <w:jc w:val="center"/>
            </w:pPr>
            <w:r w:rsidRPr="00BD6F3B">
              <w:t>3/32</w:t>
            </w:r>
            <w:r>
              <w:t xml:space="preserve"> (9%)</w:t>
            </w:r>
          </w:p>
        </w:tc>
        <w:tc>
          <w:tcPr>
            <w:tcW w:w="423" w:type="pct"/>
            <w:tcBorders>
              <w:bottom w:val="single" w:sz="4" w:space="0" w:color="auto"/>
            </w:tcBorders>
          </w:tcPr>
          <w:p w14:paraId="102429E7" w14:textId="289BFE41" w:rsidR="006C6775" w:rsidRDefault="006C6775" w:rsidP="00C6168E">
            <w:pPr>
              <w:pStyle w:val="Tabletext1"/>
              <w:jc w:val="center"/>
            </w:pPr>
            <w:r w:rsidRPr="00BD6F3B">
              <w:t>0/32</w:t>
            </w:r>
            <w:r>
              <w:t xml:space="preserve"> (0%)</w:t>
            </w:r>
          </w:p>
        </w:tc>
        <w:tc>
          <w:tcPr>
            <w:tcW w:w="423" w:type="pct"/>
            <w:tcBorders>
              <w:bottom w:val="single" w:sz="4" w:space="0" w:color="auto"/>
            </w:tcBorders>
          </w:tcPr>
          <w:p w14:paraId="56682E01" w14:textId="56511B47" w:rsidR="006C6775" w:rsidRDefault="006C6775" w:rsidP="00C6168E">
            <w:pPr>
              <w:pStyle w:val="Tabletext1"/>
              <w:jc w:val="center"/>
            </w:pPr>
            <w:r w:rsidRPr="00BD6F3B">
              <w:t>0/32</w:t>
            </w:r>
            <w:r>
              <w:t xml:space="preserve"> (0%)</w:t>
            </w:r>
          </w:p>
        </w:tc>
        <w:tc>
          <w:tcPr>
            <w:tcW w:w="423" w:type="pct"/>
            <w:tcBorders>
              <w:bottom w:val="single" w:sz="4" w:space="0" w:color="auto"/>
            </w:tcBorders>
          </w:tcPr>
          <w:p w14:paraId="75B9AF36" w14:textId="77777777" w:rsidR="006C6775" w:rsidRDefault="006C6775" w:rsidP="00C6168E">
            <w:pPr>
              <w:pStyle w:val="Tabletext1"/>
              <w:jc w:val="center"/>
            </w:pPr>
          </w:p>
        </w:tc>
        <w:tc>
          <w:tcPr>
            <w:tcW w:w="423" w:type="pct"/>
            <w:tcBorders>
              <w:bottom w:val="single" w:sz="4" w:space="0" w:color="auto"/>
            </w:tcBorders>
          </w:tcPr>
          <w:p w14:paraId="6F83AEA3" w14:textId="77777777" w:rsidR="006C6775" w:rsidRDefault="006C6775" w:rsidP="00C6168E">
            <w:pPr>
              <w:pStyle w:val="Tabletext1"/>
              <w:jc w:val="center"/>
            </w:pPr>
          </w:p>
        </w:tc>
        <w:tc>
          <w:tcPr>
            <w:tcW w:w="420" w:type="pct"/>
            <w:tcBorders>
              <w:bottom w:val="single" w:sz="4" w:space="0" w:color="auto"/>
            </w:tcBorders>
          </w:tcPr>
          <w:p w14:paraId="29CFA584" w14:textId="77777777" w:rsidR="006C6775" w:rsidRDefault="006C6775" w:rsidP="00C6168E">
            <w:pPr>
              <w:pStyle w:val="Tabletext1"/>
              <w:jc w:val="center"/>
            </w:pPr>
          </w:p>
        </w:tc>
        <w:tc>
          <w:tcPr>
            <w:tcW w:w="417" w:type="pct"/>
            <w:tcBorders>
              <w:bottom w:val="single" w:sz="4" w:space="0" w:color="auto"/>
            </w:tcBorders>
          </w:tcPr>
          <w:p w14:paraId="1E0D8E00" w14:textId="77777777" w:rsidR="006C6775" w:rsidRDefault="006C6775" w:rsidP="00C6168E">
            <w:pPr>
              <w:pStyle w:val="Tabletext1"/>
            </w:pPr>
          </w:p>
        </w:tc>
      </w:tr>
      <w:tr w:rsidR="006C6775" w:rsidRPr="00B2301A" w14:paraId="75105870" w14:textId="5199F3BA" w:rsidTr="00096131">
        <w:trPr>
          <w:cantSplit/>
        </w:trPr>
        <w:tc>
          <w:tcPr>
            <w:tcW w:w="662" w:type="pct"/>
            <w:tcBorders>
              <w:top w:val="single" w:sz="4" w:space="0" w:color="auto"/>
              <w:bottom w:val="single" w:sz="4" w:space="0" w:color="auto"/>
            </w:tcBorders>
            <w:shd w:val="clear" w:color="auto" w:fill="auto"/>
          </w:tcPr>
          <w:p w14:paraId="281E797A" w14:textId="1C10ACF1" w:rsidR="006C6775" w:rsidRPr="00B2301A" w:rsidRDefault="00211285" w:rsidP="00C6168E">
            <w:pPr>
              <w:pStyle w:val="Tabletext1"/>
              <w:rPr>
                <w:snapToGrid w:val="0"/>
                <w:lang w:eastAsia="en-US"/>
              </w:rPr>
            </w:pPr>
            <w:hyperlink w:anchor="_ENREF_33" w:tooltip="Guckenberger, 2010 #46" w:history="1">
              <w:r w:rsidR="001F781A">
                <w:rPr>
                  <w:snapToGrid w:val="0"/>
                  <w:lang w:eastAsia="en-US"/>
                </w:rPr>
                <w:fldChar w:fldCharType="begin"/>
              </w:r>
              <w:r w:rsidR="001F781A">
                <w:rPr>
                  <w:snapToGrid w:val="0"/>
                  <w:lang w:eastAsia="en-US"/>
                </w:rPr>
                <w:instrText xml:space="preserve"> ADDIN EN.CITE &lt;EndNote&gt;&lt;Cite AuthorYear="1"&gt;&lt;Author&gt;Guckenberger&lt;/Author&gt;&lt;Year&gt;2010&lt;/Year&gt;&lt;RecNum&gt;46&lt;/RecNum&gt;&lt;DisplayText&gt;Guckenberger, Baier, et al. (2010)&lt;/DisplayText&gt;&lt;record&gt;&lt;rec-number&gt;46&lt;/rec-number&gt;&lt;foreign-keys&gt;&lt;key app="EN" db-id="sx5wsdwv795wvue959xxw0ptaewvdezxxp05" timestamp="1604876376"&gt;46&lt;/key&gt;&lt;/foreign-keys&gt;&lt;ref-type name="Journal Article"&gt;17&lt;/ref-type&gt;&lt;contributors&gt;&lt;authors&gt;&lt;author&gt;Guckenberger, M.&lt;/author&gt;&lt;author&gt;Baier, K.&lt;/author&gt;&lt;author&gt;Polat, B.&lt;/author&gt;&lt;author&gt;Richter, A.&lt;/author&gt;&lt;author&gt;Krieger, T.&lt;/author&gt;&lt;author&gt;Wilbert, J.&lt;/author&gt;&lt;author&gt;Mueller, G.&lt;/author&gt;&lt;author&gt;Flentje, M.&lt;/author&gt;&lt;/authors&gt;&lt;/contributors&gt;&lt;titles&gt;&lt;title&gt;Dose-response relationship for radiation-induced pneumonitis after pulmonary stereotactic body radiotherapy&lt;/title&gt;&lt;secondary-title&gt;Radiother Oncol&lt;/secondary-title&gt;&lt;/titles&gt;&lt;pages&gt;65-70&lt;/pages&gt;&lt;volume&gt;97&lt;/volume&gt;&lt;number&gt;1&lt;/number&gt;&lt;dates&gt;&lt;year&gt;2010&lt;/year&gt;&lt;/dates&gt;&lt;accession-num&gt;20605245&lt;/accession-num&gt;&lt;urls&gt;&lt;related-urls&gt;&lt;url&gt;http://ezproxy.library.usyd.edu.au/login?url=http://ovidsp.ovid.com/ovidweb.cgi?T=JS&amp;amp;CSC=Y&amp;amp;NEWS=N&amp;amp;PAGE=fulltext&amp;amp;D=med8&amp;amp;AN=20605245https://sydney.alma.exlibrisgroup.com/openurl/61USYD_INST/61USYD_INST:sydney?sid=OVID:medline&amp;amp;id=pmid:20605245&amp;amp;id=doi:10.1016&lt;/url&gt;&lt;/related-urls&gt;&lt;/urls&gt;&lt;electronic-resource-num&gt;https://dx.doi.org/10.1016/j.radonc.2010.04.027&lt;/electronic-resource-num&gt;&lt;/record&gt;&lt;/Cite&gt;&lt;/EndNote&gt;</w:instrText>
              </w:r>
              <w:r w:rsidR="001F781A">
                <w:rPr>
                  <w:snapToGrid w:val="0"/>
                  <w:lang w:eastAsia="en-US"/>
                </w:rPr>
                <w:fldChar w:fldCharType="separate"/>
              </w:r>
              <w:r w:rsidR="001F781A">
                <w:rPr>
                  <w:noProof/>
                  <w:snapToGrid w:val="0"/>
                  <w:lang w:eastAsia="en-US"/>
                </w:rPr>
                <w:t>Guckenberger, Baier, et al. (2010)</w:t>
              </w:r>
              <w:r w:rsidR="001F781A">
                <w:rPr>
                  <w:snapToGrid w:val="0"/>
                  <w:lang w:eastAsia="en-US"/>
                </w:rPr>
                <w:fldChar w:fldCharType="end"/>
              </w:r>
            </w:hyperlink>
          </w:p>
        </w:tc>
        <w:tc>
          <w:tcPr>
            <w:tcW w:w="965" w:type="pct"/>
          </w:tcPr>
          <w:p w14:paraId="3426F811" w14:textId="693A98DA" w:rsidR="006C6775" w:rsidRDefault="006C6775" w:rsidP="00C6168E">
            <w:pPr>
              <w:pStyle w:val="Tabletext1"/>
              <w:jc w:val="center"/>
              <w:rPr>
                <w:snapToGrid w:val="0"/>
              </w:rPr>
            </w:pPr>
            <w:r>
              <w:t>Radiation pneumonitis</w:t>
            </w:r>
          </w:p>
        </w:tc>
        <w:tc>
          <w:tcPr>
            <w:tcW w:w="421" w:type="pct"/>
            <w:tcBorders>
              <w:bottom w:val="single" w:sz="4" w:space="0" w:color="auto"/>
            </w:tcBorders>
            <w:shd w:val="clear" w:color="auto" w:fill="auto"/>
          </w:tcPr>
          <w:p w14:paraId="5607673C" w14:textId="298AD2FE" w:rsidR="006C6775" w:rsidRDefault="006C6775" w:rsidP="00C6168E">
            <w:pPr>
              <w:pStyle w:val="Tabletext1"/>
              <w:jc w:val="center"/>
              <w:rPr>
                <w:snapToGrid w:val="0"/>
              </w:rPr>
            </w:pPr>
          </w:p>
        </w:tc>
        <w:tc>
          <w:tcPr>
            <w:tcW w:w="423" w:type="pct"/>
            <w:tcBorders>
              <w:bottom w:val="single" w:sz="4" w:space="0" w:color="auto"/>
            </w:tcBorders>
          </w:tcPr>
          <w:p w14:paraId="2858AB55" w14:textId="77777777" w:rsidR="006C6775" w:rsidRDefault="006C6775" w:rsidP="00C6168E">
            <w:pPr>
              <w:pStyle w:val="Tabletext1"/>
              <w:jc w:val="center"/>
            </w:pPr>
          </w:p>
        </w:tc>
        <w:tc>
          <w:tcPr>
            <w:tcW w:w="423" w:type="pct"/>
            <w:tcBorders>
              <w:bottom w:val="single" w:sz="4" w:space="0" w:color="auto"/>
            </w:tcBorders>
          </w:tcPr>
          <w:p w14:paraId="01D557FC" w14:textId="5D4122A6" w:rsidR="006C6775" w:rsidRDefault="006C6775" w:rsidP="00C6168E">
            <w:pPr>
              <w:pStyle w:val="Tabletext1"/>
              <w:jc w:val="center"/>
            </w:pPr>
          </w:p>
        </w:tc>
        <w:tc>
          <w:tcPr>
            <w:tcW w:w="423" w:type="pct"/>
            <w:tcBorders>
              <w:bottom w:val="single" w:sz="4" w:space="0" w:color="auto"/>
            </w:tcBorders>
          </w:tcPr>
          <w:p w14:paraId="46288C31" w14:textId="77777777" w:rsidR="006C6775" w:rsidRDefault="006C6775" w:rsidP="00C6168E">
            <w:pPr>
              <w:pStyle w:val="Tabletext1"/>
              <w:jc w:val="center"/>
            </w:pPr>
          </w:p>
        </w:tc>
        <w:tc>
          <w:tcPr>
            <w:tcW w:w="423" w:type="pct"/>
            <w:tcBorders>
              <w:bottom w:val="single" w:sz="4" w:space="0" w:color="auto"/>
            </w:tcBorders>
          </w:tcPr>
          <w:p w14:paraId="7E72A40F" w14:textId="77777777" w:rsidR="006C6775" w:rsidRDefault="006C6775" w:rsidP="00C6168E">
            <w:pPr>
              <w:pStyle w:val="Tabletext1"/>
              <w:jc w:val="center"/>
            </w:pPr>
          </w:p>
        </w:tc>
        <w:tc>
          <w:tcPr>
            <w:tcW w:w="423" w:type="pct"/>
            <w:tcBorders>
              <w:bottom w:val="single" w:sz="4" w:space="0" w:color="auto"/>
            </w:tcBorders>
          </w:tcPr>
          <w:p w14:paraId="4F86F7FC" w14:textId="399E06AB" w:rsidR="006C6775" w:rsidRDefault="006C6775" w:rsidP="00C6168E">
            <w:pPr>
              <w:pStyle w:val="Tabletext1"/>
              <w:jc w:val="center"/>
            </w:pPr>
          </w:p>
        </w:tc>
        <w:tc>
          <w:tcPr>
            <w:tcW w:w="420" w:type="pct"/>
            <w:tcBorders>
              <w:bottom w:val="single" w:sz="4" w:space="0" w:color="auto"/>
            </w:tcBorders>
          </w:tcPr>
          <w:p w14:paraId="36729E59" w14:textId="607D2E6B" w:rsidR="006C6775" w:rsidRDefault="006C6775" w:rsidP="00C6168E">
            <w:pPr>
              <w:pStyle w:val="Tabletext1"/>
              <w:jc w:val="center"/>
            </w:pPr>
            <w:r>
              <w:t>11/59 (</w:t>
            </w:r>
            <w:r w:rsidR="006776B4">
              <w:t>19</w:t>
            </w:r>
            <w:r>
              <w:t>%)</w:t>
            </w:r>
          </w:p>
        </w:tc>
        <w:tc>
          <w:tcPr>
            <w:tcW w:w="417" w:type="pct"/>
            <w:tcBorders>
              <w:bottom w:val="single" w:sz="4" w:space="0" w:color="auto"/>
            </w:tcBorders>
          </w:tcPr>
          <w:p w14:paraId="1A27F4B7" w14:textId="77777777" w:rsidR="006C6775" w:rsidRDefault="006C6775" w:rsidP="00C6168E">
            <w:pPr>
              <w:pStyle w:val="Tabletext1"/>
            </w:pPr>
          </w:p>
        </w:tc>
      </w:tr>
      <w:tr w:rsidR="006C6775" w:rsidRPr="00B2301A" w14:paraId="53861DC1" w14:textId="09E3C5FC" w:rsidTr="00096131">
        <w:trPr>
          <w:cantSplit/>
        </w:trPr>
        <w:tc>
          <w:tcPr>
            <w:tcW w:w="662" w:type="pct"/>
            <w:tcBorders>
              <w:top w:val="single" w:sz="4" w:space="0" w:color="auto"/>
              <w:left w:val="single" w:sz="4" w:space="0" w:color="auto"/>
              <w:bottom w:val="nil"/>
              <w:right w:val="single" w:sz="4" w:space="0" w:color="auto"/>
            </w:tcBorders>
            <w:shd w:val="clear" w:color="auto" w:fill="auto"/>
          </w:tcPr>
          <w:p w14:paraId="21F56952" w14:textId="46C75E8F" w:rsidR="006C6775" w:rsidRPr="00974258" w:rsidRDefault="00211285" w:rsidP="00C6168E">
            <w:pPr>
              <w:pStyle w:val="Tabletext1"/>
            </w:pPr>
            <w:hyperlink w:anchor="_ENREF_45" w:tooltip="Kilburn, 2016 #56" w:history="1">
              <w:r w:rsidR="008B6FC0">
                <w:fldChar w:fldCharType="begin"/>
              </w:r>
              <w:r w:rsidR="008B6FC0">
                <w:instrText xml:space="preserve"> ADDIN EN.CITE &lt;EndNote&gt;&lt;Cite AuthorYear="1"&gt;&lt;Author&gt;Kilburn&lt;/Author&gt;&lt;Year&gt;2016&lt;/Year&gt;&lt;RecNum&gt;56&lt;/RecNum&gt;&lt;DisplayText&gt;Kilburn et al. (2016)&lt;/DisplayText&gt;&lt;record&gt;&lt;rec-number&gt;56&lt;/rec-number&gt;&lt;foreign-keys&gt;&lt;key app="EN" db-id="sx5wsdwv795wvue959xxw0ptaewvdezxxp05" timestamp="1604876396"&gt;56&lt;/key&gt;&lt;/foreign-keys&gt;&lt;ref-type name="Journal Article"&gt;17&lt;/ref-type&gt;&lt;contributors&gt;&lt;authors&gt;&lt;author&gt;Kilburn, J. M.&lt;/author&gt;&lt;author&gt;Soike, M. H.&lt;/author&gt;&lt;author&gt;Lucas, J. T.&lt;/author&gt;&lt;author&gt;Ayala-Peacock, D.&lt;/author&gt;&lt;author&gt;Blackstock, W.&lt;/author&gt;&lt;author&gt;Isom, S.&lt;/author&gt;&lt;author&gt;Kearns, W. T.&lt;/author&gt;&lt;author&gt;Hinson, W. H.&lt;/author&gt;&lt;author&gt;Miller, A. A.&lt;/author&gt;&lt;author&gt;Petty, W. J.&lt;/author&gt;&lt;author&gt;Munley, M. T.&lt;/author&gt;&lt;author&gt;Urbanic, J. J.&lt;/author&gt;&lt;/authors&gt;&lt;/contributors&gt;&lt;titles&gt;&lt;title&gt;Image guided radiation therapy may result in improved local control in locally advanced lung cancer patients&lt;/title&gt;&lt;secondary-title&gt;Pract Radiat Oncol&lt;/secondary-title&gt;&lt;/titles&gt;&lt;pages&gt;e73-e80&lt;/pages&gt;&lt;volume&gt;6&lt;/volume&gt;&lt;number&gt;3&lt;/number&gt;&lt;dates&gt;&lt;year&gt;2016&lt;/year&gt;&lt;/dates&gt;&lt;accession-num&gt;26725964&lt;/accession-num&gt;&lt;urls&gt;&lt;related-urls&gt;&lt;url&gt;http://ezproxy.library.usyd.edu.au/login?url=http://ovidsp.ovid.com/ovidweb.cgi?T=JS&amp;amp;CSC=Y&amp;amp;NEWS=N&amp;amp;PAGE=fulltext&amp;amp;D=med13&amp;amp;AN=26725964https://sydney.alma.exlibrisgroup.com/openurl/61USYD_INST/61USYD_INST:sydney?sid=OVID:medline&amp;amp;id=pmid:26725964&amp;amp;id=doi:10.101&lt;/url&gt;&lt;url&gt;https://www.ncbi.nlm.nih.gov/pmc/articles/PMC5555210/pdf/nihms767206.pdf&lt;/url&gt;&lt;/related-urls&gt;&lt;/urls&gt;&lt;custom2&gt;lung, LFFS, RFFS, LRFFS, PFS, and OS&lt;/custom2&gt;&lt;electronic-resource-num&gt;https://dx.doi.org/10.1016/j.prro.2015.10.004&lt;/electronic-resource-num&gt;&lt;/record&gt;&lt;/Cite&gt;&lt;/EndNote&gt;</w:instrText>
              </w:r>
              <w:r w:rsidR="008B6FC0">
                <w:fldChar w:fldCharType="separate"/>
              </w:r>
              <w:r w:rsidR="008B6FC0">
                <w:rPr>
                  <w:noProof/>
                </w:rPr>
                <w:t>Kilburn et al. (2016)</w:t>
              </w:r>
              <w:r w:rsidR="008B6FC0">
                <w:fldChar w:fldCharType="end"/>
              </w:r>
            </w:hyperlink>
          </w:p>
        </w:tc>
        <w:tc>
          <w:tcPr>
            <w:tcW w:w="965" w:type="pct"/>
            <w:tcBorders>
              <w:left w:val="single" w:sz="4" w:space="0" w:color="auto"/>
              <w:right w:val="single" w:sz="4" w:space="0" w:color="auto"/>
            </w:tcBorders>
          </w:tcPr>
          <w:p w14:paraId="5ED62D94" w14:textId="03B81D5D" w:rsidR="006C6775" w:rsidRPr="00974258" w:rsidRDefault="006C6775" w:rsidP="00C6168E">
            <w:pPr>
              <w:pStyle w:val="Tabletext1"/>
              <w:jc w:val="center"/>
            </w:pPr>
            <w:r w:rsidRPr="00974258">
              <w:t>Any toxicity</w:t>
            </w:r>
            <w:r>
              <w:t xml:space="preserve"> (acute or late)</w:t>
            </w: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599F68D8" w14:textId="238D5E17" w:rsidR="006C6775" w:rsidRPr="00974258" w:rsidRDefault="006C6775" w:rsidP="00C6168E">
            <w:pPr>
              <w:pStyle w:val="Tabletext1"/>
              <w:jc w:val="center"/>
            </w:pPr>
          </w:p>
        </w:tc>
        <w:tc>
          <w:tcPr>
            <w:tcW w:w="423" w:type="pct"/>
            <w:tcBorders>
              <w:top w:val="single" w:sz="4" w:space="0" w:color="auto"/>
              <w:left w:val="single" w:sz="4" w:space="0" w:color="auto"/>
              <w:bottom w:val="single" w:sz="4" w:space="0" w:color="auto"/>
              <w:right w:val="nil"/>
            </w:tcBorders>
          </w:tcPr>
          <w:p w14:paraId="73D25C59" w14:textId="015F68C2" w:rsidR="006C6775" w:rsidRPr="00974258" w:rsidRDefault="006C6775" w:rsidP="00C6168E">
            <w:pPr>
              <w:pStyle w:val="Tabletext1"/>
              <w:jc w:val="center"/>
            </w:pPr>
            <w:r w:rsidRPr="00974258">
              <w:t>57/62 (92%)</w:t>
            </w:r>
          </w:p>
        </w:tc>
        <w:tc>
          <w:tcPr>
            <w:tcW w:w="423" w:type="pct"/>
            <w:tcBorders>
              <w:top w:val="single" w:sz="4" w:space="0" w:color="auto"/>
              <w:left w:val="nil"/>
              <w:bottom w:val="single" w:sz="4" w:space="0" w:color="auto"/>
              <w:right w:val="nil"/>
            </w:tcBorders>
          </w:tcPr>
          <w:p w14:paraId="54E040D1" w14:textId="77777777" w:rsidR="006C6775" w:rsidRPr="00974258" w:rsidRDefault="006C6775" w:rsidP="00C6168E">
            <w:pPr>
              <w:pStyle w:val="Tabletext1"/>
              <w:jc w:val="center"/>
            </w:pPr>
          </w:p>
        </w:tc>
        <w:tc>
          <w:tcPr>
            <w:tcW w:w="423" w:type="pct"/>
            <w:tcBorders>
              <w:top w:val="single" w:sz="4" w:space="0" w:color="auto"/>
              <w:left w:val="nil"/>
              <w:bottom w:val="single" w:sz="4" w:space="0" w:color="auto"/>
              <w:right w:val="nil"/>
            </w:tcBorders>
          </w:tcPr>
          <w:p w14:paraId="683E31E8" w14:textId="77777777" w:rsidR="006C6775" w:rsidRPr="00974258" w:rsidRDefault="006C6775" w:rsidP="00C6168E">
            <w:pPr>
              <w:pStyle w:val="Tabletext1"/>
              <w:jc w:val="center"/>
            </w:pPr>
          </w:p>
        </w:tc>
        <w:tc>
          <w:tcPr>
            <w:tcW w:w="423" w:type="pct"/>
            <w:tcBorders>
              <w:top w:val="single" w:sz="4" w:space="0" w:color="auto"/>
              <w:left w:val="nil"/>
              <w:bottom w:val="single" w:sz="4" w:space="0" w:color="auto"/>
              <w:right w:val="nil"/>
            </w:tcBorders>
          </w:tcPr>
          <w:p w14:paraId="7C1788DB" w14:textId="77777777" w:rsidR="006C6775" w:rsidRPr="00974258" w:rsidRDefault="006C6775" w:rsidP="00C6168E">
            <w:pPr>
              <w:pStyle w:val="Tabletext1"/>
              <w:jc w:val="center"/>
            </w:pPr>
          </w:p>
        </w:tc>
        <w:tc>
          <w:tcPr>
            <w:tcW w:w="423" w:type="pct"/>
            <w:tcBorders>
              <w:top w:val="single" w:sz="4" w:space="0" w:color="auto"/>
              <w:left w:val="nil"/>
              <w:bottom w:val="single" w:sz="4" w:space="0" w:color="auto"/>
              <w:right w:val="nil"/>
            </w:tcBorders>
          </w:tcPr>
          <w:p w14:paraId="5CC81F0D" w14:textId="0F0CE0C4" w:rsidR="006C6775" w:rsidRPr="00974258" w:rsidRDefault="006C6775" w:rsidP="00C6168E">
            <w:pPr>
              <w:pStyle w:val="Tabletext1"/>
              <w:jc w:val="center"/>
            </w:pPr>
          </w:p>
        </w:tc>
        <w:tc>
          <w:tcPr>
            <w:tcW w:w="420" w:type="pct"/>
            <w:tcBorders>
              <w:top w:val="single" w:sz="4" w:space="0" w:color="auto"/>
              <w:left w:val="nil"/>
              <w:bottom w:val="single" w:sz="4" w:space="0" w:color="auto"/>
              <w:right w:val="nil"/>
            </w:tcBorders>
          </w:tcPr>
          <w:p w14:paraId="136CD4EC" w14:textId="77777777" w:rsidR="006C6775" w:rsidRPr="00974258" w:rsidRDefault="006C6775" w:rsidP="00C6168E">
            <w:pPr>
              <w:pStyle w:val="Tabletext1"/>
              <w:jc w:val="center"/>
            </w:pPr>
          </w:p>
        </w:tc>
        <w:tc>
          <w:tcPr>
            <w:tcW w:w="417" w:type="pct"/>
            <w:tcBorders>
              <w:top w:val="single" w:sz="4" w:space="0" w:color="auto"/>
              <w:left w:val="nil"/>
              <w:bottom w:val="single" w:sz="4" w:space="0" w:color="auto"/>
              <w:right w:val="single" w:sz="4" w:space="0" w:color="auto"/>
            </w:tcBorders>
          </w:tcPr>
          <w:p w14:paraId="022EFC30" w14:textId="77777777" w:rsidR="006C6775" w:rsidRPr="00974258" w:rsidRDefault="006C6775" w:rsidP="00C6168E">
            <w:pPr>
              <w:pStyle w:val="Tabletext1"/>
            </w:pPr>
          </w:p>
        </w:tc>
      </w:tr>
      <w:tr w:rsidR="006C6775" w:rsidRPr="00B2301A" w14:paraId="010349B9" w14:textId="5F8D7449" w:rsidTr="00096131">
        <w:trPr>
          <w:cantSplit/>
        </w:trPr>
        <w:tc>
          <w:tcPr>
            <w:tcW w:w="662" w:type="pct"/>
            <w:tcBorders>
              <w:top w:val="nil"/>
              <w:left w:val="single" w:sz="4" w:space="0" w:color="auto"/>
              <w:bottom w:val="nil"/>
              <w:right w:val="single" w:sz="4" w:space="0" w:color="auto"/>
            </w:tcBorders>
            <w:shd w:val="clear" w:color="auto" w:fill="auto"/>
          </w:tcPr>
          <w:p w14:paraId="0A74423C" w14:textId="77777777" w:rsidR="006C6775" w:rsidRPr="00974258" w:rsidRDefault="006C6775" w:rsidP="00C6168E">
            <w:pPr>
              <w:pStyle w:val="Tabletext1"/>
            </w:pPr>
          </w:p>
        </w:tc>
        <w:tc>
          <w:tcPr>
            <w:tcW w:w="965" w:type="pct"/>
            <w:tcBorders>
              <w:left w:val="single" w:sz="4" w:space="0" w:color="auto"/>
              <w:right w:val="single" w:sz="4" w:space="0" w:color="auto"/>
            </w:tcBorders>
          </w:tcPr>
          <w:p w14:paraId="291DBDDB" w14:textId="494B2E22" w:rsidR="006C6775" w:rsidRPr="00974258" w:rsidRDefault="006C6775" w:rsidP="00C6168E">
            <w:pPr>
              <w:pStyle w:val="Tabletext1"/>
              <w:jc w:val="center"/>
            </w:pPr>
            <w:r w:rsidRPr="00974258">
              <w:t>Any toxicity</w:t>
            </w: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75094E07" w14:textId="1917B018" w:rsidR="006C6775" w:rsidRPr="00974258" w:rsidRDefault="006C6775" w:rsidP="00C6168E">
            <w:pPr>
              <w:pStyle w:val="Tabletext1"/>
              <w:jc w:val="center"/>
            </w:pPr>
          </w:p>
        </w:tc>
        <w:tc>
          <w:tcPr>
            <w:tcW w:w="423" w:type="pct"/>
            <w:tcBorders>
              <w:top w:val="single" w:sz="4" w:space="0" w:color="auto"/>
              <w:left w:val="single" w:sz="4" w:space="0" w:color="auto"/>
              <w:bottom w:val="single" w:sz="4" w:space="0" w:color="auto"/>
              <w:right w:val="nil"/>
            </w:tcBorders>
          </w:tcPr>
          <w:p w14:paraId="3BE6720A" w14:textId="3CCB3ED1" w:rsidR="006C6775" w:rsidRPr="00974258" w:rsidRDefault="006C6775" w:rsidP="00C6168E">
            <w:pPr>
              <w:pStyle w:val="Tabletext1"/>
              <w:jc w:val="center"/>
            </w:pPr>
            <w:r w:rsidRPr="00974258">
              <w:t>56/62 (91%)</w:t>
            </w:r>
          </w:p>
        </w:tc>
        <w:tc>
          <w:tcPr>
            <w:tcW w:w="423" w:type="pct"/>
            <w:tcBorders>
              <w:top w:val="single" w:sz="4" w:space="0" w:color="auto"/>
              <w:left w:val="nil"/>
              <w:bottom w:val="single" w:sz="4" w:space="0" w:color="auto"/>
              <w:right w:val="nil"/>
            </w:tcBorders>
          </w:tcPr>
          <w:p w14:paraId="001D1F83" w14:textId="77777777" w:rsidR="006C6775" w:rsidRPr="00974258" w:rsidRDefault="006C6775" w:rsidP="00C6168E">
            <w:pPr>
              <w:pStyle w:val="Tabletext1"/>
              <w:jc w:val="center"/>
            </w:pPr>
          </w:p>
        </w:tc>
        <w:tc>
          <w:tcPr>
            <w:tcW w:w="423" w:type="pct"/>
            <w:tcBorders>
              <w:top w:val="single" w:sz="4" w:space="0" w:color="auto"/>
              <w:left w:val="nil"/>
              <w:bottom w:val="single" w:sz="4" w:space="0" w:color="auto"/>
              <w:right w:val="single" w:sz="4" w:space="0" w:color="auto"/>
            </w:tcBorders>
          </w:tcPr>
          <w:p w14:paraId="60A500FB" w14:textId="77777777" w:rsidR="006C6775" w:rsidRPr="00974258" w:rsidRDefault="006C6775" w:rsidP="00C6168E">
            <w:pPr>
              <w:pStyle w:val="Tabletext1"/>
              <w:jc w:val="center"/>
            </w:pPr>
          </w:p>
        </w:tc>
        <w:tc>
          <w:tcPr>
            <w:tcW w:w="423" w:type="pct"/>
            <w:tcBorders>
              <w:top w:val="single" w:sz="4" w:space="0" w:color="auto"/>
              <w:left w:val="single" w:sz="4" w:space="0" w:color="auto"/>
              <w:bottom w:val="single" w:sz="4" w:space="0" w:color="auto"/>
              <w:right w:val="single" w:sz="4" w:space="0" w:color="auto"/>
            </w:tcBorders>
          </w:tcPr>
          <w:p w14:paraId="0B247D48" w14:textId="0EE8802A" w:rsidR="006C6775" w:rsidRPr="00974258" w:rsidRDefault="006C6775" w:rsidP="00C6168E">
            <w:pPr>
              <w:pStyle w:val="Tabletext1"/>
              <w:jc w:val="center"/>
            </w:pPr>
          </w:p>
        </w:tc>
        <w:tc>
          <w:tcPr>
            <w:tcW w:w="423" w:type="pct"/>
            <w:tcBorders>
              <w:top w:val="single" w:sz="4" w:space="0" w:color="auto"/>
              <w:left w:val="single" w:sz="4" w:space="0" w:color="auto"/>
              <w:bottom w:val="single" w:sz="4" w:space="0" w:color="auto"/>
              <w:right w:val="nil"/>
            </w:tcBorders>
          </w:tcPr>
          <w:p w14:paraId="5F06A85B" w14:textId="08898B7A" w:rsidR="006C6775" w:rsidRPr="00974258" w:rsidRDefault="006C6775" w:rsidP="00C6168E">
            <w:pPr>
              <w:pStyle w:val="Tabletext1"/>
              <w:jc w:val="center"/>
            </w:pPr>
            <w:r w:rsidRPr="00974258">
              <w:t>21/62 (35%)</w:t>
            </w:r>
          </w:p>
        </w:tc>
        <w:tc>
          <w:tcPr>
            <w:tcW w:w="420" w:type="pct"/>
            <w:tcBorders>
              <w:top w:val="single" w:sz="4" w:space="0" w:color="auto"/>
              <w:left w:val="nil"/>
              <w:bottom w:val="single" w:sz="4" w:space="0" w:color="auto"/>
              <w:right w:val="nil"/>
            </w:tcBorders>
          </w:tcPr>
          <w:p w14:paraId="6665E37D" w14:textId="77777777" w:rsidR="006C6775" w:rsidRPr="00974258" w:rsidRDefault="006C6775" w:rsidP="00C6168E">
            <w:pPr>
              <w:pStyle w:val="Tabletext1"/>
              <w:jc w:val="center"/>
            </w:pPr>
          </w:p>
        </w:tc>
        <w:tc>
          <w:tcPr>
            <w:tcW w:w="417" w:type="pct"/>
            <w:tcBorders>
              <w:top w:val="single" w:sz="4" w:space="0" w:color="auto"/>
              <w:left w:val="nil"/>
              <w:bottom w:val="single" w:sz="4" w:space="0" w:color="auto"/>
              <w:right w:val="single" w:sz="4" w:space="0" w:color="auto"/>
            </w:tcBorders>
          </w:tcPr>
          <w:p w14:paraId="50B2ECDD" w14:textId="77777777" w:rsidR="006C6775" w:rsidRPr="00974258" w:rsidRDefault="006C6775" w:rsidP="00C6168E">
            <w:pPr>
              <w:pStyle w:val="Tabletext1"/>
            </w:pPr>
          </w:p>
        </w:tc>
      </w:tr>
      <w:tr w:rsidR="006C6775" w:rsidRPr="00B2301A" w14:paraId="7A92EABC" w14:textId="7B35AAAE" w:rsidTr="00096131">
        <w:trPr>
          <w:cantSplit/>
        </w:trPr>
        <w:tc>
          <w:tcPr>
            <w:tcW w:w="662" w:type="pct"/>
            <w:tcBorders>
              <w:top w:val="nil"/>
              <w:left w:val="single" w:sz="4" w:space="0" w:color="auto"/>
              <w:bottom w:val="single" w:sz="4" w:space="0" w:color="auto"/>
              <w:right w:val="single" w:sz="4" w:space="0" w:color="auto"/>
            </w:tcBorders>
            <w:shd w:val="clear" w:color="auto" w:fill="auto"/>
          </w:tcPr>
          <w:p w14:paraId="4F60C4AC" w14:textId="77777777" w:rsidR="006C6775" w:rsidRPr="00974258" w:rsidRDefault="006C6775" w:rsidP="00C6168E">
            <w:pPr>
              <w:pStyle w:val="Tabletext1"/>
            </w:pPr>
          </w:p>
        </w:tc>
        <w:tc>
          <w:tcPr>
            <w:tcW w:w="965" w:type="pct"/>
            <w:tcBorders>
              <w:left w:val="single" w:sz="4" w:space="0" w:color="auto"/>
            </w:tcBorders>
          </w:tcPr>
          <w:p w14:paraId="4E65E39C" w14:textId="231A8424" w:rsidR="006C6775" w:rsidRPr="00974258" w:rsidRDefault="006C6775" w:rsidP="00C6168E">
            <w:pPr>
              <w:pStyle w:val="Tabletext1"/>
              <w:jc w:val="center"/>
            </w:pPr>
            <w:r>
              <w:t>Toxicity</w:t>
            </w:r>
          </w:p>
        </w:tc>
        <w:tc>
          <w:tcPr>
            <w:tcW w:w="421" w:type="pct"/>
            <w:tcBorders>
              <w:top w:val="single" w:sz="4" w:space="0" w:color="auto"/>
            </w:tcBorders>
            <w:shd w:val="clear" w:color="auto" w:fill="auto"/>
          </w:tcPr>
          <w:p w14:paraId="35D9AB71" w14:textId="5FFCB321" w:rsidR="006C6775" w:rsidRPr="00974258" w:rsidRDefault="006C6775" w:rsidP="00C6168E">
            <w:pPr>
              <w:pStyle w:val="Tabletext1"/>
              <w:jc w:val="center"/>
            </w:pPr>
          </w:p>
        </w:tc>
        <w:tc>
          <w:tcPr>
            <w:tcW w:w="423" w:type="pct"/>
            <w:tcBorders>
              <w:top w:val="single" w:sz="4" w:space="0" w:color="auto"/>
            </w:tcBorders>
          </w:tcPr>
          <w:p w14:paraId="45E48A50" w14:textId="77777777" w:rsidR="006C6775" w:rsidRPr="00974258" w:rsidRDefault="006C6775" w:rsidP="00C6168E">
            <w:pPr>
              <w:pStyle w:val="Tabletext1"/>
              <w:jc w:val="center"/>
            </w:pPr>
          </w:p>
        </w:tc>
        <w:tc>
          <w:tcPr>
            <w:tcW w:w="423" w:type="pct"/>
            <w:tcBorders>
              <w:top w:val="single" w:sz="4" w:space="0" w:color="auto"/>
            </w:tcBorders>
          </w:tcPr>
          <w:p w14:paraId="7918A243" w14:textId="6DA4F521" w:rsidR="006C6775" w:rsidRPr="00974258" w:rsidRDefault="006C6775" w:rsidP="00C6168E">
            <w:pPr>
              <w:pStyle w:val="Tabletext1"/>
              <w:jc w:val="center"/>
            </w:pPr>
            <w:r w:rsidRPr="00974258">
              <w:t>48/62 (76%)</w:t>
            </w:r>
          </w:p>
        </w:tc>
        <w:tc>
          <w:tcPr>
            <w:tcW w:w="423" w:type="pct"/>
            <w:tcBorders>
              <w:top w:val="single" w:sz="4" w:space="0" w:color="auto"/>
            </w:tcBorders>
          </w:tcPr>
          <w:p w14:paraId="2FF84C0E" w14:textId="095B6C51" w:rsidR="006C6775" w:rsidRPr="00974258" w:rsidRDefault="006C6775" w:rsidP="00C6168E">
            <w:pPr>
              <w:pStyle w:val="Tabletext1"/>
              <w:jc w:val="center"/>
            </w:pPr>
            <w:r w:rsidRPr="00974258">
              <w:t>6/62 (10%)</w:t>
            </w:r>
          </w:p>
        </w:tc>
        <w:tc>
          <w:tcPr>
            <w:tcW w:w="423" w:type="pct"/>
            <w:tcBorders>
              <w:top w:val="single" w:sz="4" w:space="0" w:color="auto"/>
            </w:tcBorders>
          </w:tcPr>
          <w:p w14:paraId="61E2C9C1" w14:textId="77777777" w:rsidR="006C6775" w:rsidRPr="00974258" w:rsidRDefault="006C6775" w:rsidP="00C6168E">
            <w:pPr>
              <w:pStyle w:val="Tabletext1"/>
              <w:jc w:val="center"/>
            </w:pPr>
          </w:p>
        </w:tc>
        <w:tc>
          <w:tcPr>
            <w:tcW w:w="423" w:type="pct"/>
            <w:tcBorders>
              <w:top w:val="single" w:sz="4" w:space="0" w:color="auto"/>
            </w:tcBorders>
          </w:tcPr>
          <w:p w14:paraId="43E7D5A7" w14:textId="11E6E4C3" w:rsidR="006C6775" w:rsidRPr="00974258" w:rsidRDefault="006C6775" w:rsidP="00C6168E">
            <w:pPr>
              <w:pStyle w:val="Tabletext1"/>
              <w:jc w:val="center"/>
            </w:pPr>
          </w:p>
        </w:tc>
        <w:tc>
          <w:tcPr>
            <w:tcW w:w="420" w:type="pct"/>
            <w:tcBorders>
              <w:top w:val="single" w:sz="4" w:space="0" w:color="auto"/>
            </w:tcBorders>
          </w:tcPr>
          <w:p w14:paraId="25A4D27D" w14:textId="09410332" w:rsidR="006C6775" w:rsidRPr="00974258" w:rsidRDefault="006C6775" w:rsidP="00C6168E">
            <w:pPr>
              <w:pStyle w:val="Tabletext1"/>
              <w:jc w:val="center"/>
            </w:pPr>
            <w:r w:rsidRPr="00974258">
              <w:t>16/62 (25%)</w:t>
            </w:r>
          </w:p>
        </w:tc>
        <w:tc>
          <w:tcPr>
            <w:tcW w:w="417" w:type="pct"/>
            <w:tcBorders>
              <w:top w:val="single" w:sz="4" w:space="0" w:color="auto"/>
            </w:tcBorders>
          </w:tcPr>
          <w:p w14:paraId="54E1D197" w14:textId="3932FAF5" w:rsidR="006C6775" w:rsidRPr="00974258" w:rsidRDefault="006C6775" w:rsidP="00C6168E">
            <w:pPr>
              <w:pStyle w:val="Tabletext1"/>
            </w:pPr>
            <w:r w:rsidRPr="00974258">
              <w:t>4/62 (6%)</w:t>
            </w:r>
          </w:p>
        </w:tc>
      </w:tr>
      <w:tr w:rsidR="006C6775" w:rsidRPr="00B2301A" w14:paraId="5FDA2490" w14:textId="39E8C216" w:rsidTr="00096131">
        <w:trPr>
          <w:cantSplit/>
        </w:trPr>
        <w:tc>
          <w:tcPr>
            <w:tcW w:w="662" w:type="pct"/>
            <w:tcBorders>
              <w:top w:val="single" w:sz="4" w:space="0" w:color="auto"/>
              <w:left w:val="single" w:sz="4" w:space="0" w:color="auto"/>
              <w:bottom w:val="nil"/>
              <w:right w:val="single" w:sz="4" w:space="0" w:color="auto"/>
            </w:tcBorders>
            <w:shd w:val="clear" w:color="auto" w:fill="auto"/>
          </w:tcPr>
          <w:p w14:paraId="62D1324F" w14:textId="698378F3" w:rsidR="006C6775" w:rsidRPr="00974258" w:rsidRDefault="00211285" w:rsidP="00C6168E">
            <w:pPr>
              <w:pStyle w:val="Tabletext1"/>
            </w:pPr>
            <w:hyperlink w:anchor="_ENREF_64" w:tooltip="Shen, 2010 #68" w:history="1">
              <w:r w:rsidR="008B6FC0">
                <w:rPr>
                  <w:snapToGrid w:val="0"/>
                  <w:lang w:eastAsia="en-US"/>
                </w:rPr>
                <w:fldChar w:fldCharType="begin"/>
              </w:r>
              <w:r w:rsidR="008B6FC0">
                <w:rPr>
                  <w:snapToGrid w:val="0"/>
                  <w:lang w:eastAsia="en-US"/>
                </w:rPr>
                <w:instrText xml:space="preserve"> ADDIN EN.CITE &lt;EndNote&gt;&lt;Cite AuthorYear="1"&gt;&lt;Author&gt;Shen&lt;/Author&gt;&lt;Year&gt;2010&lt;/Year&gt;&lt;RecNum&gt;68&lt;/RecNum&gt;&lt;DisplayText&gt;Shen et al. (2010)&lt;/DisplayText&gt;&lt;record&gt;&lt;rec-number&gt;68&lt;/rec-number&gt;&lt;foreign-keys&gt;&lt;key app="EN" db-id="sx5wsdwv795wvue959xxw0ptaewvdezxxp05" timestamp="1604876398"&gt;68&lt;/key&gt;&lt;/foreign-keys&gt;&lt;ref-type name="Journal Article"&gt;17&lt;/ref-type&gt;&lt;contributors&gt;&lt;authors&gt;&lt;author&gt;Shen, Y.&lt;/author&gt;&lt;author&gt;Zhang, H.&lt;/author&gt;&lt;author&gt;Wang, J.&lt;/author&gt;&lt;author&gt;Zhong, R.&lt;/author&gt;&lt;author&gt;Jiang, X.&lt;/author&gt;&lt;author&gt;Xu, Q.&lt;/author&gt;&lt;author&gt;Wang, X.&lt;/author&gt;&lt;author&gt;Bai, S.&lt;/author&gt;&lt;author&gt;Xu, F.&lt;/author&gt;&lt;/authors&gt;&lt;/contributors&gt;&lt;titles&gt;&lt;title&gt;Hypofractionated radiotherapy for lung tumors with online cone beam CT guidance and active breathing control&lt;/title&gt;&lt;secondary-title&gt;Radiat&lt;/secondary-title&gt;&lt;/titles&gt;&lt;pages&gt;19&lt;/pages&gt;&lt;volume&gt;5&lt;/volume&gt;&lt;dates&gt;&lt;year&gt;2010&lt;/year&gt;&lt;/dates&gt;&lt;accession-num&gt;20187962&lt;/accession-num&gt;&lt;urls&gt;&lt;related-urls&gt;&lt;url&gt;http://ezproxy.library.usyd.edu.au/login?url=http://ovidsp.ovid.com/ovidweb.cgi?T=JS&amp;amp;CSC=Y&amp;amp;NEWS=N&amp;amp;PAGE=fulltext&amp;amp;D=med8&amp;amp;AN=20187962https://sydney.alma.exlibrisgroup.com/openurl/61USYD_INST/61USYD_INST:sydney?sid=OVID:medline&amp;amp;id=pmid:20187962&amp;amp;id=doi:10.1186&lt;/url&gt;&lt;url&gt;https://ro-journal.biomedcentral.com/track/pdf/10.1186/1748-717X-5-19&lt;/url&gt;&lt;url&gt;https://ro-journal.biomedcentral.com/track/pdf/10.1186/1748-717X-5-19.pdf&lt;/url&gt;&lt;/related-urls&gt;&lt;/urls&gt;&lt;electronic-resource-num&gt;https://dx.doi.org/10.1186/1748-717X-5-19&lt;/electronic-resource-num&gt;&lt;/record&gt;&lt;/Cite&gt;&lt;/EndNote&gt;</w:instrText>
              </w:r>
              <w:r w:rsidR="008B6FC0">
                <w:rPr>
                  <w:snapToGrid w:val="0"/>
                  <w:lang w:eastAsia="en-US"/>
                </w:rPr>
                <w:fldChar w:fldCharType="separate"/>
              </w:r>
              <w:r w:rsidR="008B6FC0">
                <w:rPr>
                  <w:noProof/>
                  <w:snapToGrid w:val="0"/>
                  <w:lang w:eastAsia="en-US"/>
                </w:rPr>
                <w:t>Shen et al. (2010)</w:t>
              </w:r>
              <w:r w:rsidR="008B6FC0">
                <w:rPr>
                  <w:snapToGrid w:val="0"/>
                  <w:lang w:eastAsia="en-US"/>
                </w:rPr>
                <w:fldChar w:fldCharType="end"/>
              </w:r>
            </w:hyperlink>
          </w:p>
        </w:tc>
        <w:tc>
          <w:tcPr>
            <w:tcW w:w="965" w:type="pct"/>
            <w:tcBorders>
              <w:top w:val="single" w:sz="4" w:space="0" w:color="auto"/>
              <w:left w:val="single" w:sz="4" w:space="0" w:color="auto"/>
            </w:tcBorders>
          </w:tcPr>
          <w:p w14:paraId="0E83F24B" w14:textId="700DFAF4" w:rsidR="006C6775" w:rsidRPr="00BD3D76" w:rsidRDefault="006C6775" w:rsidP="00C6168E">
            <w:pPr>
              <w:pStyle w:val="Tabletext1"/>
              <w:jc w:val="center"/>
            </w:pPr>
            <w:r>
              <w:t>P</w:t>
            </w:r>
            <w:r w:rsidRPr="00BD3D76">
              <w:t>ulmonary toxicity</w:t>
            </w:r>
          </w:p>
        </w:tc>
        <w:tc>
          <w:tcPr>
            <w:tcW w:w="421" w:type="pct"/>
            <w:tcBorders>
              <w:top w:val="single" w:sz="4" w:space="0" w:color="auto"/>
            </w:tcBorders>
            <w:shd w:val="clear" w:color="auto" w:fill="auto"/>
          </w:tcPr>
          <w:p w14:paraId="76F2E8CE" w14:textId="002DAE56" w:rsidR="006C6775" w:rsidRPr="00BD3D76" w:rsidRDefault="006C6775" w:rsidP="00C6168E">
            <w:pPr>
              <w:pStyle w:val="Tabletext1"/>
              <w:jc w:val="center"/>
            </w:pPr>
          </w:p>
        </w:tc>
        <w:tc>
          <w:tcPr>
            <w:tcW w:w="423" w:type="pct"/>
            <w:tcBorders>
              <w:top w:val="single" w:sz="4" w:space="0" w:color="auto"/>
            </w:tcBorders>
          </w:tcPr>
          <w:p w14:paraId="0A2C2AC8" w14:textId="7385DC73" w:rsidR="006C6775" w:rsidRPr="00BD3D76" w:rsidRDefault="006C6775" w:rsidP="00C6168E">
            <w:pPr>
              <w:pStyle w:val="Tabletext1"/>
              <w:jc w:val="center"/>
            </w:pPr>
            <w:r w:rsidRPr="00BD3D76">
              <w:t>3/20 (15%)</w:t>
            </w:r>
          </w:p>
        </w:tc>
        <w:tc>
          <w:tcPr>
            <w:tcW w:w="423" w:type="pct"/>
            <w:tcBorders>
              <w:top w:val="single" w:sz="4" w:space="0" w:color="auto"/>
            </w:tcBorders>
          </w:tcPr>
          <w:p w14:paraId="637F9AC7" w14:textId="7510F76C" w:rsidR="006C6775" w:rsidRPr="00BD3D76" w:rsidRDefault="006C6775" w:rsidP="00C6168E">
            <w:pPr>
              <w:pStyle w:val="Tabletext1"/>
              <w:jc w:val="center"/>
            </w:pPr>
            <w:r w:rsidRPr="00BD3D76">
              <w:t>1/20 (5%)</w:t>
            </w:r>
          </w:p>
        </w:tc>
        <w:tc>
          <w:tcPr>
            <w:tcW w:w="423" w:type="pct"/>
            <w:tcBorders>
              <w:top w:val="single" w:sz="4" w:space="0" w:color="auto"/>
            </w:tcBorders>
          </w:tcPr>
          <w:p w14:paraId="13C6C5A3" w14:textId="77777777" w:rsidR="006C6775" w:rsidRPr="00BD3D76" w:rsidRDefault="006C6775" w:rsidP="00C6168E">
            <w:pPr>
              <w:pStyle w:val="Tabletext1"/>
              <w:jc w:val="center"/>
            </w:pPr>
          </w:p>
        </w:tc>
        <w:tc>
          <w:tcPr>
            <w:tcW w:w="423" w:type="pct"/>
            <w:tcBorders>
              <w:top w:val="single" w:sz="4" w:space="0" w:color="auto"/>
            </w:tcBorders>
          </w:tcPr>
          <w:p w14:paraId="4F83E993" w14:textId="77777777" w:rsidR="006C6775" w:rsidRPr="00BD3D76" w:rsidRDefault="006C6775" w:rsidP="00C6168E">
            <w:pPr>
              <w:pStyle w:val="Tabletext1"/>
              <w:jc w:val="center"/>
            </w:pPr>
          </w:p>
        </w:tc>
        <w:tc>
          <w:tcPr>
            <w:tcW w:w="423" w:type="pct"/>
            <w:tcBorders>
              <w:top w:val="single" w:sz="4" w:space="0" w:color="auto"/>
            </w:tcBorders>
          </w:tcPr>
          <w:p w14:paraId="49B39293" w14:textId="50C90C3A" w:rsidR="006C6775" w:rsidRPr="00BD3D76" w:rsidRDefault="006C6775" w:rsidP="00C6168E">
            <w:pPr>
              <w:pStyle w:val="Tabletext1"/>
              <w:jc w:val="center"/>
            </w:pPr>
            <w:r w:rsidRPr="00BD3D76">
              <w:t>2/20 (10%)</w:t>
            </w:r>
          </w:p>
        </w:tc>
        <w:tc>
          <w:tcPr>
            <w:tcW w:w="420" w:type="pct"/>
            <w:tcBorders>
              <w:top w:val="single" w:sz="4" w:space="0" w:color="auto"/>
            </w:tcBorders>
          </w:tcPr>
          <w:p w14:paraId="0D587464" w14:textId="77777777" w:rsidR="006C6775" w:rsidRPr="00BD3D76" w:rsidRDefault="006C6775" w:rsidP="00C6168E">
            <w:pPr>
              <w:pStyle w:val="Tabletext1"/>
              <w:jc w:val="center"/>
            </w:pPr>
          </w:p>
        </w:tc>
        <w:tc>
          <w:tcPr>
            <w:tcW w:w="417" w:type="pct"/>
            <w:tcBorders>
              <w:top w:val="single" w:sz="4" w:space="0" w:color="auto"/>
            </w:tcBorders>
          </w:tcPr>
          <w:p w14:paraId="316AA00F" w14:textId="77777777" w:rsidR="006C6775" w:rsidRPr="00BD3D76" w:rsidRDefault="006C6775" w:rsidP="00C6168E">
            <w:pPr>
              <w:pStyle w:val="Tabletext1"/>
            </w:pPr>
          </w:p>
        </w:tc>
      </w:tr>
      <w:tr w:rsidR="006C6775" w:rsidRPr="00B2301A" w14:paraId="7105AD12" w14:textId="628B1FA9" w:rsidTr="00096131">
        <w:trPr>
          <w:cantSplit/>
        </w:trPr>
        <w:tc>
          <w:tcPr>
            <w:tcW w:w="662" w:type="pct"/>
            <w:tcBorders>
              <w:top w:val="nil"/>
              <w:left w:val="single" w:sz="4" w:space="0" w:color="auto"/>
              <w:bottom w:val="nil"/>
              <w:right w:val="single" w:sz="4" w:space="0" w:color="auto"/>
            </w:tcBorders>
            <w:shd w:val="clear" w:color="auto" w:fill="auto"/>
          </w:tcPr>
          <w:p w14:paraId="29401118" w14:textId="77777777" w:rsidR="006C6775" w:rsidRPr="00974258" w:rsidRDefault="006C6775" w:rsidP="00C6168E">
            <w:pPr>
              <w:pStyle w:val="Tabletext1"/>
            </w:pPr>
          </w:p>
        </w:tc>
        <w:tc>
          <w:tcPr>
            <w:tcW w:w="965" w:type="pct"/>
            <w:tcBorders>
              <w:left w:val="single" w:sz="4" w:space="0" w:color="auto"/>
            </w:tcBorders>
          </w:tcPr>
          <w:p w14:paraId="19DC8017" w14:textId="7398CD03" w:rsidR="006C6775" w:rsidRPr="00BD3D76" w:rsidRDefault="006C6775" w:rsidP="00C6168E">
            <w:pPr>
              <w:pStyle w:val="Tabletext1"/>
              <w:jc w:val="center"/>
            </w:pPr>
            <w:r w:rsidRPr="00BD3D76">
              <w:t>Acute esophagitis</w:t>
            </w:r>
          </w:p>
        </w:tc>
        <w:tc>
          <w:tcPr>
            <w:tcW w:w="421" w:type="pct"/>
            <w:shd w:val="clear" w:color="auto" w:fill="auto"/>
          </w:tcPr>
          <w:p w14:paraId="3B2AB8F0" w14:textId="161F1EA5" w:rsidR="006C6775" w:rsidRPr="00BD3D76" w:rsidRDefault="006C6775" w:rsidP="00C6168E">
            <w:pPr>
              <w:pStyle w:val="Tabletext1"/>
              <w:jc w:val="center"/>
            </w:pPr>
          </w:p>
        </w:tc>
        <w:tc>
          <w:tcPr>
            <w:tcW w:w="423" w:type="pct"/>
          </w:tcPr>
          <w:p w14:paraId="400DDA64" w14:textId="42E75780" w:rsidR="006C6775" w:rsidRPr="00BD3D76" w:rsidRDefault="006C6775" w:rsidP="00C6168E">
            <w:pPr>
              <w:pStyle w:val="Tabletext1"/>
              <w:jc w:val="center"/>
            </w:pPr>
            <w:r w:rsidRPr="00BD3D76">
              <w:t>3/20 (15%)</w:t>
            </w:r>
          </w:p>
        </w:tc>
        <w:tc>
          <w:tcPr>
            <w:tcW w:w="423" w:type="pct"/>
          </w:tcPr>
          <w:p w14:paraId="0D0FC115" w14:textId="77777777" w:rsidR="006C6775" w:rsidRPr="00BD3D76" w:rsidRDefault="006C6775" w:rsidP="00C6168E">
            <w:pPr>
              <w:pStyle w:val="Tabletext1"/>
              <w:jc w:val="center"/>
            </w:pPr>
          </w:p>
        </w:tc>
        <w:tc>
          <w:tcPr>
            <w:tcW w:w="423" w:type="pct"/>
          </w:tcPr>
          <w:p w14:paraId="3EB164C5" w14:textId="77777777" w:rsidR="006C6775" w:rsidRPr="00BD3D76" w:rsidRDefault="006C6775" w:rsidP="00C6168E">
            <w:pPr>
              <w:pStyle w:val="Tabletext1"/>
              <w:jc w:val="center"/>
            </w:pPr>
          </w:p>
        </w:tc>
        <w:tc>
          <w:tcPr>
            <w:tcW w:w="423" w:type="pct"/>
          </w:tcPr>
          <w:p w14:paraId="4F59AC31" w14:textId="77777777" w:rsidR="006C6775" w:rsidRPr="00BD3D76" w:rsidRDefault="006C6775" w:rsidP="00C6168E">
            <w:pPr>
              <w:pStyle w:val="Tabletext1"/>
              <w:jc w:val="center"/>
            </w:pPr>
          </w:p>
        </w:tc>
        <w:tc>
          <w:tcPr>
            <w:tcW w:w="423" w:type="pct"/>
          </w:tcPr>
          <w:p w14:paraId="026E2105" w14:textId="12A497A1" w:rsidR="006C6775" w:rsidRPr="00BD3D76" w:rsidRDefault="006C6775" w:rsidP="00C6168E">
            <w:pPr>
              <w:pStyle w:val="Tabletext1"/>
              <w:jc w:val="center"/>
            </w:pPr>
          </w:p>
        </w:tc>
        <w:tc>
          <w:tcPr>
            <w:tcW w:w="420" w:type="pct"/>
          </w:tcPr>
          <w:p w14:paraId="6667BF31" w14:textId="77777777" w:rsidR="006C6775" w:rsidRPr="00BD3D76" w:rsidRDefault="006C6775" w:rsidP="00C6168E">
            <w:pPr>
              <w:pStyle w:val="Tabletext1"/>
              <w:jc w:val="center"/>
            </w:pPr>
          </w:p>
        </w:tc>
        <w:tc>
          <w:tcPr>
            <w:tcW w:w="417" w:type="pct"/>
          </w:tcPr>
          <w:p w14:paraId="0E4A89CA" w14:textId="77777777" w:rsidR="006C6775" w:rsidRPr="00BD3D76" w:rsidRDefault="006C6775" w:rsidP="00C6168E">
            <w:pPr>
              <w:pStyle w:val="Tabletext1"/>
            </w:pPr>
          </w:p>
        </w:tc>
      </w:tr>
      <w:tr w:rsidR="006C6775" w:rsidRPr="00B2301A" w14:paraId="7BCE8854" w14:textId="7B6B21E9" w:rsidTr="00096131">
        <w:trPr>
          <w:cantSplit/>
        </w:trPr>
        <w:tc>
          <w:tcPr>
            <w:tcW w:w="662" w:type="pct"/>
            <w:tcBorders>
              <w:top w:val="nil"/>
              <w:left w:val="single" w:sz="4" w:space="0" w:color="auto"/>
              <w:bottom w:val="nil"/>
              <w:right w:val="single" w:sz="4" w:space="0" w:color="auto"/>
            </w:tcBorders>
            <w:shd w:val="clear" w:color="auto" w:fill="auto"/>
          </w:tcPr>
          <w:p w14:paraId="3FD5A4D2" w14:textId="77777777" w:rsidR="006C6775" w:rsidRPr="00974258" w:rsidRDefault="006C6775" w:rsidP="00C6168E">
            <w:pPr>
              <w:pStyle w:val="Tabletext1"/>
            </w:pPr>
          </w:p>
        </w:tc>
        <w:tc>
          <w:tcPr>
            <w:tcW w:w="965" w:type="pct"/>
            <w:tcBorders>
              <w:left w:val="single" w:sz="4" w:space="0" w:color="auto"/>
              <w:bottom w:val="single" w:sz="4" w:space="0" w:color="auto"/>
            </w:tcBorders>
          </w:tcPr>
          <w:p w14:paraId="0220E5C2" w14:textId="331A28E5" w:rsidR="006C6775" w:rsidRPr="00BD3D76" w:rsidRDefault="006C6775" w:rsidP="00C6168E">
            <w:pPr>
              <w:pStyle w:val="Tabletext1"/>
              <w:jc w:val="center"/>
            </w:pPr>
            <w:r w:rsidRPr="00BD3D76">
              <w:t>Dysphagia</w:t>
            </w:r>
          </w:p>
        </w:tc>
        <w:tc>
          <w:tcPr>
            <w:tcW w:w="421" w:type="pct"/>
            <w:tcBorders>
              <w:bottom w:val="single" w:sz="4" w:space="0" w:color="auto"/>
            </w:tcBorders>
            <w:shd w:val="clear" w:color="auto" w:fill="auto"/>
          </w:tcPr>
          <w:p w14:paraId="431AF24F" w14:textId="213FE12C" w:rsidR="006C6775" w:rsidRPr="00BD3D76" w:rsidRDefault="006C6775" w:rsidP="00C6168E">
            <w:pPr>
              <w:pStyle w:val="Tabletext1"/>
              <w:jc w:val="center"/>
            </w:pPr>
          </w:p>
        </w:tc>
        <w:tc>
          <w:tcPr>
            <w:tcW w:w="423" w:type="pct"/>
            <w:tcBorders>
              <w:bottom w:val="single" w:sz="4" w:space="0" w:color="auto"/>
            </w:tcBorders>
          </w:tcPr>
          <w:p w14:paraId="7A13501F" w14:textId="77777777" w:rsidR="006C6775" w:rsidRPr="00BD3D76" w:rsidRDefault="006C6775" w:rsidP="00C6168E">
            <w:pPr>
              <w:pStyle w:val="Tabletext1"/>
              <w:jc w:val="center"/>
            </w:pPr>
          </w:p>
        </w:tc>
        <w:tc>
          <w:tcPr>
            <w:tcW w:w="423" w:type="pct"/>
            <w:tcBorders>
              <w:bottom w:val="single" w:sz="4" w:space="0" w:color="auto"/>
            </w:tcBorders>
          </w:tcPr>
          <w:p w14:paraId="0AF93186" w14:textId="77777777" w:rsidR="006C6775" w:rsidRPr="00BD3D76" w:rsidRDefault="006C6775" w:rsidP="00C6168E">
            <w:pPr>
              <w:pStyle w:val="Tabletext1"/>
              <w:jc w:val="center"/>
            </w:pPr>
          </w:p>
        </w:tc>
        <w:tc>
          <w:tcPr>
            <w:tcW w:w="423" w:type="pct"/>
            <w:tcBorders>
              <w:bottom w:val="single" w:sz="4" w:space="0" w:color="auto"/>
            </w:tcBorders>
          </w:tcPr>
          <w:p w14:paraId="1EFB8593" w14:textId="77777777" w:rsidR="006C6775" w:rsidRPr="00BD3D76" w:rsidRDefault="006C6775" w:rsidP="00C6168E">
            <w:pPr>
              <w:pStyle w:val="Tabletext1"/>
              <w:jc w:val="center"/>
            </w:pPr>
          </w:p>
        </w:tc>
        <w:tc>
          <w:tcPr>
            <w:tcW w:w="423" w:type="pct"/>
            <w:tcBorders>
              <w:bottom w:val="single" w:sz="4" w:space="0" w:color="auto"/>
            </w:tcBorders>
          </w:tcPr>
          <w:p w14:paraId="0B1266B3" w14:textId="77777777" w:rsidR="006C6775" w:rsidRPr="00BD3D76" w:rsidRDefault="006C6775" w:rsidP="00C6168E">
            <w:pPr>
              <w:pStyle w:val="Tabletext1"/>
              <w:jc w:val="center"/>
            </w:pPr>
          </w:p>
        </w:tc>
        <w:tc>
          <w:tcPr>
            <w:tcW w:w="423" w:type="pct"/>
            <w:tcBorders>
              <w:bottom w:val="single" w:sz="4" w:space="0" w:color="auto"/>
            </w:tcBorders>
          </w:tcPr>
          <w:p w14:paraId="2CD5FAE9" w14:textId="2AAE241C" w:rsidR="006C6775" w:rsidRPr="00BD3D76" w:rsidRDefault="006C6775" w:rsidP="00C6168E">
            <w:pPr>
              <w:pStyle w:val="Tabletext1"/>
              <w:jc w:val="center"/>
            </w:pPr>
            <w:r w:rsidRPr="00BD3D76">
              <w:t>1/20 (5%)</w:t>
            </w:r>
          </w:p>
        </w:tc>
        <w:tc>
          <w:tcPr>
            <w:tcW w:w="420" w:type="pct"/>
            <w:tcBorders>
              <w:bottom w:val="single" w:sz="4" w:space="0" w:color="auto"/>
            </w:tcBorders>
          </w:tcPr>
          <w:p w14:paraId="32197534" w14:textId="77777777" w:rsidR="006C6775" w:rsidRPr="00BD3D76" w:rsidRDefault="006C6775" w:rsidP="00C6168E">
            <w:pPr>
              <w:pStyle w:val="Tabletext1"/>
              <w:jc w:val="center"/>
            </w:pPr>
          </w:p>
        </w:tc>
        <w:tc>
          <w:tcPr>
            <w:tcW w:w="417" w:type="pct"/>
            <w:tcBorders>
              <w:bottom w:val="single" w:sz="4" w:space="0" w:color="auto"/>
            </w:tcBorders>
          </w:tcPr>
          <w:p w14:paraId="5800F482" w14:textId="77777777" w:rsidR="006C6775" w:rsidRPr="00BD3D76" w:rsidRDefault="006C6775" w:rsidP="00C6168E">
            <w:pPr>
              <w:pStyle w:val="Tabletext1"/>
            </w:pPr>
          </w:p>
        </w:tc>
      </w:tr>
      <w:tr w:rsidR="006C6775" w:rsidRPr="00B2301A" w14:paraId="506DB400" w14:textId="7A762016" w:rsidTr="00096131">
        <w:trPr>
          <w:cantSplit/>
        </w:trPr>
        <w:tc>
          <w:tcPr>
            <w:tcW w:w="662" w:type="pct"/>
            <w:tcBorders>
              <w:top w:val="nil"/>
              <w:left w:val="single" w:sz="4" w:space="0" w:color="auto"/>
              <w:bottom w:val="nil"/>
              <w:right w:val="single" w:sz="4" w:space="0" w:color="auto"/>
            </w:tcBorders>
            <w:shd w:val="clear" w:color="auto" w:fill="auto"/>
          </w:tcPr>
          <w:p w14:paraId="28AF43FE" w14:textId="77777777" w:rsidR="006C6775" w:rsidRPr="00974258" w:rsidRDefault="006C6775" w:rsidP="00C6168E">
            <w:pPr>
              <w:pStyle w:val="Tabletext1"/>
            </w:pPr>
          </w:p>
        </w:tc>
        <w:tc>
          <w:tcPr>
            <w:tcW w:w="965" w:type="pct"/>
            <w:tcBorders>
              <w:left w:val="single" w:sz="4" w:space="0" w:color="auto"/>
            </w:tcBorders>
          </w:tcPr>
          <w:p w14:paraId="66D02157" w14:textId="0806E07B" w:rsidR="006C6775" w:rsidRPr="00974258" w:rsidRDefault="006C6775" w:rsidP="00C6168E">
            <w:pPr>
              <w:pStyle w:val="Tabletext1"/>
              <w:jc w:val="center"/>
            </w:pPr>
            <w:r>
              <w:t>Skin toxicity</w:t>
            </w:r>
          </w:p>
        </w:tc>
        <w:tc>
          <w:tcPr>
            <w:tcW w:w="421" w:type="pct"/>
            <w:shd w:val="clear" w:color="auto" w:fill="auto"/>
          </w:tcPr>
          <w:p w14:paraId="599BFE0A" w14:textId="046FD7F4" w:rsidR="006C6775" w:rsidRPr="00974258" w:rsidRDefault="006C6775" w:rsidP="00C6168E">
            <w:pPr>
              <w:pStyle w:val="Tabletext1"/>
              <w:jc w:val="center"/>
            </w:pPr>
          </w:p>
        </w:tc>
        <w:tc>
          <w:tcPr>
            <w:tcW w:w="423" w:type="pct"/>
          </w:tcPr>
          <w:p w14:paraId="0DED57E3" w14:textId="457B5C47" w:rsidR="006C6775" w:rsidRDefault="006C6775" w:rsidP="00C6168E">
            <w:pPr>
              <w:pStyle w:val="Tabletext1"/>
              <w:jc w:val="center"/>
            </w:pPr>
            <w:r w:rsidRPr="00AB6284">
              <w:t>0%</w:t>
            </w:r>
          </w:p>
        </w:tc>
        <w:tc>
          <w:tcPr>
            <w:tcW w:w="423" w:type="pct"/>
          </w:tcPr>
          <w:p w14:paraId="51D1D616" w14:textId="353C0F6E" w:rsidR="006C6775" w:rsidRDefault="006C6775" w:rsidP="00C6168E">
            <w:pPr>
              <w:pStyle w:val="Tabletext1"/>
              <w:jc w:val="center"/>
            </w:pPr>
            <w:r w:rsidRPr="00AB6284">
              <w:t>0%</w:t>
            </w:r>
          </w:p>
        </w:tc>
        <w:tc>
          <w:tcPr>
            <w:tcW w:w="423" w:type="pct"/>
          </w:tcPr>
          <w:p w14:paraId="1D35ED16" w14:textId="1F8781DE" w:rsidR="006C6775" w:rsidRDefault="006C6775" w:rsidP="00C6168E">
            <w:pPr>
              <w:pStyle w:val="Tabletext1"/>
              <w:jc w:val="center"/>
            </w:pPr>
            <w:r w:rsidRPr="00AB6284">
              <w:t>0%</w:t>
            </w:r>
          </w:p>
        </w:tc>
        <w:tc>
          <w:tcPr>
            <w:tcW w:w="423" w:type="pct"/>
          </w:tcPr>
          <w:p w14:paraId="52BCA5EB" w14:textId="77777777" w:rsidR="006C6775" w:rsidRDefault="006C6775" w:rsidP="00C6168E">
            <w:pPr>
              <w:pStyle w:val="Tabletext1"/>
              <w:jc w:val="center"/>
            </w:pPr>
          </w:p>
        </w:tc>
        <w:tc>
          <w:tcPr>
            <w:tcW w:w="423" w:type="pct"/>
          </w:tcPr>
          <w:p w14:paraId="64C66180" w14:textId="61864CE6" w:rsidR="006C6775" w:rsidRDefault="006C6775" w:rsidP="00C6168E">
            <w:pPr>
              <w:pStyle w:val="Tabletext1"/>
              <w:jc w:val="center"/>
            </w:pPr>
            <w:r w:rsidRPr="0083148D">
              <w:t>0%</w:t>
            </w:r>
          </w:p>
        </w:tc>
        <w:tc>
          <w:tcPr>
            <w:tcW w:w="420" w:type="pct"/>
          </w:tcPr>
          <w:p w14:paraId="020551EE" w14:textId="71CB403A" w:rsidR="006C6775" w:rsidRDefault="006C6775" w:rsidP="00C6168E">
            <w:pPr>
              <w:pStyle w:val="Tabletext1"/>
              <w:jc w:val="center"/>
            </w:pPr>
            <w:r w:rsidRPr="0083148D">
              <w:t>0%</w:t>
            </w:r>
          </w:p>
        </w:tc>
        <w:tc>
          <w:tcPr>
            <w:tcW w:w="417" w:type="pct"/>
          </w:tcPr>
          <w:p w14:paraId="20B9D69E" w14:textId="4E33FD49" w:rsidR="006C6775" w:rsidRDefault="006C6775" w:rsidP="00C6168E">
            <w:pPr>
              <w:pStyle w:val="Tabletext1"/>
            </w:pPr>
            <w:r w:rsidRPr="0083148D">
              <w:t>0%</w:t>
            </w:r>
          </w:p>
        </w:tc>
      </w:tr>
      <w:tr w:rsidR="006C6775" w:rsidRPr="00B2301A" w14:paraId="00C3B298" w14:textId="146B3129" w:rsidTr="00096131">
        <w:trPr>
          <w:cantSplit/>
        </w:trPr>
        <w:tc>
          <w:tcPr>
            <w:tcW w:w="662" w:type="pct"/>
            <w:tcBorders>
              <w:top w:val="nil"/>
              <w:left w:val="single" w:sz="4" w:space="0" w:color="auto"/>
              <w:bottom w:val="single" w:sz="4" w:space="0" w:color="auto"/>
              <w:right w:val="single" w:sz="4" w:space="0" w:color="auto"/>
            </w:tcBorders>
            <w:shd w:val="clear" w:color="auto" w:fill="auto"/>
          </w:tcPr>
          <w:p w14:paraId="1B9F5332" w14:textId="77777777" w:rsidR="006C6775" w:rsidRPr="00974258" w:rsidRDefault="006C6775" w:rsidP="00C6168E">
            <w:pPr>
              <w:pStyle w:val="Tabletext1"/>
            </w:pPr>
          </w:p>
        </w:tc>
        <w:tc>
          <w:tcPr>
            <w:tcW w:w="965" w:type="pct"/>
            <w:tcBorders>
              <w:left w:val="single" w:sz="4" w:space="0" w:color="auto"/>
            </w:tcBorders>
          </w:tcPr>
          <w:p w14:paraId="4A476DEB" w14:textId="42E0A17F" w:rsidR="006C6775" w:rsidRPr="00974258" w:rsidRDefault="006C6775" w:rsidP="00C6168E">
            <w:pPr>
              <w:pStyle w:val="Tabletext1"/>
              <w:jc w:val="center"/>
            </w:pPr>
            <w:r>
              <w:t>Haemotoxicity</w:t>
            </w:r>
          </w:p>
        </w:tc>
        <w:tc>
          <w:tcPr>
            <w:tcW w:w="421" w:type="pct"/>
            <w:shd w:val="clear" w:color="auto" w:fill="auto"/>
          </w:tcPr>
          <w:p w14:paraId="3150B886" w14:textId="51BC6496" w:rsidR="006C6775" w:rsidRPr="00974258" w:rsidRDefault="006C6775" w:rsidP="00C6168E">
            <w:pPr>
              <w:pStyle w:val="Tabletext1"/>
              <w:jc w:val="center"/>
            </w:pPr>
          </w:p>
        </w:tc>
        <w:tc>
          <w:tcPr>
            <w:tcW w:w="423" w:type="pct"/>
          </w:tcPr>
          <w:p w14:paraId="7A9D2818" w14:textId="288FF1CD" w:rsidR="006C6775" w:rsidRDefault="006C6775" w:rsidP="00C6168E">
            <w:pPr>
              <w:pStyle w:val="Tabletext1"/>
              <w:jc w:val="center"/>
            </w:pPr>
            <w:r w:rsidRPr="00AB6284">
              <w:t>0%</w:t>
            </w:r>
          </w:p>
        </w:tc>
        <w:tc>
          <w:tcPr>
            <w:tcW w:w="423" w:type="pct"/>
          </w:tcPr>
          <w:p w14:paraId="2722013E" w14:textId="5C28AD26" w:rsidR="006C6775" w:rsidRDefault="006C6775" w:rsidP="00C6168E">
            <w:pPr>
              <w:pStyle w:val="Tabletext1"/>
              <w:jc w:val="center"/>
            </w:pPr>
            <w:r w:rsidRPr="00AB6284">
              <w:t>0%</w:t>
            </w:r>
          </w:p>
        </w:tc>
        <w:tc>
          <w:tcPr>
            <w:tcW w:w="423" w:type="pct"/>
          </w:tcPr>
          <w:p w14:paraId="62A27F0E" w14:textId="2C8DED2D" w:rsidR="006C6775" w:rsidRDefault="006C6775" w:rsidP="00C6168E">
            <w:pPr>
              <w:pStyle w:val="Tabletext1"/>
              <w:jc w:val="center"/>
            </w:pPr>
            <w:r w:rsidRPr="00AB6284">
              <w:t>0%</w:t>
            </w:r>
          </w:p>
        </w:tc>
        <w:tc>
          <w:tcPr>
            <w:tcW w:w="423" w:type="pct"/>
          </w:tcPr>
          <w:p w14:paraId="74DD24D7" w14:textId="77777777" w:rsidR="006C6775" w:rsidRDefault="006C6775" w:rsidP="00C6168E">
            <w:pPr>
              <w:pStyle w:val="Tabletext1"/>
              <w:jc w:val="center"/>
            </w:pPr>
          </w:p>
        </w:tc>
        <w:tc>
          <w:tcPr>
            <w:tcW w:w="423" w:type="pct"/>
          </w:tcPr>
          <w:p w14:paraId="2E84E72A" w14:textId="7841078A" w:rsidR="006C6775" w:rsidRDefault="006C6775" w:rsidP="00C6168E">
            <w:pPr>
              <w:pStyle w:val="Tabletext1"/>
              <w:jc w:val="center"/>
            </w:pPr>
            <w:r w:rsidRPr="0083148D">
              <w:t>0%</w:t>
            </w:r>
          </w:p>
        </w:tc>
        <w:tc>
          <w:tcPr>
            <w:tcW w:w="420" w:type="pct"/>
          </w:tcPr>
          <w:p w14:paraId="1A6D97AB" w14:textId="1D6BDE18" w:rsidR="006C6775" w:rsidRDefault="006C6775" w:rsidP="00C6168E">
            <w:pPr>
              <w:pStyle w:val="Tabletext1"/>
              <w:jc w:val="center"/>
            </w:pPr>
            <w:r w:rsidRPr="0083148D">
              <w:t>0%</w:t>
            </w:r>
          </w:p>
        </w:tc>
        <w:tc>
          <w:tcPr>
            <w:tcW w:w="417" w:type="pct"/>
          </w:tcPr>
          <w:p w14:paraId="6F49A97D" w14:textId="3B88A6B2" w:rsidR="006C6775" w:rsidRDefault="006C6775" w:rsidP="00C6168E">
            <w:pPr>
              <w:pStyle w:val="Tabletext1"/>
            </w:pPr>
            <w:r w:rsidRPr="0083148D">
              <w:t>0%</w:t>
            </w:r>
          </w:p>
        </w:tc>
      </w:tr>
      <w:tr w:rsidR="006C6775" w:rsidRPr="00B2301A" w14:paraId="1DBDA2C3" w14:textId="77F81811" w:rsidTr="00096131">
        <w:trPr>
          <w:cantSplit/>
        </w:trPr>
        <w:tc>
          <w:tcPr>
            <w:tcW w:w="662" w:type="pct"/>
            <w:tcBorders>
              <w:top w:val="single" w:sz="4" w:space="0" w:color="auto"/>
              <w:left w:val="single" w:sz="4" w:space="0" w:color="auto"/>
              <w:bottom w:val="nil"/>
              <w:right w:val="single" w:sz="4" w:space="0" w:color="auto"/>
            </w:tcBorders>
            <w:shd w:val="clear" w:color="auto" w:fill="auto"/>
          </w:tcPr>
          <w:p w14:paraId="76D83675" w14:textId="73C3FCC8" w:rsidR="006C6775" w:rsidRPr="00BD3D76" w:rsidRDefault="00211285" w:rsidP="00C6168E">
            <w:pPr>
              <w:pStyle w:val="Tabletext1"/>
            </w:pPr>
            <w:hyperlink w:anchor="_ENREF_67" w:tooltip="Stone, 2015 #70" w:history="1">
              <w:r w:rsidR="008B6FC0">
                <w:fldChar w:fldCharType="begin"/>
              </w:r>
              <w:r w:rsidR="008B6FC0">
                <w:instrText xml:space="preserve"> ADDIN EN.CITE &lt;EndNote&gt;&lt;Cite AuthorYear="1"&gt;&lt;Author&gt;Stone&lt;/Author&gt;&lt;Year&gt;2015&lt;/Year&gt;&lt;RecNum&gt;70&lt;/RecNum&gt;&lt;DisplayText&gt;Stone et al. (2015)&lt;/DisplayText&gt;&lt;record&gt;&lt;rec-number&gt;70&lt;/rec-number&gt;&lt;foreign-keys&gt;&lt;key app="EN" db-id="sx5wsdwv795wvue959xxw0ptaewvdezxxp05" timestamp="1604876398"&gt;70&lt;/key&gt;&lt;/foreign-keys&gt;&lt;ref-type name="Journal Article"&gt;17&lt;/ref-type&gt;&lt;contributors&gt;&lt;authors&gt;&lt;author&gt;Stone, B.&lt;/author&gt;&lt;author&gt;Mangona, V. S.&lt;/author&gt;&lt;author&gt;Johnson, M. D.&lt;/author&gt;&lt;author&gt;Ye, H.&lt;/author&gt;&lt;author&gt;Grills, I. S.&lt;/author&gt;&lt;/authors&gt;&lt;/contributors&gt;&lt;titles&gt;&lt;title&gt;Changes in Pulmonary Function Following Image-Guided Stereotactic Lung Radiotherapy: Neither Lower Baseline Nor Post-SBRT Pulmonary Function Are Associated with Worse Overall Survival&lt;/title&gt;&lt;secondary-title&gt;Journal of Thoracic Oncology&lt;/secondary-title&gt;&lt;/titles&gt;&lt;pages&gt;1762-1769&lt;/pages&gt;&lt;volume&gt;10&lt;/volume&gt;&lt;number&gt;12&lt;/number&gt;&lt;dates&gt;&lt;year&gt;2015&lt;/year&gt;&lt;/dates&gt;&lt;accession-num&gt;607042040&lt;/accession-num&gt;&lt;urls&gt;&lt;related-urls&gt;&lt;url&gt;https://www.journals.elsevier.com/journal-of-thoracic-oncology/http://ezproxy.library.usyd.edu.au/login?url=http://ovidsp.ovid.com/ovidweb.cgi?T=JS&amp;amp;CSC=Y&amp;amp;NEWS=N&amp;amp;PAGE=fulltext&amp;amp;D=emed16&amp;amp;AN=607042040https://sydney.alma.exlibrisgroup.com/openurl/61USYD_INST/6&lt;/url&gt;&lt;/related-urls&gt;&lt;/urls&gt;&lt;electronic-resource-num&gt;http://dx.doi.org/10.1097/JTO.0000000000000670&lt;/electronic-resource-num&gt;&lt;/record&gt;&lt;/Cite&gt;&lt;/EndNote&gt;</w:instrText>
              </w:r>
              <w:r w:rsidR="008B6FC0">
                <w:fldChar w:fldCharType="separate"/>
              </w:r>
              <w:r w:rsidR="008B6FC0">
                <w:rPr>
                  <w:noProof/>
                </w:rPr>
                <w:t>Stone et al. (2015)</w:t>
              </w:r>
              <w:r w:rsidR="008B6FC0">
                <w:fldChar w:fldCharType="end"/>
              </w:r>
            </w:hyperlink>
          </w:p>
        </w:tc>
        <w:tc>
          <w:tcPr>
            <w:tcW w:w="965" w:type="pct"/>
            <w:tcBorders>
              <w:left w:val="single" w:sz="4" w:space="0" w:color="auto"/>
            </w:tcBorders>
          </w:tcPr>
          <w:p w14:paraId="5FAE1DDD" w14:textId="077BC735" w:rsidR="006C6775" w:rsidRPr="00BD3D76" w:rsidRDefault="006C6775" w:rsidP="00C6168E">
            <w:pPr>
              <w:pStyle w:val="Tabletext1"/>
              <w:jc w:val="center"/>
            </w:pPr>
            <w:r>
              <w:t>P</w:t>
            </w:r>
            <w:r w:rsidRPr="00BD3D76">
              <w:t>neumonitis</w:t>
            </w:r>
            <w:r>
              <w:t>,</w:t>
            </w:r>
            <w:r w:rsidRPr="00BD3D76">
              <w:t xml:space="preserve"> 12 months</w:t>
            </w:r>
          </w:p>
        </w:tc>
        <w:tc>
          <w:tcPr>
            <w:tcW w:w="421" w:type="pct"/>
            <w:shd w:val="clear" w:color="auto" w:fill="auto"/>
          </w:tcPr>
          <w:p w14:paraId="35BC8EC3" w14:textId="16DF3CB9" w:rsidR="006C6775" w:rsidRPr="00BD3D76" w:rsidRDefault="006C6775" w:rsidP="00C6168E">
            <w:pPr>
              <w:pStyle w:val="Tabletext1"/>
              <w:jc w:val="center"/>
            </w:pPr>
          </w:p>
        </w:tc>
        <w:tc>
          <w:tcPr>
            <w:tcW w:w="423" w:type="pct"/>
          </w:tcPr>
          <w:p w14:paraId="06EB1B25" w14:textId="77777777" w:rsidR="006C6775" w:rsidRPr="00BD3D76" w:rsidRDefault="006C6775" w:rsidP="00C6168E">
            <w:pPr>
              <w:pStyle w:val="Tabletext1"/>
              <w:jc w:val="center"/>
            </w:pPr>
          </w:p>
        </w:tc>
        <w:tc>
          <w:tcPr>
            <w:tcW w:w="423" w:type="pct"/>
          </w:tcPr>
          <w:p w14:paraId="4E9D2214" w14:textId="7B21355A" w:rsidR="006C6775" w:rsidRPr="00BD3D76" w:rsidRDefault="006C6775" w:rsidP="00C6168E">
            <w:pPr>
              <w:pStyle w:val="Tabletext1"/>
              <w:jc w:val="center"/>
            </w:pPr>
          </w:p>
        </w:tc>
        <w:tc>
          <w:tcPr>
            <w:tcW w:w="423" w:type="pct"/>
          </w:tcPr>
          <w:p w14:paraId="56AB7FAD" w14:textId="1FB19802" w:rsidR="006C6775" w:rsidRPr="00BD3D76" w:rsidRDefault="006C6775" w:rsidP="00C6168E">
            <w:pPr>
              <w:pStyle w:val="Tabletext1"/>
              <w:jc w:val="center"/>
            </w:pPr>
          </w:p>
        </w:tc>
        <w:tc>
          <w:tcPr>
            <w:tcW w:w="423" w:type="pct"/>
          </w:tcPr>
          <w:p w14:paraId="0DE3B44D" w14:textId="77777777" w:rsidR="006C6775" w:rsidRPr="00BD3D76" w:rsidRDefault="006C6775" w:rsidP="00C6168E">
            <w:pPr>
              <w:pStyle w:val="Tabletext1"/>
              <w:jc w:val="center"/>
            </w:pPr>
          </w:p>
        </w:tc>
        <w:tc>
          <w:tcPr>
            <w:tcW w:w="423" w:type="pct"/>
          </w:tcPr>
          <w:p w14:paraId="4190787E" w14:textId="62DB3095" w:rsidR="006C6775" w:rsidRPr="00BD3D76" w:rsidRDefault="006C6775" w:rsidP="00C6168E">
            <w:pPr>
              <w:pStyle w:val="Tabletext1"/>
              <w:jc w:val="center"/>
            </w:pPr>
          </w:p>
        </w:tc>
        <w:tc>
          <w:tcPr>
            <w:tcW w:w="420" w:type="pct"/>
          </w:tcPr>
          <w:p w14:paraId="7B302682" w14:textId="688D3EC6" w:rsidR="006C6775" w:rsidRPr="00BD3D76" w:rsidRDefault="006C6775" w:rsidP="00C6168E">
            <w:pPr>
              <w:pStyle w:val="Tabletext1"/>
              <w:jc w:val="center"/>
            </w:pPr>
            <w:r w:rsidRPr="00BD3D76">
              <w:t>3.1%</w:t>
            </w:r>
          </w:p>
        </w:tc>
        <w:tc>
          <w:tcPr>
            <w:tcW w:w="417" w:type="pct"/>
          </w:tcPr>
          <w:p w14:paraId="03C04787" w14:textId="0DAE1F54" w:rsidR="006C6775" w:rsidRPr="00BD3D76" w:rsidRDefault="006C6775" w:rsidP="00C6168E">
            <w:pPr>
              <w:pStyle w:val="Tabletext1"/>
            </w:pPr>
            <w:r w:rsidRPr="00BD3D76">
              <w:t>0.8%</w:t>
            </w:r>
          </w:p>
        </w:tc>
      </w:tr>
      <w:tr w:rsidR="006C6775" w:rsidRPr="00B2301A" w14:paraId="6002A8F5" w14:textId="7F18EBE6" w:rsidTr="00096131">
        <w:trPr>
          <w:cantSplit/>
        </w:trPr>
        <w:tc>
          <w:tcPr>
            <w:tcW w:w="662" w:type="pct"/>
            <w:tcBorders>
              <w:top w:val="single" w:sz="4" w:space="0" w:color="auto"/>
            </w:tcBorders>
            <w:shd w:val="clear" w:color="auto" w:fill="auto"/>
          </w:tcPr>
          <w:p w14:paraId="682690AD" w14:textId="40C5842F" w:rsidR="006C6775" w:rsidRPr="00B2301A" w:rsidRDefault="00211285" w:rsidP="00C6168E">
            <w:pPr>
              <w:pStyle w:val="Tabletext1"/>
              <w:keepNext/>
              <w:keepLines/>
              <w:rPr>
                <w:snapToGrid w:val="0"/>
                <w:lang w:eastAsia="en-US"/>
              </w:rPr>
            </w:pPr>
            <w:hyperlink w:anchor="_ENREF_85" w:tooltip="Yegya-Raman, 2018 #83" w:history="1">
              <w:r w:rsidR="008B6FC0">
                <w:rPr>
                  <w:snapToGrid w:val="0"/>
                  <w:lang w:eastAsia="en-US"/>
                </w:rPr>
                <w:fldChar w:fldCharType="begin"/>
              </w:r>
              <w:r w:rsidR="008B6FC0">
                <w:rPr>
                  <w:snapToGrid w:val="0"/>
                  <w:lang w:eastAsia="en-US"/>
                </w:rPr>
                <w:instrText xml:space="preserve"> ADDIN EN.CITE &lt;EndNote&gt;&lt;Cite AuthorYear="1"&gt;&lt;Author&gt;Yegya-Raman&lt;/Author&gt;&lt;Year&gt;2018&lt;/Year&gt;&lt;RecNum&gt;83&lt;/RecNum&gt;&lt;DisplayText&gt;Yegya-Raman et al. (2018)&lt;/DisplayText&gt;&lt;record&gt;&lt;rec-number&gt;83&lt;/rec-number&gt;&lt;foreign-keys&gt;&lt;key app="EN" db-id="sx5wsdwv795wvue959xxw0ptaewvdezxxp05" timestamp="1604876399"&gt;83&lt;/key&gt;&lt;/foreign-keys&gt;&lt;ref-type name="Journal Article"&gt;17&lt;/ref-type&gt;&lt;contributors&gt;&lt;authors&gt;&lt;author&gt;Yegya-Raman, N.&lt;/author&gt;&lt;author&gt;Kim, S.&lt;/author&gt;&lt;author&gt;Deek, M. P.&lt;/author&gt;&lt;author&gt;Li, D.&lt;/author&gt;&lt;author&gt;Gupta, A.&lt;/author&gt;&lt;author&gt;Bond, L.&lt;/author&gt;&lt;author&gt;Dwivedi, A.&lt;/author&gt;&lt;author&gt;Braver, J. K.&lt;/author&gt;&lt;author&gt;Reyhan, M.&lt;/author&gt;&lt;author&gt;Mittal, A.&lt;/author&gt;&lt;author&gt;Gui, B.&lt;/author&gt;&lt;author&gt;Malhotra, J.&lt;/author&gt;&lt;author&gt;Aisner, J.&lt;/author&gt;&lt;author&gt;Jabbour, S. K.&lt;/author&gt;&lt;/authors&gt;&lt;/contributors&gt;&lt;titles&gt;&lt;title&gt;Daily Image Guidance With Cone Beam Computed Tomography May Reduce Radiation Pneumonitis in Unresectable Non-Small Cell Lung Cancer&lt;/title&gt;&lt;secondary-title&gt;Int J Radiat Oncol Biol Phys&lt;/secondary-title&gt;&lt;/titles&gt;&lt;pages&gt;1104-1112&lt;/pages&gt;&lt;volume&gt;101&lt;/volume&gt;&lt;number&gt;5&lt;/number&gt;&lt;dates&gt;&lt;year&gt;2018&lt;/year&gt;&lt;/dates&gt;&lt;accession-num&gt;29730063&lt;/accession-num&gt;&lt;urls&gt;&lt;related-urls&gt;&lt;url&gt;http://ezproxy.library.usyd.edu.au/login?url=http://ovidsp.ovid.com/ovidweb.cgi?T=JS&amp;amp;CSC=Y&amp;amp;NEWS=N&amp;amp;PAGE=fulltext&amp;amp;D=med15&amp;amp;AN=29730063https://sydney.alma.exlibrisgroup.com/openurl/61USYD_INST/61USYD_INST:sydney?sid=OVID:medline&amp;amp;id=pmid:29730063&amp;amp;id=doi:10.101&lt;/url&gt;&lt;/related-urls&gt;&lt;/urls&gt;&lt;electronic-resource-num&gt;https://dx.doi.org/10.1016/j.ijrobp.2018.03.025&lt;/electronic-resource-num&gt;&lt;/record&gt;&lt;/Cite&gt;&lt;/EndNote&gt;</w:instrText>
              </w:r>
              <w:r w:rsidR="008B6FC0">
                <w:rPr>
                  <w:snapToGrid w:val="0"/>
                  <w:lang w:eastAsia="en-US"/>
                </w:rPr>
                <w:fldChar w:fldCharType="separate"/>
              </w:r>
              <w:r w:rsidR="008B6FC0">
                <w:rPr>
                  <w:noProof/>
                  <w:snapToGrid w:val="0"/>
                  <w:lang w:eastAsia="en-US"/>
                </w:rPr>
                <w:t>Yegya-Raman et al. (2018)</w:t>
              </w:r>
              <w:r w:rsidR="008B6FC0">
                <w:rPr>
                  <w:snapToGrid w:val="0"/>
                  <w:lang w:eastAsia="en-US"/>
                </w:rPr>
                <w:fldChar w:fldCharType="end"/>
              </w:r>
            </w:hyperlink>
          </w:p>
        </w:tc>
        <w:tc>
          <w:tcPr>
            <w:tcW w:w="965" w:type="pct"/>
          </w:tcPr>
          <w:p w14:paraId="2A89205B" w14:textId="0ADE76C6" w:rsidR="006C6775" w:rsidRPr="00BD3D76" w:rsidRDefault="006C6775" w:rsidP="00C6168E">
            <w:pPr>
              <w:pStyle w:val="Tabletext1"/>
              <w:keepNext/>
              <w:keepLines/>
              <w:jc w:val="center"/>
            </w:pPr>
            <w:r w:rsidRPr="00BD3D76">
              <w:t>Radiation pneumonitis</w:t>
            </w:r>
          </w:p>
        </w:tc>
        <w:tc>
          <w:tcPr>
            <w:tcW w:w="421" w:type="pct"/>
            <w:shd w:val="clear" w:color="auto" w:fill="auto"/>
          </w:tcPr>
          <w:p w14:paraId="69AAFEED" w14:textId="42B3230A" w:rsidR="006C6775" w:rsidRPr="00BD3D76" w:rsidRDefault="006C6775" w:rsidP="00C6168E">
            <w:pPr>
              <w:pStyle w:val="Tabletext1"/>
              <w:keepNext/>
              <w:keepLines/>
              <w:jc w:val="center"/>
            </w:pPr>
          </w:p>
        </w:tc>
        <w:tc>
          <w:tcPr>
            <w:tcW w:w="423" w:type="pct"/>
          </w:tcPr>
          <w:p w14:paraId="2C37AAF6" w14:textId="77777777" w:rsidR="006C6775" w:rsidRPr="00BD3D76" w:rsidRDefault="006C6775" w:rsidP="00C6168E">
            <w:pPr>
              <w:pStyle w:val="Tabletext1"/>
              <w:keepNext/>
              <w:keepLines/>
              <w:jc w:val="center"/>
            </w:pPr>
          </w:p>
        </w:tc>
        <w:tc>
          <w:tcPr>
            <w:tcW w:w="423" w:type="pct"/>
          </w:tcPr>
          <w:p w14:paraId="14B8B2BA" w14:textId="051F83BB" w:rsidR="006C6775" w:rsidRPr="00BD3D76" w:rsidRDefault="006C6775" w:rsidP="00C6168E">
            <w:pPr>
              <w:pStyle w:val="Tabletext1"/>
              <w:keepNext/>
              <w:keepLines/>
              <w:jc w:val="center"/>
            </w:pPr>
            <w:r w:rsidRPr="00BD3D76">
              <w:t>Grade ≥2</w:t>
            </w:r>
            <w:r>
              <w:t xml:space="preserve">: </w:t>
            </w:r>
            <w:r w:rsidRPr="00BD3D76">
              <w:t>24%</w:t>
            </w:r>
            <w:r w:rsidRPr="00AC4223">
              <w:rPr>
                <w:vertAlign w:val="superscript"/>
              </w:rPr>
              <w:t>1</w:t>
            </w:r>
          </w:p>
        </w:tc>
        <w:tc>
          <w:tcPr>
            <w:tcW w:w="423" w:type="pct"/>
          </w:tcPr>
          <w:p w14:paraId="4CE8A38F" w14:textId="77777777" w:rsidR="006C6775" w:rsidRPr="00BD3D76" w:rsidRDefault="006C6775" w:rsidP="00C6168E">
            <w:pPr>
              <w:pStyle w:val="Tabletext1"/>
              <w:keepNext/>
              <w:keepLines/>
              <w:jc w:val="center"/>
            </w:pPr>
          </w:p>
        </w:tc>
        <w:tc>
          <w:tcPr>
            <w:tcW w:w="423" w:type="pct"/>
          </w:tcPr>
          <w:p w14:paraId="3DF4A200" w14:textId="77777777" w:rsidR="006C6775" w:rsidRPr="00BD3D76" w:rsidRDefault="006C6775" w:rsidP="00C6168E">
            <w:pPr>
              <w:pStyle w:val="Tabletext1"/>
              <w:keepNext/>
              <w:keepLines/>
              <w:jc w:val="center"/>
            </w:pPr>
          </w:p>
        </w:tc>
        <w:tc>
          <w:tcPr>
            <w:tcW w:w="423" w:type="pct"/>
          </w:tcPr>
          <w:p w14:paraId="32D19379" w14:textId="19466DF2" w:rsidR="006C6775" w:rsidRPr="00BD3D76" w:rsidRDefault="006C6775" w:rsidP="00C6168E">
            <w:pPr>
              <w:pStyle w:val="Tabletext1"/>
              <w:keepNext/>
              <w:keepLines/>
              <w:jc w:val="center"/>
            </w:pPr>
          </w:p>
        </w:tc>
        <w:tc>
          <w:tcPr>
            <w:tcW w:w="420" w:type="pct"/>
          </w:tcPr>
          <w:p w14:paraId="0E6DB557" w14:textId="77777777" w:rsidR="006C6775" w:rsidRPr="00BD3D76" w:rsidRDefault="006C6775" w:rsidP="00C6168E">
            <w:pPr>
              <w:pStyle w:val="Tabletext1"/>
              <w:keepNext/>
              <w:keepLines/>
              <w:jc w:val="center"/>
            </w:pPr>
          </w:p>
        </w:tc>
        <w:tc>
          <w:tcPr>
            <w:tcW w:w="417" w:type="pct"/>
          </w:tcPr>
          <w:p w14:paraId="7A1EE597" w14:textId="77777777" w:rsidR="006C6775" w:rsidRPr="00BD3D76" w:rsidRDefault="006C6775" w:rsidP="00C6168E">
            <w:pPr>
              <w:pStyle w:val="Tabletext1"/>
              <w:keepNext/>
              <w:keepLines/>
            </w:pPr>
          </w:p>
        </w:tc>
      </w:tr>
    </w:tbl>
    <w:p w14:paraId="1E068C83" w14:textId="33E85C32" w:rsidR="00AC4223" w:rsidRPr="00AC4223" w:rsidRDefault="00AC4223" w:rsidP="00C6168E">
      <w:pPr>
        <w:pStyle w:val="Tablenotes0"/>
        <w:keepNext/>
        <w:keepLines/>
        <w:spacing w:after="0"/>
      </w:pPr>
      <w:r>
        <w:t>CBCT-IGRT</w:t>
      </w:r>
      <w:r w:rsidR="00592C07">
        <w:t>=</w:t>
      </w:r>
      <w:r w:rsidR="00157EA6">
        <w:t>cone-beam computed tomography</w:t>
      </w:r>
      <w:r w:rsidR="00BA73E5">
        <w:t xml:space="preserve"> image-guided radiation therapy</w:t>
      </w:r>
    </w:p>
    <w:p w14:paraId="4732DF4F" w14:textId="37B6BF50" w:rsidR="00F01B96" w:rsidRDefault="00F01B96" w:rsidP="00C6168E">
      <w:pPr>
        <w:pStyle w:val="TFAbbrevs18"/>
      </w:pPr>
      <w:r w:rsidRPr="00F01B96">
        <w:rPr>
          <w:vertAlign w:val="superscript"/>
        </w:rPr>
        <w:t>1</w:t>
      </w:r>
      <w:r w:rsidR="001A721A">
        <w:t>One year</w:t>
      </w:r>
      <w:r w:rsidR="00AC4223">
        <w:t xml:space="preserve"> c</w:t>
      </w:r>
      <w:r w:rsidR="00AC4223" w:rsidRPr="00AC4223">
        <w:t>umulative</w:t>
      </w:r>
      <w:r w:rsidR="00AC4223">
        <w:rPr>
          <w:vertAlign w:val="superscript"/>
        </w:rPr>
        <w:t xml:space="preserve"> </w:t>
      </w:r>
      <w:r w:rsidR="00AC4223" w:rsidRPr="00AC4223">
        <w:t>rate</w:t>
      </w:r>
      <w:bookmarkEnd w:id="353"/>
    </w:p>
    <w:p w14:paraId="1222A175" w14:textId="0977BF2A" w:rsidR="00F00D42" w:rsidRDefault="00EC1AEB" w:rsidP="00F01B96">
      <w:pPr>
        <w:pStyle w:val="Heading4"/>
      </w:pPr>
      <w:r>
        <w:t>Prostate cancer</w:t>
      </w:r>
    </w:p>
    <w:p w14:paraId="23A04CA0" w14:textId="675FC88E" w:rsidR="00EC1AEB" w:rsidRDefault="00E726F1" w:rsidP="00EC1AEB">
      <w:r w:rsidRPr="00E726F1">
        <w:t>Toxicity in patients who underwent MR</w:t>
      </w:r>
      <w:r w:rsidR="005D4B77">
        <w:t>-</w:t>
      </w:r>
      <w:r w:rsidRPr="00E726F1">
        <w:t xml:space="preserve">guided prostate SBRT was reported in </w:t>
      </w:r>
      <w:r w:rsidR="00B6323F">
        <w:t>one</w:t>
      </w:r>
      <w:r w:rsidRPr="00E726F1" w:rsidDel="00FB6605">
        <w:t xml:space="preserve"> </w:t>
      </w:r>
      <w:r w:rsidRPr="00E726F1">
        <w:t xml:space="preserve">prospective case series </w:t>
      </w:r>
      <w:r w:rsidR="000C77B0">
        <w:fldChar w:fldCharType="begin"/>
      </w:r>
      <w:r w:rsidR="000C77B0">
        <w:instrText xml:space="preserve"> ADDIN EN.CITE &lt;EndNote&gt;&lt;Cite&gt;&lt;Author&gt;Alongi&lt;/Author&gt;&lt;Year&gt;2020&lt;/Year&gt;&lt;RecNum&gt;13&lt;/RecNum&gt;&lt;DisplayText&gt;(Alongi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0C77B0">
        <w:fldChar w:fldCharType="separate"/>
      </w:r>
      <w:r w:rsidR="000C77B0">
        <w:rPr>
          <w:noProof/>
        </w:rPr>
        <w:t>(</w:t>
      </w:r>
      <w:hyperlink w:anchor="_ENREF_1" w:tooltip="Alongi, 2020 #13" w:history="1">
        <w:r w:rsidR="008B6FC0">
          <w:rPr>
            <w:noProof/>
          </w:rPr>
          <w:t>Alongi et al., 2020</w:t>
        </w:r>
      </w:hyperlink>
      <w:r w:rsidR="000C77B0">
        <w:rPr>
          <w:noProof/>
        </w:rPr>
        <w:t>)</w:t>
      </w:r>
      <w:r w:rsidR="000C77B0">
        <w:fldChar w:fldCharType="end"/>
      </w:r>
      <w:r w:rsidRPr="00E726F1">
        <w:t xml:space="preserve">.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rsidRPr="00E726F1">
        <w:t xml:space="preserve"> evaluated acute genitourinary (GU) and gastrointestinal (GI) toxicities in </w:t>
      </w:r>
      <w:r w:rsidR="002A5A21" w:rsidRPr="00E726F1">
        <w:t xml:space="preserve">patients </w:t>
      </w:r>
      <w:r w:rsidR="002A5A21">
        <w:t xml:space="preserve">with </w:t>
      </w:r>
      <w:r w:rsidRPr="00E726F1">
        <w:t xml:space="preserve">localised prostate cancer. Grade </w:t>
      </w:r>
      <w:r w:rsidR="00FB6605">
        <w:t>1</w:t>
      </w:r>
      <w:r w:rsidRPr="00E726F1">
        <w:t xml:space="preserve"> and grade </w:t>
      </w:r>
      <w:r w:rsidR="00FB6605">
        <w:t>2</w:t>
      </w:r>
      <w:r w:rsidRPr="00E726F1">
        <w:t xml:space="preserve"> GU toxicity was reported by </w:t>
      </w:r>
      <w:r w:rsidR="00FB6605" w:rsidRPr="00E726F1">
        <w:t xml:space="preserve">6/25 (24%) </w:t>
      </w:r>
      <w:r w:rsidRPr="00E726F1">
        <w:t xml:space="preserve">and </w:t>
      </w:r>
      <w:r w:rsidR="00FB6605" w:rsidRPr="00E726F1">
        <w:t xml:space="preserve">3/25 (12%) </w:t>
      </w:r>
      <w:r w:rsidRPr="00E726F1">
        <w:t xml:space="preserve">patients, respectively. </w:t>
      </w:r>
      <w:r w:rsidR="00FB6605">
        <w:t>T</w:t>
      </w:r>
      <w:r w:rsidR="00FB6605" w:rsidRPr="00E726F1">
        <w:t>wo</w:t>
      </w:r>
      <w:r w:rsidR="00FB6605">
        <w:t xml:space="preserve"> patients</w:t>
      </w:r>
      <w:r w:rsidR="00FB6605" w:rsidRPr="00E726F1">
        <w:t xml:space="preserve"> experienced grade 1 GI toxicity </w:t>
      </w:r>
      <w:r w:rsidR="00FB6605">
        <w:t>and o</w:t>
      </w:r>
      <w:r w:rsidRPr="00E726F1">
        <w:t>ne (4%) experienced grade 2 GI toxicity</w:t>
      </w:r>
      <w:r w:rsidR="00CA0626">
        <w:t>.</w:t>
      </w:r>
      <w:r w:rsidRPr="00E726F1">
        <w:t xml:space="preserve"> No grade 3 or higher toxicities were experienced in the study population. </w:t>
      </w:r>
      <w:r w:rsidR="00164A44">
        <w:t xml:space="preserve">Results are summarised in </w:t>
      </w:r>
      <w:r w:rsidR="00164A44">
        <w:fldChar w:fldCharType="begin"/>
      </w:r>
      <w:r w:rsidR="00164A44">
        <w:instrText xml:space="preserve"> REF _Ref55823918 \h </w:instrText>
      </w:r>
      <w:r w:rsidR="00164A44">
        <w:fldChar w:fldCharType="separate"/>
      </w:r>
      <w:r w:rsidR="00451350" w:rsidRPr="00E86441">
        <w:t xml:space="preserve">Table </w:t>
      </w:r>
      <w:r w:rsidR="00451350">
        <w:rPr>
          <w:noProof/>
        </w:rPr>
        <w:t>20</w:t>
      </w:r>
      <w:r w:rsidR="00164A44">
        <w:fldChar w:fldCharType="end"/>
      </w:r>
      <w:r w:rsidR="00164A44">
        <w:t>.</w:t>
      </w:r>
    </w:p>
    <w:p w14:paraId="1F7C35E7" w14:textId="09874CEB" w:rsidR="000E515E" w:rsidRPr="00183E4D" w:rsidRDefault="000E515E" w:rsidP="000E515E">
      <w:pPr>
        <w:pStyle w:val="Caption"/>
        <w:keepNext/>
        <w:rPr>
          <w:snapToGrid w:val="0"/>
          <w:lang w:eastAsia="en-US"/>
        </w:rPr>
      </w:pPr>
      <w:bookmarkStart w:id="358" w:name="_Ref55823918"/>
      <w:bookmarkStart w:id="359" w:name="_Toc89857891"/>
      <w:r w:rsidRPr="00E86441">
        <w:t xml:space="preserve">Table </w:t>
      </w:r>
      <w:r w:rsidR="00211285">
        <w:fldChar w:fldCharType="begin"/>
      </w:r>
      <w:r w:rsidR="00211285">
        <w:instrText xml:space="preserve"> SEQ Table \* ARABIC </w:instrText>
      </w:r>
      <w:r w:rsidR="00211285">
        <w:fldChar w:fldCharType="separate"/>
      </w:r>
      <w:r w:rsidR="00451350">
        <w:rPr>
          <w:noProof/>
        </w:rPr>
        <w:t>20</w:t>
      </w:r>
      <w:r w:rsidR="00211285">
        <w:rPr>
          <w:noProof/>
        </w:rPr>
        <w:fldChar w:fldCharType="end"/>
      </w:r>
      <w:bookmarkEnd w:id="358"/>
      <w:r w:rsidRPr="00E86441">
        <w:tab/>
        <w:t>Results</w:t>
      </w:r>
      <w:r w:rsidRPr="00183E4D">
        <w:rPr>
          <w:snapToGrid w:val="0"/>
          <w:lang w:eastAsia="en-US"/>
        </w:rPr>
        <w:t xml:space="preserve"> of </w:t>
      </w:r>
      <w:r>
        <w:rPr>
          <w:snapToGrid w:val="0"/>
          <w:lang w:eastAsia="en-US"/>
        </w:rPr>
        <w:t>toxicity</w:t>
      </w:r>
      <w:r w:rsidRPr="00183E4D">
        <w:rPr>
          <w:snapToGrid w:val="0"/>
          <w:lang w:eastAsia="en-US"/>
        </w:rPr>
        <w:t xml:space="preserve"> across th</w:t>
      </w:r>
      <w:r w:rsidRPr="00846B88">
        <w:rPr>
          <w:snapToGrid w:val="0"/>
          <w:lang w:eastAsia="en-US"/>
        </w:rPr>
        <w:t>e studies</w:t>
      </w:r>
      <w:r>
        <w:rPr>
          <w:snapToGrid w:val="0"/>
          <w:lang w:eastAsia="en-US"/>
        </w:rPr>
        <w:t>, prostate cancer, MR-IGRT</w:t>
      </w:r>
      <w:bookmarkEnd w:id="359"/>
      <w:r w:rsidRPr="00183E4D">
        <w:rPr>
          <w:snapToGrid w:val="0"/>
          <w:lang w:eastAsia="en-US"/>
        </w:rPr>
        <w:t xml:space="preserve"> </w:t>
      </w:r>
    </w:p>
    <w:tbl>
      <w:tblPr>
        <w:tblStyle w:val="TableGrid1"/>
        <w:tblW w:w="5000" w:type="pct"/>
        <w:tblCellMar>
          <w:left w:w="28" w:type="dxa"/>
          <w:right w:w="28" w:type="dxa"/>
        </w:tblCellMar>
        <w:tblLook w:val="04A0" w:firstRow="1" w:lastRow="0" w:firstColumn="1" w:lastColumn="0" w:noHBand="0" w:noVBand="1"/>
        <w:tblCaption w:val="Table 20 Results of toxicity across the studies, prostate cancer, MR-IGRT "/>
        <w:tblDescription w:val="This table provides results of toxicity across the studies in prostate cancer for MR-IGRT."/>
      </w:tblPr>
      <w:tblGrid>
        <w:gridCol w:w="1270"/>
        <w:gridCol w:w="1562"/>
        <w:gridCol w:w="1545"/>
        <w:gridCol w:w="1547"/>
        <w:gridCol w:w="1545"/>
        <w:gridCol w:w="1547"/>
      </w:tblGrid>
      <w:tr w:rsidR="003C414F" w:rsidRPr="00B2301A" w14:paraId="1D1C3DEC" w14:textId="77777777" w:rsidTr="00DF5B1B">
        <w:trPr>
          <w:cnfStyle w:val="100000000000" w:firstRow="1" w:lastRow="0" w:firstColumn="0" w:lastColumn="0" w:oddVBand="0" w:evenVBand="0" w:oddHBand="0" w:evenHBand="0" w:firstRowFirstColumn="0" w:firstRowLastColumn="0" w:lastRowFirstColumn="0" w:lastRowLastColumn="0"/>
          <w:tblHeader/>
        </w:trPr>
        <w:tc>
          <w:tcPr>
            <w:tcW w:w="704" w:type="pct"/>
            <w:tcBorders>
              <w:top w:val="single" w:sz="4" w:space="0" w:color="auto"/>
              <w:left w:val="single" w:sz="4" w:space="0" w:color="auto"/>
              <w:bottom w:val="nil"/>
              <w:right w:val="single" w:sz="4" w:space="0" w:color="auto"/>
            </w:tcBorders>
            <w:shd w:val="clear" w:color="auto" w:fill="auto"/>
          </w:tcPr>
          <w:p w14:paraId="7A7A0185" w14:textId="77777777" w:rsidR="003C414F" w:rsidRPr="00B2301A" w:rsidRDefault="003C414F" w:rsidP="003C414F">
            <w:pPr>
              <w:pStyle w:val="TableHeading"/>
              <w:rPr>
                <w:snapToGrid w:val="0"/>
                <w:lang w:eastAsia="en-US"/>
              </w:rPr>
            </w:pPr>
            <w:r w:rsidRPr="00B2301A">
              <w:rPr>
                <w:snapToGrid w:val="0"/>
                <w:lang w:eastAsia="en-US"/>
              </w:rPr>
              <w:t>Study ID</w:t>
            </w:r>
          </w:p>
        </w:tc>
        <w:tc>
          <w:tcPr>
            <w:tcW w:w="866" w:type="pct"/>
            <w:tcBorders>
              <w:left w:val="single" w:sz="4" w:space="0" w:color="auto"/>
              <w:bottom w:val="single" w:sz="4" w:space="0" w:color="auto"/>
              <w:right w:val="single" w:sz="4" w:space="0" w:color="auto"/>
            </w:tcBorders>
          </w:tcPr>
          <w:p w14:paraId="35994CDE" w14:textId="43AE760B" w:rsidR="003C414F" w:rsidRPr="00B2301A" w:rsidRDefault="003C414F" w:rsidP="003C414F">
            <w:pPr>
              <w:pStyle w:val="TableHeading"/>
              <w:rPr>
                <w:snapToGrid w:val="0"/>
                <w:lang w:eastAsia="en-US"/>
              </w:rPr>
            </w:pPr>
            <w:r>
              <w:rPr>
                <w:snapToGrid w:val="0"/>
                <w:lang w:eastAsia="en-US"/>
              </w:rPr>
              <w:t>Toxicity</w:t>
            </w:r>
          </w:p>
        </w:tc>
        <w:tc>
          <w:tcPr>
            <w:tcW w:w="857" w:type="pct"/>
            <w:tcBorders>
              <w:top w:val="single" w:sz="4" w:space="0" w:color="auto"/>
              <w:left w:val="single" w:sz="4" w:space="0" w:color="auto"/>
              <w:bottom w:val="single" w:sz="4" w:space="0" w:color="auto"/>
              <w:right w:val="nil"/>
            </w:tcBorders>
          </w:tcPr>
          <w:p w14:paraId="74596A3A" w14:textId="29B70F12" w:rsidR="003C414F" w:rsidRDefault="003C414F" w:rsidP="003C414F">
            <w:pPr>
              <w:pStyle w:val="TableHeading"/>
              <w:rPr>
                <w:snapToGrid w:val="0"/>
                <w:lang w:eastAsia="en-US"/>
              </w:rPr>
            </w:pPr>
            <w:r>
              <w:rPr>
                <w:snapToGrid w:val="0"/>
                <w:lang w:eastAsia="en-US"/>
              </w:rPr>
              <w:t>Acute</w:t>
            </w:r>
          </w:p>
        </w:tc>
        <w:tc>
          <w:tcPr>
            <w:tcW w:w="858" w:type="pct"/>
            <w:tcBorders>
              <w:top w:val="single" w:sz="4" w:space="0" w:color="auto"/>
              <w:left w:val="nil"/>
              <w:bottom w:val="single" w:sz="4" w:space="0" w:color="auto"/>
              <w:right w:val="single" w:sz="4" w:space="0" w:color="auto"/>
            </w:tcBorders>
          </w:tcPr>
          <w:p w14:paraId="6F5F1525" w14:textId="77777777" w:rsidR="003C414F" w:rsidRDefault="003C414F" w:rsidP="003C414F">
            <w:pPr>
              <w:pStyle w:val="TableHeading"/>
              <w:rPr>
                <w:snapToGrid w:val="0"/>
                <w:lang w:eastAsia="en-US"/>
              </w:rPr>
            </w:pPr>
          </w:p>
        </w:tc>
        <w:tc>
          <w:tcPr>
            <w:tcW w:w="857" w:type="pct"/>
            <w:tcBorders>
              <w:top w:val="single" w:sz="4" w:space="0" w:color="auto"/>
              <w:left w:val="single" w:sz="4" w:space="0" w:color="auto"/>
              <w:bottom w:val="single" w:sz="4" w:space="0" w:color="auto"/>
              <w:right w:val="nil"/>
            </w:tcBorders>
          </w:tcPr>
          <w:p w14:paraId="53015173" w14:textId="6AEC264B" w:rsidR="003C414F" w:rsidRDefault="003C414F" w:rsidP="003C414F">
            <w:pPr>
              <w:pStyle w:val="TableHeading"/>
              <w:rPr>
                <w:snapToGrid w:val="0"/>
                <w:lang w:eastAsia="en-US"/>
              </w:rPr>
            </w:pPr>
            <w:r>
              <w:rPr>
                <w:snapToGrid w:val="0"/>
                <w:lang w:eastAsia="en-US"/>
              </w:rPr>
              <w:t>Late</w:t>
            </w:r>
          </w:p>
        </w:tc>
        <w:tc>
          <w:tcPr>
            <w:tcW w:w="858" w:type="pct"/>
            <w:tcBorders>
              <w:top w:val="single" w:sz="4" w:space="0" w:color="auto"/>
              <w:left w:val="nil"/>
              <w:bottom w:val="single" w:sz="4" w:space="0" w:color="auto"/>
              <w:right w:val="single" w:sz="4" w:space="0" w:color="auto"/>
            </w:tcBorders>
          </w:tcPr>
          <w:p w14:paraId="54842495" w14:textId="77777777" w:rsidR="003C414F" w:rsidRDefault="003C414F" w:rsidP="003C414F">
            <w:pPr>
              <w:pStyle w:val="TableHeading"/>
              <w:rPr>
                <w:snapToGrid w:val="0"/>
                <w:lang w:eastAsia="en-US"/>
              </w:rPr>
            </w:pPr>
          </w:p>
        </w:tc>
      </w:tr>
      <w:tr w:rsidR="003C414F" w:rsidRPr="00B2301A" w14:paraId="3F06BE12" w14:textId="77777777" w:rsidTr="00FB6605">
        <w:tc>
          <w:tcPr>
            <w:tcW w:w="704" w:type="pct"/>
            <w:tcBorders>
              <w:top w:val="nil"/>
              <w:left w:val="single" w:sz="4" w:space="0" w:color="auto"/>
              <w:bottom w:val="single" w:sz="4" w:space="0" w:color="auto"/>
              <w:right w:val="single" w:sz="4" w:space="0" w:color="auto"/>
            </w:tcBorders>
            <w:shd w:val="clear" w:color="auto" w:fill="auto"/>
          </w:tcPr>
          <w:p w14:paraId="32FBC066" w14:textId="77777777" w:rsidR="003C414F" w:rsidRDefault="003C414F" w:rsidP="003C414F">
            <w:pPr>
              <w:pStyle w:val="TableHeading"/>
              <w:rPr>
                <w:snapToGrid w:val="0"/>
              </w:rPr>
            </w:pPr>
          </w:p>
        </w:tc>
        <w:tc>
          <w:tcPr>
            <w:tcW w:w="866" w:type="pct"/>
            <w:tcBorders>
              <w:top w:val="single" w:sz="4" w:space="0" w:color="auto"/>
              <w:left w:val="single" w:sz="4" w:space="0" w:color="auto"/>
              <w:bottom w:val="single" w:sz="4" w:space="0" w:color="auto"/>
              <w:right w:val="single" w:sz="4" w:space="0" w:color="auto"/>
            </w:tcBorders>
            <w:vAlign w:val="center"/>
          </w:tcPr>
          <w:p w14:paraId="7F10CE49" w14:textId="05F96201" w:rsidR="003C414F" w:rsidRDefault="003C414F" w:rsidP="003C414F">
            <w:pPr>
              <w:pStyle w:val="TableHeading"/>
            </w:pPr>
            <w:r>
              <w:t>Grade</w:t>
            </w:r>
          </w:p>
        </w:tc>
        <w:tc>
          <w:tcPr>
            <w:tcW w:w="857" w:type="pct"/>
            <w:tcBorders>
              <w:top w:val="single" w:sz="4" w:space="0" w:color="auto"/>
              <w:left w:val="single" w:sz="4" w:space="0" w:color="auto"/>
              <w:bottom w:val="single" w:sz="4" w:space="0" w:color="auto"/>
              <w:right w:val="single" w:sz="4" w:space="0" w:color="auto"/>
            </w:tcBorders>
          </w:tcPr>
          <w:p w14:paraId="42C6C06E" w14:textId="4B317AF6" w:rsidR="003C414F" w:rsidRDefault="003C414F" w:rsidP="003C414F">
            <w:pPr>
              <w:pStyle w:val="TableHeading"/>
              <w:jc w:val="center"/>
            </w:pPr>
            <w:r>
              <w:t>1</w:t>
            </w:r>
          </w:p>
        </w:tc>
        <w:tc>
          <w:tcPr>
            <w:tcW w:w="858" w:type="pct"/>
            <w:tcBorders>
              <w:top w:val="single" w:sz="4" w:space="0" w:color="auto"/>
              <w:left w:val="single" w:sz="4" w:space="0" w:color="auto"/>
              <w:bottom w:val="single" w:sz="4" w:space="0" w:color="auto"/>
              <w:right w:val="single" w:sz="4" w:space="0" w:color="auto"/>
            </w:tcBorders>
          </w:tcPr>
          <w:p w14:paraId="5DD103D1" w14:textId="4446FB7C" w:rsidR="003C414F" w:rsidRDefault="003C414F" w:rsidP="003C414F">
            <w:pPr>
              <w:pStyle w:val="TableHeading"/>
              <w:jc w:val="center"/>
            </w:pPr>
            <w:r>
              <w:t>2</w:t>
            </w:r>
          </w:p>
        </w:tc>
        <w:tc>
          <w:tcPr>
            <w:tcW w:w="857" w:type="pct"/>
            <w:tcBorders>
              <w:top w:val="single" w:sz="4" w:space="0" w:color="auto"/>
              <w:left w:val="single" w:sz="4" w:space="0" w:color="auto"/>
              <w:bottom w:val="single" w:sz="4" w:space="0" w:color="auto"/>
              <w:right w:val="single" w:sz="4" w:space="0" w:color="auto"/>
            </w:tcBorders>
          </w:tcPr>
          <w:p w14:paraId="041C0A00" w14:textId="4601CF10" w:rsidR="003C414F" w:rsidRDefault="003C414F" w:rsidP="003C414F">
            <w:pPr>
              <w:pStyle w:val="TableHeading"/>
              <w:jc w:val="center"/>
            </w:pPr>
            <w:r>
              <w:t>1</w:t>
            </w:r>
          </w:p>
        </w:tc>
        <w:tc>
          <w:tcPr>
            <w:tcW w:w="858" w:type="pct"/>
            <w:tcBorders>
              <w:top w:val="single" w:sz="4" w:space="0" w:color="auto"/>
              <w:left w:val="single" w:sz="4" w:space="0" w:color="auto"/>
              <w:bottom w:val="single" w:sz="4" w:space="0" w:color="auto"/>
              <w:right w:val="single" w:sz="4" w:space="0" w:color="auto"/>
            </w:tcBorders>
          </w:tcPr>
          <w:p w14:paraId="790F3554" w14:textId="4E7167A3" w:rsidR="003C414F" w:rsidRDefault="003C414F" w:rsidP="003C414F">
            <w:pPr>
              <w:pStyle w:val="TableHeading"/>
              <w:jc w:val="center"/>
            </w:pPr>
            <w:r>
              <w:t>2</w:t>
            </w:r>
          </w:p>
        </w:tc>
      </w:tr>
      <w:tr w:rsidR="00F01B96" w:rsidRPr="00B2301A" w14:paraId="654090EE" w14:textId="77777777" w:rsidTr="00FB6605">
        <w:tc>
          <w:tcPr>
            <w:tcW w:w="704" w:type="pct"/>
            <w:tcBorders>
              <w:top w:val="single" w:sz="4" w:space="0" w:color="auto"/>
              <w:left w:val="single" w:sz="4" w:space="0" w:color="auto"/>
              <w:bottom w:val="nil"/>
              <w:right w:val="single" w:sz="4" w:space="0" w:color="auto"/>
            </w:tcBorders>
            <w:shd w:val="clear" w:color="auto" w:fill="auto"/>
          </w:tcPr>
          <w:p w14:paraId="52EEBA65" w14:textId="609DEEAA" w:rsidR="00F01B96" w:rsidRDefault="00211285" w:rsidP="00F01B96">
            <w:pPr>
              <w:pStyle w:val="Tabletext1"/>
              <w:rPr>
                <w:snapToGrid w:val="0"/>
              </w:rPr>
            </w:pPr>
            <w:hyperlink w:anchor="_ENREF_1" w:tooltip="Alongi, 2020 #13" w:history="1">
              <w:r w:rsidR="008B6FC0">
                <w:rPr>
                  <w:snapToGrid w:val="0"/>
                </w:rPr>
                <w:fldChar w:fldCharType="begin"/>
              </w:r>
              <w:r w:rsidR="008B6FC0">
                <w:rPr>
                  <w:snapToGrid w:val="0"/>
                </w:rPr>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rPr>
                  <w:snapToGrid w:val="0"/>
                </w:rPr>
                <w:fldChar w:fldCharType="separate"/>
              </w:r>
              <w:r w:rsidR="008B6FC0">
                <w:rPr>
                  <w:noProof/>
                  <w:snapToGrid w:val="0"/>
                </w:rPr>
                <w:t>Alongi et al. (2020)</w:t>
              </w:r>
              <w:r w:rsidR="008B6FC0">
                <w:rPr>
                  <w:snapToGrid w:val="0"/>
                </w:rPr>
                <w:fldChar w:fldCharType="end"/>
              </w:r>
            </w:hyperlink>
          </w:p>
        </w:tc>
        <w:tc>
          <w:tcPr>
            <w:tcW w:w="866" w:type="pct"/>
            <w:tcBorders>
              <w:top w:val="single" w:sz="4" w:space="0" w:color="auto"/>
              <w:left w:val="single" w:sz="4" w:space="0" w:color="auto"/>
              <w:bottom w:val="single" w:sz="4" w:space="0" w:color="auto"/>
              <w:right w:val="single" w:sz="4" w:space="0" w:color="auto"/>
            </w:tcBorders>
            <w:vAlign w:val="center"/>
          </w:tcPr>
          <w:p w14:paraId="2B71A28A" w14:textId="643931F2" w:rsidR="00F01B96" w:rsidRDefault="00F01B96" w:rsidP="00F01B96">
            <w:pPr>
              <w:pStyle w:val="Tabletext1"/>
            </w:pPr>
            <w:r>
              <w:t>GI</w:t>
            </w:r>
            <w:r w:rsidR="003E0260">
              <w:t xml:space="preserve"> (rectal pain)</w:t>
            </w:r>
          </w:p>
        </w:tc>
        <w:tc>
          <w:tcPr>
            <w:tcW w:w="857" w:type="pct"/>
            <w:tcBorders>
              <w:top w:val="single" w:sz="4" w:space="0" w:color="auto"/>
              <w:left w:val="single" w:sz="4" w:space="0" w:color="auto"/>
              <w:bottom w:val="single" w:sz="4" w:space="0" w:color="auto"/>
              <w:right w:val="single" w:sz="4" w:space="0" w:color="auto"/>
            </w:tcBorders>
          </w:tcPr>
          <w:p w14:paraId="4175468C" w14:textId="273653D8" w:rsidR="00F01B96" w:rsidRDefault="00F01B96" w:rsidP="00F01B96">
            <w:pPr>
              <w:pStyle w:val="Tabletext1"/>
              <w:jc w:val="center"/>
            </w:pPr>
            <w:r>
              <w:t>2/25 (8%)</w:t>
            </w:r>
          </w:p>
        </w:tc>
        <w:tc>
          <w:tcPr>
            <w:tcW w:w="858" w:type="pct"/>
            <w:tcBorders>
              <w:top w:val="single" w:sz="4" w:space="0" w:color="auto"/>
              <w:left w:val="single" w:sz="4" w:space="0" w:color="auto"/>
              <w:bottom w:val="single" w:sz="4" w:space="0" w:color="auto"/>
              <w:right w:val="single" w:sz="4" w:space="0" w:color="auto"/>
            </w:tcBorders>
          </w:tcPr>
          <w:p w14:paraId="4B204E76" w14:textId="6A3B57D0" w:rsidR="00F01B96" w:rsidRDefault="00F01B96" w:rsidP="00F01B96">
            <w:pPr>
              <w:pStyle w:val="Tabletext1"/>
              <w:jc w:val="center"/>
            </w:pPr>
            <w:r>
              <w:t>1/25 (4%)</w:t>
            </w:r>
          </w:p>
        </w:tc>
        <w:tc>
          <w:tcPr>
            <w:tcW w:w="857" w:type="pct"/>
            <w:tcBorders>
              <w:top w:val="single" w:sz="4" w:space="0" w:color="auto"/>
              <w:left w:val="single" w:sz="4" w:space="0" w:color="auto"/>
              <w:bottom w:val="single" w:sz="4" w:space="0" w:color="auto"/>
              <w:right w:val="single" w:sz="4" w:space="0" w:color="auto"/>
            </w:tcBorders>
          </w:tcPr>
          <w:p w14:paraId="316EEA65" w14:textId="77777777" w:rsidR="00F01B96" w:rsidRDefault="00F01B96" w:rsidP="00F01B96">
            <w:pPr>
              <w:pStyle w:val="Tabletext1"/>
              <w:jc w:val="center"/>
            </w:pPr>
          </w:p>
        </w:tc>
        <w:tc>
          <w:tcPr>
            <w:tcW w:w="858" w:type="pct"/>
            <w:tcBorders>
              <w:top w:val="single" w:sz="4" w:space="0" w:color="auto"/>
              <w:left w:val="single" w:sz="4" w:space="0" w:color="auto"/>
              <w:bottom w:val="single" w:sz="4" w:space="0" w:color="auto"/>
              <w:right w:val="single" w:sz="4" w:space="0" w:color="auto"/>
            </w:tcBorders>
          </w:tcPr>
          <w:p w14:paraId="07230341" w14:textId="77777777" w:rsidR="00F01B96" w:rsidRDefault="00F01B96" w:rsidP="00F01B96">
            <w:pPr>
              <w:pStyle w:val="Tabletext1"/>
              <w:jc w:val="center"/>
            </w:pPr>
          </w:p>
        </w:tc>
      </w:tr>
      <w:tr w:rsidR="00F01B96" w:rsidRPr="00B2301A" w14:paraId="2B6E793C" w14:textId="77777777" w:rsidTr="00FB6605">
        <w:tc>
          <w:tcPr>
            <w:tcW w:w="704" w:type="pct"/>
            <w:tcBorders>
              <w:top w:val="nil"/>
              <w:left w:val="single" w:sz="4" w:space="0" w:color="auto"/>
              <w:bottom w:val="single" w:sz="4" w:space="0" w:color="auto"/>
              <w:right w:val="single" w:sz="4" w:space="0" w:color="auto"/>
            </w:tcBorders>
            <w:shd w:val="clear" w:color="auto" w:fill="auto"/>
          </w:tcPr>
          <w:p w14:paraId="5472B025" w14:textId="77777777" w:rsidR="00F01B96" w:rsidRDefault="00F01B96" w:rsidP="00F01B96">
            <w:pPr>
              <w:pStyle w:val="Tabletext1"/>
              <w:rPr>
                <w:snapToGrid w:val="0"/>
              </w:rPr>
            </w:pPr>
          </w:p>
        </w:tc>
        <w:tc>
          <w:tcPr>
            <w:tcW w:w="866" w:type="pct"/>
            <w:tcBorders>
              <w:top w:val="single" w:sz="4" w:space="0" w:color="auto"/>
              <w:left w:val="single" w:sz="4" w:space="0" w:color="auto"/>
              <w:bottom w:val="single" w:sz="4" w:space="0" w:color="auto"/>
              <w:right w:val="single" w:sz="4" w:space="0" w:color="auto"/>
            </w:tcBorders>
            <w:vAlign w:val="center"/>
          </w:tcPr>
          <w:p w14:paraId="4EDC5A26" w14:textId="68153654" w:rsidR="00F01B96" w:rsidRDefault="00F01B96" w:rsidP="00F01B96">
            <w:pPr>
              <w:pStyle w:val="Tabletext1"/>
            </w:pPr>
            <w:r>
              <w:t>GU</w:t>
            </w:r>
            <w:r w:rsidR="003E0260">
              <w:t xml:space="preserve"> (frequency, urgency, pain)</w:t>
            </w:r>
          </w:p>
        </w:tc>
        <w:tc>
          <w:tcPr>
            <w:tcW w:w="857" w:type="pct"/>
            <w:tcBorders>
              <w:top w:val="single" w:sz="4" w:space="0" w:color="auto"/>
              <w:left w:val="single" w:sz="4" w:space="0" w:color="auto"/>
              <w:bottom w:val="single" w:sz="4" w:space="0" w:color="auto"/>
              <w:right w:val="single" w:sz="4" w:space="0" w:color="auto"/>
            </w:tcBorders>
          </w:tcPr>
          <w:p w14:paraId="767B546B" w14:textId="273F57D6" w:rsidR="00F01B96" w:rsidRDefault="00F01B96" w:rsidP="00F01B96">
            <w:pPr>
              <w:pStyle w:val="Tabletext1"/>
              <w:jc w:val="center"/>
            </w:pPr>
            <w:r>
              <w:t>6/25 (24%)</w:t>
            </w:r>
          </w:p>
        </w:tc>
        <w:tc>
          <w:tcPr>
            <w:tcW w:w="858" w:type="pct"/>
            <w:tcBorders>
              <w:top w:val="single" w:sz="4" w:space="0" w:color="auto"/>
              <w:left w:val="single" w:sz="4" w:space="0" w:color="auto"/>
              <w:bottom w:val="single" w:sz="4" w:space="0" w:color="auto"/>
              <w:right w:val="single" w:sz="4" w:space="0" w:color="auto"/>
            </w:tcBorders>
          </w:tcPr>
          <w:p w14:paraId="74628D4C" w14:textId="44197BDE" w:rsidR="00F01B96" w:rsidRDefault="00F01B96" w:rsidP="00F01B96">
            <w:pPr>
              <w:pStyle w:val="Tabletext1"/>
              <w:jc w:val="center"/>
            </w:pPr>
            <w:r>
              <w:t>3/25 (12%)</w:t>
            </w:r>
          </w:p>
        </w:tc>
        <w:tc>
          <w:tcPr>
            <w:tcW w:w="857" w:type="pct"/>
            <w:tcBorders>
              <w:top w:val="single" w:sz="4" w:space="0" w:color="auto"/>
              <w:left w:val="single" w:sz="4" w:space="0" w:color="auto"/>
              <w:bottom w:val="single" w:sz="4" w:space="0" w:color="auto"/>
              <w:right w:val="single" w:sz="4" w:space="0" w:color="auto"/>
            </w:tcBorders>
          </w:tcPr>
          <w:p w14:paraId="03D38357" w14:textId="77777777" w:rsidR="00F01B96" w:rsidRDefault="00F01B96" w:rsidP="00F01B96">
            <w:pPr>
              <w:pStyle w:val="Tabletext1"/>
              <w:jc w:val="center"/>
            </w:pPr>
          </w:p>
        </w:tc>
        <w:tc>
          <w:tcPr>
            <w:tcW w:w="858" w:type="pct"/>
            <w:tcBorders>
              <w:top w:val="single" w:sz="4" w:space="0" w:color="auto"/>
              <w:left w:val="single" w:sz="4" w:space="0" w:color="auto"/>
              <w:bottom w:val="single" w:sz="4" w:space="0" w:color="auto"/>
              <w:right w:val="single" w:sz="4" w:space="0" w:color="auto"/>
            </w:tcBorders>
          </w:tcPr>
          <w:p w14:paraId="64625547" w14:textId="77777777" w:rsidR="00F01B96" w:rsidRDefault="00F01B96" w:rsidP="00F01B96">
            <w:pPr>
              <w:pStyle w:val="Tabletext1"/>
              <w:jc w:val="center"/>
            </w:pPr>
          </w:p>
        </w:tc>
      </w:tr>
    </w:tbl>
    <w:p w14:paraId="40627B73" w14:textId="4F2AE48D" w:rsidR="000E515E" w:rsidRPr="00183E4D" w:rsidRDefault="00113519" w:rsidP="000E515E">
      <w:pPr>
        <w:pStyle w:val="TFAbbrevs18"/>
        <w:rPr>
          <w:snapToGrid w:val="0"/>
          <w:lang w:eastAsia="en-US"/>
        </w:rPr>
      </w:pPr>
      <w:r>
        <w:rPr>
          <w:snapToGrid w:val="0"/>
          <w:lang w:eastAsia="en-US"/>
        </w:rPr>
        <w:t>GI</w:t>
      </w:r>
      <w:r w:rsidR="00592C07">
        <w:rPr>
          <w:snapToGrid w:val="0"/>
          <w:lang w:eastAsia="en-US"/>
        </w:rPr>
        <w:t>=</w:t>
      </w:r>
      <w:r>
        <w:rPr>
          <w:snapToGrid w:val="0"/>
          <w:lang w:eastAsia="en-US"/>
        </w:rPr>
        <w:t xml:space="preserve">gastrointestinal; </w:t>
      </w:r>
      <w:r w:rsidR="000E515E">
        <w:rPr>
          <w:snapToGrid w:val="0"/>
          <w:lang w:eastAsia="en-US"/>
        </w:rPr>
        <w:t>GU</w:t>
      </w:r>
      <w:r w:rsidR="00592C07">
        <w:rPr>
          <w:snapToGrid w:val="0"/>
          <w:lang w:eastAsia="en-US"/>
        </w:rPr>
        <w:t>=</w:t>
      </w:r>
      <w:r w:rsidR="000E515E">
        <w:rPr>
          <w:snapToGrid w:val="0"/>
          <w:lang w:eastAsia="en-US"/>
        </w:rPr>
        <w:t>genitourinary</w:t>
      </w:r>
      <w:r>
        <w:rPr>
          <w:snapToGrid w:val="0"/>
          <w:lang w:eastAsia="en-US"/>
        </w:rPr>
        <w:t>; MR-IGRT</w:t>
      </w:r>
      <w:r w:rsidR="00592C07">
        <w:rPr>
          <w:snapToGrid w:val="0"/>
          <w:lang w:eastAsia="en-US"/>
        </w:rPr>
        <w:t>=</w:t>
      </w:r>
      <w:r>
        <w:rPr>
          <w:snapToGrid w:val="0"/>
          <w:lang w:eastAsia="en-US"/>
        </w:rPr>
        <w:t>magnetic resonance image-guided radiation therapy</w:t>
      </w:r>
    </w:p>
    <w:p w14:paraId="1F23808D" w14:textId="3912F4BF" w:rsidR="006A6FD9" w:rsidRDefault="006A6FD9" w:rsidP="006A6FD9">
      <w:bookmarkStart w:id="360" w:name="_Ref55812163"/>
      <w:r>
        <w:t>Thirty-</w:t>
      </w:r>
      <w:r w:rsidR="00993E60">
        <w:t>three</w:t>
      </w:r>
      <w:r>
        <w:t xml:space="preserve"> studies reporting on the toxicity of CBCT-IGRT treatment of prostate cancer were identified for the naïve comparison</w:t>
      </w:r>
      <w:r w:rsidR="00EB4880">
        <w:t xml:space="preserve"> </w:t>
      </w:r>
      <w:r w:rsidR="000C77B0">
        <w:fldChar w:fldCharType="begin">
          <w:fldData xml:space="preserve">NDg3NjM5NiI+NjM8L2tleT48L2ZvcmVpZ24ta2V5cz48cmVmLXR5cGUgbmFtZT0iSm91cm5hbCBB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</w:fldData>
        </w:fldChar>
      </w:r>
      <w:r w:rsidR="000C77B0">
        <w:instrText xml:space="preserve"> ADDIN EN.CITE </w:instrText>
      </w:r>
      <w:r w:rsidR="000C77B0">
        <w:fldChar w:fldCharType="begin">
          <w:fldData xml:space="preserve">PEVuZE5vdGU+PENpdGU+PEF1dGhvcj5CZWNrZXItU2NoaWViZTwvQXV0aG9yPjxZZWFyPjIwMTY8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==
</w:fldData>
        </w:fldChar>
      </w:r>
      <w:r w:rsidR="000C77B0">
        <w:instrText xml:space="preserve"> ADDIN EN.CITE.DATA </w:instrText>
      </w:r>
      <w:r w:rsidR="000C77B0">
        <w:fldChar w:fldCharType="end"/>
      </w:r>
      <w:r w:rsidR="000C77B0">
        <w:fldChar w:fldCharType="begin">
          <w:fldData xml:space="preserve">NDg3NjM5NiI+NjM8L2tleT48L2ZvcmVpZ24ta2V5cz48cmVmLXR5cGUgbmFtZT0iSm91cm5hbCBB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</w:fldData>
        </w:fldChar>
      </w:r>
      <w:r w:rsidR="000C77B0">
        <w:instrText xml:space="preserve"> ADDIN EN.CITE.DATA </w:instrText>
      </w:r>
      <w:r w:rsidR="000C77B0">
        <w:fldChar w:fldCharType="end"/>
      </w:r>
      <w:r w:rsidR="000C77B0">
        <w:fldChar w:fldCharType="separate"/>
      </w:r>
      <w:r w:rsidR="000C77B0">
        <w:rPr>
          <w:noProof/>
        </w:rPr>
        <w:t>(</w:t>
      </w:r>
      <w:hyperlink w:anchor="_ENREF_11" w:tooltip="Becker-Schiebe, 2016 #33" w:history="1">
        <w:r w:rsidR="008B6FC0">
          <w:rPr>
            <w:noProof/>
          </w:rPr>
          <w:t>Becker-Schiebe et al., 2016</w:t>
        </w:r>
      </w:hyperlink>
      <w:r w:rsidR="000C77B0">
        <w:rPr>
          <w:noProof/>
        </w:rPr>
        <w:t xml:space="preserve">; </w:t>
      </w:r>
      <w:hyperlink w:anchor="_ENREF_12" w:tooltip="Berlin, 2015 #34" w:history="1">
        <w:r w:rsidR="008B6FC0">
          <w:rPr>
            <w:noProof/>
          </w:rPr>
          <w:t>Berlin et al., 2015</w:t>
        </w:r>
      </w:hyperlink>
      <w:r w:rsidR="000C77B0">
        <w:rPr>
          <w:noProof/>
        </w:rPr>
        <w:t xml:space="preserve">; </w:t>
      </w:r>
      <w:hyperlink w:anchor="_ENREF_14" w:tooltip="Byrne, 2017 #36" w:history="1">
        <w:r w:rsidR="008B6FC0">
          <w:rPr>
            <w:noProof/>
          </w:rPr>
          <w:t>Byrne et al., 2017</w:t>
        </w:r>
      </w:hyperlink>
      <w:r w:rsidR="000C77B0">
        <w:rPr>
          <w:noProof/>
        </w:rPr>
        <w:t xml:space="preserve">; </w:t>
      </w:r>
      <w:hyperlink w:anchor="_ENREF_15" w:tooltip="Byun, 2018 #37" w:history="1">
        <w:r w:rsidR="008B6FC0">
          <w:rPr>
            <w:noProof/>
          </w:rPr>
          <w:t>Byun et al., 2018</w:t>
        </w:r>
      </w:hyperlink>
      <w:r w:rsidR="000C77B0">
        <w:rPr>
          <w:noProof/>
        </w:rPr>
        <w:t xml:space="preserve">; </w:t>
      </w:r>
      <w:hyperlink w:anchor="_ENREF_16" w:tooltip="Callan, 2019 #38" w:history="1">
        <w:r w:rsidR="008B6FC0">
          <w:rPr>
            <w:noProof/>
          </w:rPr>
          <w:t>Callan et al., 2019</w:t>
        </w:r>
      </w:hyperlink>
      <w:r w:rsidR="000C77B0">
        <w:rPr>
          <w:noProof/>
        </w:rPr>
        <w:t xml:space="preserve">; </w:t>
      </w:r>
      <w:hyperlink w:anchor="_ENREF_23" w:tooltip="Correa, 2020 #39" w:history="1">
        <w:r w:rsidR="008B6FC0">
          <w:rPr>
            <w:noProof/>
          </w:rPr>
          <w:t>Correa et al., 2020</w:t>
        </w:r>
      </w:hyperlink>
      <w:r w:rsidR="000C77B0">
        <w:rPr>
          <w:noProof/>
        </w:rPr>
        <w:t xml:space="preserve">; </w:t>
      </w:r>
      <w:hyperlink w:anchor="_ENREF_24" w:tooltip="Duffton, 2018 #40" w:history="1">
        <w:r w:rsidR="008B6FC0">
          <w:rPr>
            <w:noProof/>
          </w:rPr>
          <w:t>Duffton et al., 2018</w:t>
        </w:r>
      </w:hyperlink>
      <w:r w:rsidR="000C77B0">
        <w:rPr>
          <w:noProof/>
        </w:rPr>
        <w:t xml:space="preserve">; </w:t>
      </w:r>
      <w:hyperlink w:anchor="_ENREF_25" w:tooltip="Eldredge, 2011 #41" w:history="1">
        <w:r w:rsidR="008B6FC0">
          <w:rPr>
            <w:noProof/>
          </w:rPr>
          <w:t>Eldredge et al., 2011</w:t>
        </w:r>
      </w:hyperlink>
      <w:r w:rsidR="000C77B0">
        <w:rPr>
          <w:noProof/>
        </w:rPr>
        <w:t xml:space="preserve">; </w:t>
      </w:r>
      <w:hyperlink w:anchor="_ENREF_26" w:tooltip="Faria, 2016 #42" w:history="1">
        <w:r w:rsidR="008B6FC0">
          <w:rPr>
            <w:noProof/>
          </w:rPr>
          <w:t>Faria et al., 2016</w:t>
        </w:r>
      </w:hyperlink>
      <w:r w:rsidR="000C77B0">
        <w:rPr>
          <w:noProof/>
        </w:rPr>
        <w:t xml:space="preserve">; </w:t>
      </w:r>
      <w:hyperlink w:anchor="_ENREF_31" w:tooltip="Girelli, 2015 #44" w:history="1">
        <w:r w:rsidR="008B6FC0">
          <w:rPr>
            <w:noProof/>
          </w:rPr>
          <w:t>Girelli et al., 2015</w:t>
        </w:r>
      </w:hyperlink>
      <w:r w:rsidR="000C77B0">
        <w:rPr>
          <w:noProof/>
        </w:rPr>
        <w:t xml:space="preserve">; </w:t>
      </w:r>
      <w:hyperlink w:anchor="_ENREF_34" w:tooltip="Guckenberger, 2014 #47" w:history="1">
        <w:r w:rsidR="008B6FC0">
          <w:rPr>
            <w:noProof/>
          </w:rPr>
          <w:t>Guckenberger et al., 2014</w:t>
        </w:r>
      </w:hyperlink>
      <w:r w:rsidR="000C77B0">
        <w:rPr>
          <w:noProof/>
        </w:rPr>
        <w:t xml:space="preserve">; </w:t>
      </w:r>
      <w:hyperlink w:anchor="_ENREF_35" w:tooltip="Guckenberger, 2010 #48" w:history="1">
        <w:r w:rsidR="008B6FC0">
          <w:rPr>
            <w:noProof/>
          </w:rPr>
          <w:t>Guckenberger</w:t>
        </w:r>
        <w:r w:rsidR="001F781A">
          <w:rPr>
            <w:noProof/>
          </w:rPr>
          <w:t>, Ok,</w:t>
        </w:r>
        <w:r w:rsidR="008B6FC0">
          <w:rPr>
            <w:noProof/>
          </w:rPr>
          <w:t xml:space="preserve"> et al., </w:t>
        </w:r>
        <w:r w:rsidR="001F781A">
          <w:rPr>
            <w:noProof/>
          </w:rPr>
          <w:t>2010</w:t>
        </w:r>
      </w:hyperlink>
      <w:r w:rsidR="000C77B0">
        <w:rPr>
          <w:noProof/>
        </w:rPr>
        <w:t xml:space="preserve">; </w:t>
      </w:r>
      <w:hyperlink w:anchor="_ENREF_38" w:tooltip="Hopper, 2018 #49" w:history="1">
        <w:r w:rsidR="008B6FC0">
          <w:rPr>
            <w:noProof/>
          </w:rPr>
          <w:t>Hopper et al., 2018</w:t>
        </w:r>
      </w:hyperlink>
      <w:r w:rsidR="000C77B0">
        <w:rPr>
          <w:noProof/>
        </w:rPr>
        <w:t xml:space="preserve">; </w:t>
      </w:r>
      <w:hyperlink w:anchor="_ENREF_39" w:tooltip="Ingrosso, 2018 #50" w:history="1">
        <w:r w:rsidR="008B6FC0">
          <w:rPr>
            <w:noProof/>
          </w:rPr>
          <w:t>Ingrosso et al., 2018</w:t>
        </w:r>
      </w:hyperlink>
      <w:r w:rsidR="000C77B0">
        <w:rPr>
          <w:noProof/>
        </w:rPr>
        <w:t xml:space="preserve">; </w:t>
      </w:r>
      <w:hyperlink w:anchor="_ENREF_40" w:tooltip="Ingrosso, 2017 #51" w:history="1">
        <w:r w:rsidR="008B6FC0">
          <w:rPr>
            <w:noProof/>
          </w:rPr>
          <w:t>Ingrosso et al., 2017</w:t>
        </w:r>
      </w:hyperlink>
      <w:r w:rsidR="000C77B0">
        <w:rPr>
          <w:noProof/>
        </w:rPr>
        <w:t xml:space="preserve">; </w:t>
      </w:r>
      <w:hyperlink w:anchor="_ENREF_41" w:tooltip="Ishii, 2016 #52" w:history="1">
        <w:r w:rsidR="008B6FC0">
          <w:rPr>
            <w:noProof/>
          </w:rPr>
          <w:t>Ishii et al., 2016</w:t>
        </w:r>
      </w:hyperlink>
      <w:r w:rsidR="000C77B0">
        <w:rPr>
          <w:noProof/>
        </w:rPr>
        <w:t xml:space="preserve">; </w:t>
      </w:r>
      <w:hyperlink w:anchor="_ENREF_42" w:tooltip="Keall, 2020 #54" w:history="1">
        <w:r w:rsidR="008B6FC0">
          <w:rPr>
            <w:noProof/>
          </w:rPr>
          <w:t>Keall et al., 2020</w:t>
        </w:r>
      </w:hyperlink>
      <w:r w:rsidR="000C77B0">
        <w:rPr>
          <w:noProof/>
        </w:rPr>
        <w:t xml:space="preserve">; </w:t>
      </w:r>
      <w:hyperlink w:anchor="_ENREF_49" w:tooltip="Levin-Epstein, 2020 #58" w:history="1">
        <w:r w:rsidR="008B6FC0">
          <w:rPr>
            <w:noProof/>
          </w:rPr>
          <w:t>Levin-Epstein et al., 2020</w:t>
        </w:r>
      </w:hyperlink>
      <w:r w:rsidR="000C77B0">
        <w:rPr>
          <w:noProof/>
        </w:rPr>
        <w:t xml:space="preserve">; </w:t>
      </w:r>
      <w:hyperlink w:anchor="_ENREF_52" w:tooltip="Nakamura, 2018 #59" w:history="1">
        <w:r w:rsidR="008B6FC0">
          <w:rPr>
            <w:noProof/>
          </w:rPr>
          <w:t>Nakamura et al., 2018</w:t>
        </w:r>
      </w:hyperlink>
      <w:r w:rsidR="000C77B0">
        <w:rPr>
          <w:noProof/>
        </w:rPr>
        <w:t xml:space="preserve">; </w:t>
      </w:r>
      <w:hyperlink w:anchor="_ENREF_53" w:tooltip="Naoi, 2019 #60" w:history="1">
        <w:r w:rsidR="008B6FC0">
          <w:rPr>
            <w:noProof/>
          </w:rPr>
          <w:t>Naoi et al., 2019</w:t>
        </w:r>
      </w:hyperlink>
      <w:r w:rsidR="000C77B0">
        <w:rPr>
          <w:noProof/>
        </w:rPr>
        <w:t xml:space="preserve">; </w:t>
      </w:r>
      <w:hyperlink w:anchor="_ENREF_54" w:tooltip="Nath, 2010 #61" w:history="1">
        <w:r w:rsidR="008B6FC0">
          <w:rPr>
            <w:noProof/>
          </w:rPr>
          <w:t>Nath et al., 2010</w:t>
        </w:r>
      </w:hyperlink>
      <w:r w:rsidR="000C77B0">
        <w:rPr>
          <w:noProof/>
        </w:rPr>
        <w:t xml:space="preserve">; </w:t>
      </w:r>
      <w:hyperlink w:anchor="_ENREF_56" w:tooltip="Ost, 2011 #63" w:history="1">
        <w:r w:rsidR="008B6FC0">
          <w:rPr>
            <w:noProof/>
          </w:rPr>
          <w:t>Ost et al., 2011</w:t>
        </w:r>
      </w:hyperlink>
      <w:r w:rsidR="000C77B0">
        <w:rPr>
          <w:noProof/>
        </w:rPr>
        <w:t xml:space="preserve">; </w:t>
      </w:r>
      <w:hyperlink w:anchor="_ENREF_59" w:tooltip="Pryor, 2019 #65" w:history="1">
        <w:r w:rsidR="008B6FC0">
          <w:rPr>
            <w:noProof/>
          </w:rPr>
          <w:t>Pryor et al., 2019</w:t>
        </w:r>
      </w:hyperlink>
      <w:r w:rsidR="000C77B0">
        <w:rPr>
          <w:noProof/>
        </w:rPr>
        <w:t xml:space="preserve">; </w:t>
      </w:r>
      <w:hyperlink w:anchor="_ENREF_63" w:tooltip="Shelan, 2019 #67" w:history="1">
        <w:r w:rsidR="008B6FC0">
          <w:rPr>
            <w:noProof/>
          </w:rPr>
          <w:t>Shelan et al., 2019</w:t>
        </w:r>
      </w:hyperlink>
      <w:r w:rsidR="000C77B0">
        <w:rPr>
          <w:noProof/>
        </w:rPr>
        <w:t xml:space="preserve">; </w:t>
      </w:r>
      <w:hyperlink w:anchor="_ENREF_65" w:tooltip="Simpson, 2011 #69" w:history="1">
        <w:r w:rsidR="008B6FC0">
          <w:rPr>
            <w:noProof/>
          </w:rPr>
          <w:t>Simpson et al., 2011</w:t>
        </w:r>
      </w:hyperlink>
      <w:r w:rsidR="000C77B0">
        <w:rPr>
          <w:noProof/>
        </w:rPr>
        <w:t xml:space="preserve">; </w:t>
      </w:r>
      <w:hyperlink w:anchor="_ENREF_68" w:tooltip="Swamy, 2009 #71" w:history="1">
        <w:r w:rsidR="008B6FC0">
          <w:rPr>
            <w:noProof/>
          </w:rPr>
          <w:t>Swamy et al., 2009</w:t>
        </w:r>
      </w:hyperlink>
      <w:r w:rsidR="000C77B0">
        <w:rPr>
          <w:noProof/>
        </w:rPr>
        <w:t xml:space="preserve">; </w:t>
      </w:r>
      <w:hyperlink w:anchor="_ENREF_69" w:tooltip="Tamihardja, 2020 #72" w:history="1">
        <w:r w:rsidR="008B6FC0">
          <w:rPr>
            <w:noProof/>
          </w:rPr>
          <w:t>Tamihardja et al., 2020</w:t>
        </w:r>
      </w:hyperlink>
      <w:r w:rsidR="000C77B0">
        <w:rPr>
          <w:noProof/>
        </w:rPr>
        <w:t xml:space="preserve">; </w:t>
      </w:r>
      <w:hyperlink w:anchor="_ENREF_74" w:tooltip="Valeriani, 2018 #75" w:history="1">
        <w:r w:rsidR="008B6FC0">
          <w:rPr>
            <w:noProof/>
          </w:rPr>
          <w:t>Valeriani et al., 2018</w:t>
        </w:r>
      </w:hyperlink>
      <w:r w:rsidR="000C77B0">
        <w:rPr>
          <w:noProof/>
        </w:rPr>
        <w:t xml:space="preserve">; </w:t>
      </w:r>
      <w:hyperlink w:anchor="_ENREF_75" w:tooltip="Valeriani, 2013 #76" w:history="1">
        <w:r w:rsidR="008B6FC0">
          <w:rPr>
            <w:noProof/>
          </w:rPr>
          <w:t>Valeriani</w:t>
        </w:r>
        <w:r w:rsidR="001F781A">
          <w:rPr>
            <w:noProof/>
          </w:rPr>
          <w:t>, Bracci,</w:t>
        </w:r>
        <w:r w:rsidR="008B6FC0">
          <w:rPr>
            <w:noProof/>
          </w:rPr>
          <w:t xml:space="preserve"> et al., </w:t>
        </w:r>
        <w:r w:rsidR="001F781A">
          <w:rPr>
            <w:noProof/>
          </w:rPr>
          <w:t>2013</w:t>
        </w:r>
      </w:hyperlink>
      <w:r w:rsidR="000C77B0">
        <w:rPr>
          <w:noProof/>
        </w:rPr>
        <w:t xml:space="preserve">; </w:t>
      </w:r>
      <w:hyperlink w:anchor="_ENREF_76" w:tooltip="Valeriani, 2013 #77" w:history="1">
        <w:r w:rsidR="008B6FC0">
          <w:rPr>
            <w:noProof/>
          </w:rPr>
          <w:t>Valeriani</w:t>
        </w:r>
        <w:r w:rsidR="001F781A">
          <w:rPr>
            <w:noProof/>
          </w:rPr>
          <w:t>, Carnevale,</w:t>
        </w:r>
        <w:r w:rsidR="008B6FC0">
          <w:rPr>
            <w:noProof/>
          </w:rPr>
          <w:t xml:space="preserve"> et al., </w:t>
        </w:r>
        <w:r w:rsidR="001F781A">
          <w:rPr>
            <w:noProof/>
          </w:rPr>
          <w:t>2013</w:t>
        </w:r>
      </w:hyperlink>
      <w:r w:rsidR="000C77B0">
        <w:rPr>
          <w:noProof/>
        </w:rPr>
        <w:t xml:space="preserve">; </w:t>
      </w:r>
      <w:hyperlink w:anchor="_ENREF_78" w:tooltip="Vargas, 2019 #78" w:history="1">
        <w:r w:rsidR="008B6FC0">
          <w:rPr>
            <w:noProof/>
          </w:rPr>
          <w:t>Vargas et al., 2019</w:t>
        </w:r>
      </w:hyperlink>
      <w:r w:rsidR="000C77B0">
        <w:rPr>
          <w:noProof/>
        </w:rPr>
        <w:t xml:space="preserve">; </w:t>
      </w:r>
      <w:hyperlink w:anchor="_ENREF_79" w:tooltip="Vassis, 2020 #79" w:history="1">
        <w:r w:rsidR="008B6FC0">
          <w:rPr>
            <w:noProof/>
          </w:rPr>
          <w:t>Vassis et al., 2020</w:t>
        </w:r>
      </w:hyperlink>
      <w:r w:rsidR="000C77B0">
        <w:rPr>
          <w:noProof/>
        </w:rPr>
        <w:t xml:space="preserve">; </w:t>
      </w:r>
      <w:hyperlink w:anchor="_ENREF_81" w:tooltip="Wang, 2018 #81" w:history="1">
        <w:r w:rsidR="008B6FC0">
          <w:rPr>
            <w:noProof/>
          </w:rPr>
          <w:t>Wang et al., 2018</w:t>
        </w:r>
      </w:hyperlink>
      <w:r w:rsidR="000C77B0">
        <w:rPr>
          <w:noProof/>
        </w:rPr>
        <w:t>)</w:t>
      </w:r>
      <w:r w:rsidR="000C77B0">
        <w:fldChar w:fldCharType="end"/>
      </w:r>
      <w:r>
        <w:t xml:space="preserve">. </w:t>
      </w:r>
      <w:r w:rsidR="00ED604D">
        <w:t xml:space="preserve">All </w:t>
      </w:r>
      <w:r w:rsidR="009C6A19">
        <w:t xml:space="preserve">patients had </w:t>
      </w:r>
      <w:r w:rsidR="0083626E">
        <w:t xml:space="preserve">localised or </w:t>
      </w:r>
      <w:r w:rsidR="001515FB">
        <w:t xml:space="preserve">locally advanced, </w:t>
      </w:r>
      <w:r w:rsidR="009C6A19">
        <w:t>non-metastatic prostate cancer</w:t>
      </w:r>
      <w:r w:rsidR="00971D67">
        <w:t xml:space="preserve"> of </w:t>
      </w:r>
      <w:r w:rsidR="001515FB">
        <w:t>varying risk (low</w:t>
      </w:r>
      <w:r w:rsidR="00F372F9">
        <w:t>, intermediate, high, or mixed</w:t>
      </w:r>
      <w:r w:rsidR="001515FB">
        <w:t>).</w:t>
      </w:r>
      <w:r w:rsidR="005B7158">
        <w:t xml:space="preserve"> Eight studies involved patients receiving radiotherapy </w:t>
      </w:r>
      <w:r w:rsidR="004A5A50">
        <w:t xml:space="preserve">into prostatic bed after radical prostatectomy </w:t>
      </w:r>
      <w:r w:rsidR="000C77B0">
        <w:fldChar w:fldCharType="begin">
          <w:fldData xml:space="preserve">PEVuZE5vdGU+PENpdGU+PEF1dGhvcj5CZXJsaW48L0F1dGhvcj48WWVhcj4yMDE1PC9ZZWFyPjxS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</w:fldData>
        </w:fldChar>
      </w:r>
      <w:r w:rsidR="000C77B0">
        <w:instrText xml:space="preserve"> ADDIN EN.CITE </w:instrText>
      </w:r>
      <w:r w:rsidR="000C77B0">
        <w:fldChar w:fldCharType="begin">
          <w:fldData xml:space="preserve">PEVuZE5vdGU+PENpdGU+PEF1dGhvcj5CZXJsaW48L0F1dGhvcj48WWVhcj4yMDE1PC9ZZWFyPjxS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</w:fldData>
        </w:fldChar>
      </w:r>
      <w:r w:rsidR="000C77B0">
        <w:instrText xml:space="preserve"> ADDIN EN.CITE.DATA </w:instrText>
      </w:r>
      <w:r w:rsidR="000C77B0">
        <w:fldChar w:fldCharType="end"/>
      </w:r>
      <w:r w:rsidR="000C77B0">
        <w:fldChar w:fldCharType="separate"/>
      </w:r>
      <w:r w:rsidR="000C77B0">
        <w:rPr>
          <w:noProof/>
        </w:rPr>
        <w:t>(</w:t>
      </w:r>
      <w:hyperlink w:anchor="_ENREF_12" w:tooltip="Berlin, 2015 #34" w:history="1">
        <w:r w:rsidR="008B6FC0">
          <w:rPr>
            <w:noProof/>
          </w:rPr>
          <w:t>Berlin et al., 2015</w:t>
        </w:r>
      </w:hyperlink>
      <w:r w:rsidR="000C77B0">
        <w:rPr>
          <w:noProof/>
        </w:rPr>
        <w:t xml:space="preserve">; </w:t>
      </w:r>
      <w:hyperlink w:anchor="_ENREF_15" w:tooltip="Byun, 2018 #37" w:history="1">
        <w:r w:rsidR="008B6FC0">
          <w:rPr>
            <w:noProof/>
          </w:rPr>
          <w:t>Byun et al., 2018</w:t>
        </w:r>
      </w:hyperlink>
      <w:r w:rsidR="000C77B0">
        <w:rPr>
          <w:noProof/>
        </w:rPr>
        <w:t xml:space="preserve">; </w:t>
      </w:r>
      <w:hyperlink w:anchor="_ENREF_25" w:tooltip="Eldredge, 2011 #41" w:history="1">
        <w:r w:rsidR="008B6FC0">
          <w:rPr>
            <w:noProof/>
          </w:rPr>
          <w:t>Eldredge et al., 2011</w:t>
        </w:r>
      </w:hyperlink>
      <w:r w:rsidR="000C77B0">
        <w:rPr>
          <w:noProof/>
        </w:rPr>
        <w:t xml:space="preserve">; </w:t>
      </w:r>
      <w:hyperlink w:anchor="_ENREF_40" w:tooltip="Ingrosso, 2017 #51" w:history="1">
        <w:r w:rsidR="008B6FC0">
          <w:rPr>
            <w:noProof/>
          </w:rPr>
          <w:t>Ingrosso et al., 2017</w:t>
        </w:r>
      </w:hyperlink>
      <w:r w:rsidR="000C77B0">
        <w:rPr>
          <w:noProof/>
        </w:rPr>
        <w:t xml:space="preserve">; </w:t>
      </w:r>
      <w:hyperlink w:anchor="_ENREF_54" w:tooltip="Nath, 2010 #61" w:history="1">
        <w:r w:rsidR="008B6FC0">
          <w:rPr>
            <w:noProof/>
          </w:rPr>
          <w:t>Nath et al., 2010</w:t>
        </w:r>
      </w:hyperlink>
      <w:r w:rsidR="000C77B0">
        <w:rPr>
          <w:noProof/>
        </w:rPr>
        <w:t xml:space="preserve">; </w:t>
      </w:r>
      <w:hyperlink w:anchor="_ENREF_56" w:tooltip="Ost, 2011 #63" w:history="1">
        <w:r w:rsidR="008B6FC0">
          <w:rPr>
            <w:noProof/>
          </w:rPr>
          <w:t>Ost et al., 2011</w:t>
        </w:r>
      </w:hyperlink>
      <w:r w:rsidR="000C77B0">
        <w:rPr>
          <w:noProof/>
        </w:rPr>
        <w:t xml:space="preserve">; </w:t>
      </w:r>
      <w:hyperlink w:anchor="_ENREF_63" w:tooltip="Shelan, 2019 #67" w:history="1">
        <w:r w:rsidR="008B6FC0">
          <w:rPr>
            <w:noProof/>
          </w:rPr>
          <w:t>Shelan et al., 2019</w:t>
        </w:r>
      </w:hyperlink>
      <w:r w:rsidR="000C77B0">
        <w:rPr>
          <w:noProof/>
        </w:rPr>
        <w:t xml:space="preserve">; </w:t>
      </w:r>
      <w:hyperlink w:anchor="_ENREF_65" w:tooltip="Simpson, 2011 #69" w:history="1">
        <w:r w:rsidR="008B6FC0">
          <w:rPr>
            <w:noProof/>
          </w:rPr>
          <w:t>Simpson et al., 2011</w:t>
        </w:r>
      </w:hyperlink>
      <w:r w:rsidR="000C77B0">
        <w:rPr>
          <w:noProof/>
        </w:rPr>
        <w:t>)</w:t>
      </w:r>
      <w:r w:rsidR="000C77B0">
        <w:fldChar w:fldCharType="end"/>
      </w:r>
      <w:r w:rsidR="00C73CC1">
        <w:t xml:space="preserve">, and three studies involved patients with recurrent disease </w:t>
      </w:r>
      <w:r w:rsidR="00C43BAE">
        <w:lastRenderedPageBreak/>
        <w:t xml:space="preserve">receiving salvage radiotherapy </w:t>
      </w:r>
      <w:r w:rsidR="000C77B0">
        <w:fldChar w:fldCharType="begin">
          <w:fldData xml:space="preserve">PEVuZE5vdGU+PENpdGU+PEF1dGhvcj5CeXVuPC9BdXRob3I+PFllYXI+MjAxODwvWWVhcj48UmVj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</w:fldData>
        </w:fldChar>
      </w:r>
      <w:r w:rsidR="000C77B0">
        <w:instrText xml:space="preserve"> ADDIN EN.CITE </w:instrText>
      </w:r>
      <w:r w:rsidR="000C77B0">
        <w:fldChar w:fldCharType="begin">
          <w:fldData xml:space="preserve">PEVuZE5vdGU+PENpdGU+PEF1dGhvcj5CeXVuPC9BdXRob3I+PFllYXI+MjAxODwvWWVhcj48UmVj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</w:fldData>
        </w:fldChar>
      </w:r>
      <w:r w:rsidR="000C77B0">
        <w:instrText xml:space="preserve"> ADDIN EN.CITE.DATA </w:instrText>
      </w:r>
      <w:r w:rsidR="000C77B0">
        <w:fldChar w:fldCharType="end"/>
      </w:r>
      <w:r w:rsidR="000C77B0">
        <w:fldChar w:fldCharType="separate"/>
      </w:r>
      <w:r w:rsidR="000C77B0">
        <w:rPr>
          <w:noProof/>
        </w:rPr>
        <w:t>(</w:t>
      </w:r>
      <w:hyperlink w:anchor="_ENREF_15" w:tooltip="Byun, 2018 #37" w:history="1">
        <w:r w:rsidR="008B6FC0">
          <w:rPr>
            <w:noProof/>
          </w:rPr>
          <w:t>Byun et al., 2018</w:t>
        </w:r>
      </w:hyperlink>
      <w:r w:rsidR="000C77B0">
        <w:rPr>
          <w:noProof/>
        </w:rPr>
        <w:t xml:space="preserve">; </w:t>
      </w:r>
      <w:hyperlink w:anchor="_ENREF_38" w:tooltip="Hopper, 2018 #49" w:history="1">
        <w:r w:rsidR="008B6FC0">
          <w:rPr>
            <w:noProof/>
          </w:rPr>
          <w:t>Hopper et al., 2018</w:t>
        </w:r>
      </w:hyperlink>
      <w:r w:rsidR="000C77B0">
        <w:rPr>
          <w:noProof/>
        </w:rPr>
        <w:t xml:space="preserve">; </w:t>
      </w:r>
      <w:hyperlink w:anchor="_ENREF_63" w:tooltip="Shelan, 2019 #67" w:history="1">
        <w:r w:rsidR="008B6FC0">
          <w:rPr>
            <w:noProof/>
          </w:rPr>
          <w:t>Shelan et al., 2019</w:t>
        </w:r>
      </w:hyperlink>
      <w:r w:rsidR="000C77B0">
        <w:rPr>
          <w:noProof/>
        </w:rPr>
        <w:t>)</w:t>
      </w:r>
      <w:r w:rsidR="000C77B0">
        <w:fldChar w:fldCharType="end"/>
      </w:r>
      <w:r w:rsidR="00245BEA">
        <w:t>.</w:t>
      </w:r>
      <w:r w:rsidR="00B16BFE" w:rsidRPr="00B16BFE">
        <w:t xml:space="preserve"> </w:t>
      </w:r>
      <w:r w:rsidR="00B16BFE">
        <w:t xml:space="preserve">The outcomes are summarised in </w:t>
      </w:r>
      <w:r w:rsidR="00B16BFE">
        <w:fldChar w:fldCharType="begin"/>
      </w:r>
      <w:r w:rsidR="00B16BFE">
        <w:instrText xml:space="preserve"> REF _Ref55990743 \h </w:instrText>
      </w:r>
      <w:r w:rsidR="00B16BFE">
        <w:fldChar w:fldCharType="separate"/>
      </w:r>
      <w:r w:rsidR="00451350" w:rsidRPr="00E86441">
        <w:t xml:space="preserve">Table </w:t>
      </w:r>
      <w:r w:rsidR="00451350">
        <w:rPr>
          <w:noProof/>
        </w:rPr>
        <w:t>21</w:t>
      </w:r>
      <w:r w:rsidR="00B16BFE">
        <w:fldChar w:fldCharType="end"/>
      </w:r>
      <w:r w:rsidR="00B16BFE">
        <w:t>.</w:t>
      </w:r>
    </w:p>
    <w:p w14:paraId="68342995" w14:textId="785A9D71" w:rsidR="00113519" w:rsidRPr="00183E4D" w:rsidRDefault="00113519" w:rsidP="00113519">
      <w:pPr>
        <w:pStyle w:val="Caption"/>
        <w:keepNext/>
        <w:rPr>
          <w:snapToGrid w:val="0"/>
          <w:lang w:eastAsia="en-US"/>
        </w:rPr>
      </w:pPr>
      <w:bookmarkStart w:id="361" w:name="_Ref55990743"/>
      <w:bookmarkStart w:id="362" w:name="_Toc89857892"/>
      <w:r w:rsidRPr="00E86441">
        <w:t xml:space="preserve">Table </w:t>
      </w:r>
      <w:r w:rsidR="00211285">
        <w:fldChar w:fldCharType="begin"/>
      </w:r>
      <w:r w:rsidR="00211285">
        <w:instrText xml:space="preserve"> SEQ Table \* ARABIC </w:instrText>
      </w:r>
      <w:r w:rsidR="00211285">
        <w:fldChar w:fldCharType="separate"/>
      </w:r>
      <w:r w:rsidR="00451350">
        <w:rPr>
          <w:noProof/>
        </w:rPr>
        <w:t>21</w:t>
      </w:r>
      <w:r w:rsidR="00211285">
        <w:rPr>
          <w:noProof/>
        </w:rPr>
        <w:fldChar w:fldCharType="end"/>
      </w:r>
      <w:bookmarkEnd w:id="360"/>
      <w:bookmarkEnd w:id="361"/>
      <w:r w:rsidRPr="00E86441">
        <w:tab/>
        <w:t>Results</w:t>
      </w:r>
      <w:r w:rsidRPr="00183E4D">
        <w:rPr>
          <w:snapToGrid w:val="0"/>
          <w:lang w:eastAsia="en-US"/>
        </w:rPr>
        <w:t xml:space="preserve"> of </w:t>
      </w:r>
      <w:r>
        <w:rPr>
          <w:snapToGrid w:val="0"/>
          <w:lang w:eastAsia="en-US"/>
        </w:rPr>
        <w:t>toxicity</w:t>
      </w:r>
      <w:r w:rsidRPr="00183E4D">
        <w:rPr>
          <w:snapToGrid w:val="0"/>
          <w:lang w:eastAsia="en-US"/>
        </w:rPr>
        <w:t xml:space="preserve"> across th</w:t>
      </w:r>
      <w:r w:rsidRPr="00846B88">
        <w:rPr>
          <w:snapToGrid w:val="0"/>
          <w:lang w:eastAsia="en-US"/>
        </w:rPr>
        <w:t>e studies</w:t>
      </w:r>
      <w:r>
        <w:rPr>
          <w:snapToGrid w:val="0"/>
          <w:lang w:eastAsia="en-US"/>
        </w:rPr>
        <w:t>, prostate cancer, CBCT-IGRT</w:t>
      </w:r>
      <w:bookmarkEnd w:id="362"/>
      <w:r w:rsidRPr="00183E4D">
        <w:rPr>
          <w:snapToGrid w:val="0"/>
          <w:lang w:eastAsia="en-US"/>
        </w:rPr>
        <w:t xml:space="preserve"> </w:t>
      </w:r>
    </w:p>
    <w:tbl>
      <w:tblPr>
        <w:tblStyle w:val="TableGrid1"/>
        <w:tblW w:w="5000" w:type="pct"/>
        <w:tblLayout w:type="fixed"/>
        <w:tblCellMar>
          <w:left w:w="28" w:type="dxa"/>
          <w:right w:w="28" w:type="dxa"/>
        </w:tblCellMar>
        <w:tblLook w:val="04A0" w:firstRow="1" w:lastRow="0" w:firstColumn="1" w:lastColumn="0" w:noHBand="0" w:noVBand="1"/>
        <w:tblCaption w:val="Table 21 Results of toxicity across the studies, prostate cancer, CBCT-IGRT "/>
        <w:tblDescription w:val="This table provides results of toxicity across the studies in prostate cancer for CBCT-IGRT."/>
      </w:tblPr>
      <w:tblGrid>
        <w:gridCol w:w="1207"/>
        <w:gridCol w:w="1528"/>
        <w:gridCol w:w="630"/>
        <w:gridCol w:w="631"/>
        <w:gridCol w:w="629"/>
        <w:gridCol w:w="629"/>
        <w:gridCol w:w="629"/>
        <w:gridCol w:w="629"/>
        <w:gridCol w:w="631"/>
        <w:gridCol w:w="629"/>
        <w:gridCol w:w="629"/>
        <w:gridCol w:w="615"/>
      </w:tblGrid>
      <w:tr w:rsidR="00096131" w:rsidRPr="00B2301A" w14:paraId="1AA57C62" w14:textId="77777777" w:rsidTr="00096131">
        <w:trPr>
          <w:cnfStyle w:val="100000000000" w:firstRow="1" w:lastRow="0" w:firstColumn="0" w:lastColumn="0" w:oddVBand="0" w:evenVBand="0" w:oddHBand="0" w:evenHBand="0" w:firstRowFirstColumn="0" w:firstRowLastColumn="0" w:lastRowFirstColumn="0" w:lastRowLastColumn="0"/>
          <w:tblHeader/>
        </w:trPr>
        <w:tc>
          <w:tcPr>
            <w:tcW w:w="669" w:type="pct"/>
            <w:tcBorders>
              <w:top w:val="single" w:sz="4" w:space="0" w:color="auto"/>
              <w:left w:val="single" w:sz="4" w:space="0" w:color="auto"/>
              <w:bottom w:val="nil"/>
              <w:right w:val="single" w:sz="4" w:space="0" w:color="auto"/>
            </w:tcBorders>
            <w:shd w:val="clear" w:color="auto" w:fill="auto"/>
          </w:tcPr>
          <w:p w14:paraId="6C380EA6" w14:textId="36ED2A3A" w:rsidR="00096131" w:rsidRPr="00B2301A" w:rsidRDefault="00096131" w:rsidP="00096131">
            <w:pPr>
              <w:pStyle w:val="Caption"/>
              <w:spacing w:before="40" w:after="40"/>
              <w:rPr>
                <w:snapToGrid w:val="0"/>
                <w:lang w:eastAsia="en-US"/>
              </w:rPr>
            </w:pPr>
            <w:r w:rsidRPr="00B2301A">
              <w:rPr>
                <w:snapToGrid w:val="0"/>
                <w:lang w:eastAsia="en-US"/>
              </w:rPr>
              <w:t>Study ID</w:t>
            </w:r>
          </w:p>
        </w:tc>
        <w:tc>
          <w:tcPr>
            <w:tcW w:w="847" w:type="pct"/>
            <w:tcBorders>
              <w:left w:val="single" w:sz="4" w:space="0" w:color="auto"/>
              <w:bottom w:val="single" w:sz="4" w:space="0" w:color="auto"/>
              <w:right w:val="single" w:sz="4" w:space="0" w:color="auto"/>
            </w:tcBorders>
          </w:tcPr>
          <w:p w14:paraId="3D96E546" w14:textId="192A3F0A" w:rsidR="00096131" w:rsidRDefault="00096131" w:rsidP="00096131">
            <w:pPr>
              <w:pStyle w:val="Caption"/>
              <w:spacing w:before="40" w:after="40"/>
              <w:jc w:val="center"/>
              <w:rPr>
                <w:snapToGrid w:val="0"/>
                <w:lang w:eastAsia="en-US"/>
              </w:rPr>
            </w:pPr>
            <w:r>
              <w:rPr>
                <w:snapToGrid w:val="0"/>
                <w:lang w:eastAsia="en-US"/>
              </w:rPr>
              <w:t>Toxicity</w:t>
            </w:r>
          </w:p>
        </w:tc>
        <w:tc>
          <w:tcPr>
            <w:tcW w:w="1746" w:type="pct"/>
            <w:gridSpan w:val="5"/>
            <w:tcBorders>
              <w:top w:val="single" w:sz="4" w:space="0" w:color="auto"/>
              <w:left w:val="single" w:sz="4" w:space="0" w:color="auto"/>
              <w:bottom w:val="single" w:sz="4" w:space="0" w:color="auto"/>
              <w:right w:val="single" w:sz="4" w:space="0" w:color="auto"/>
            </w:tcBorders>
          </w:tcPr>
          <w:p w14:paraId="48425E3E" w14:textId="57A08DE1" w:rsidR="00096131" w:rsidRDefault="00096131" w:rsidP="00096131">
            <w:pPr>
              <w:pStyle w:val="Caption"/>
              <w:spacing w:before="40" w:after="40"/>
              <w:jc w:val="center"/>
              <w:rPr>
                <w:snapToGrid w:val="0"/>
                <w:lang w:eastAsia="en-US"/>
              </w:rPr>
            </w:pPr>
            <w:r>
              <w:rPr>
                <w:snapToGrid w:val="0"/>
                <w:lang w:eastAsia="en-US"/>
              </w:rPr>
              <w:t>Acute</w:t>
            </w:r>
          </w:p>
        </w:tc>
        <w:tc>
          <w:tcPr>
            <w:tcW w:w="1737" w:type="pct"/>
            <w:gridSpan w:val="5"/>
            <w:tcBorders>
              <w:top w:val="single" w:sz="4" w:space="0" w:color="auto"/>
              <w:left w:val="single" w:sz="4" w:space="0" w:color="auto"/>
              <w:bottom w:val="single" w:sz="4" w:space="0" w:color="auto"/>
              <w:right w:val="single" w:sz="4" w:space="0" w:color="auto"/>
            </w:tcBorders>
          </w:tcPr>
          <w:p w14:paraId="29167897" w14:textId="2203F529" w:rsidR="00096131" w:rsidRDefault="00096131" w:rsidP="00096131">
            <w:pPr>
              <w:pStyle w:val="Caption"/>
              <w:spacing w:before="40" w:after="40"/>
              <w:jc w:val="center"/>
              <w:rPr>
                <w:snapToGrid w:val="0"/>
                <w:lang w:eastAsia="en-US"/>
              </w:rPr>
            </w:pPr>
            <w:r>
              <w:rPr>
                <w:snapToGrid w:val="0"/>
                <w:lang w:eastAsia="en-US"/>
              </w:rPr>
              <w:t>Late</w:t>
            </w:r>
          </w:p>
        </w:tc>
      </w:tr>
      <w:tr w:rsidR="008A7DAC" w:rsidRPr="00B2301A" w14:paraId="00F242A6" w14:textId="77777777" w:rsidTr="00270204">
        <w:trPr>
          <w:cnfStyle w:val="100000000000" w:firstRow="1" w:lastRow="0" w:firstColumn="0" w:lastColumn="0" w:oddVBand="0" w:evenVBand="0" w:oddHBand="0" w:evenHBand="0" w:firstRowFirstColumn="0" w:firstRowLastColumn="0" w:lastRowFirstColumn="0" w:lastRowLastColumn="0"/>
          <w:tblHeader/>
        </w:trPr>
        <w:tc>
          <w:tcPr>
            <w:tcW w:w="669" w:type="pct"/>
            <w:tcBorders>
              <w:top w:val="nil"/>
              <w:left w:val="single" w:sz="4" w:space="0" w:color="auto"/>
              <w:bottom w:val="single" w:sz="4" w:space="0" w:color="auto"/>
              <w:right w:val="single" w:sz="4" w:space="0" w:color="auto"/>
            </w:tcBorders>
            <w:shd w:val="clear" w:color="auto" w:fill="auto"/>
          </w:tcPr>
          <w:p w14:paraId="342C2148" w14:textId="349E45EB" w:rsidR="003C414F" w:rsidRPr="00B2301A" w:rsidRDefault="003C414F" w:rsidP="00096131">
            <w:pPr>
              <w:pStyle w:val="Caption"/>
              <w:spacing w:before="40" w:after="40"/>
              <w:rPr>
                <w:snapToGrid w:val="0"/>
                <w:lang w:eastAsia="en-US"/>
              </w:rPr>
            </w:pPr>
          </w:p>
        </w:tc>
        <w:tc>
          <w:tcPr>
            <w:tcW w:w="847" w:type="pct"/>
            <w:tcBorders>
              <w:left w:val="single" w:sz="4" w:space="0" w:color="auto"/>
              <w:bottom w:val="single" w:sz="4" w:space="0" w:color="auto"/>
            </w:tcBorders>
          </w:tcPr>
          <w:p w14:paraId="737FE971" w14:textId="75A9E3D3" w:rsidR="003C414F" w:rsidRDefault="003C414F" w:rsidP="00096131">
            <w:pPr>
              <w:pStyle w:val="Caption"/>
              <w:spacing w:before="40" w:after="40"/>
              <w:jc w:val="center"/>
              <w:rPr>
                <w:snapToGrid w:val="0"/>
                <w:lang w:eastAsia="en-US"/>
              </w:rPr>
            </w:pPr>
            <w:r>
              <w:rPr>
                <w:snapToGrid w:val="0"/>
                <w:lang w:eastAsia="en-US"/>
              </w:rPr>
              <w:t>Grade</w:t>
            </w:r>
          </w:p>
        </w:tc>
        <w:tc>
          <w:tcPr>
            <w:tcW w:w="349" w:type="pct"/>
            <w:tcBorders>
              <w:top w:val="single" w:sz="4" w:space="0" w:color="auto"/>
              <w:bottom w:val="single" w:sz="4" w:space="0" w:color="auto"/>
            </w:tcBorders>
          </w:tcPr>
          <w:p w14:paraId="6C19D123" w14:textId="41F9DAD2" w:rsidR="003C414F" w:rsidRDefault="003C414F" w:rsidP="00096131">
            <w:pPr>
              <w:pStyle w:val="Caption"/>
              <w:spacing w:before="40" w:after="40"/>
              <w:jc w:val="center"/>
              <w:rPr>
                <w:snapToGrid w:val="0"/>
                <w:lang w:eastAsia="en-US"/>
              </w:rPr>
            </w:pPr>
            <w:r>
              <w:rPr>
                <w:snapToGrid w:val="0"/>
                <w:lang w:eastAsia="en-US"/>
              </w:rPr>
              <w:t>0</w:t>
            </w:r>
          </w:p>
        </w:tc>
        <w:tc>
          <w:tcPr>
            <w:tcW w:w="350" w:type="pct"/>
            <w:tcBorders>
              <w:top w:val="single" w:sz="4" w:space="0" w:color="auto"/>
              <w:bottom w:val="single" w:sz="4" w:space="0" w:color="auto"/>
            </w:tcBorders>
          </w:tcPr>
          <w:p w14:paraId="603FFF40" w14:textId="294C8687" w:rsidR="003C414F" w:rsidRDefault="003C414F" w:rsidP="00096131">
            <w:pPr>
              <w:pStyle w:val="Caption"/>
              <w:spacing w:before="40" w:after="40"/>
              <w:jc w:val="center"/>
              <w:rPr>
                <w:snapToGrid w:val="0"/>
                <w:lang w:eastAsia="en-US"/>
              </w:rPr>
            </w:pPr>
            <w:r>
              <w:rPr>
                <w:snapToGrid w:val="0"/>
                <w:lang w:eastAsia="en-US"/>
              </w:rPr>
              <w:t>1</w:t>
            </w:r>
          </w:p>
        </w:tc>
        <w:tc>
          <w:tcPr>
            <w:tcW w:w="349" w:type="pct"/>
            <w:tcBorders>
              <w:top w:val="single" w:sz="4" w:space="0" w:color="auto"/>
              <w:bottom w:val="single" w:sz="4" w:space="0" w:color="auto"/>
            </w:tcBorders>
          </w:tcPr>
          <w:p w14:paraId="3415938B" w14:textId="77D1B385" w:rsidR="003C414F" w:rsidRDefault="003C414F" w:rsidP="00096131">
            <w:pPr>
              <w:pStyle w:val="Caption"/>
              <w:spacing w:before="40" w:after="40"/>
              <w:jc w:val="center"/>
              <w:rPr>
                <w:snapToGrid w:val="0"/>
                <w:lang w:eastAsia="en-US"/>
              </w:rPr>
            </w:pPr>
            <w:r>
              <w:rPr>
                <w:snapToGrid w:val="0"/>
                <w:lang w:eastAsia="en-US"/>
              </w:rPr>
              <w:t>2</w:t>
            </w:r>
          </w:p>
        </w:tc>
        <w:tc>
          <w:tcPr>
            <w:tcW w:w="349" w:type="pct"/>
            <w:tcBorders>
              <w:top w:val="single" w:sz="4" w:space="0" w:color="auto"/>
              <w:bottom w:val="single" w:sz="4" w:space="0" w:color="auto"/>
            </w:tcBorders>
          </w:tcPr>
          <w:p w14:paraId="543B26A8" w14:textId="42E0E449" w:rsidR="003C414F" w:rsidRDefault="003C414F" w:rsidP="00096131">
            <w:pPr>
              <w:pStyle w:val="Caption"/>
              <w:spacing w:before="40" w:after="40"/>
              <w:jc w:val="center"/>
              <w:rPr>
                <w:snapToGrid w:val="0"/>
                <w:lang w:eastAsia="en-US"/>
              </w:rPr>
            </w:pPr>
            <w:r>
              <w:rPr>
                <w:snapToGrid w:val="0"/>
                <w:lang w:eastAsia="en-US"/>
              </w:rPr>
              <w:t>3</w:t>
            </w:r>
          </w:p>
        </w:tc>
        <w:tc>
          <w:tcPr>
            <w:tcW w:w="349" w:type="pct"/>
            <w:tcBorders>
              <w:top w:val="single" w:sz="4" w:space="0" w:color="auto"/>
              <w:bottom w:val="single" w:sz="4" w:space="0" w:color="auto"/>
            </w:tcBorders>
          </w:tcPr>
          <w:p w14:paraId="14EB2BBC" w14:textId="48A29ECF" w:rsidR="003C414F" w:rsidRDefault="003C414F" w:rsidP="00096131">
            <w:pPr>
              <w:pStyle w:val="Caption"/>
              <w:spacing w:before="40" w:after="40"/>
              <w:jc w:val="center"/>
              <w:rPr>
                <w:snapToGrid w:val="0"/>
                <w:lang w:eastAsia="en-US"/>
              </w:rPr>
            </w:pPr>
            <w:r>
              <w:rPr>
                <w:snapToGrid w:val="0"/>
                <w:lang w:eastAsia="en-US"/>
              </w:rPr>
              <w:t>4</w:t>
            </w:r>
          </w:p>
        </w:tc>
        <w:tc>
          <w:tcPr>
            <w:tcW w:w="349" w:type="pct"/>
            <w:tcBorders>
              <w:top w:val="single" w:sz="4" w:space="0" w:color="auto"/>
              <w:bottom w:val="single" w:sz="4" w:space="0" w:color="auto"/>
            </w:tcBorders>
          </w:tcPr>
          <w:p w14:paraId="6E4D2253" w14:textId="36B0149D" w:rsidR="003C414F" w:rsidRDefault="003C414F" w:rsidP="00096131">
            <w:pPr>
              <w:pStyle w:val="Caption"/>
              <w:spacing w:before="40" w:after="40"/>
              <w:jc w:val="center"/>
              <w:rPr>
                <w:snapToGrid w:val="0"/>
                <w:lang w:eastAsia="en-US"/>
              </w:rPr>
            </w:pPr>
            <w:r>
              <w:rPr>
                <w:snapToGrid w:val="0"/>
                <w:lang w:eastAsia="en-US"/>
              </w:rPr>
              <w:t>0</w:t>
            </w:r>
          </w:p>
        </w:tc>
        <w:tc>
          <w:tcPr>
            <w:tcW w:w="350" w:type="pct"/>
            <w:tcBorders>
              <w:top w:val="single" w:sz="4" w:space="0" w:color="auto"/>
              <w:bottom w:val="single" w:sz="4" w:space="0" w:color="auto"/>
            </w:tcBorders>
          </w:tcPr>
          <w:p w14:paraId="5037536A" w14:textId="1C13A82C" w:rsidR="003C414F" w:rsidRDefault="003C414F" w:rsidP="00096131">
            <w:pPr>
              <w:pStyle w:val="Caption"/>
              <w:spacing w:before="40" w:after="40"/>
              <w:jc w:val="center"/>
              <w:rPr>
                <w:snapToGrid w:val="0"/>
                <w:lang w:eastAsia="en-US"/>
              </w:rPr>
            </w:pPr>
            <w:r>
              <w:rPr>
                <w:snapToGrid w:val="0"/>
                <w:lang w:eastAsia="en-US"/>
              </w:rPr>
              <w:t>1</w:t>
            </w:r>
          </w:p>
        </w:tc>
        <w:tc>
          <w:tcPr>
            <w:tcW w:w="349" w:type="pct"/>
            <w:tcBorders>
              <w:top w:val="single" w:sz="4" w:space="0" w:color="auto"/>
              <w:bottom w:val="single" w:sz="4" w:space="0" w:color="auto"/>
            </w:tcBorders>
          </w:tcPr>
          <w:p w14:paraId="1C058D11" w14:textId="48969B57" w:rsidR="003C414F" w:rsidRPr="00B2301A" w:rsidRDefault="003C414F" w:rsidP="00096131">
            <w:pPr>
              <w:pStyle w:val="Caption"/>
              <w:spacing w:before="40" w:after="40"/>
              <w:jc w:val="center"/>
              <w:rPr>
                <w:snapToGrid w:val="0"/>
                <w:lang w:eastAsia="en-US"/>
              </w:rPr>
            </w:pPr>
            <w:r>
              <w:rPr>
                <w:snapToGrid w:val="0"/>
                <w:lang w:eastAsia="en-US"/>
              </w:rPr>
              <w:t>2</w:t>
            </w:r>
          </w:p>
        </w:tc>
        <w:tc>
          <w:tcPr>
            <w:tcW w:w="349" w:type="pct"/>
            <w:tcBorders>
              <w:top w:val="single" w:sz="4" w:space="0" w:color="auto"/>
              <w:bottom w:val="single" w:sz="4" w:space="0" w:color="auto"/>
            </w:tcBorders>
          </w:tcPr>
          <w:p w14:paraId="2FA528EB" w14:textId="54D227A7" w:rsidR="003C414F" w:rsidDel="00113519" w:rsidRDefault="003C414F" w:rsidP="00096131">
            <w:pPr>
              <w:pStyle w:val="Caption"/>
              <w:spacing w:before="40" w:after="40"/>
              <w:jc w:val="center"/>
              <w:rPr>
                <w:snapToGrid w:val="0"/>
                <w:lang w:eastAsia="en-US"/>
              </w:rPr>
            </w:pPr>
            <w:r>
              <w:rPr>
                <w:snapToGrid w:val="0"/>
                <w:lang w:eastAsia="en-US"/>
              </w:rPr>
              <w:t>3</w:t>
            </w:r>
          </w:p>
        </w:tc>
        <w:tc>
          <w:tcPr>
            <w:tcW w:w="341" w:type="pct"/>
            <w:tcBorders>
              <w:top w:val="single" w:sz="4" w:space="0" w:color="auto"/>
              <w:bottom w:val="single" w:sz="4" w:space="0" w:color="auto"/>
            </w:tcBorders>
          </w:tcPr>
          <w:p w14:paraId="4A14AE89" w14:textId="1D4823B6" w:rsidR="003C414F" w:rsidDel="00113519" w:rsidRDefault="003C414F" w:rsidP="00096131">
            <w:pPr>
              <w:pStyle w:val="Caption"/>
              <w:spacing w:before="40" w:after="40"/>
              <w:jc w:val="center"/>
              <w:rPr>
                <w:snapToGrid w:val="0"/>
                <w:lang w:eastAsia="en-US"/>
              </w:rPr>
            </w:pPr>
            <w:r>
              <w:rPr>
                <w:snapToGrid w:val="0"/>
                <w:lang w:eastAsia="en-US"/>
              </w:rPr>
              <w:t>4</w:t>
            </w:r>
          </w:p>
        </w:tc>
      </w:tr>
      <w:tr w:rsidR="008A7DAC" w:rsidRPr="00B2301A" w14:paraId="64949A8E" w14:textId="77777777" w:rsidTr="00270204">
        <w:tc>
          <w:tcPr>
            <w:tcW w:w="669" w:type="pct"/>
            <w:tcBorders>
              <w:top w:val="single" w:sz="4" w:space="0" w:color="auto"/>
              <w:left w:val="single" w:sz="4" w:space="0" w:color="auto"/>
              <w:bottom w:val="nil"/>
              <w:right w:val="single" w:sz="4" w:space="0" w:color="auto"/>
            </w:tcBorders>
            <w:shd w:val="clear" w:color="auto" w:fill="auto"/>
            <w:vAlign w:val="bottom"/>
          </w:tcPr>
          <w:p w14:paraId="23097B8B" w14:textId="27440D0B" w:rsidR="003C414F" w:rsidRPr="003C414F" w:rsidRDefault="00211285" w:rsidP="00096131">
            <w:pPr>
              <w:pStyle w:val="Tabletext1"/>
            </w:pPr>
            <w:hyperlink w:anchor="_ENREF_11" w:tooltip="Becker-Schiebe, 2016 #33" w:history="1">
              <w:r w:rsidR="008B6FC0">
                <w:fldChar w:fldCharType="begin"/>
              </w:r>
              <w:r w:rsidR="008B6FC0">
                <w:instrText xml:space="preserve"> ADDIN EN.CITE &lt;EndNote&gt;&lt;Cite AuthorYear="1"&gt;&lt;Author&gt;Becker-Schiebe&lt;/Author&gt;&lt;Year&gt;2016&lt;/Year&gt;&lt;RecNum&gt;33&lt;/RecNum&gt;&lt;DisplayText&gt;Becker-Schiebe et al. (2016)&lt;/DisplayText&gt;&lt;record&gt;&lt;rec-number&gt;33&lt;/rec-number&gt;&lt;foreign-keys&gt;&lt;key app="EN" db-id="sx5wsdwv795wvue959xxw0ptaewvdezxxp05" timestamp="1604876375"&gt;33&lt;/key&gt;&lt;/foreign-keys&gt;&lt;ref-type name="Journal Article"&gt;17&lt;/ref-type&gt;&lt;contributors&gt;&lt;authors&gt;&lt;author&gt;Becker-Schiebe, M.&lt;/author&gt;&lt;author&gt;Abaci, A.&lt;/author&gt;&lt;author&gt;Ahmad, T.&lt;/author&gt;&lt;author&gt;Hoffmann, W.&lt;/author&gt;&lt;/authors&gt;&lt;/contributors&gt;&lt;titles&gt;&lt;title&gt;Reducing radiation-associated toxicity using online image guidance (IGRT) in prostate cancer patients undergoing dose-escalated radiation therapy&lt;/title&gt;&lt;secondary-title&gt;Reports of Practical Oncology and Radiotherapy&lt;/secondary-title&gt;&lt;/titles&gt;&lt;pages&gt;188-194&lt;/pages&gt;&lt;volume&gt;21&lt;/volume&gt;&lt;number&gt;3&lt;/number&gt;&lt;dates&gt;&lt;year&gt;2016&lt;/year&gt;&lt;/dates&gt;&lt;accession-num&gt;609035683&lt;/accession-num&gt;&lt;urls&gt;&lt;related-urls&gt;&lt;url&gt;http://www.elsevier.com/wps/find/journaldescription.cws_home/719699/description#descriptionhttp://ezproxy.library.usyd.edu.au/login?url=http://ovidsp.ovid.com/ovidweb.cgi?T=JS&amp;amp;CSC=Y&amp;amp;NEWS=N&amp;amp;PAGE=fulltext&amp;amp;D=emed17&amp;amp;AN=609035683https://sydney.alma.exlibrisgro&lt;/url&gt;&lt;url&gt;https://www.ncbi.nlm.nih.gov/pmc/articles/PMC5002020/pdf/main.pdf&lt;/url&gt;&lt;/related-urls&gt;&lt;/urls&gt;&lt;electronic-resource-num&gt;http://dx.doi.org/10.1016/j.rpor.2016.01.005&lt;/electronic-resource-num&gt;&lt;/record&gt;&lt;/Cite&gt;&lt;/EndNote&gt;</w:instrText>
              </w:r>
              <w:r w:rsidR="008B6FC0">
                <w:fldChar w:fldCharType="separate"/>
              </w:r>
              <w:r w:rsidR="008B6FC0">
                <w:rPr>
                  <w:noProof/>
                </w:rPr>
                <w:t>Becker-Schiebe et al. (2016)</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3DD5444F" w14:textId="223C7A60" w:rsidR="003C414F" w:rsidRPr="003C414F" w:rsidRDefault="003C414F" w:rsidP="00096131">
            <w:pPr>
              <w:pStyle w:val="Tabletext1"/>
              <w:jc w:val="center"/>
            </w:pPr>
            <w:r w:rsidRPr="003C414F">
              <w:t>GI</w:t>
            </w:r>
          </w:p>
        </w:tc>
        <w:tc>
          <w:tcPr>
            <w:tcW w:w="349" w:type="pct"/>
            <w:tcBorders>
              <w:top w:val="single" w:sz="4" w:space="0" w:color="auto"/>
              <w:left w:val="single" w:sz="4" w:space="0" w:color="auto"/>
              <w:bottom w:val="single" w:sz="4" w:space="0" w:color="auto"/>
              <w:right w:val="single" w:sz="4" w:space="0" w:color="auto"/>
            </w:tcBorders>
          </w:tcPr>
          <w:p w14:paraId="03299879" w14:textId="25457D24" w:rsidR="003C414F" w:rsidRPr="003C414F" w:rsidRDefault="003C414F" w:rsidP="00096131">
            <w:pPr>
              <w:pStyle w:val="Tabletext1"/>
              <w:jc w:val="center"/>
            </w:pPr>
            <w:r w:rsidRPr="003C414F">
              <w:t>44/102</w:t>
            </w:r>
            <w:r w:rsidR="00A969EA">
              <w:t xml:space="preserve"> (43%)</w:t>
            </w:r>
          </w:p>
        </w:tc>
        <w:tc>
          <w:tcPr>
            <w:tcW w:w="350" w:type="pct"/>
            <w:tcBorders>
              <w:top w:val="single" w:sz="4" w:space="0" w:color="auto"/>
              <w:left w:val="single" w:sz="4" w:space="0" w:color="auto"/>
              <w:bottom w:val="single" w:sz="4" w:space="0" w:color="auto"/>
              <w:right w:val="single" w:sz="4" w:space="0" w:color="auto"/>
            </w:tcBorders>
          </w:tcPr>
          <w:p w14:paraId="5A2C0044" w14:textId="26E52066" w:rsidR="003C414F" w:rsidRPr="003C414F" w:rsidRDefault="003C414F" w:rsidP="00096131">
            <w:pPr>
              <w:pStyle w:val="Tabletext1"/>
              <w:jc w:val="center"/>
            </w:pPr>
            <w:r w:rsidRPr="003C414F">
              <w:t>39/102</w:t>
            </w:r>
            <w:r w:rsidR="00336065">
              <w:t xml:space="preserve"> (38%)</w:t>
            </w:r>
          </w:p>
        </w:tc>
        <w:tc>
          <w:tcPr>
            <w:tcW w:w="349" w:type="pct"/>
            <w:tcBorders>
              <w:top w:val="single" w:sz="4" w:space="0" w:color="auto"/>
              <w:left w:val="single" w:sz="4" w:space="0" w:color="auto"/>
              <w:bottom w:val="single" w:sz="4" w:space="0" w:color="auto"/>
              <w:right w:val="single" w:sz="4" w:space="0" w:color="auto"/>
            </w:tcBorders>
          </w:tcPr>
          <w:p w14:paraId="715D070E" w14:textId="73652A37" w:rsidR="003C414F" w:rsidRPr="003C414F" w:rsidRDefault="003C414F" w:rsidP="00096131">
            <w:pPr>
              <w:pStyle w:val="Tabletext1"/>
              <w:jc w:val="center"/>
            </w:pPr>
            <w:r w:rsidRPr="003C414F">
              <w:t>14/102</w:t>
            </w:r>
            <w:r w:rsidR="005F0116">
              <w:t xml:space="preserve"> (14%)</w:t>
            </w:r>
          </w:p>
        </w:tc>
        <w:tc>
          <w:tcPr>
            <w:tcW w:w="349" w:type="pct"/>
            <w:tcBorders>
              <w:top w:val="single" w:sz="4" w:space="0" w:color="auto"/>
              <w:left w:val="single" w:sz="4" w:space="0" w:color="auto"/>
              <w:bottom w:val="single" w:sz="4" w:space="0" w:color="auto"/>
              <w:right w:val="single" w:sz="4" w:space="0" w:color="auto"/>
            </w:tcBorders>
          </w:tcPr>
          <w:p w14:paraId="465E09CB" w14:textId="218DC60F" w:rsidR="003C414F" w:rsidRPr="003C414F" w:rsidRDefault="003C414F" w:rsidP="00096131">
            <w:pPr>
              <w:pStyle w:val="Tabletext1"/>
              <w:jc w:val="center"/>
            </w:pPr>
            <w:r w:rsidRPr="003C414F">
              <w:t>2/102</w:t>
            </w:r>
            <w:r w:rsidR="005F0116">
              <w:t xml:space="preserve"> (</w:t>
            </w:r>
            <w:r w:rsidR="006C7948">
              <w:t>2%)</w:t>
            </w:r>
          </w:p>
        </w:tc>
        <w:tc>
          <w:tcPr>
            <w:tcW w:w="349" w:type="pct"/>
            <w:tcBorders>
              <w:top w:val="single" w:sz="4" w:space="0" w:color="auto"/>
              <w:left w:val="single" w:sz="4" w:space="0" w:color="auto"/>
              <w:bottom w:val="single" w:sz="4" w:space="0" w:color="auto"/>
              <w:right w:val="single" w:sz="4" w:space="0" w:color="auto"/>
            </w:tcBorders>
          </w:tcPr>
          <w:p w14:paraId="2DCE5D95" w14:textId="48CFBFA0" w:rsidR="003C414F" w:rsidRPr="003C414F" w:rsidRDefault="003C414F" w:rsidP="00096131">
            <w:pPr>
              <w:pStyle w:val="Tabletext1"/>
              <w:jc w:val="center"/>
            </w:pPr>
            <w:r w:rsidRPr="003C414F">
              <w:t>3/102</w:t>
            </w:r>
            <w:r w:rsidR="006C7948">
              <w:t xml:space="preserve"> (</w:t>
            </w:r>
            <w:r w:rsidR="007002A1">
              <w:t>3%)</w:t>
            </w:r>
          </w:p>
        </w:tc>
        <w:tc>
          <w:tcPr>
            <w:tcW w:w="349" w:type="pct"/>
            <w:tcBorders>
              <w:top w:val="single" w:sz="4" w:space="0" w:color="auto"/>
              <w:left w:val="single" w:sz="4" w:space="0" w:color="auto"/>
              <w:bottom w:val="single" w:sz="4" w:space="0" w:color="auto"/>
              <w:right w:val="single" w:sz="4" w:space="0" w:color="auto"/>
            </w:tcBorders>
          </w:tcPr>
          <w:p w14:paraId="1FE7AD54" w14:textId="663CB524" w:rsidR="003C414F" w:rsidRPr="003C414F" w:rsidRDefault="003C414F" w:rsidP="00096131">
            <w:pPr>
              <w:pStyle w:val="Tabletext1"/>
              <w:jc w:val="center"/>
            </w:pPr>
            <w:r w:rsidRPr="003C414F">
              <w:t>51/102</w:t>
            </w:r>
            <w:r w:rsidR="00CF1B18">
              <w:t xml:space="preserve"> (50%)</w:t>
            </w:r>
          </w:p>
        </w:tc>
        <w:tc>
          <w:tcPr>
            <w:tcW w:w="350" w:type="pct"/>
            <w:tcBorders>
              <w:top w:val="single" w:sz="4" w:space="0" w:color="auto"/>
              <w:left w:val="single" w:sz="4" w:space="0" w:color="auto"/>
              <w:bottom w:val="single" w:sz="4" w:space="0" w:color="auto"/>
              <w:right w:val="single" w:sz="4" w:space="0" w:color="auto"/>
            </w:tcBorders>
          </w:tcPr>
          <w:p w14:paraId="79BC3868" w14:textId="487D5330" w:rsidR="003C414F" w:rsidRPr="003C414F" w:rsidRDefault="003C414F" w:rsidP="00096131">
            <w:pPr>
              <w:pStyle w:val="Tabletext1"/>
              <w:jc w:val="center"/>
            </w:pPr>
            <w:r w:rsidRPr="003C414F">
              <w:t>34/102</w:t>
            </w:r>
            <w:r w:rsidR="00D76FD7">
              <w:t xml:space="preserve"> (33%)</w:t>
            </w:r>
          </w:p>
        </w:tc>
        <w:tc>
          <w:tcPr>
            <w:tcW w:w="349" w:type="pct"/>
            <w:tcBorders>
              <w:top w:val="single" w:sz="4" w:space="0" w:color="auto"/>
              <w:left w:val="single" w:sz="4" w:space="0" w:color="auto"/>
              <w:bottom w:val="single" w:sz="4" w:space="0" w:color="auto"/>
              <w:right w:val="single" w:sz="4" w:space="0" w:color="auto"/>
            </w:tcBorders>
          </w:tcPr>
          <w:p w14:paraId="39AA691C" w14:textId="4FD2E9DE" w:rsidR="003C414F" w:rsidRPr="003C414F" w:rsidRDefault="003C414F" w:rsidP="00096131">
            <w:pPr>
              <w:pStyle w:val="Tabletext1"/>
              <w:jc w:val="center"/>
            </w:pPr>
            <w:r w:rsidRPr="003C414F">
              <w:t>17/102</w:t>
            </w:r>
            <w:r w:rsidR="00F808F4">
              <w:t xml:space="preserve"> (17%)</w:t>
            </w:r>
          </w:p>
        </w:tc>
        <w:tc>
          <w:tcPr>
            <w:tcW w:w="349" w:type="pct"/>
            <w:tcBorders>
              <w:top w:val="single" w:sz="4" w:space="0" w:color="auto"/>
              <w:left w:val="single" w:sz="4" w:space="0" w:color="auto"/>
              <w:bottom w:val="single" w:sz="4" w:space="0" w:color="auto"/>
              <w:right w:val="single" w:sz="4" w:space="0" w:color="auto"/>
            </w:tcBorders>
          </w:tcPr>
          <w:p w14:paraId="4B59F467" w14:textId="1F3B73B1" w:rsidR="003C414F" w:rsidRPr="003C414F" w:rsidRDefault="003C414F" w:rsidP="00096131">
            <w:pPr>
              <w:pStyle w:val="Tabletext1"/>
              <w:jc w:val="center"/>
            </w:pPr>
            <w:r w:rsidRPr="003C414F">
              <w:t>0/102</w:t>
            </w:r>
            <w:r w:rsidR="0000253D">
              <w:t xml:space="preserve"> (0%)</w:t>
            </w:r>
          </w:p>
        </w:tc>
        <w:tc>
          <w:tcPr>
            <w:tcW w:w="341" w:type="pct"/>
            <w:tcBorders>
              <w:top w:val="single" w:sz="4" w:space="0" w:color="auto"/>
              <w:left w:val="single" w:sz="4" w:space="0" w:color="auto"/>
              <w:bottom w:val="single" w:sz="4" w:space="0" w:color="auto"/>
              <w:right w:val="single" w:sz="4" w:space="0" w:color="auto"/>
            </w:tcBorders>
          </w:tcPr>
          <w:p w14:paraId="28F02948" w14:textId="054E979C" w:rsidR="003C414F" w:rsidRPr="003C414F" w:rsidRDefault="003C414F" w:rsidP="00096131">
            <w:pPr>
              <w:pStyle w:val="Tabletext1"/>
              <w:jc w:val="center"/>
            </w:pPr>
            <w:r w:rsidRPr="003C414F">
              <w:t>0/102</w:t>
            </w:r>
            <w:r w:rsidR="0000253D">
              <w:t xml:space="preserve"> (0%)</w:t>
            </w:r>
          </w:p>
        </w:tc>
      </w:tr>
      <w:tr w:rsidR="008A7DAC" w:rsidRPr="00B2301A" w14:paraId="453008EE" w14:textId="77777777" w:rsidTr="0038495A">
        <w:tc>
          <w:tcPr>
            <w:tcW w:w="669" w:type="pct"/>
            <w:tcBorders>
              <w:top w:val="nil"/>
              <w:left w:val="single" w:sz="4" w:space="0" w:color="auto"/>
              <w:bottom w:val="single" w:sz="4" w:space="0" w:color="auto"/>
              <w:right w:val="single" w:sz="4" w:space="0" w:color="auto"/>
            </w:tcBorders>
            <w:shd w:val="clear" w:color="auto" w:fill="auto"/>
            <w:vAlign w:val="bottom"/>
          </w:tcPr>
          <w:p w14:paraId="771B6B59" w14:textId="77777777" w:rsidR="003C414F" w:rsidRPr="003C414F" w:rsidRDefault="003C414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1F23B60" w14:textId="0B328349" w:rsidR="003C414F" w:rsidRPr="003C414F" w:rsidRDefault="003C414F" w:rsidP="00096131">
            <w:pPr>
              <w:pStyle w:val="Tabletext1"/>
              <w:jc w:val="center"/>
            </w:pPr>
            <w:r w:rsidRPr="003C414F">
              <w:t>GU</w:t>
            </w:r>
          </w:p>
        </w:tc>
        <w:tc>
          <w:tcPr>
            <w:tcW w:w="349" w:type="pct"/>
            <w:tcBorders>
              <w:top w:val="single" w:sz="4" w:space="0" w:color="auto"/>
              <w:left w:val="single" w:sz="4" w:space="0" w:color="auto"/>
              <w:bottom w:val="single" w:sz="4" w:space="0" w:color="auto"/>
              <w:right w:val="single" w:sz="4" w:space="0" w:color="auto"/>
            </w:tcBorders>
          </w:tcPr>
          <w:p w14:paraId="1FAFE571" w14:textId="3EC09BA9" w:rsidR="003C414F" w:rsidRPr="003C414F" w:rsidRDefault="003C414F" w:rsidP="00096131">
            <w:pPr>
              <w:pStyle w:val="Tabletext1"/>
              <w:jc w:val="center"/>
            </w:pPr>
            <w:r w:rsidRPr="003C414F">
              <w:t>20/102</w:t>
            </w:r>
            <w:r w:rsidR="00212630">
              <w:t xml:space="preserve"> (20%)</w:t>
            </w:r>
          </w:p>
        </w:tc>
        <w:tc>
          <w:tcPr>
            <w:tcW w:w="350" w:type="pct"/>
            <w:tcBorders>
              <w:top w:val="single" w:sz="4" w:space="0" w:color="auto"/>
              <w:left w:val="single" w:sz="4" w:space="0" w:color="auto"/>
              <w:bottom w:val="single" w:sz="4" w:space="0" w:color="auto"/>
              <w:right w:val="single" w:sz="4" w:space="0" w:color="auto"/>
            </w:tcBorders>
          </w:tcPr>
          <w:p w14:paraId="29A76438" w14:textId="5C3A5B47" w:rsidR="003C414F" w:rsidRPr="003C414F" w:rsidRDefault="003C414F" w:rsidP="00096131">
            <w:pPr>
              <w:pStyle w:val="Tabletext1"/>
              <w:jc w:val="center"/>
            </w:pPr>
            <w:r w:rsidRPr="003C414F">
              <w:t>48/102</w:t>
            </w:r>
            <w:r w:rsidR="003F3F03">
              <w:t xml:space="preserve"> (47%)</w:t>
            </w:r>
          </w:p>
        </w:tc>
        <w:tc>
          <w:tcPr>
            <w:tcW w:w="349" w:type="pct"/>
            <w:tcBorders>
              <w:top w:val="single" w:sz="4" w:space="0" w:color="auto"/>
              <w:left w:val="single" w:sz="4" w:space="0" w:color="auto"/>
              <w:bottom w:val="single" w:sz="4" w:space="0" w:color="auto"/>
              <w:right w:val="single" w:sz="4" w:space="0" w:color="auto"/>
            </w:tcBorders>
          </w:tcPr>
          <w:p w14:paraId="1565C94E" w14:textId="6D26923C" w:rsidR="003C414F" w:rsidRPr="003C414F" w:rsidRDefault="003C414F" w:rsidP="00096131">
            <w:pPr>
              <w:pStyle w:val="Tabletext1"/>
              <w:jc w:val="center"/>
            </w:pPr>
            <w:r w:rsidRPr="003C414F">
              <w:t>29/102</w:t>
            </w:r>
            <w:r w:rsidR="003F3F03">
              <w:t xml:space="preserve"> </w:t>
            </w:r>
            <w:r w:rsidR="00F149C1">
              <w:t>(28%)</w:t>
            </w:r>
          </w:p>
        </w:tc>
        <w:tc>
          <w:tcPr>
            <w:tcW w:w="349" w:type="pct"/>
            <w:tcBorders>
              <w:top w:val="single" w:sz="4" w:space="0" w:color="auto"/>
              <w:left w:val="single" w:sz="4" w:space="0" w:color="auto"/>
              <w:bottom w:val="single" w:sz="4" w:space="0" w:color="auto"/>
              <w:right w:val="single" w:sz="4" w:space="0" w:color="auto"/>
            </w:tcBorders>
          </w:tcPr>
          <w:p w14:paraId="4970EFB7" w14:textId="3AAD579C" w:rsidR="003C414F" w:rsidRPr="003C414F" w:rsidRDefault="003C414F" w:rsidP="00096131">
            <w:pPr>
              <w:pStyle w:val="Tabletext1"/>
              <w:jc w:val="center"/>
            </w:pPr>
            <w:r w:rsidRPr="003C414F">
              <w:t>5/102</w:t>
            </w:r>
            <w:r w:rsidR="00F130ED">
              <w:t xml:space="preserve"> (5%)</w:t>
            </w:r>
          </w:p>
        </w:tc>
        <w:tc>
          <w:tcPr>
            <w:tcW w:w="349" w:type="pct"/>
            <w:tcBorders>
              <w:top w:val="single" w:sz="4" w:space="0" w:color="auto"/>
              <w:left w:val="single" w:sz="4" w:space="0" w:color="auto"/>
              <w:bottom w:val="single" w:sz="4" w:space="0" w:color="auto"/>
              <w:right w:val="single" w:sz="4" w:space="0" w:color="auto"/>
            </w:tcBorders>
          </w:tcPr>
          <w:p w14:paraId="60ED8114" w14:textId="257469C3" w:rsidR="003C414F" w:rsidRPr="003C414F" w:rsidRDefault="003C414F" w:rsidP="00096131">
            <w:pPr>
              <w:pStyle w:val="Tabletext1"/>
              <w:jc w:val="center"/>
            </w:pPr>
            <w:r w:rsidRPr="003C414F">
              <w:t>0/102</w:t>
            </w:r>
            <w:r w:rsidR="0000253D">
              <w:t xml:space="preserve"> (0%)</w:t>
            </w:r>
          </w:p>
        </w:tc>
        <w:tc>
          <w:tcPr>
            <w:tcW w:w="349" w:type="pct"/>
            <w:tcBorders>
              <w:top w:val="single" w:sz="4" w:space="0" w:color="auto"/>
              <w:left w:val="single" w:sz="4" w:space="0" w:color="auto"/>
              <w:bottom w:val="single" w:sz="4" w:space="0" w:color="auto"/>
              <w:right w:val="single" w:sz="4" w:space="0" w:color="auto"/>
            </w:tcBorders>
          </w:tcPr>
          <w:p w14:paraId="622835CB" w14:textId="4D00AF03" w:rsidR="003C414F" w:rsidRPr="003C414F" w:rsidRDefault="003C414F" w:rsidP="00096131">
            <w:pPr>
              <w:pStyle w:val="Tabletext1"/>
              <w:jc w:val="center"/>
            </w:pPr>
            <w:r w:rsidRPr="003C414F">
              <w:t>50/102</w:t>
            </w:r>
            <w:r w:rsidR="009065CC">
              <w:t xml:space="preserve"> (49%)</w:t>
            </w:r>
          </w:p>
        </w:tc>
        <w:tc>
          <w:tcPr>
            <w:tcW w:w="350" w:type="pct"/>
            <w:tcBorders>
              <w:top w:val="single" w:sz="4" w:space="0" w:color="auto"/>
              <w:left w:val="single" w:sz="4" w:space="0" w:color="auto"/>
              <w:bottom w:val="single" w:sz="4" w:space="0" w:color="auto"/>
              <w:right w:val="single" w:sz="4" w:space="0" w:color="auto"/>
            </w:tcBorders>
          </w:tcPr>
          <w:p w14:paraId="02040EA1" w14:textId="67DD23A3" w:rsidR="003C414F" w:rsidRPr="003C414F" w:rsidRDefault="003C414F" w:rsidP="00096131">
            <w:pPr>
              <w:pStyle w:val="Tabletext1"/>
              <w:jc w:val="center"/>
            </w:pPr>
            <w:r w:rsidRPr="003C414F">
              <w:t>35/102</w:t>
            </w:r>
            <w:r w:rsidR="003B4B8D">
              <w:t xml:space="preserve"> (34%)</w:t>
            </w:r>
          </w:p>
        </w:tc>
        <w:tc>
          <w:tcPr>
            <w:tcW w:w="349" w:type="pct"/>
            <w:tcBorders>
              <w:top w:val="single" w:sz="4" w:space="0" w:color="auto"/>
              <w:left w:val="single" w:sz="4" w:space="0" w:color="auto"/>
              <w:bottom w:val="single" w:sz="4" w:space="0" w:color="auto"/>
              <w:right w:val="single" w:sz="4" w:space="0" w:color="auto"/>
            </w:tcBorders>
          </w:tcPr>
          <w:p w14:paraId="74DCD06D" w14:textId="56E8CF5D" w:rsidR="003C414F" w:rsidRPr="003C414F" w:rsidRDefault="003C414F" w:rsidP="00096131">
            <w:pPr>
              <w:pStyle w:val="Tabletext1"/>
              <w:jc w:val="center"/>
            </w:pPr>
            <w:r w:rsidRPr="003C414F">
              <w:t>17/102</w:t>
            </w:r>
            <w:r w:rsidR="00EE56D1">
              <w:t xml:space="preserve"> (17%)</w:t>
            </w:r>
          </w:p>
        </w:tc>
        <w:tc>
          <w:tcPr>
            <w:tcW w:w="349" w:type="pct"/>
            <w:tcBorders>
              <w:top w:val="single" w:sz="4" w:space="0" w:color="auto"/>
              <w:left w:val="single" w:sz="4" w:space="0" w:color="auto"/>
              <w:bottom w:val="single" w:sz="4" w:space="0" w:color="auto"/>
              <w:right w:val="single" w:sz="4" w:space="0" w:color="auto"/>
            </w:tcBorders>
          </w:tcPr>
          <w:p w14:paraId="4808B6DA" w14:textId="2C272D0A" w:rsidR="003C414F" w:rsidRPr="003C414F" w:rsidRDefault="003C414F" w:rsidP="00096131">
            <w:pPr>
              <w:pStyle w:val="Tabletext1"/>
              <w:jc w:val="center"/>
            </w:pPr>
            <w:r w:rsidRPr="003C414F">
              <w:t>0/102</w:t>
            </w:r>
            <w:r w:rsidR="0000253D">
              <w:t xml:space="preserve"> (0%)</w:t>
            </w:r>
          </w:p>
        </w:tc>
        <w:tc>
          <w:tcPr>
            <w:tcW w:w="341" w:type="pct"/>
            <w:tcBorders>
              <w:top w:val="single" w:sz="4" w:space="0" w:color="auto"/>
              <w:left w:val="single" w:sz="4" w:space="0" w:color="auto"/>
              <w:bottom w:val="single" w:sz="4" w:space="0" w:color="auto"/>
              <w:right w:val="single" w:sz="4" w:space="0" w:color="auto"/>
            </w:tcBorders>
          </w:tcPr>
          <w:p w14:paraId="7A2A65D9" w14:textId="359E7625" w:rsidR="003C414F" w:rsidRPr="003C414F" w:rsidRDefault="003C414F" w:rsidP="00096131">
            <w:pPr>
              <w:pStyle w:val="Tabletext1"/>
              <w:jc w:val="center"/>
            </w:pPr>
            <w:r w:rsidRPr="003C414F">
              <w:t>0/102</w:t>
            </w:r>
            <w:r w:rsidR="0000253D">
              <w:t xml:space="preserve"> (0%)</w:t>
            </w:r>
          </w:p>
        </w:tc>
      </w:tr>
      <w:tr w:rsidR="008A7DAC" w:rsidRPr="00B2301A" w14:paraId="47C26238" w14:textId="77777777" w:rsidTr="000D52C8">
        <w:tc>
          <w:tcPr>
            <w:tcW w:w="669" w:type="pct"/>
            <w:tcBorders>
              <w:top w:val="single" w:sz="4" w:space="0" w:color="auto"/>
              <w:left w:val="single" w:sz="4" w:space="0" w:color="auto"/>
              <w:bottom w:val="nil"/>
              <w:right w:val="single" w:sz="4" w:space="0" w:color="auto"/>
            </w:tcBorders>
            <w:shd w:val="clear" w:color="auto" w:fill="auto"/>
            <w:vAlign w:val="bottom"/>
          </w:tcPr>
          <w:p w14:paraId="2997B496" w14:textId="78B527AC" w:rsidR="003C414F" w:rsidRPr="002B629F" w:rsidRDefault="00211285" w:rsidP="00096131">
            <w:pPr>
              <w:pStyle w:val="Tabletext1"/>
            </w:pPr>
            <w:hyperlink w:anchor="_ENREF_12" w:tooltip="Berlin, 2015 #34" w:history="1">
              <w:r w:rsidR="008B6FC0">
                <w:fldChar w:fldCharType="begin"/>
              </w:r>
              <w:r w:rsidR="008B6FC0">
                <w:instrText xml:space="preserve"> ADDIN EN.CITE &lt;EndNote&gt;&lt;Cite AuthorYear="1"&gt;&lt;Author&gt;Berlin&lt;/Author&gt;&lt;Year&gt;2015&lt;/Year&gt;&lt;RecNum&gt;34&lt;/RecNum&gt;&lt;DisplayText&gt;Berlin et al. (2015)&lt;/DisplayText&gt;&lt;record&gt;&lt;rec-number&gt;34&lt;/rec-number&gt;&lt;foreign-keys&gt;&lt;key app="EN" db-id="sx5wsdwv795wvue959xxw0ptaewvdezxxp05" timestamp="1604876375"&gt;34&lt;/key&gt;&lt;/foreign-keys&gt;&lt;ref-type name="Journal Article"&gt;17&lt;/ref-type&gt;&lt;contributors&gt;&lt;authors&gt;&lt;author&gt;Berlin, A.&lt;/author&gt;&lt;author&gt;Cho, E.&lt;/author&gt;&lt;author&gt;Kong, V.&lt;/author&gt;&lt;author&gt;Howell, K. J.&lt;/author&gt;&lt;author&gt;Lao, B.&lt;/author&gt;&lt;author&gt;Craig, T.&lt;/author&gt;&lt;author&gt;Bayley, A.&lt;/author&gt;&lt;author&gt;Chung, P.&lt;/author&gt;&lt;author&gt;Gospodarowicz, M.&lt;/author&gt;&lt;author&gt;Warde, P.&lt;/author&gt;&lt;author&gt;Catton, C.&lt;/author&gt;&lt;author&gt;Bristow, R. G.&lt;/author&gt;&lt;author&gt;Menard, C.&lt;/author&gt;&lt;/authors&gt;&lt;/contributors&gt;&lt;titles&gt;&lt;title&gt;Phase 2 trial of guideline-based postoperative image guided intensity modulated radiation therapy for prostate cancer: Toxicity, biochemical, and patient-reported health-related quality-of-life outcomes&lt;/title&gt;&lt;secondary-title&gt;Pract Radiat Oncol&lt;/secondary-title&gt;&lt;/titles&gt;&lt;pages&gt;e473-e482&lt;/pages&gt;&lt;volume&gt;5&lt;/volume&gt;&lt;number&gt;5&lt;/number&gt;&lt;dates&gt;&lt;year&gt;2015&lt;/year&gt;&lt;/dates&gt;&lt;accession-num&gt;25899220&lt;/accession-num&gt;&lt;urls&gt;&lt;related-urls&gt;&lt;url&gt;http://ezproxy.library.usyd.edu.au/login?url=http://ovidsp.ovid.com/ovidweb.cgi?T=JS&amp;amp;CSC=Y&amp;amp;NEWS=N&amp;amp;PAGE=fulltext&amp;amp;D=med12&amp;amp;AN=25899220https://sydney.alma.exlibrisgroup.com/openurl/61USYD_INST/61USYD_INST:sydney?sid=OVID:medline&amp;amp;id=pmid:25899220&amp;amp;id=doi:10.101&lt;/url&gt;&lt;/related-urls&gt;&lt;/urls&gt;&lt;electronic-resource-num&gt;https://dx.doi.org/10.1016/j.prro.2015.02.015&lt;/electronic-resource-num&gt;&lt;/record&gt;&lt;/Cite&gt;&lt;/EndNote&gt;</w:instrText>
              </w:r>
              <w:r w:rsidR="008B6FC0">
                <w:fldChar w:fldCharType="separate"/>
              </w:r>
              <w:r w:rsidR="008B6FC0">
                <w:rPr>
                  <w:noProof/>
                </w:rPr>
                <w:t>Berlin et al. (2015)</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6E58CDD1" w14:textId="30392374" w:rsidR="003C414F" w:rsidRPr="002B629F" w:rsidRDefault="002B629F" w:rsidP="00096131">
            <w:pPr>
              <w:spacing w:before="40" w:line="240" w:lineRule="auto"/>
              <w:jc w:val="center"/>
              <w:rPr>
                <w:rFonts w:ascii="Arial Narrow" w:hAnsi="Arial Narrow"/>
                <w:sz w:val="20"/>
                <w:szCs w:val="20"/>
              </w:rPr>
            </w:pPr>
            <w:r w:rsidRPr="002B629F">
              <w:rPr>
                <w:rFonts w:ascii="Arial Narrow" w:hAnsi="Arial Narrow"/>
                <w:sz w:val="20"/>
                <w:szCs w:val="20"/>
              </w:rPr>
              <w:t>Diarrhea</w:t>
            </w:r>
          </w:p>
        </w:tc>
        <w:tc>
          <w:tcPr>
            <w:tcW w:w="349" w:type="pct"/>
            <w:tcBorders>
              <w:top w:val="single" w:sz="4" w:space="0" w:color="auto"/>
              <w:left w:val="single" w:sz="4" w:space="0" w:color="auto"/>
              <w:bottom w:val="single" w:sz="4" w:space="0" w:color="auto"/>
              <w:right w:val="single" w:sz="4" w:space="0" w:color="auto"/>
            </w:tcBorders>
          </w:tcPr>
          <w:p w14:paraId="54FDBAC9" w14:textId="11598558" w:rsidR="003C414F" w:rsidRDefault="002B629F" w:rsidP="00096131">
            <w:pPr>
              <w:pStyle w:val="Tabletext1"/>
              <w:jc w:val="center"/>
            </w:pPr>
            <w:r w:rsidRPr="002B629F">
              <w:t>28/68</w:t>
            </w:r>
            <w:r w:rsidR="00963966">
              <w:t xml:space="preserve"> (41%)</w:t>
            </w:r>
          </w:p>
        </w:tc>
        <w:tc>
          <w:tcPr>
            <w:tcW w:w="350" w:type="pct"/>
            <w:tcBorders>
              <w:top w:val="single" w:sz="4" w:space="0" w:color="auto"/>
              <w:left w:val="single" w:sz="4" w:space="0" w:color="auto"/>
              <w:bottom w:val="single" w:sz="4" w:space="0" w:color="auto"/>
              <w:right w:val="single" w:sz="4" w:space="0" w:color="auto"/>
            </w:tcBorders>
          </w:tcPr>
          <w:p w14:paraId="14A910C2" w14:textId="7D976CC9" w:rsidR="003C414F" w:rsidRDefault="002B629F" w:rsidP="00096131">
            <w:pPr>
              <w:pStyle w:val="Tabletext1"/>
              <w:jc w:val="center"/>
            </w:pPr>
            <w:r w:rsidRPr="002B629F">
              <w:t>34/68</w:t>
            </w:r>
            <w:r w:rsidR="000C77F6">
              <w:t xml:space="preserve"> (50%)</w:t>
            </w:r>
          </w:p>
        </w:tc>
        <w:tc>
          <w:tcPr>
            <w:tcW w:w="349" w:type="pct"/>
            <w:tcBorders>
              <w:top w:val="single" w:sz="4" w:space="0" w:color="auto"/>
              <w:left w:val="single" w:sz="4" w:space="0" w:color="auto"/>
              <w:bottom w:val="single" w:sz="4" w:space="0" w:color="auto"/>
              <w:right w:val="single" w:sz="4" w:space="0" w:color="auto"/>
            </w:tcBorders>
          </w:tcPr>
          <w:p w14:paraId="612A263F" w14:textId="31F800DD" w:rsidR="003C414F" w:rsidRDefault="002B629F" w:rsidP="00096131">
            <w:pPr>
              <w:pStyle w:val="Tabletext1"/>
              <w:jc w:val="center"/>
            </w:pPr>
            <w:r w:rsidRPr="002B629F">
              <w:t>6/68</w:t>
            </w:r>
            <w:r w:rsidR="00025044">
              <w:t xml:space="preserve"> (9%)</w:t>
            </w:r>
          </w:p>
        </w:tc>
        <w:tc>
          <w:tcPr>
            <w:tcW w:w="349" w:type="pct"/>
            <w:tcBorders>
              <w:top w:val="single" w:sz="4" w:space="0" w:color="auto"/>
              <w:left w:val="single" w:sz="4" w:space="0" w:color="auto"/>
              <w:bottom w:val="single" w:sz="4" w:space="0" w:color="auto"/>
              <w:right w:val="single" w:sz="4" w:space="0" w:color="auto"/>
            </w:tcBorders>
          </w:tcPr>
          <w:p w14:paraId="41A5355F" w14:textId="09035D97"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3DCB45D" w14:textId="58C611C9"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D569123" w14:textId="3DB8568A" w:rsidR="003C414F" w:rsidRDefault="003C414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1F8D039" w14:textId="6CE1CBDB"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BF7B5DC" w14:textId="4E111FAB"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95ACAEA" w14:textId="77777777" w:rsidR="003C414F" w:rsidRDefault="003C414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224E32EF" w14:textId="77777777" w:rsidR="003C414F" w:rsidRDefault="003C414F" w:rsidP="00096131">
            <w:pPr>
              <w:pStyle w:val="Tabletext1"/>
              <w:jc w:val="center"/>
            </w:pPr>
          </w:p>
        </w:tc>
      </w:tr>
      <w:tr w:rsidR="008A7DAC" w:rsidRPr="00B2301A" w14:paraId="3AA52FC6" w14:textId="77777777" w:rsidTr="000D52C8">
        <w:tc>
          <w:tcPr>
            <w:tcW w:w="669" w:type="pct"/>
            <w:tcBorders>
              <w:top w:val="nil"/>
              <w:left w:val="single" w:sz="4" w:space="0" w:color="auto"/>
              <w:bottom w:val="nil"/>
              <w:right w:val="single" w:sz="4" w:space="0" w:color="auto"/>
            </w:tcBorders>
            <w:shd w:val="clear" w:color="auto" w:fill="auto"/>
            <w:vAlign w:val="bottom"/>
          </w:tcPr>
          <w:p w14:paraId="52039AAF" w14:textId="77777777" w:rsidR="002B629F" w:rsidRDefault="002B629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6F521B97" w14:textId="16C9260B" w:rsidR="002B629F" w:rsidRDefault="002B629F" w:rsidP="00096131">
            <w:pPr>
              <w:pStyle w:val="Tabletext1"/>
              <w:jc w:val="center"/>
            </w:pPr>
            <w:r>
              <w:t>Nausea</w:t>
            </w:r>
          </w:p>
        </w:tc>
        <w:tc>
          <w:tcPr>
            <w:tcW w:w="349" w:type="pct"/>
            <w:tcBorders>
              <w:top w:val="single" w:sz="4" w:space="0" w:color="auto"/>
              <w:left w:val="single" w:sz="4" w:space="0" w:color="auto"/>
              <w:bottom w:val="single" w:sz="4" w:space="0" w:color="auto"/>
              <w:right w:val="single" w:sz="4" w:space="0" w:color="auto"/>
            </w:tcBorders>
          </w:tcPr>
          <w:p w14:paraId="3BF95EE6" w14:textId="15D76602" w:rsidR="002B629F" w:rsidRDefault="002B629F" w:rsidP="00096131">
            <w:pPr>
              <w:pStyle w:val="Tabletext1"/>
              <w:jc w:val="center"/>
            </w:pPr>
            <w:r w:rsidRPr="002B629F">
              <w:t>61/68</w:t>
            </w:r>
            <w:r w:rsidR="001B410E">
              <w:t xml:space="preserve"> (90%)</w:t>
            </w:r>
          </w:p>
        </w:tc>
        <w:tc>
          <w:tcPr>
            <w:tcW w:w="350" w:type="pct"/>
            <w:tcBorders>
              <w:top w:val="single" w:sz="4" w:space="0" w:color="auto"/>
              <w:left w:val="single" w:sz="4" w:space="0" w:color="auto"/>
              <w:bottom w:val="single" w:sz="4" w:space="0" w:color="auto"/>
              <w:right w:val="single" w:sz="4" w:space="0" w:color="auto"/>
            </w:tcBorders>
          </w:tcPr>
          <w:p w14:paraId="163C8A37" w14:textId="77777777" w:rsidR="002B629F" w:rsidRDefault="002B629F" w:rsidP="00096131">
            <w:pPr>
              <w:pStyle w:val="Tabletext1"/>
              <w:jc w:val="center"/>
            </w:pPr>
            <w:r w:rsidRPr="002B629F">
              <w:t>6/68</w:t>
            </w:r>
          </w:p>
          <w:p w14:paraId="68BA7EE2" w14:textId="179DBE6B" w:rsidR="00417ED0" w:rsidRDefault="00417ED0" w:rsidP="00096131">
            <w:pPr>
              <w:pStyle w:val="Tabletext1"/>
              <w:jc w:val="center"/>
            </w:pPr>
            <w:r>
              <w:t>(9%)</w:t>
            </w:r>
          </w:p>
        </w:tc>
        <w:tc>
          <w:tcPr>
            <w:tcW w:w="349" w:type="pct"/>
            <w:tcBorders>
              <w:top w:val="single" w:sz="4" w:space="0" w:color="auto"/>
              <w:left w:val="single" w:sz="4" w:space="0" w:color="auto"/>
              <w:bottom w:val="single" w:sz="4" w:space="0" w:color="auto"/>
              <w:right w:val="single" w:sz="4" w:space="0" w:color="auto"/>
            </w:tcBorders>
          </w:tcPr>
          <w:p w14:paraId="55A2A26E" w14:textId="02FFFC21" w:rsidR="002B629F" w:rsidRDefault="002B629F" w:rsidP="00096131">
            <w:pPr>
              <w:pStyle w:val="Tabletext1"/>
              <w:jc w:val="center"/>
            </w:pPr>
            <w:r w:rsidRPr="002B629F">
              <w:t>1/68</w:t>
            </w:r>
            <w:r w:rsidR="002671D0">
              <w:t xml:space="preserve"> (1%)</w:t>
            </w:r>
          </w:p>
        </w:tc>
        <w:tc>
          <w:tcPr>
            <w:tcW w:w="349" w:type="pct"/>
            <w:tcBorders>
              <w:top w:val="single" w:sz="4" w:space="0" w:color="auto"/>
              <w:left w:val="single" w:sz="4" w:space="0" w:color="auto"/>
              <w:bottom w:val="single" w:sz="4" w:space="0" w:color="auto"/>
              <w:right w:val="single" w:sz="4" w:space="0" w:color="auto"/>
            </w:tcBorders>
          </w:tcPr>
          <w:p w14:paraId="5B3E393D"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D26CCD9"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48D8C0E" w14:textId="77777777" w:rsidR="002B629F" w:rsidRDefault="002B629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542CC3A"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EA1B06C"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BFA19E5" w14:textId="77777777" w:rsidR="002B629F" w:rsidRDefault="002B629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64C02701" w14:textId="77777777" w:rsidR="002B629F" w:rsidRDefault="002B629F" w:rsidP="00096131">
            <w:pPr>
              <w:pStyle w:val="Tabletext1"/>
              <w:jc w:val="center"/>
            </w:pPr>
          </w:p>
        </w:tc>
      </w:tr>
      <w:tr w:rsidR="008A7DAC" w:rsidRPr="00B2301A" w14:paraId="395957C5" w14:textId="77777777" w:rsidTr="000D52C8">
        <w:tc>
          <w:tcPr>
            <w:tcW w:w="669" w:type="pct"/>
            <w:tcBorders>
              <w:top w:val="nil"/>
              <w:left w:val="single" w:sz="4" w:space="0" w:color="auto"/>
              <w:bottom w:val="nil"/>
              <w:right w:val="single" w:sz="4" w:space="0" w:color="auto"/>
            </w:tcBorders>
            <w:shd w:val="clear" w:color="auto" w:fill="auto"/>
            <w:vAlign w:val="bottom"/>
          </w:tcPr>
          <w:p w14:paraId="6DF8E0AF" w14:textId="77777777" w:rsidR="002B629F" w:rsidRDefault="002B629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FD09EB8" w14:textId="571921F2" w:rsidR="002B629F" w:rsidRDefault="002B629F" w:rsidP="00096131">
            <w:pPr>
              <w:pStyle w:val="Tabletext1"/>
              <w:jc w:val="center"/>
            </w:pPr>
            <w:r>
              <w:t>Vomiting</w:t>
            </w:r>
          </w:p>
        </w:tc>
        <w:tc>
          <w:tcPr>
            <w:tcW w:w="349" w:type="pct"/>
            <w:tcBorders>
              <w:top w:val="single" w:sz="4" w:space="0" w:color="auto"/>
              <w:left w:val="single" w:sz="4" w:space="0" w:color="auto"/>
              <w:bottom w:val="single" w:sz="4" w:space="0" w:color="auto"/>
              <w:right w:val="single" w:sz="4" w:space="0" w:color="auto"/>
            </w:tcBorders>
          </w:tcPr>
          <w:p w14:paraId="0165F082" w14:textId="5B302637" w:rsidR="002B629F" w:rsidRDefault="002B629F" w:rsidP="00096131">
            <w:pPr>
              <w:pStyle w:val="Tabletext1"/>
              <w:jc w:val="center"/>
            </w:pPr>
            <w:r w:rsidRPr="002B629F">
              <w:t>68/68</w:t>
            </w:r>
            <w:r w:rsidR="000D52C8">
              <w:t xml:space="preserve"> (100%)</w:t>
            </w:r>
          </w:p>
        </w:tc>
        <w:tc>
          <w:tcPr>
            <w:tcW w:w="350" w:type="pct"/>
            <w:tcBorders>
              <w:top w:val="single" w:sz="4" w:space="0" w:color="auto"/>
              <w:left w:val="single" w:sz="4" w:space="0" w:color="auto"/>
              <w:bottom w:val="single" w:sz="4" w:space="0" w:color="auto"/>
              <w:right w:val="single" w:sz="4" w:space="0" w:color="auto"/>
            </w:tcBorders>
          </w:tcPr>
          <w:p w14:paraId="3EC861DA" w14:textId="3B793BEB" w:rsidR="002B629F" w:rsidRDefault="002B629F" w:rsidP="00096131">
            <w:pPr>
              <w:pStyle w:val="Tabletext1"/>
              <w:jc w:val="center"/>
            </w:pPr>
            <w:r>
              <w:t>0/68</w:t>
            </w:r>
            <w:r w:rsidR="0000253D">
              <w:t xml:space="preserve"> (0%)</w:t>
            </w:r>
          </w:p>
        </w:tc>
        <w:tc>
          <w:tcPr>
            <w:tcW w:w="349" w:type="pct"/>
            <w:tcBorders>
              <w:top w:val="single" w:sz="4" w:space="0" w:color="auto"/>
              <w:left w:val="single" w:sz="4" w:space="0" w:color="auto"/>
              <w:bottom w:val="single" w:sz="4" w:space="0" w:color="auto"/>
              <w:right w:val="single" w:sz="4" w:space="0" w:color="auto"/>
            </w:tcBorders>
          </w:tcPr>
          <w:p w14:paraId="285EABA2" w14:textId="6EB7251C" w:rsidR="002B629F" w:rsidRDefault="002B629F" w:rsidP="00096131">
            <w:pPr>
              <w:pStyle w:val="Tabletext1"/>
              <w:jc w:val="center"/>
            </w:pPr>
            <w:r>
              <w:t>0/68</w:t>
            </w:r>
            <w:r w:rsidR="0000253D">
              <w:t xml:space="preserve"> (0%)</w:t>
            </w:r>
          </w:p>
        </w:tc>
        <w:tc>
          <w:tcPr>
            <w:tcW w:w="349" w:type="pct"/>
            <w:tcBorders>
              <w:top w:val="single" w:sz="4" w:space="0" w:color="auto"/>
              <w:left w:val="single" w:sz="4" w:space="0" w:color="auto"/>
              <w:bottom w:val="single" w:sz="4" w:space="0" w:color="auto"/>
              <w:right w:val="single" w:sz="4" w:space="0" w:color="auto"/>
            </w:tcBorders>
          </w:tcPr>
          <w:p w14:paraId="52EB3713"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4ACA9D9"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EFCAA6C" w14:textId="77777777" w:rsidR="002B629F" w:rsidRDefault="002B629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E22BABE"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562C5C4"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949D9A1" w14:textId="77777777" w:rsidR="002B629F" w:rsidRDefault="002B629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412EBEC5" w14:textId="77777777" w:rsidR="002B629F" w:rsidRDefault="002B629F" w:rsidP="00096131">
            <w:pPr>
              <w:pStyle w:val="Tabletext1"/>
              <w:jc w:val="center"/>
            </w:pPr>
          </w:p>
        </w:tc>
      </w:tr>
      <w:tr w:rsidR="008A7DAC" w:rsidRPr="00B2301A" w14:paraId="547E9879" w14:textId="77777777" w:rsidTr="000D52C8">
        <w:tc>
          <w:tcPr>
            <w:tcW w:w="669" w:type="pct"/>
            <w:tcBorders>
              <w:top w:val="nil"/>
              <w:left w:val="single" w:sz="4" w:space="0" w:color="auto"/>
              <w:bottom w:val="nil"/>
              <w:right w:val="single" w:sz="4" w:space="0" w:color="auto"/>
            </w:tcBorders>
            <w:shd w:val="clear" w:color="auto" w:fill="auto"/>
            <w:vAlign w:val="bottom"/>
          </w:tcPr>
          <w:p w14:paraId="2F402C22" w14:textId="77777777" w:rsidR="002B629F" w:rsidRDefault="002B629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4BE9F1C9" w14:textId="5717CDEA" w:rsidR="002B629F" w:rsidRDefault="002B629F" w:rsidP="00096131">
            <w:pPr>
              <w:pStyle w:val="Tabletext1"/>
              <w:jc w:val="center"/>
            </w:pPr>
            <w:r>
              <w:t>Proctitis</w:t>
            </w:r>
          </w:p>
        </w:tc>
        <w:tc>
          <w:tcPr>
            <w:tcW w:w="349" w:type="pct"/>
            <w:tcBorders>
              <w:top w:val="single" w:sz="4" w:space="0" w:color="auto"/>
              <w:left w:val="single" w:sz="4" w:space="0" w:color="auto"/>
              <w:bottom w:val="single" w:sz="4" w:space="0" w:color="auto"/>
              <w:right w:val="single" w:sz="4" w:space="0" w:color="auto"/>
            </w:tcBorders>
          </w:tcPr>
          <w:p w14:paraId="68ED9943" w14:textId="5C0E587F" w:rsidR="002B629F" w:rsidRDefault="002B629F" w:rsidP="00096131">
            <w:pPr>
              <w:pStyle w:val="Tabletext1"/>
              <w:jc w:val="center"/>
            </w:pPr>
            <w:r w:rsidRPr="002B629F">
              <w:t>22/68</w:t>
            </w:r>
            <w:r w:rsidR="00C47815">
              <w:t xml:space="preserve"> (32%)</w:t>
            </w:r>
          </w:p>
        </w:tc>
        <w:tc>
          <w:tcPr>
            <w:tcW w:w="350" w:type="pct"/>
            <w:tcBorders>
              <w:top w:val="single" w:sz="4" w:space="0" w:color="auto"/>
              <w:left w:val="single" w:sz="4" w:space="0" w:color="auto"/>
              <w:bottom w:val="single" w:sz="4" w:space="0" w:color="auto"/>
              <w:right w:val="single" w:sz="4" w:space="0" w:color="auto"/>
            </w:tcBorders>
          </w:tcPr>
          <w:p w14:paraId="7E1D9918" w14:textId="0E7DD66F" w:rsidR="002B629F" w:rsidRDefault="002B629F" w:rsidP="00096131">
            <w:pPr>
              <w:pStyle w:val="Tabletext1"/>
              <w:jc w:val="center"/>
            </w:pPr>
            <w:r w:rsidRPr="002B629F">
              <w:t>38/68</w:t>
            </w:r>
            <w:r w:rsidR="00433C11">
              <w:t xml:space="preserve"> (56%)</w:t>
            </w:r>
          </w:p>
        </w:tc>
        <w:tc>
          <w:tcPr>
            <w:tcW w:w="349" w:type="pct"/>
            <w:tcBorders>
              <w:top w:val="single" w:sz="4" w:space="0" w:color="auto"/>
              <w:left w:val="single" w:sz="4" w:space="0" w:color="auto"/>
              <w:bottom w:val="single" w:sz="4" w:space="0" w:color="auto"/>
              <w:right w:val="single" w:sz="4" w:space="0" w:color="auto"/>
            </w:tcBorders>
          </w:tcPr>
          <w:p w14:paraId="5087344A" w14:textId="43921F79" w:rsidR="002B629F" w:rsidRDefault="002B629F" w:rsidP="00096131">
            <w:pPr>
              <w:pStyle w:val="Tabletext1"/>
              <w:jc w:val="center"/>
            </w:pPr>
            <w:r w:rsidRPr="002B629F">
              <w:t>8/68</w:t>
            </w:r>
            <w:r w:rsidR="00276FA5">
              <w:t xml:space="preserve"> (12%)</w:t>
            </w:r>
          </w:p>
        </w:tc>
        <w:tc>
          <w:tcPr>
            <w:tcW w:w="349" w:type="pct"/>
            <w:tcBorders>
              <w:top w:val="single" w:sz="4" w:space="0" w:color="auto"/>
              <w:left w:val="single" w:sz="4" w:space="0" w:color="auto"/>
              <w:bottom w:val="single" w:sz="4" w:space="0" w:color="auto"/>
              <w:right w:val="single" w:sz="4" w:space="0" w:color="auto"/>
            </w:tcBorders>
          </w:tcPr>
          <w:p w14:paraId="6DEDDD69"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953FFE0"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68C2299" w14:textId="77777777" w:rsidR="002B629F" w:rsidRDefault="002B629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918027A"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923D352"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E6EB1D4" w14:textId="77777777" w:rsidR="002B629F" w:rsidRDefault="002B629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67A8DEF7" w14:textId="77777777" w:rsidR="002B629F" w:rsidRDefault="002B629F" w:rsidP="00096131">
            <w:pPr>
              <w:pStyle w:val="Tabletext1"/>
              <w:jc w:val="center"/>
            </w:pPr>
          </w:p>
        </w:tc>
      </w:tr>
      <w:tr w:rsidR="008A7DAC" w:rsidRPr="00B2301A" w14:paraId="052AB652" w14:textId="77777777" w:rsidTr="000D52C8">
        <w:tc>
          <w:tcPr>
            <w:tcW w:w="669" w:type="pct"/>
            <w:tcBorders>
              <w:top w:val="nil"/>
              <w:left w:val="single" w:sz="4" w:space="0" w:color="auto"/>
              <w:bottom w:val="nil"/>
              <w:right w:val="single" w:sz="4" w:space="0" w:color="auto"/>
            </w:tcBorders>
            <w:shd w:val="clear" w:color="auto" w:fill="auto"/>
            <w:vAlign w:val="bottom"/>
          </w:tcPr>
          <w:p w14:paraId="45A88E59" w14:textId="77777777" w:rsidR="002B629F" w:rsidRDefault="002B629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6E69BCF4" w14:textId="51758D52" w:rsidR="002B629F" w:rsidRPr="002B629F" w:rsidRDefault="002B629F" w:rsidP="00096131">
            <w:pPr>
              <w:pStyle w:val="Tabletext1"/>
              <w:jc w:val="center"/>
            </w:pPr>
            <w:r w:rsidRPr="002B629F">
              <w:t>Bladder spasms</w:t>
            </w:r>
          </w:p>
        </w:tc>
        <w:tc>
          <w:tcPr>
            <w:tcW w:w="349" w:type="pct"/>
            <w:tcBorders>
              <w:top w:val="single" w:sz="4" w:space="0" w:color="auto"/>
              <w:left w:val="single" w:sz="4" w:space="0" w:color="auto"/>
              <w:bottom w:val="single" w:sz="4" w:space="0" w:color="auto"/>
              <w:right w:val="single" w:sz="4" w:space="0" w:color="auto"/>
            </w:tcBorders>
          </w:tcPr>
          <w:p w14:paraId="6982C790" w14:textId="1D0D7919" w:rsidR="002B629F" w:rsidRPr="002B629F" w:rsidRDefault="002B629F" w:rsidP="00096131">
            <w:pPr>
              <w:pStyle w:val="Tabletext1"/>
              <w:jc w:val="center"/>
            </w:pPr>
            <w:r w:rsidRPr="002B629F">
              <w:t>53/68</w:t>
            </w:r>
            <w:r w:rsidR="00062EF2">
              <w:t xml:space="preserve"> (78%)</w:t>
            </w:r>
          </w:p>
        </w:tc>
        <w:tc>
          <w:tcPr>
            <w:tcW w:w="350" w:type="pct"/>
            <w:tcBorders>
              <w:top w:val="single" w:sz="4" w:space="0" w:color="auto"/>
              <w:left w:val="single" w:sz="4" w:space="0" w:color="auto"/>
              <w:bottom w:val="single" w:sz="4" w:space="0" w:color="auto"/>
              <w:right w:val="single" w:sz="4" w:space="0" w:color="auto"/>
            </w:tcBorders>
          </w:tcPr>
          <w:p w14:paraId="592EC0F1" w14:textId="3A9192BB" w:rsidR="002B629F" w:rsidRPr="002B629F" w:rsidRDefault="002B629F" w:rsidP="00096131">
            <w:pPr>
              <w:pStyle w:val="Tabletext1"/>
              <w:jc w:val="center"/>
            </w:pPr>
            <w:r w:rsidRPr="002B629F">
              <w:t>13/68</w:t>
            </w:r>
            <w:r w:rsidR="009F4AA9">
              <w:t xml:space="preserve"> (19%)</w:t>
            </w:r>
          </w:p>
        </w:tc>
        <w:tc>
          <w:tcPr>
            <w:tcW w:w="349" w:type="pct"/>
            <w:tcBorders>
              <w:top w:val="single" w:sz="4" w:space="0" w:color="auto"/>
              <w:left w:val="single" w:sz="4" w:space="0" w:color="auto"/>
              <w:bottom w:val="single" w:sz="4" w:space="0" w:color="auto"/>
              <w:right w:val="single" w:sz="4" w:space="0" w:color="auto"/>
            </w:tcBorders>
          </w:tcPr>
          <w:p w14:paraId="71ACD163" w14:textId="1D9393F3" w:rsidR="002B629F" w:rsidRPr="002B629F" w:rsidRDefault="002B629F" w:rsidP="00096131">
            <w:pPr>
              <w:pStyle w:val="Tabletext1"/>
              <w:jc w:val="center"/>
            </w:pPr>
            <w:r w:rsidRPr="002B629F">
              <w:t>2/68</w:t>
            </w:r>
            <w:r w:rsidR="00EB78AC">
              <w:t xml:space="preserve"> (3%)</w:t>
            </w:r>
          </w:p>
        </w:tc>
        <w:tc>
          <w:tcPr>
            <w:tcW w:w="349" w:type="pct"/>
            <w:tcBorders>
              <w:top w:val="single" w:sz="4" w:space="0" w:color="auto"/>
              <w:left w:val="single" w:sz="4" w:space="0" w:color="auto"/>
              <w:bottom w:val="single" w:sz="4" w:space="0" w:color="auto"/>
              <w:right w:val="single" w:sz="4" w:space="0" w:color="auto"/>
            </w:tcBorders>
          </w:tcPr>
          <w:p w14:paraId="0DE9BC21"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AE2E686"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DB286C9" w14:textId="77777777" w:rsidR="002B629F" w:rsidRDefault="002B629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4E99A45"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0D02D53"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D677DF9" w14:textId="77777777" w:rsidR="002B629F" w:rsidRDefault="002B629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658BBD5" w14:textId="77777777" w:rsidR="002B629F" w:rsidRDefault="002B629F" w:rsidP="00096131">
            <w:pPr>
              <w:pStyle w:val="Tabletext1"/>
              <w:jc w:val="center"/>
            </w:pPr>
          </w:p>
        </w:tc>
      </w:tr>
      <w:tr w:rsidR="008A7DAC" w:rsidRPr="00B2301A" w14:paraId="2DA7EF18" w14:textId="77777777" w:rsidTr="000D52C8">
        <w:tc>
          <w:tcPr>
            <w:tcW w:w="669" w:type="pct"/>
            <w:tcBorders>
              <w:top w:val="nil"/>
              <w:left w:val="single" w:sz="4" w:space="0" w:color="auto"/>
              <w:bottom w:val="nil"/>
              <w:right w:val="single" w:sz="4" w:space="0" w:color="auto"/>
            </w:tcBorders>
            <w:shd w:val="clear" w:color="auto" w:fill="auto"/>
            <w:vAlign w:val="bottom"/>
          </w:tcPr>
          <w:p w14:paraId="00B757BF" w14:textId="77777777" w:rsidR="002B629F" w:rsidRDefault="002B629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4ADF9B4" w14:textId="0ED165AA" w:rsidR="002B629F" w:rsidRPr="002B629F" w:rsidRDefault="002B629F" w:rsidP="00096131">
            <w:pPr>
              <w:pStyle w:val="Tabletext1"/>
              <w:jc w:val="center"/>
            </w:pPr>
            <w:r w:rsidRPr="002B629F">
              <w:t>Cystitis</w:t>
            </w:r>
          </w:p>
        </w:tc>
        <w:tc>
          <w:tcPr>
            <w:tcW w:w="349" w:type="pct"/>
            <w:tcBorders>
              <w:top w:val="single" w:sz="4" w:space="0" w:color="auto"/>
              <w:left w:val="single" w:sz="4" w:space="0" w:color="auto"/>
              <w:bottom w:val="single" w:sz="4" w:space="0" w:color="auto"/>
              <w:right w:val="single" w:sz="4" w:space="0" w:color="auto"/>
            </w:tcBorders>
          </w:tcPr>
          <w:p w14:paraId="71513486" w14:textId="2777CCB7" w:rsidR="002B629F" w:rsidRPr="002B629F" w:rsidRDefault="002B629F" w:rsidP="00096131">
            <w:pPr>
              <w:pStyle w:val="Tabletext1"/>
              <w:jc w:val="center"/>
            </w:pPr>
            <w:r w:rsidRPr="002B629F">
              <w:t>36/68</w:t>
            </w:r>
            <w:r w:rsidR="00EB78AC">
              <w:t xml:space="preserve"> </w:t>
            </w:r>
            <w:r w:rsidR="005B39C7">
              <w:t>(53%)</w:t>
            </w:r>
          </w:p>
        </w:tc>
        <w:tc>
          <w:tcPr>
            <w:tcW w:w="350" w:type="pct"/>
            <w:tcBorders>
              <w:top w:val="single" w:sz="4" w:space="0" w:color="auto"/>
              <w:left w:val="single" w:sz="4" w:space="0" w:color="auto"/>
              <w:bottom w:val="single" w:sz="4" w:space="0" w:color="auto"/>
              <w:right w:val="single" w:sz="4" w:space="0" w:color="auto"/>
            </w:tcBorders>
          </w:tcPr>
          <w:p w14:paraId="5358DE9E" w14:textId="5D792EC4" w:rsidR="002B629F" w:rsidRPr="002B629F" w:rsidRDefault="002B629F" w:rsidP="00096131">
            <w:pPr>
              <w:pStyle w:val="Tabletext1"/>
              <w:jc w:val="center"/>
            </w:pPr>
            <w:r w:rsidRPr="002B629F">
              <w:t>29/68</w:t>
            </w:r>
            <w:r w:rsidR="00F76EFF">
              <w:t xml:space="preserve"> (43%)</w:t>
            </w:r>
          </w:p>
        </w:tc>
        <w:tc>
          <w:tcPr>
            <w:tcW w:w="349" w:type="pct"/>
            <w:tcBorders>
              <w:top w:val="single" w:sz="4" w:space="0" w:color="auto"/>
              <w:left w:val="single" w:sz="4" w:space="0" w:color="auto"/>
              <w:bottom w:val="single" w:sz="4" w:space="0" w:color="auto"/>
              <w:right w:val="single" w:sz="4" w:space="0" w:color="auto"/>
            </w:tcBorders>
          </w:tcPr>
          <w:p w14:paraId="13614538" w14:textId="1B2BB500" w:rsidR="002B629F" w:rsidRPr="002B629F" w:rsidRDefault="002B629F" w:rsidP="00096131">
            <w:pPr>
              <w:pStyle w:val="Tabletext1"/>
              <w:jc w:val="center"/>
            </w:pPr>
            <w:r w:rsidRPr="002B629F">
              <w:t>3/68</w:t>
            </w:r>
            <w:r w:rsidR="000D22B8">
              <w:t xml:space="preserve"> (4%)</w:t>
            </w:r>
          </w:p>
        </w:tc>
        <w:tc>
          <w:tcPr>
            <w:tcW w:w="349" w:type="pct"/>
            <w:tcBorders>
              <w:top w:val="single" w:sz="4" w:space="0" w:color="auto"/>
              <w:left w:val="single" w:sz="4" w:space="0" w:color="auto"/>
              <w:bottom w:val="single" w:sz="4" w:space="0" w:color="auto"/>
              <w:right w:val="single" w:sz="4" w:space="0" w:color="auto"/>
            </w:tcBorders>
          </w:tcPr>
          <w:p w14:paraId="15A92573"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50E77C9"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71606AD" w14:textId="77777777" w:rsidR="002B629F" w:rsidRDefault="002B629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30AFE94"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7D54489"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BB334A0" w14:textId="77777777" w:rsidR="002B629F" w:rsidRDefault="002B629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24F6DDCE" w14:textId="77777777" w:rsidR="002B629F" w:rsidRDefault="002B629F" w:rsidP="00096131">
            <w:pPr>
              <w:pStyle w:val="Tabletext1"/>
              <w:jc w:val="center"/>
            </w:pPr>
          </w:p>
        </w:tc>
      </w:tr>
      <w:tr w:rsidR="008A7DAC" w:rsidRPr="00B2301A" w14:paraId="06138D38" w14:textId="77777777" w:rsidTr="000D52C8">
        <w:tc>
          <w:tcPr>
            <w:tcW w:w="669" w:type="pct"/>
            <w:tcBorders>
              <w:top w:val="nil"/>
              <w:left w:val="single" w:sz="4" w:space="0" w:color="auto"/>
              <w:bottom w:val="nil"/>
              <w:right w:val="single" w:sz="4" w:space="0" w:color="auto"/>
            </w:tcBorders>
            <w:shd w:val="clear" w:color="auto" w:fill="auto"/>
            <w:vAlign w:val="bottom"/>
          </w:tcPr>
          <w:p w14:paraId="6AD13864" w14:textId="77777777" w:rsidR="002B629F" w:rsidRDefault="002B629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76D3CDA" w14:textId="40CFDF85" w:rsidR="002B629F" w:rsidRPr="002B629F" w:rsidRDefault="002B629F" w:rsidP="00096131">
            <w:pPr>
              <w:pStyle w:val="Tabletext1"/>
              <w:jc w:val="center"/>
            </w:pPr>
            <w:r w:rsidRPr="002B629F">
              <w:t>Urinary frequency</w:t>
            </w:r>
          </w:p>
        </w:tc>
        <w:tc>
          <w:tcPr>
            <w:tcW w:w="349" w:type="pct"/>
            <w:tcBorders>
              <w:top w:val="single" w:sz="4" w:space="0" w:color="auto"/>
              <w:left w:val="single" w:sz="4" w:space="0" w:color="auto"/>
              <w:bottom w:val="single" w:sz="4" w:space="0" w:color="auto"/>
              <w:right w:val="single" w:sz="4" w:space="0" w:color="auto"/>
            </w:tcBorders>
          </w:tcPr>
          <w:p w14:paraId="34C46005" w14:textId="674B3376" w:rsidR="002B629F" w:rsidRPr="002B629F" w:rsidRDefault="002B629F" w:rsidP="00096131">
            <w:pPr>
              <w:pStyle w:val="Tabletext1"/>
              <w:jc w:val="center"/>
            </w:pPr>
            <w:r w:rsidRPr="002B629F">
              <w:t>26/68</w:t>
            </w:r>
            <w:r w:rsidR="00BA6D59">
              <w:t xml:space="preserve"> (38%)</w:t>
            </w:r>
          </w:p>
        </w:tc>
        <w:tc>
          <w:tcPr>
            <w:tcW w:w="350" w:type="pct"/>
            <w:tcBorders>
              <w:top w:val="single" w:sz="4" w:space="0" w:color="auto"/>
              <w:left w:val="single" w:sz="4" w:space="0" w:color="auto"/>
              <w:bottom w:val="single" w:sz="4" w:space="0" w:color="auto"/>
              <w:right w:val="single" w:sz="4" w:space="0" w:color="auto"/>
            </w:tcBorders>
          </w:tcPr>
          <w:p w14:paraId="6CA47E26" w14:textId="1E482D25" w:rsidR="002B629F" w:rsidRPr="002B629F" w:rsidRDefault="002B629F" w:rsidP="00096131">
            <w:pPr>
              <w:pStyle w:val="Tabletext1"/>
              <w:jc w:val="center"/>
            </w:pPr>
            <w:r w:rsidRPr="002B629F">
              <w:t>29/68</w:t>
            </w:r>
            <w:r w:rsidR="00AF691E">
              <w:t xml:space="preserve"> (43%)</w:t>
            </w:r>
          </w:p>
        </w:tc>
        <w:tc>
          <w:tcPr>
            <w:tcW w:w="349" w:type="pct"/>
            <w:tcBorders>
              <w:top w:val="single" w:sz="4" w:space="0" w:color="auto"/>
              <w:left w:val="single" w:sz="4" w:space="0" w:color="auto"/>
              <w:bottom w:val="single" w:sz="4" w:space="0" w:color="auto"/>
              <w:right w:val="single" w:sz="4" w:space="0" w:color="auto"/>
            </w:tcBorders>
          </w:tcPr>
          <w:p w14:paraId="7D886BF1" w14:textId="7DCEC60B" w:rsidR="002B629F" w:rsidRPr="002B629F" w:rsidRDefault="002B629F" w:rsidP="00096131">
            <w:pPr>
              <w:pStyle w:val="Tabletext1"/>
              <w:jc w:val="center"/>
            </w:pPr>
            <w:r w:rsidRPr="002B629F">
              <w:t>13/68</w:t>
            </w:r>
            <w:r w:rsidR="007A29B1">
              <w:t xml:space="preserve"> (19%)</w:t>
            </w:r>
          </w:p>
        </w:tc>
        <w:tc>
          <w:tcPr>
            <w:tcW w:w="349" w:type="pct"/>
            <w:tcBorders>
              <w:top w:val="single" w:sz="4" w:space="0" w:color="auto"/>
              <w:left w:val="single" w:sz="4" w:space="0" w:color="auto"/>
              <w:bottom w:val="single" w:sz="4" w:space="0" w:color="auto"/>
              <w:right w:val="single" w:sz="4" w:space="0" w:color="auto"/>
            </w:tcBorders>
          </w:tcPr>
          <w:p w14:paraId="75A1EB5E"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FCF67DD"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2D066B9" w14:textId="77777777" w:rsidR="002B629F" w:rsidRDefault="002B629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0018E18"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6B4DBC0"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35F34F5" w14:textId="77777777" w:rsidR="002B629F" w:rsidRDefault="002B629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267F8B66" w14:textId="77777777" w:rsidR="002B629F" w:rsidRDefault="002B629F" w:rsidP="00096131">
            <w:pPr>
              <w:pStyle w:val="Tabletext1"/>
              <w:jc w:val="center"/>
            </w:pPr>
          </w:p>
        </w:tc>
      </w:tr>
      <w:tr w:rsidR="008A7DAC" w:rsidRPr="00B2301A" w14:paraId="6E726759" w14:textId="77777777" w:rsidTr="000D52C8">
        <w:tc>
          <w:tcPr>
            <w:tcW w:w="669" w:type="pct"/>
            <w:tcBorders>
              <w:top w:val="nil"/>
              <w:left w:val="single" w:sz="4" w:space="0" w:color="auto"/>
              <w:bottom w:val="nil"/>
              <w:right w:val="single" w:sz="4" w:space="0" w:color="auto"/>
            </w:tcBorders>
            <w:shd w:val="clear" w:color="auto" w:fill="auto"/>
            <w:vAlign w:val="bottom"/>
          </w:tcPr>
          <w:p w14:paraId="142EE962" w14:textId="77777777" w:rsidR="002B629F" w:rsidRDefault="002B629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66BC1590" w14:textId="4838AF70" w:rsidR="002B629F" w:rsidRPr="002B629F" w:rsidRDefault="002B629F" w:rsidP="00096131">
            <w:pPr>
              <w:pStyle w:val="Tabletext1"/>
              <w:jc w:val="center"/>
            </w:pPr>
            <w:r w:rsidRPr="002B629F">
              <w:t>Incontinence</w:t>
            </w:r>
          </w:p>
        </w:tc>
        <w:tc>
          <w:tcPr>
            <w:tcW w:w="349" w:type="pct"/>
            <w:tcBorders>
              <w:top w:val="single" w:sz="4" w:space="0" w:color="auto"/>
              <w:left w:val="single" w:sz="4" w:space="0" w:color="auto"/>
              <w:bottom w:val="single" w:sz="4" w:space="0" w:color="auto"/>
              <w:right w:val="single" w:sz="4" w:space="0" w:color="auto"/>
            </w:tcBorders>
          </w:tcPr>
          <w:p w14:paraId="589421A8" w14:textId="34784262" w:rsidR="002B629F" w:rsidRPr="002B629F" w:rsidRDefault="002B629F" w:rsidP="00096131">
            <w:pPr>
              <w:pStyle w:val="Tabletext1"/>
              <w:jc w:val="center"/>
            </w:pPr>
            <w:r w:rsidRPr="002B629F">
              <w:t>38/68</w:t>
            </w:r>
            <w:r w:rsidR="007A29B1">
              <w:t xml:space="preserve"> </w:t>
            </w:r>
            <w:r w:rsidR="00537616">
              <w:t>(56%)</w:t>
            </w:r>
          </w:p>
        </w:tc>
        <w:tc>
          <w:tcPr>
            <w:tcW w:w="350" w:type="pct"/>
            <w:tcBorders>
              <w:top w:val="single" w:sz="4" w:space="0" w:color="auto"/>
              <w:left w:val="single" w:sz="4" w:space="0" w:color="auto"/>
              <w:bottom w:val="single" w:sz="4" w:space="0" w:color="auto"/>
              <w:right w:val="single" w:sz="4" w:space="0" w:color="auto"/>
            </w:tcBorders>
          </w:tcPr>
          <w:p w14:paraId="45DC1CE5" w14:textId="7844411E" w:rsidR="002B629F" w:rsidRPr="002B629F" w:rsidRDefault="002B629F" w:rsidP="00096131">
            <w:pPr>
              <w:pStyle w:val="Tabletext1"/>
              <w:jc w:val="center"/>
            </w:pPr>
            <w:r w:rsidRPr="002B629F">
              <w:t>22/68</w:t>
            </w:r>
            <w:r w:rsidR="00904A2D">
              <w:t xml:space="preserve"> (32%)</w:t>
            </w:r>
          </w:p>
        </w:tc>
        <w:tc>
          <w:tcPr>
            <w:tcW w:w="349" w:type="pct"/>
            <w:tcBorders>
              <w:top w:val="single" w:sz="4" w:space="0" w:color="auto"/>
              <w:left w:val="single" w:sz="4" w:space="0" w:color="auto"/>
              <w:bottom w:val="single" w:sz="4" w:space="0" w:color="auto"/>
              <w:right w:val="single" w:sz="4" w:space="0" w:color="auto"/>
            </w:tcBorders>
          </w:tcPr>
          <w:p w14:paraId="284D687E" w14:textId="425F780D" w:rsidR="002B629F" w:rsidRPr="002B629F" w:rsidRDefault="002B629F" w:rsidP="00096131">
            <w:pPr>
              <w:pStyle w:val="Tabletext1"/>
              <w:jc w:val="center"/>
            </w:pPr>
            <w:r w:rsidRPr="002B629F">
              <w:t>8/68</w:t>
            </w:r>
            <w:r w:rsidR="00904A2D">
              <w:t xml:space="preserve"> </w:t>
            </w:r>
            <w:r w:rsidR="001210B5">
              <w:t>(12%)</w:t>
            </w:r>
          </w:p>
        </w:tc>
        <w:tc>
          <w:tcPr>
            <w:tcW w:w="349" w:type="pct"/>
            <w:tcBorders>
              <w:top w:val="single" w:sz="4" w:space="0" w:color="auto"/>
              <w:left w:val="single" w:sz="4" w:space="0" w:color="auto"/>
              <w:bottom w:val="single" w:sz="4" w:space="0" w:color="auto"/>
              <w:right w:val="single" w:sz="4" w:space="0" w:color="auto"/>
            </w:tcBorders>
          </w:tcPr>
          <w:p w14:paraId="3CAE6172"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8DD2AAF"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7BB2E01" w14:textId="77777777" w:rsidR="002B629F" w:rsidRDefault="002B629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2E09934"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D624C9D"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F21EC05" w14:textId="77777777" w:rsidR="002B629F" w:rsidRDefault="002B629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23682C26" w14:textId="77777777" w:rsidR="002B629F" w:rsidRDefault="002B629F" w:rsidP="00096131">
            <w:pPr>
              <w:pStyle w:val="Tabletext1"/>
              <w:jc w:val="center"/>
            </w:pPr>
          </w:p>
        </w:tc>
      </w:tr>
      <w:tr w:rsidR="008A7DAC" w:rsidRPr="00B2301A" w14:paraId="678778DA" w14:textId="77777777" w:rsidTr="000D52C8">
        <w:tc>
          <w:tcPr>
            <w:tcW w:w="669" w:type="pct"/>
            <w:tcBorders>
              <w:top w:val="nil"/>
              <w:left w:val="single" w:sz="4" w:space="0" w:color="auto"/>
              <w:bottom w:val="single" w:sz="4" w:space="0" w:color="auto"/>
              <w:right w:val="single" w:sz="4" w:space="0" w:color="auto"/>
            </w:tcBorders>
            <w:shd w:val="clear" w:color="auto" w:fill="auto"/>
            <w:vAlign w:val="bottom"/>
          </w:tcPr>
          <w:p w14:paraId="63AFA6E7" w14:textId="77777777" w:rsidR="002B629F" w:rsidRDefault="002B629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64A2DFE8" w14:textId="3A554EB1" w:rsidR="002B629F" w:rsidRPr="002B629F" w:rsidRDefault="002B629F" w:rsidP="00096131">
            <w:pPr>
              <w:pStyle w:val="Tabletext1"/>
              <w:jc w:val="center"/>
            </w:pPr>
            <w:r w:rsidRPr="002B629F">
              <w:t>H</w:t>
            </w:r>
            <w:r>
              <w:t>a</w:t>
            </w:r>
            <w:r w:rsidRPr="002B629F">
              <w:t>ematuria</w:t>
            </w:r>
          </w:p>
        </w:tc>
        <w:tc>
          <w:tcPr>
            <w:tcW w:w="349" w:type="pct"/>
            <w:tcBorders>
              <w:top w:val="single" w:sz="4" w:space="0" w:color="auto"/>
              <w:left w:val="single" w:sz="4" w:space="0" w:color="auto"/>
              <w:bottom w:val="single" w:sz="4" w:space="0" w:color="auto"/>
              <w:right w:val="single" w:sz="4" w:space="0" w:color="auto"/>
            </w:tcBorders>
          </w:tcPr>
          <w:p w14:paraId="5774A803" w14:textId="683A9457" w:rsidR="002B629F" w:rsidRPr="002B629F" w:rsidRDefault="002B629F" w:rsidP="00096131">
            <w:pPr>
              <w:pStyle w:val="Tabletext1"/>
              <w:jc w:val="center"/>
            </w:pPr>
            <w:r w:rsidRPr="002B629F">
              <w:t>63/68</w:t>
            </w:r>
            <w:r w:rsidR="008952EC">
              <w:t xml:space="preserve"> (93%)</w:t>
            </w:r>
          </w:p>
        </w:tc>
        <w:tc>
          <w:tcPr>
            <w:tcW w:w="350" w:type="pct"/>
            <w:tcBorders>
              <w:top w:val="single" w:sz="4" w:space="0" w:color="auto"/>
              <w:left w:val="single" w:sz="4" w:space="0" w:color="auto"/>
              <w:bottom w:val="single" w:sz="4" w:space="0" w:color="auto"/>
              <w:right w:val="single" w:sz="4" w:space="0" w:color="auto"/>
            </w:tcBorders>
          </w:tcPr>
          <w:p w14:paraId="315E6809" w14:textId="2EB689B2" w:rsidR="002B629F" w:rsidRPr="002B629F" w:rsidRDefault="002B629F" w:rsidP="00096131">
            <w:pPr>
              <w:pStyle w:val="Tabletext1"/>
              <w:jc w:val="center"/>
            </w:pPr>
            <w:r w:rsidRPr="002B629F">
              <w:t>5/68</w:t>
            </w:r>
            <w:r w:rsidR="0095793A">
              <w:t xml:space="preserve"> (7%)</w:t>
            </w:r>
          </w:p>
        </w:tc>
        <w:tc>
          <w:tcPr>
            <w:tcW w:w="349" w:type="pct"/>
            <w:tcBorders>
              <w:top w:val="single" w:sz="4" w:space="0" w:color="auto"/>
              <w:left w:val="single" w:sz="4" w:space="0" w:color="auto"/>
              <w:bottom w:val="single" w:sz="4" w:space="0" w:color="auto"/>
              <w:right w:val="single" w:sz="4" w:space="0" w:color="auto"/>
            </w:tcBorders>
          </w:tcPr>
          <w:p w14:paraId="0DC9FF28" w14:textId="4BEB373A" w:rsidR="002B629F" w:rsidRPr="002B629F" w:rsidRDefault="002B629F" w:rsidP="00096131">
            <w:pPr>
              <w:pStyle w:val="Tabletext1"/>
              <w:jc w:val="center"/>
            </w:pPr>
            <w:r w:rsidRPr="002B629F">
              <w:t>0/68</w:t>
            </w:r>
            <w:r w:rsidR="0000253D">
              <w:t xml:space="preserve"> (0%)</w:t>
            </w:r>
          </w:p>
        </w:tc>
        <w:tc>
          <w:tcPr>
            <w:tcW w:w="349" w:type="pct"/>
            <w:tcBorders>
              <w:top w:val="single" w:sz="4" w:space="0" w:color="auto"/>
              <w:left w:val="single" w:sz="4" w:space="0" w:color="auto"/>
              <w:bottom w:val="single" w:sz="4" w:space="0" w:color="auto"/>
              <w:right w:val="single" w:sz="4" w:space="0" w:color="auto"/>
            </w:tcBorders>
          </w:tcPr>
          <w:p w14:paraId="194E6BDD"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08CB7F4"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179EE18" w14:textId="77777777" w:rsidR="002B629F" w:rsidRDefault="002B629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DB002A3"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461DA9F" w14:textId="77777777" w:rsidR="002B629F" w:rsidRDefault="002B629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90CAA1A" w14:textId="77777777" w:rsidR="002B629F" w:rsidRDefault="002B629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5E684F5" w14:textId="77777777" w:rsidR="002B629F" w:rsidRDefault="002B629F" w:rsidP="00096131">
            <w:pPr>
              <w:pStyle w:val="Tabletext1"/>
              <w:jc w:val="center"/>
            </w:pPr>
          </w:p>
        </w:tc>
      </w:tr>
      <w:tr w:rsidR="008A7DAC" w:rsidRPr="00B2301A" w14:paraId="6F455372" w14:textId="77777777" w:rsidTr="00B743BF">
        <w:tc>
          <w:tcPr>
            <w:tcW w:w="669" w:type="pct"/>
            <w:tcBorders>
              <w:top w:val="single" w:sz="4" w:space="0" w:color="auto"/>
              <w:left w:val="single" w:sz="4" w:space="0" w:color="auto"/>
              <w:bottom w:val="single" w:sz="4" w:space="0" w:color="auto"/>
              <w:right w:val="single" w:sz="4" w:space="0" w:color="auto"/>
            </w:tcBorders>
            <w:shd w:val="clear" w:color="auto" w:fill="auto"/>
          </w:tcPr>
          <w:p w14:paraId="073EE693" w14:textId="58BFF907" w:rsidR="003C414F" w:rsidRDefault="00211285" w:rsidP="00096131">
            <w:pPr>
              <w:pStyle w:val="Tabletext1"/>
              <w:rPr>
                <w:snapToGrid w:val="0"/>
              </w:rPr>
            </w:pPr>
            <w:hyperlink w:anchor="_ENREF_14" w:tooltip="Byrne, 2017 #36" w:history="1">
              <w:r w:rsidR="008B6FC0">
                <w:fldChar w:fldCharType="begin"/>
              </w:r>
              <w:r w:rsidR="008B6FC0">
                <w:instrText xml:space="preserve"> ADDIN EN.CITE &lt;EndNote&gt;&lt;Cite AuthorYear="1"&gt;&lt;Author&gt;Byrne&lt;/Author&gt;&lt;Year&gt;2017&lt;/Year&gt;&lt;RecNum&gt;36&lt;/RecNum&gt;&lt;DisplayText&gt;Byrne et al. (2017)&lt;/DisplayText&gt;&lt;record&gt;&lt;rec-number&gt;36&lt;/rec-number&gt;&lt;foreign-keys&gt;&lt;key app="EN" db-id="sx5wsdwv795wvue959xxw0ptaewvdezxxp05" timestamp="1604876375"&gt;36&lt;/key&gt;&lt;/foreign-keys&gt;&lt;ref-type name="Journal Article"&gt;17&lt;/ref-type&gt;&lt;contributors&gt;&lt;authors&gt;&lt;author&gt;Byrne, K.&lt;/author&gt;&lt;author&gt;Hruby, G.&lt;/author&gt;&lt;author&gt;Kneebone, A.&lt;/author&gt;&lt;author&gt;Whalley, D.&lt;/author&gt;&lt;author&gt;Guo, L.&lt;/author&gt;&lt;author&gt;McCloud, P.&lt;/author&gt;&lt;author&gt;Eade, T.&lt;/author&gt;&lt;/authors&gt;&lt;/contributors&gt;&lt;titles&gt;&lt;title&gt;Late Genitourinary Toxicity Outcomes in 300 Prostate Cancer Patients Treated With Dose-escalated Image-guided Intensity-modulated Radiotherapy&lt;/title&gt;&lt;secondary-title&gt;Clinical Oncology&lt;/secondary-title&gt;&lt;/titles&gt;&lt;pages&gt;617-625&lt;/pages&gt;&lt;volume&gt;29&lt;/volume&gt;&lt;number&gt;9&lt;/number&gt;&lt;dates&gt;&lt;year&gt;2017&lt;/year&gt;&lt;/dates&gt;&lt;accession-num&gt;615404224&lt;/accession-num&gt;&lt;urls&gt;&lt;related-urls&gt;&lt;url&gt;http://www.elsevier.com/locate/clonhttp://ezproxy.library.usyd.edu.au/login?url=http://ovidsp.ovid.com/ovidweb.cgi?T=JS&amp;amp;CSC=Y&amp;amp;NEWS=N&amp;amp;PAGE=fulltext&amp;amp;D=emed18&amp;amp;AN=615404224https://sydney.alma.exlibrisgroup.com/openurl/61USYD_INST/61USYD_INST:sydney?sid=OVID:e&lt;/url&gt;&lt;/related-urls&gt;&lt;/urls&gt;&lt;electronic-resource-num&gt;http://dx.doi.org/10.1016/j.clon.2017.03.006&lt;/electronic-resource-num&gt;&lt;/record&gt;&lt;/Cite&gt;&lt;/EndNote&gt;</w:instrText>
              </w:r>
              <w:r w:rsidR="008B6FC0">
                <w:fldChar w:fldCharType="separate"/>
              </w:r>
              <w:r w:rsidR="008B6FC0">
                <w:rPr>
                  <w:noProof/>
                </w:rPr>
                <w:t>Byrne et al. (2017)</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3391EC5C" w14:textId="5256DBB6" w:rsidR="003C414F" w:rsidRDefault="00D26F49" w:rsidP="00096131">
            <w:pPr>
              <w:pStyle w:val="Tabletext1"/>
              <w:jc w:val="center"/>
            </w:pPr>
            <w:r w:rsidRPr="00D26F49">
              <w:t>GU</w:t>
            </w:r>
          </w:p>
        </w:tc>
        <w:tc>
          <w:tcPr>
            <w:tcW w:w="349" w:type="pct"/>
            <w:tcBorders>
              <w:top w:val="single" w:sz="4" w:space="0" w:color="auto"/>
              <w:left w:val="single" w:sz="4" w:space="0" w:color="auto"/>
              <w:bottom w:val="single" w:sz="4" w:space="0" w:color="auto"/>
              <w:right w:val="single" w:sz="4" w:space="0" w:color="auto"/>
            </w:tcBorders>
          </w:tcPr>
          <w:p w14:paraId="302B3430" w14:textId="77777777" w:rsidR="003C414F" w:rsidRDefault="003C414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96DFDAE" w14:textId="24F3986C"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5B38E9B" w14:textId="34F4ABC2"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53E1E31" w14:textId="290A282A"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3789E13" w14:textId="79FD4B49"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F893E6F" w14:textId="25003186" w:rsidR="003C414F" w:rsidRDefault="003C414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3DCD5EE" w14:textId="6D0AB9DD"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3203BEB" w14:textId="3F524B9B" w:rsidR="003C414F" w:rsidRDefault="00D26F49" w:rsidP="00096131">
            <w:pPr>
              <w:pStyle w:val="Tabletext1"/>
              <w:jc w:val="center"/>
            </w:pPr>
            <w:r w:rsidRPr="00D26F49">
              <w:t>57/300</w:t>
            </w:r>
            <w:r w:rsidR="000C35EF">
              <w:t xml:space="preserve"> (19%)</w:t>
            </w:r>
          </w:p>
        </w:tc>
        <w:tc>
          <w:tcPr>
            <w:tcW w:w="349" w:type="pct"/>
            <w:tcBorders>
              <w:top w:val="single" w:sz="4" w:space="0" w:color="auto"/>
              <w:left w:val="single" w:sz="4" w:space="0" w:color="auto"/>
              <w:bottom w:val="single" w:sz="4" w:space="0" w:color="auto"/>
              <w:right w:val="single" w:sz="4" w:space="0" w:color="auto"/>
            </w:tcBorders>
          </w:tcPr>
          <w:p w14:paraId="006813BB" w14:textId="66358CF4" w:rsidR="003C414F" w:rsidRDefault="00D26F49" w:rsidP="00096131">
            <w:pPr>
              <w:pStyle w:val="Tabletext1"/>
              <w:jc w:val="center"/>
            </w:pPr>
            <w:r w:rsidRPr="00D26F49">
              <w:t>11/300</w:t>
            </w:r>
            <w:r w:rsidR="00032B6B">
              <w:t xml:space="preserve"> (4%)</w:t>
            </w:r>
          </w:p>
        </w:tc>
        <w:tc>
          <w:tcPr>
            <w:tcW w:w="341" w:type="pct"/>
            <w:tcBorders>
              <w:top w:val="single" w:sz="4" w:space="0" w:color="auto"/>
              <w:left w:val="single" w:sz="4" w:space="0" w:color="auto"/>
              <w:bottom w:val="single" w:sz="4" w:space="0" w:color="auto"/>
              <w:right w:val="single" w:sz="4" w:space="0" w:color="auto"/>
            </w:tcBorders>
          </w:tcPr>
          <w:p w14:paraId="2ACA2D2D" w14:textId="77777777" w:rsidR="003C414F" w:rsidRDefault="003C414F" w:rsidP="00096131">
            <w:pPr>
              <w:pStyle w:val="Tabletext1"/>
              <w:jc w:val="center"/>
            </w:pPr>
          </w:p>
        </w:tc>
      </w:tr>
      <w:tr w:rsidR="008A7DAC" w:rsidRPr="00B2301A" w14:paraId="0F551609" w14:textId="77777777" w:rsidTr="0036654A">
        <w:tc>
          <w:tcPr>
            <w:tcW w:w="669" w:type="pct"/>
            <w:tcBorders>
              <w:top w:val="single" w:sz="4" w:space="0" w:color="auto"/>
              <w:left w:val="single" w:sz="4" w:space="0" w:color="auto"/>
              <w:bottom w:val="nil"/>
              <w:right w:val="single" w:sz="4" w:space="0" w:color="auto"/>
            </w:tcBorders>
            <w:shd w:val="clear" w:color="auto" w:fill="auto"/>
          </w:tcPr>
          <w:p w14:paraId="4F0B1FC8" w14:textId="57C17202" w:rsidR="00D26F49" w:rsidRPr="00D26F49" w:rsidRDefault="00211285" w:rsidP="00096131">
            <w:pPr>
              <w:pStyle w:val="Tabletext1"/>
            </w:pPr>
            <w:hyperlink w:anchor="_ENREF_15" w:tooltip="Byun, 2018 #37" w:history="1">
              <w:r w:rsidR="008B6FC0">
                <w:fldChar w:fldCharType="begin"/>
              </w:r>
              <w:r w:rsidR="008B6FC0">
                <w:instrText xml:space="preserve"> ADDIN EN.CITE &lt;EndNote&gt;&lt;Cite AuthorYear="1"&gt;&lt;Author&gt;Byun&lt;/Author&gt;&lt;Year&gt;2018&lt;/Year&gt;&lt;RecNum&gt;37&lt;/RecNum&gt;&lt;DisplayText&gt;Byun et al. (2018)&lt;/DisplayText&gt;&lt;record&gt;&lt;rec-number&gt;37&lt;/rec-number&gt;&lt;foreign-keys&gt;&lt;key app="EN" db-id="sx5wsdwv795wvue959xxw0ptaewvdezxxp05" timestamp="1604876375"&gt;37&lt;/key&gt;&lt;/foreign-keys&gt;&lt;ref-type name="Journal Article"&gt;17&lt;/ref-type&gt;&lt;contributors&gt;&lt;authors&gt;&lt;author&gt;Byun, S. J.&lt;/author&gt;&lt;author&gt;Kim, Y. S.&lt;/author&gt;&lt;author&gt;Ahn, H.&lt;/author&gt;&lt;author&gt;Kim, C. S.&lt;/author&gt;&lt;/authors&gt;&lt;/contributors&gt;&lt;titles&gt;&lt;title&gt;Image-guided, whole-pelvic, intensity-modulated radiotherapy for biochemical recurrence following radical prostatectomy in high-risk prostate cancer patients&lt;/title&gt;&lt;secondary-title&gt;PLoS ONE&lt;/secondary-title&gt;&lt;/titles&gt;&lt;pages&gt;e0190479&lt;/pages&gt;&lt;volume&gt;13&lt;/volume&gt;&lt;number&gt;1&lt;/number&gt;&lt;dates&gt;&lt;year&gt;2018&lt;/year&gt;&lt;/dates&gt;&lt;accession-num&gt;29320570&lt;/accession-num&gt;&lt;urls&gt;&lt;related-urls&gt;&lt;url&gt;http://ezproxy.library.usyd.edu.au/login?url=http://ovidsp.ovid.com/ovidweb.cgi?T=JS&amp;amp;CSC=Y&amp;amp;NEWS=N&amp;amp;PAGE=fulltext&amp;amp;D=med15&amp;amp;AN=29320570https://sydney.alma.exlibrisgroup.com/openurl/61USYD_INST/61USYD_INST:sydney?sid=OVID:medline&amp;amp;id=pmid:29320570&amp;amp;id=doi:10.137&lt;/url&gt;&lt;url&gt;https://www.ncbi.nlm.nih.gov/pmc/articles/PMC5761863/pdf/pone.0190479.pdf&lt;/url&gt;&lt;/related-urls&gt;&lt;/urls&gt;&lt;electronic-resource-num&gt;https://dx.doi.org/10.1371/journal.pone.0190479&lt;/electronic-resource-num&gt;&lt;/record&gt;&lt;/Cite&gt;&lt;/EndNote&gt;</w:instrText>
              </w:r>
              <w:r w:rsidR="008B6FC0">
                <w:fldChar w:fldCharType="separate"/>
              </w:r>
              <w:r w:rsidR="008B6FC0">
                <w:rPr>
                  <w:noProof/>
                </w:rPr>
                <w:t>Byun et al. (2018)</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78CF28AC" w14:textId="0C6A00ED" w:rsidR="00D26F49" w:rsidRPr="00D26F49" w:rsidRDefault="00D26F49" w:rsidP="00096131">
            <w:pPr>
              <w:pStyle w:val="Tabletext1"/>
              <w:jc w:val="center"/>
            </w:pPr>
            <w:r w:rsidRPr="00D26F49">
              <w:t>GI</w:t>
            </w:r>
          </w:p>
        </w:tc>
        <w:tc>
          <w:tcPr>
            <w:tcW w:w="349" w:type="pct"/>
            <w:tcBorders>
              <w:top w:val="single" w:sz="4" w:space="0" w:color="auto"/>
              <w:left w:val="single" w:sz="4" w:space="0" w:color="auto"/>
              <w:bottom w:val="single" w:sz="4" w:space="0" w:color="auto"/>
              <w:right w:val="single" w:sz="4" w:space="0" w:color="auto"/>
            </w:tcBorders>
          </w:tcPr>
          <w:p w14:paraId="3E5859B4" w14:textId="77777777" w:rsidR="00D26F49" w:rsidRPr="00D26F49" w:rsidRDefault="00D26F49"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E7614BF" w14:textId="1A65E4E5" w:rsidR="00D26F49" w:rsidRPr="00D26F49" w:rsidRDefault="00D26F49" w:rsidP="00096131">
            <w:pPr>
              <w:pStyle w:val="Tabletext1"/>
              <w:jc w:val="center"/>
            </w:pPr>
            <w:r w:rsidRPr="00D26F49">
              <w:t>26/170</w:t>
            </w:r>
            <w:r w:rsidR="0023058C">
              <w:t xml:space="preserve"> (15%)</w:t>
            </w:r>
          </w:p>
        </w:tc>
        <w:tc>
          <w:tcPr>
            <w:tcW w:w="349" w:type="pct"/>
            <w:tcBorders>
              <w:top w:val="single" w:sz="4" w:space="0" w:color="auto"/>
              <w:left w:val="single" w:sz="4" w:space="0" w:color="auto"/>
              <w:bottom w:val="single" w:sz="4" w:space="0" w:color="auto"/>
              <w:right w:val="single" w:sz="4" w:space="0" w:color="auto"/>
            </w:tcBorders>
          </w:tcPr>
          <w:p w14:paraId="7306D2BA" w14:textId="52A56A18" w:rsidR="00D26F49" w:rsidRPr="00D26F49" w:rsidRDefault="00D26F49" w:rsidP="00096131">
            <w:pPr>
              <w:pStyle w:val="Tabletext1"/>
              <w:jc w:val="center"/>
            </w:pPr>
            <w:r w:rsidRPr="00D26F49">
              <w:t>12/170</w:t>
            </w:r>
            <w:r w:rsidR="00BB0235">
              <w:t xml:space="preserve"> (7%)</w:t>
            </w:r>
          </w:p>
        </w:tc>
        <w:tc>
          <w:tcPr>
            <w:tcW w:w="349" w:type="pct"/>
            <w:tcBorders>
              <w:top w:val="single" w:sz="4" w:space="0" w:color="auto"/>
              <w:left w:val="single" w:sz="4" w:space="0" w:color="auto"/>
              <w:bottom w:val="single" w:sz="4" w:space="0" w:color="auto"/>
              <w:right w:val="single" w:sz="4" w:space="0" w:color="auto"/>
            </w:tcBorders>
          </w:tcPr>
          <w:p w14:paraId="67CF26A0" w14:textId="7A3B5A79" w:rsidR="00D26F49" w:rsidRPr="00D26F49" w:rsidRDefault="00D26F49" w:rsidP="00096131">
            <w:pPr>
              <w:pStyle w:val="Tabletext1"/>
              <w:jc w:val="center"/>
            </w:pPr>
            <w:r w:rsidRPr="00D26F49">
              <w:t>1/170</w:t>
            </w:r>
            <w:r w:rsidR="006E49B9">
              <w:t xml:space="preserve"> (</w:t>
            </w:r>
            <w:r w:rsidR="009D04FE">
              <w:t>1</w:t>
            </w:r>
            <w:r w:rsidR="006E49B9">
              <w:t>%)</w:t>
            </w:r>
          </w:p>
        </w:tc>
        <w:tc>
          <w:tcPr>
            <w:tcW w:w="349" w:type="pct"/>
            <w:tcBorders>
              <w:top w:val="single" w:sz="4" w:space="0" w:color="auto"/>
              <w:left w:val="single" w:sz="4" w:space="0" w:color="auto"/>
              <w:bottom w:val="single" w:sz="4" w:space="0" w:color="auto"/>
              <w:right w:val="single" w:sz="4" w:space="0" w:color="auto"/>
            </w:tcBorders>
          </w:tcPr>
          <w:p w14:paraId="1109A81D" w14:textId="77777777" w:rsidR="00D26F49" w:rsidRPr="00D26F49" w:rsidRDefault="00D26F49"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A8307CC" w14:textId="77777777" w:rsidR="00D26F49" w:rsidRPr="00D26F49" w:rsidRDefault="00D26F49"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FCEFDD7" w14:textId="440E0879" w:rsidR="00D26F49" w:rsidRPr="00D26F49" w:rsidRDefault="00D26F49" w:rsidP="00096131">
            <w:pPr>
              <w:pStyle w:val="Tabletext1"/>
              <w:jc w:val="center"/>
            </w:pPr>
            <w:r w:rsidRPr="00D26F49">
              <w:t>6/170</w:t>
            </w:r>
            <w:r w:rsidR="00A94E0A">
              <w:t xml:space="preserve"> (4%)</w:t>
            </w:r>
          </w:p>
        </w:tc>
        <w:tc>
          <w:tcPr>
            <w:tcW w:w="349" w:type="pct"/>
            <w:tcBorders>
              <w:top w:val="single" w:sz="4" w:space="0" w:color="auto"/>
              <w:left w:val="single" w:sz="4" w:space="0" w:color="auto"/>
              <w:bottom w:val="single" w:sz="4" w:space="0" w:color="auto"/>
              <w:right w:val="single" w:sz="4" w:space="0" w:color="auto"/>
            </w:tcBorders>
          </w:tcPr>
          <w:p w14:paraId="52ED0E0D" w14:textId="34A48B61" w:rsidR="00D26F49" w:rsidRPr="00D26F49" w:rsidRDefault="00D26F49" w:rsidP="00096131">
            <w:pPr>
              <w:pStyle w:val="Tabletext1"/>
              <w:jc w:val="center"/>
            </w:pPr>
            <w:r w:rsidRPr="00D26F49">
              <w:t>1/170</w:t>
            </w:r>
            <w:r w:rsidR="00A94E0A">
              <w:t xml:space="preserve"> (1%)</w:t>
            </w:r>
          </w:p>
        </w:tc>
        <w:tc>
          <w:tcPr>
            <w:tcW w:w="349" w:type="pct"/>
            <w:tcBorders>
              <w:top w:val="single" w:sz="4" w:space="0" w:color="auto"/>
              <w:left w:val="single" w:sz="4" w:space="0" w:color="auto"/>
              <w:bottom w:val="single" w:sz="4" w:space="0" w:color="auto"/>
              <w:right w:val="single" w:sz="4" w:space="0" w:color="auto"/>
            </w:tcBorders>
          </w:tcPr>
          <w:p w14:paraId="6B40E69B" w14:textId="0734C595" w:rsidR="00D26F49" w:rsidRPr="00D26F49" w:rsidRDefault="00D26F49" w:rsidP="00096131">
            <w:pPr>
              <w:pStyle w:val="Tabletext1"/>
              <w:jc w:val="center"/>
            </w:pPr>
            <w:r w:rsidRPr="00D26F49">
              <w:t>1/170</w:t>
            </w:r>
            <w:r w:rsidR="00A94E0A">
              <w:t xml:space="preserve"> (1%)</w:t>
            </w:r>
          </w:p>
        </w:tc>
        <w:tc>
          <w:tcPr>
            <w:tcW w:w="341" w:type="pct"/>
            <w:tcBorders>
              <w:top w:val="single" w:sz="4" w:space="0" w:color="auto"/>
              <w:left w:val="single" w:sz="4" w:space="0" w:color="auto"/>
              <w:bottom w:val="single" w:sz="4" w:space="0" w:color="auto"/>
              <w:right w:val="single" w:sz="4" w:space="0" w:color="auto"/>
            </w:tcBorders>
          </w:tcPr>
          <w:p w14:paraId="33DBB900" w14:textId="77777777" w:rsidR="00D26F49" w:rsidRPr="00D26F49" w:rsidRDefault="00D26F49" w:rsidP="00096131">
            <w:pPr>
              <w:pStyle w:val="Tabletext1"/>
              <w:jc w:val="center"/>
            </w:pPr>
          </w:p>
        </w:tc>
      </w:tr>
      <w:tr w:rsidR="008A7DAC" w:rsidRPr="00B2301A" w14:paraId="49C0E2E5" w14:textId="77777777" w:rsidTr="0036654A">
        <w:tc>
          <w:tcPr>
            <w:tcW w:w="669" w:type="pct"/>
            <w:tcBorders>
              <w:top w:val="nil"/>
              <w:left w:val="single" w:sz="4" w:space="0" w:color="auto"/>
              <w:bottom w:val="single" w:sz="4" w:space="0" w:color="auto"/>
              <w:right w:val="single" w:sz="4" w:space="0" w:color="auto"/>
            </w:tcBorders>
            <w:shd w:val="clear" w:color="auto" w:fill="auto"/>
            <w:vAlign w:val="bottom"/>
          </w:tcPr>
          <w:p w14:paraId="6463FFCF" w14:textId="6BFE0085" w:rsidR="00D26F49" w:rsidRPr="00D26F49" w:rsidRDefault="00D26F49"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6B598748" w14:textId="143D3D6B" w:rsidR="00D26F49" w:rsidRPr="00D26F49" w:rsidRDefault="00D26F49" w:rsidP="00096131">
            <w:pPr>
              <w:pStyle w:val="Tabletext1"/>
              <w:jc w:val="center"/>
            </w:pPr>
            <w:r w:rsidRPr="00D26F49">
              <w:t>GU</w:t>
            </w:r>
          </w:p>
        </w:tc>
        <w:tc>
          <w:tcPr>
            <w:tcW w:w="349" w:type="pct"/>
            <w:tcBorders>
              <w:top w:val="single" w:sz="4" w:space="0" w:color="auto"/>
              <w:left w:val="single" w:sz="4" w:space="0" w:color="auto"/>
              <w:bottom w:val="single" w:sz="4" w:space="0" w:color="auto"/>
              <w:right w:val="single" w:sz="4" w:space="0" w:color="auto"/>
            </w:tcBorders>
          </w:tcPr>
          <w:p w14:paraId="64A7C240" w14:textId="77777777" w:rsidR="00D26F49" w:rsidRPr="00D26F49" w:rsidRDefault="00D26F49"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2D3FD13" w14:textId="19DB0DAB" w:rsidR="00D26F49" w:rsidRPr="00D26F49" w:rsidRDefault="00D26F49" w:rsidP="00096131">
            <w:pPr>
              <w:pStyle w:val="Tabletext1"/>
              <w:jc w:val="center"/>
            </w:pPr>
            <w:r w:rsidRPr="00D26F49">
              <w:t>31/170</w:t>
            </w:r>
            <w:r w:rsidR="00395298">
              <w:t xml:space="preserve"> (18%)</w:t>
            </w:r>
          </w:p>
        </w:tc>
        <w:tc>
          <w:tcPr>
            <w:tcW w:w="349" w:type="pct"/>
            <w:tcBorders>
              <w:top w:val="single" w:sz="4" w:space="0" w:color="auto"/>
              <w:left w:val="single" w:sz="4" w:space="0" w:color="auto"/>
              <w:bottom w:val="single" w:sz="4" w:space="0" w:color="auto"/>
              <w:right w:val="single" w:sz="4" w:space="0" w:color="auto"/>
            </w:tcBorders>
          </w:tcPr>
          <w:p w14:paraId="69A083FD" w14:textId="69E69A86" w:rsidR="00D26F49" w:rsidRPr="00D26F49" w:rsidRDefault="00D26F49" w:rsidP="00096131">
            <w:pPr>
              <w:pStyle w:val="Tabletext1"/>
              <w:jc w:val="center"/>
            </w:pPr>
            <w:r w:rsidRPr="00D26F49">
              <w:t>11/170</w:t>
            </w:r>
            <w:r w:rsidR="00395298">
              <w:t xml:space="preserve"> (</w:t>
            </w:r>
            <w:r w:rsidR="00CF6F2B">
              <w:t>6%)</w:t>
            </w:r>
          </w:p>
        </w:tc>
        <w:tc>
          <w:tcPr>
            <w:tcW w:w="349" w:type="pct"/>
            <w:tcBorders>
              <w:top w:val="single" w:sz="4" w:space="0" w:color="auto"/>
              <w:left w:val="single" w:sz="4" w:space="0" w:color="auto"/>
              <w:bottom w:val="single" w:sz="4" w:space="0" w:color="auto"/>
              <w:right w:val="single" w:sz="4" w:space="0" w:color="auto"/>
            </w:tcBorders>
          </w:tcPr>
          <w:p w14:paraId="4DF462B1" w14:textId="4373BC39" w:rsidR="00D26F49" w:rsidRPr="00D26F49" w:rsidRDefault="00D26F49" w:rsidP="00096131">
            <w:pPr>
              <w:pStyle w:val="Tabletext1"/>
              <w:jc w:val="center"/>
            </w:pPr>
            <w:r w:rsidRPr="00D26F49">
              <w:t>1/170</w:t>
            </w:r>
            <w:r w:rsidR="00A94E0A">
              <w:t xml:space="preserve"> (1%)</w:t>
            </w:r>
          </w:p>
        </w:tc>
        <w:tc>
          <w:tcPr>
            <w:tcW w:w="349" w:type="pct"/>
            <w:tcBorders>
              <w:top w:val="single" w:sz="4" w:space="0" w:color="auto"/>
              <w:left w:val="single" w:sz="4" w:space="0" w:color="auto"/>
              <w:bottom w:val="single" w:sz="4" w:space="0" w:color="auto"/>
              <w:right w:val="single" w:sz="4" w:space="0" w:color="auto"/>
            </w:tcBorders>
          </w:tcPr>
          <w:p w14:paraId="337AFBB7" w14:textId="77777777" w:rsidR="00D26F49" w:rsidRPr="00D26F49" w:rsidRDefault="00D26F49"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017660A" w14:textId="77777777" w:rsidR="00D26F49" w:rsidRPr="00D26F49" w:rsidRDefault="00D26F49"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CB236D7" w14:textId="4B0D531A" w:rsidR="00D26F49" w:rsidRPr="00D26F49" w:rsidRDefault="00D26F49" w:rsidP="00096131">
            <w:pPr>
              <w:pStyle w:val="Tabletext1"/>
              <w:jc w:val="center"/>
            </w:pPr>
            <w:r w:rsidRPr="00D26F49">
              <w:t>22/170</w:t>
            </w:r>
            <w:r w:rsidR="00F6615F">
              <w:t xml:space="preserve"> (13%)</w:t>
            </w:r>
          </w:p>
        </w:tc>
        <w:tc>
          <w:tcPr>
            <w:tcW w:w="349" w:type="pct"/>
            <w:tcBorders>
              <w:top w:val="single" w:sz="4" w:space="0" w:color="auto"/>
              <w:left w:val="single" w:sz="4" w:space="0" w:color="auto"/>
              <w:bottom w:val="single" w:sz="4" w:space="0" w:color="auto"/>
              <w:right w:val="single" w:sz="4" w:space="0" w:color="auto"/>
            </w:tcBorders>
          </w:tcPr>
          <w:p w14:paraId="0BEED291" w14:textId="1575A7BB" w:rsidR="00D26F49" w:rsidRPr="00D26F49" w:rsidRDefault="00D26F49" w:rsidP="00096131">
            <w:pPr>
              <w:pStyle w:val="Tabletext1"/>
              <w:jc w:val="center"/>
            </w:pPr>
            <w:r w:rsidRPr="00D26F49">
              <w:t>16/170</w:t>
            </w:r>
            <w:r w:rsidR="003C6ADF">
              <w:t xml:space="preserve"> (9%)</w:t>
            </w:r>
          </w:p>
        </w:tc>
        <w:tc>
          <w:tcPr>
            <w:tcW w:w="349" w:type="pct"/>
            <w:tcBorders>
              <w:top w:val="single" w:sz="4" w:space="0" w:color="auto"/>
              <w:left w:val="single" w:sz="4" w:space="0" w:color="auto"/>
              <w:bottom w:val="single" w:sz="4" w:space="0" w:color="auto"/>
              <w:right w:val="single" w:sz="4" w:space="0" w:color="auto"/>
            </w:tcBorders>
          </w:tcPr>
          <w:p w14:paraId="6410ACE9" w14:textId="360C9057" w:rsidR="00D26F49" w:rsidRPr="00D26F49" w:rsidRDefault="00D26F49" w:rsidP="00096131">
            <w:pPr>
              <w:pStyle w:val="Tabletext1"/>
              <w:jc w:val="center"/>
            </w:pPr>
            <w:r w:rsidRPr="00D26F49">
              <w:t>5/170</w:t>
            </w:r>
            <w:r w:rsidR="00A74FB7">
              <w:t xml:space="preserve"> (3%)</w:t>
            </w:r>
          </w:p>
        </w:tc>
        <w:tc>
          <w:tcPr>
            <w:tcW w:w="341" w:type="pct"/>
            <w:tcBorders>
              <w:top w:val="single" w:sz="4" w:space="0" w:color="auto"/>
              <w:left w:val="single" w:sz="4" w:space="0" w:color="auto"/>
              <w:bottom w:val="single" w:sz="4" w:space="0" w:color="auto"/>
              <w:right w:val="single" w:sz="4" w:space="0" w:color="auto"/>
            </w:tcBorders>
          </w:tcPr>
          <w:p w14:paraId="6EC6553C" w14:textId="77777777" w:rsidR="00D26F49" w:rsidRPr="00D26F49" w:rsidRDefault="00D26F49" w:rsidP="00096131">
            <w:pPr>
              <w:pStyle w:val="Tabletext1"/>
              <w:jc w:val="center"/>
            </w:pPr>
          </w:p>
        </w:tc>
      </w:tr>
      <w:tr w:rsidR="008A7DAC" w:rsidRPr="00B2301A" w14:paraId="2F568564" w14:textId="77777777" w:rsidTr="0036654A">
        <w:tc>
          <w:tcPr>
            <w:tcW w:w="669" w:type="pct"/>
            <w:tcBorders>
              <w:top w:val="single" w:sz="4" w:space="0" w:color="auto"/>
              <w:left w:val="single" w:sz="4" w:space="0" w:color="auto"/>
              <w:bottom w:val="nil"/>
              <w:right w:val="single" w:sz="4" w:space="0" w:color="auto"/>
            </w:tcBorders>
            <w:shd w:val="clear" w:color="auto" w:fill="auto"/>
          </w:tcPr>
          <w:p w14:paraId="519F3CEA" w14:textId="333FA938" w:rsidR="003C414F" w:rsidRDefault="00211285" w:rsidP="00096131">
            <w:pPr>
              <w:pStyle w:val="Tabletext1"/>
              <w:keepNext/>
              <w:keepLines/>
              <w:rPr>
                <w:snapToGrid w:val="0"/>
              </w:rPr>
            </w:pPr>
            <w:hyperlink w:anchor="_ENREF_16" w:tooltip="Callan, 2019 #38" w:history="1">
              <w:r w:rsidR="008B6FC0">
                <w:fldChar w:fldCharType="begin"/>
              </w:r>
              <w:r w:rsidR="008B6FC0">
                <w:instrText xml:space="preserve"> ADDIN EN.CITE &lt;EndNote&gt;&lt;Cite AuthorYear="1"&gt;&lt;Author&gt;Callan&lt;/Author&gt;&lt;Year&gt;2019&lt;/Year&gt;&lt;RecNum&gt;38&lt;/RecNum&gt;&lt;DisplayText&gt;Callan et al. (2019)&lt;/DisplayText&gt;&lt;record&gt;&lt;rec-number&gt;38&lt;/rec-number&gt;&lt;foreign-keys&gt;&lt;key app="EN" db-id="sx5wsdwv795wvue959xxw0ptaewvdezxxp05" timestamp="1604876375"&gt;38&lt;/key&gt;&lt;/foreign-keys&gt;&lt;ref-type name="Journal Article"&gt;17&lt;/ref-type&gt;&lt;contributors&gt;&lt;authors&gt;&lt;author&gt;Callan, L.&lt;/author&gt;&lt;author&gt;Bauman, G.&lt;/author&gt;&lt;author&gt;Chen, J.&lt;/author&gt;&lt;author&gt;Lock, M.&lt;/author&gt;&lt;author&gt;Sexton, T.&lt;/author&gt;&lt;author&gt;D&amp;apos;Souza, D.&lt;/author&gt;&lt;author&gt;Rodrigues, G.&lt;/author&gt;&lt;/authors&gt;&lt;/contributors&gt;&lt;titles&gt;&lt;title&gt;A Phase I/II Trial of Fairly Brief Androgen Suppression and Stereotactic Radiation Therapy for High-Risk Prostate Cancer (FASTR-2): Preliminary Results and Toxicity Analysis&lt;/title&gt;&lt;secondary-title&gt;Advances in Radiation Oncology&lt;/secondary-title&gt;&lt;/titles&gt;&lt;pages&gt;668-673&lt;/pages&gt;&lt;volume&gt;4&lt;/volume&gt;&lt;number&gt;4&lt;/number&gt;&lt;dates&gt;&lt;year&gt;2019&lt;/year&gt;&lt;/dates&gt;&lt;accession-num&gt;2002638214&lt;/accession-num&gt;&lt;urls&gt;&lt;related-urls&gt;&lt;url&gt;http://www.journals.elsevier.com/advances-in-radiation-oncology/http://ezproxy.library.usyd.edu.au/login?url=http://ovidsp.ovid.com/ovidweb.cgi?T=JS&amp;amp;CSC=Y&amp;amp;NEWS=N&amp;amp;PAGE=fulltext&amp;amp;D=emexb&amp;amp;AN=2002638214https://sydney.alma.exlibrisgroup.com/openurl/61USYD_INST/&lt;/url&gt;&lt;url&gt;https://www.ncbi.nlm.nih.gov/pmc/articles/PMC6817718/pdf/main.pdf&lt;/url&gt;&lt;/related-urls&gt;&lt;/urls&gt;&lt;electronic-resource-num&gt;http://dx.doi.org/10.1016/j.adro.2019.07.007&lt;/electronic-resource-num&gt;&lt;/record&gt;&lt;/Cite&gt;&lt;/EndNote&gt;</w:instrText>
              </w:r>
              <w:r w:rsidR="008B6FC0">
                <w:fldChar w:fldCharType="separate"/>
              </w:r>
              <w:r w:rsidR="008B6FC0">
                <w:rPr>
                  <w:noProof/>
                </w:rPr>
                <w:t>Callan et al. (2019)</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35067C0A" w14:textId="15E73619" w:rsidR="003C414F" w:rsidRDefault="00D26F49" w:rsidP="00096131">
            <w:pPr>
              <w:pStyle w:val="Tabletext1"/>
              <w:keepNext/>
              <w:keepLines/>
              <w:jc w:val="center"/>
            </w:pPr>
            <w:r w:rsidRPr="008A10FF">
              <w:t>GI Baseline:</w:t>
            </w:r>
          </w:p>
        </w:tc>
        <w:tc>
          <w:tcPr>
            <w:tcW w:w="349" w:type="pct"/>
            <w:tcBorders>
              <w:top w:val="single" w:sz="4" w:space="0" w:color="auto"/>
              <w:left w:val="single" w:sz="4" w:space="0" w:color="auto"/>
              <w:bottom w:val="single" w:sz="4" w:space="0" w:color="auto"/>
              <w:right w:val="single" w:sz="4" w:space="0" w:color="auto"/>
            </w:tcBorders>
          </w:tcPr>
          <w:p w14:paraId="6BB38698" w14:textId="77777777" w:rsidR="003C414F" w:rsidRDefault="003C414F"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3BF5F45F" w14:textId="4ABF3BAB" w:rsidR="00DA1327" w:rsidRDefault="00D26F49" w:rsidP="00096131">
            <w:pPr>
              <w:pStyle w:val="Tabletext1"/>
              <w:keepNext/>
              <w:keepLines/>
              <w:jc w:val="center"/>
            </w:pPr>
            <w:r w:rsidRPr="008A10FF">
              <w:t>3/28</w:t>
            </w:r>
            <w:r w:rsidR="001861CF">
              <w:t xml:space="preserve"> (11%)</w:t>
            </w:r>
          </w:p>
        </w:tc>
        <w:tc>
          <w:tcPr>
            <w:tcW w:w="349" w:type="pct"/>
            <w:tcBorders>
              <w:top w:val="single" w:sz="4" w:space="0" w:color="auto"/>
              <w:left w:val="single" w:sz="4" w:space="0" w:color="auto"/>
              <w:bottom w:val="single" w:sz="4" w:space="0" w:color="auto"/>
              <w:right w:val="single" w:sz="4" w:space="0" w:color="auto"/>
            </w:tcBorders>
          </w:tcPr>
          <w:p w14:paraId="47679101" w14:textId="541D73D2" w:rsidR="003C414F" w:rsidRDefault="00D26F49" w:rsidP="00096131">
            <w:pPr>
              <w:pStyle w:val="Tabletext1"/>
              <w:keepNext/>
              <w:keepLines/>
              <w:jc w:val="center"/>
            </w:pPr>
            <w:r w:rsidRPr="008A10FF">
              <w:t>0/28</w:t>
            </w:r>
            <w:r w:rsidR="0000253D">
              <w:t xml:space="preserve"> (0%)</w:t>
            </w:r>
          </w:p>
        </w:tc>
        <w:tc>
          <w:tcPr>
            <w:tcW w:w="349" w:type="pct"/>
            <w:tcBorders>
              <w:top w:val="single" w:sz="4" w:space="0" w:color="auto"/>
              <w:left w:val="single" w:sz="4" w:space="0" w:color="auto"/>
              <w:bottom w:val="single" w:sz="4" w:space="0" w:color="auto"/>
              <w:right w:val="single" w:sz="4" w:space="0" w:color="auto"/>
            </w:tcBorders>
          </w:tcPr>
          <w:p w14:paraId="4890AF95" w14:textId="54727E63" w:rsidR="003C414F" w:rsidRDefault="003C414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9336A44" w14:textId="3B18FC37" w:rsidR="003C414F" w:rsidRDefault="003C414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B48E77B" w14:textId="155501D1" w:rsidR="003C414F" w:rsidRDefault="003C414F"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25183BAA" w14:textId="5F2CF892" w:rsidR="003C414F" w:rsidRDefault="003C414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4F0CAA0" w14:textId="4A07B785" w:rsidR="003C414F" w:rsidRDefault="003C414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5C8D419" w14:textId="77777777" w:rsidR="003C414F" w:rsidRDefault="003C414F"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46F82449" w14:textId="77777777" w:rsidR="003C414F" w:rsidRDefault="003C414F" w:rsidP="00096131">
            <w:pPr>
              <w:pStyle w:val="Tabletext1"/>
              <w:keepNext/>
              <w:keepLines/>
              <w:jc w:val="center"/>
            </w:pPr>
          </w:p>
        </w:tc>
      </w:tr>
      <w:tr w:rsidR="008A7DAC" w:rsidRPr="00B2301A" w14:paraId="74085C36" w14:textId="77777777" w:rsidTr="0036654A">
        <w:tc>
          <w:tcPr>
            <w:tcW w:w="669" w:type="pct"/>
            <w:tcBorders>
              <w:top w:val="nil"/>
              <w:left w:val="single" w:sz="4" w:space="0" w:color="auto"/>
              <w:bottom w:val="nil"/>
              <w:right w:val="single" w:sz="4" w:space="0" w:color="auto"/>
            </w:tcBorders>
            <w:shd w:val="clear" w:color="auto" w:fill="auto"/>
            <w:vAlign w:val="bottom"/>
          </w:tcPr>
          <w:p w14:paraId="25480B5F" w14:textId="641A8FFF" w:rsidR="003C414F" w:rsidRDefault="003C414F"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7D68B2F5" w14:textId="2ADEF4B5" w:rsidR="003C414F" w:rsidRDefault="00D26F49" w:rsidP="00096131">
            <w:pPr>
              <w:pStyle w:val="Tabletext1"/>
              <w:keepNext/>
              <w:keepLines/>
              <w:jc w:val="center"/>
            </w:pPr>
            <w:r>
              <w:t>GI 6 weeks</w:t>
            </w:r>
          </w:p>
        </w:tc>
        <w:tc>
          <w:tcPr>
            <w:tcW w:w="349" w:type="pct"/>
            <w:tcBorders>
              <w:top w:val="single" w:sz="4" w:space="0" w:color="auto"/>
              <w:left w:val="single" w:sz="4" w:space="0" w:color="auto"/>
              <w:bottom w:val="single" w:sz="4" w:space="0" w:color="auto"/>
              <w:right w:val="single" w:sz="4" w:space="0" w:color="auto"/>
            </w:tcBorders>
          </w:tcPr>
          <w:p w14:paraId="5AA260BE" w14:textId="77777777" w:rsidR="003C414F" w:rsidRDefault="003C414F"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2E02E58B" w14:textId="621AD8D6" w:rsidR="003C414F" w:rsidRDefault="00D26F49" w:rsidP="00096131">
            <w:pPr>
              <w:pStyle w:val="Tabletext1"/>
              <w:keepNext/>
              <w:keepLines/>
              <w:jc w:val="center"/>
            </w:pPr>
            <w:r w:rsidRPr="008A10FF">
              <w:t>8/27</w:t>
            </w:r>
            <w:r w:rsidR="00AB7EA4">
              <w:t xml:space="preserve"> (30%)</w:t>
            </w:r>
          </w:p>
        </w:tc>
        <w:tc>
          <w:tcPr>
            <w:tcW w:w="349" w:type="pct"/>
            <w:tcBorders>
              <w:top w:val="single" w:sz="4" w:space="0" w:color="auto"/>
              <w:left w:val="single" w:sz="4" w:space="0" w:color="auto"/>
              <w:bottom w:val="single" w:sz="4" w:space="0" w:color="auto"/>
              <w:right w:val="single" w:sz="4" w:space="0" w:color="auto"/>
            </w:tcBorders>
          </w:tcPr>
          <w:p w14:paraId="109347EE" w14:textId="776332EA" w:rsidR="003C414F" w:rsidRDefault="00D26F49" w:rsidP="00096131">
            <w:pPr>
              <w:pStyle w:val="Tabletext1"/>
              <w:keepNext/>
              <w:keepLines/>
              <w:jc w:val="center"/>
            </w:pPr>
            <w:r w:rsidRPr="008A10FF">
              <w:t>1/27</w:t>
            </w:r>
            <w:r w:rsidR="0036654A">
              <w:t xml:space="preserve"> (4%)</w:t>
            </w:r>
          </w:p>
        </w:tc>
        <w:tc>
          <w:tcPr>
            <w:tcW w:w="349" w:type="pct"/>
            <w:tcBorders>
              <w:top w:val="single" w:sz="4" w:space="0" w:color="auto"/>
              <w:left w:val="single" w:sz="4" w:space="0" w:color="auto"/>
              <w:bottom w:val="single" w:sz="4" w:space="0" w:color="auto"/>
              <w:right w:val="single" w:sz="4" w:space="0" w:color="auto"/>
            </w:tcBorders>
          </w:tcPr>
          <w:p w14:paraId="0D342798" w14:textId="6B32A28F" w:rsidR="003C414F" w:rsidRDefault="003C414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78D4958" w14:textId="71ACCCA7" w:rsidR="003C414F" w:rsidRDefault="003C414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634FC77" w14:textId="4480AD83" w:rsidR="003C414F" w:rsidRDefault="003C414F"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2ECC7237" w14:textId="16E54FD9" w:rsidR="003C414F" w:rsidRDefault="003C414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7E8FE46" w14:textId="2DB5B423" w:rsidR="003C414F" w:rsidRDefault="003C414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2E590CD" w14:textId="77777777" w:rsidR="003C414F" w:rsidRDefault="003C414F"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40AD91E8" w14:textId="77777777" w:rsidR="003C414F" w:rsidRDefault="003C414F" w:rsidP="00096131">
            <w:pPr>
              <w:pStyle w:val="Tabletext1"/>
              <w:keepNext/>
              <w:keepLines/>
              <w:jc w:val="center"/>
            </w:pPr>
          </w:p>
        </w:tc>
      </w:tr>
      <w:tr w:rsidR="00D26F49" w:rsidRPr="00B2301A" w14:paraId="6A2BDC31" w14:textId="77777777" w:rsidTr="0036654A">
        <w:tc>
          <w:tcPr>
            <w:tcW w:w="669" w:type="pct"/>
            <w:tcBorders>
              <w:top w:val="nil"/>
              <w:left w:val="single" w:sz="4" w:space="0" w:color="auto"/>
              <w:bottom w:val="nil"/>
              <w:right w:val="single" w:sz="4" w:space="0" w:color="auto"/>
            </w:tcBorders>
            <w:shd w:val="clear" w:color="auto" w:fill="auto"/>
            <w:vAlign w:val="bottom"/>
          </w:tcPr>
          <w:p w14:paraId="33D7BF71" w14:textId="77777777" w:rsidR="00D26F49" w:rsidRDefault="00D26F49"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76D8164F" w14:textId="7B48F2D9" w:rsidR="00D26F49" w:rsidRDefault="00D26F49" w:rsidP="00096131">
            <w:pPr>
              <w:pStyle w:val="Tabletext1"/>
              <w:keepNext/>
              <w:keepLines/>
              <w:jc w:val="center"/>
            </w:pPr>
            <w:r>
              <w:t>GI 6 months</w:t>
            </w:r>
          </w:p>
        </w:tc>
        <w:tc>
          <w:tcPr>
            <w:tcW w:w="349" w:type="pct"/>
            <w:tcBorders>
              <w:top w:val="single" w:sz="4" w:space="0" w:color="auto"/>
              <w:left w:val="single" w:sz="4" w:space="0" w:color="auto"/>
              <w:bottom w:val="single" w:sz="4" w:space="0" w:color="auto"/>
              <w:right w:val="single" w:sz="4" w:space="0" w:color="auto"/>
            </w:tcBorders>
          </w:tcPr>
          <w:p w14:paraId="5ADCC0BF"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1DB3687"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1C7BC66"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6936959"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03D626E"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DF613C3"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4611F24" w14:textId="1263E0F7" w:rsidR="00D26F49" w:rsidRDefault="00D26F49" w:rsidP="00096131">
            <w:pPr>
              <w:pStyle w:val="Tabletext1"/>
              <w:keepNext/>
              <w:keepLines/>
              <w:jc w:val="center"/>
            </w:pPr>
            <w:r w:rsidRPr="008A10FF">
              <w:t>12/28</w:t>
            </w:r>
            <w:r w:rsidR="0036654A">
              <w:t xml:space="preserve"> </w:t>
            </w:r>
            <w:r w:rsidR="00E921D8">
              <w:t>(43%)</w:t>
            </w:r>
          </w:p>
        </w:tc>
        <w:tc>
          <w:tcPr>
            <w:tcW w:w="349" w:type="pct"/>
            <w:tcBorders>
              <w:top w:val="single" w:sz="4" w:space="0" w:color="auto"/>
              <w:left w:val="single" w:sz="4" w:space="0" w:color="auto"/>
              <w:bottom w:val="single" w:sz="4" w:space="0" w:color="auto"/>
              <w:right w:val="single" w:sz="4" w:space="0" w:color="auto"/>
            </w:tcBorders>
          </w:tcPr>
          <w:p w14:paraId="7CF4994B" w14:textId="69581051" w:rsidR="00D26F49" w:rsidRDefault="00D26F49" w:rsidP="00096131">
            <w:pPr>
              <w:pStyle w:val="Tabletext1"/>
              <w:keepNext/>
              <w:keepLines/>
              <w:jc w:val="center"/>
            </w:pPr>
            <w:r w:rsidRPr="008A10FF">
              <w:t>0/28</w:t>
            </w:r>
            <w:r w:rsidR="00E921D8">
              <w:t xml:space="preserve"> (0%)</w:t>
            </w:r>
          </w:p>
        </w:tc>
        <w:tc>
          <w:tcPr>
            <w:tcW w:w="349" w:type="pct"/>
            <w:tcBorders>
              <w:top w:val="single" w:sz="4" w:space="0" w:color="auto"/>
              <w:left w:val="single" w:sz="4" w:space="0" w:color="auto"/>
              <w:bottom w:val="single" w:sz="4" w:space="0" w:color="auto"/>
              <w:right w:val="single" w:sz="4" w:space="0" w:color="auto"/>
            </w:tcBorders>
          </w:tcPr>
          <w:p w14:paraId="4EA9BDB1" w14:textId="77777777" w:rsidR="00D26F49" w:rsidRDefault="00D26F49"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60DF1B6C" w14:textId="77777777" w:rsidR="00D26F49" w:rsidRDefault="00D26F49" w:rsidP="00096131">
            <w:pPr>
              <w:pStyle w:val="Tabletext1"/>
              <w:keepNext/>
              <w:keepLines/>
              <w:jc w:val="center"/>
            </w:pPr>
          </w:p>
        </w:tc>
      </w:tr>
      <w:tr w:rsidR="00D26F49" w:rsidRPr="00B2301A" w14:paraId="5672C383" w14:textId="77777777" w:rsidTr="0036654A">
        <w:tc>
          <w:tcPr>
            <w:tcW w:w="669" w:type="pct"/>
            <w:tcBorders>
              <w:top w:val="nil"/>
              <w:left w:val="single" w:sz="4" w:space="0" w:color="auto"/>
              <w:bottom w:val="nil"/>
              <w:right w:val="single" w:sz="4" w:space="0" w:color="auto"/>
            </w:tcBorders>
            <w:shd w:val="clear" w:color="auto" w:fill="auto"/>
            <w:vAlign w:val="bottom"/>
          </w:tcPr>
          <w:p w14:paraId="03E0BCFB" w14:textId="77777777" w:rsidR="00D26F49" w:rsidRDefault="00D26F49"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5FBE8F05" w14:textId="257627BD" w:rsidR="00D26F49" w:rsidRDefault="00D26F49" w:rsidP="00096131">
            <w:pPr>
              <w:pStyle w:val="Tabletext1"/>
              <w:keepNext/>
              <w:keepLines/>
              <w:jc w:val="center"/>
            </w:pPr>
            <w:r>
              <w:t>GI 1 year</w:t>
            </w:r>
          </w:p>
        </w:tc>
        <w:tc>
          <w:tcPr>
            <w:tcW w:w="349" w:type="pct"/>
            <w:tcBorders>
              <w:top w:val="single" w:sz="4" w:space="0" w:color="auto"/>
              <w:left w:val="single" w:sz="4" w:space="0" w:color="auto"/>
              <w:bottom w:val="single" w:sz="4" w:space="0" w:color="auto"/>
              <w:right w:val="single" w:sz="4" w:space="0" w:color="auto"/>
            </w:tcBorders>
          </w:tcPr>
          <w:p w14:paraId="2C81A89B"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052E0A78"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2544DFF"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07411684"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709887D"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3C608A3"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0F463E45" w14:textId="6F13A332" w:rsidR="00D26F49" w:rsidRDefault="00D26F49" w:rsidP="00096131">
            <w:pPr>
              <w:pStyle w:val="Tabletext1"/>
              <w:keepNext/>
              <w:keepLines/>
              <w:jc w:val="center"/>
            </w:pPr>
            <w:r w:rsidRPr="008A10FF">
              <w:t>9/23</w:t>
            </w:r>
          </w:p>
        </w:tc>
        <w:tc>
          <w:tcPr>
            <w:tcW w:w="349" w:type="pct"/>
            <w:tcBorders>
              <w:top w:val="single" w:sz="4" w:space="0" w:color="auto"/>
              <w:left w:val="single" w:sz="4" w:space="0" w:color="auto"/>
              <w:bottom w:val="single" w:sz="4" w:space="0" w:color="auto"/>
              <w:right w:val="single" w:sz="4" w:space="0" w:color="auto"/>
            </w:tcBorders>
          </w:tcPr>
          <w:p w14:paraId="14CF83A8" w14:textId="53C44ED4" w:rsidR="00D26F49" w:rsidRDefault="00D26F49" w:rsidP="00096131">
            <w:pPr>
              <w:pStyle w:val="Tabletext1"/>
              <w:keepNext/>
              <w:keepLines/>
              <w:jc w:val="center"/>
            </w:pPr>
            <w:r w:rsidRPr="008A10FF">
              <w:t>0/23</w:t>
            </w:r>
            <w:r w:rsidR="00E921D8">
              <w:t xml:space="preserve"> (0%)</w:t>
            </w:r>
          </w:p>
        </w:tc>
        <w:tc>
          <w:tcPr>
            <w:tcW w:w="349" w:type="pct"/>
            <w:tcBorders>
              <w:top w:val="single" w:sz="4" w:space="0" w:color="auto"/>
              <w:left w:val="single" w:sz="4" w:space="0" w:color="auto"/>
              <w:bottom w:val="single" w:sz="4" w:space="0" w:color="auto"/>
              <w:right w:val="single" w:sz="4" w:space="0" w:color="auto"/>
            </w:tcBorders>
          </w:tcPr>
          <w:p w14:paraId="77FA8C69" w14:textId="77777777" w:rsidR="00D26F49" w:rsidRDefault="00D26F49"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61E983D1" w14:textId="77777777" w:rsidR="00D26F49" w:rsidRDefault="00D26F49" w:rsidP="00096131">
            <w:pPr>
              <w:pStyle w:val="Tabletext1"/>
              <w:keepNext/>
              <w:keepLines/>
              <w:jc w:val="center"/>
            </w:pPr>
          </w:p>
        </w:tc>
      </w:tr>
      <w:tr w:rsidR="00D26F49" w:rsidRPr="00B2301A" w14:paraId="73E0B42C" w14:textId="77777777" w:rsidTr="0036654A">
        <w:tc>
          <w:tcPr>
            <w:tcW w:w="669" w:type="pct"/>
            <w:tcBorders>
              <w:top w:val="nil"/>
              <w:left w:val="single" w:sz="4" w:space="0" w:color="auto"/>
              <w:bottom w:val="nil"/>
              <w:right w:val="single" w:sz="4" w:space="0" w:color="auto"/>
            </w:tcBorders>
            <w:shd w:val="clear" w:color="auto" w:fill="auto"/>
            <w:vAlign w:val="bottom"/>
          </w:tcPr>
          <w:p w14:paraId="2539CC47" w14:textId="77777777" w:rsidR="00D26F49" w:rsidRDefault="00D26F49"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355E7691" w14:textId="1C284110" w:rsidR="00D26F49" w:rsidRDefault="00D26F49" w:rsidP="00096131">
            <w:pPr>
              <w:pStyle w:val="Tabletext1"/>
              <w:keepNext/>
              <w:keepLines/>
              <w:jc w:val="center"/>
            </w:pPr>
            <w:r>
              <w:t>GU baseline</w:t>
            </w:r>
          </w:p>
        </w:tc>
        <w:tc>
          <w:tcPr>
            <w:tcW w:w="349" w:type="pct"/>
            <w:tcBorders>
              <w:top w:val="single" w:sz="4" w:space="0" w:color="auto"/>
              <w:left w:val="single" w:sz="4" w:space="0" w:color="auto"/>
              <w:bottom w:val="single" w:sz="4" w:space="0" w:color="auto"/>
              <w:right w:val="single" w:sz="4" w:space="0" w:color="auto"/>
            </w:tcBorders>
          </w:tcPr>
          <w:p w14:paraId="03F76A0D"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45AC323D" w14:textId="27A14FA3" w:rsidR="00D26F49" w:rsidRPr="008A10FF" w:rsidRDefault="008A10FF" w:rsidP="00096131">
            <w:pPr>
              <w:pStyle w:val="Tabletext1"/>
              <w:keepNext/>
              <w:keepLines/>
              <w:jc w:val="center"/>
            </w:pPr>
            <w:r w:rsidRPr="008A10FF">
              <w:t>10/28</w:t>
            </w:r>
            <w:r w:rsidR="00E9746F">
              <w:t xml:space="preserve"> (36%)</w:t>
            </w:r>
          </w:p>
        </w:tc>
        <w:tc>
          <w:tcPr>
            <w:tcW w:w="349" w:type="pct"/>
            <w:tcBorders>
              <w:top w:val="single" w:sz="4" w:space="0" w:color="auto"/>
              <w:left w:val="single" w:sz="4" w:space="0" w:color="auto"/>
              <w:bottom w:val="single" w:sz="4" w:space="0" w:color="auto"/>
              <w:right w:val="single" w:sz="4" w:space="0" w:color="auto"/>
            </w:tcBorders>
          </w:tcPr>
          <w:p w14:paraId="7A102CDE" w14:textId="63333DB7" w:rsidR="00D26F49" w:rsidRPr="008A10FF" w:rsidRDefault="008A10FF" w:rsidP="00096131">
            <w:pPr>
              <w:pStyle w:val="Tabletext1"/>
              <w:keepNext/>
              <w:keepLines/>
              <w:jc w:val="center"/>
            </w:pPr>
            <w:r w:rsidRPr="008A10FF">
              <w:t>1/28</w:t>
            </w:r>
            <w:r w:rsidR="00BA7E10">
              <w:t xml:space="preserve"> (4%)</w:t>
            </w:r>
          </w:p>
        </w:tc>
        <w:tc>
          <w:tcPr>
            <w:tcW w:w="349" w:type="pct"/>
            <w:tcBorders>
              <w:top w:val="single" w:sz="4" w:space="0" w:color="auto"/>
              <w:left w:val="single" w:sz="4" w:space="0" w:color="auto"/>
              <w:bottom w:val="single" w:sz="4" w:space="0" w:color="auto"/>
              <w:right w:val="single" w:sz="4" w:space="0" w:color="auto"/>
            </w:tcBorders>
          </w:tcPr>
          <w:p w14:paraId="59963144"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1ECD7D7"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62140A7"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4BA0FB9"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0FA09DE"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3596570" w14:textId="77777777" w:rsidR="00D26F49" w:rsidRDefault="00D26F49"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379540B8" w14:textId="77777777" w:rsidR="00D26F49" w:rsidRDefault="00D26F49" w:rsidP="00096131">
            <w:pPr>
              <w:pStyle w:val="Tabletext1"/>
              <w:keepNext/>
              <w:keepLines/>
              <w:jc w:val="center"/>
            </w:pPr>
          </w:p>
        </w:tc>
      </w:tr>
      <w:tr w:rsidR="00D26F49" w:rsidRPr="00B2301A" w14:paraId="34F290EA" w14:textId="77777777" w:rsidTr="0036654A">
        <w:tc>
          <w:tcPr>
            <w:tcW w:w="669" w:type="pct"/>
            <w:tcBorders>
              <w:top w:val="nil"/>
              <w:left w:val="single" w:sz="4" w:space="0" w:color="auto"/>
              <w:bottom w:val="nil"/>
              <w:right w:val="single" w:sz="4" w:space="0" w:color="auto"/>
            </w:tcBorders>
            <w:shd w:val="clear" w:color="auto" w:fill="auto"/>
            <w:vAlign w:val="bottom"/>
          </w:tcPr>
          <w:p w14:paraId="3AA88025" w14:textId="77777777" w:rsidR="00D26F49" w:rsidRDefault="00D26F49"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6D48EF8B" w14:textId="28D14EFD" w:rsidR="00D26F49" w:rsidRDefault="00D26F49" w:rsidP="00096131">
            <w:pPr>
              <w:pStyle w:val="Tabletext1"/>
              <w:keepNext/>
              <w:keepLines/>
              <w:jc w:val="center"/>
            </w:pPr>
            <w:r>
              <w:t>GU 6 weeks</w:t>
            </w:r>
          </w:p>
        </w:tc>
        <w:tc>
          <w:tcPr>
            <w:tcW w:w="349" w:type="pct"/>
            <w:tcBorders>
              <w:top w:val="single" w:sz="4" w:space="0" w:color="auto"/>
              <w:left w:val="single" w:sz="4" w:space="0" w:color="auto"/>
              <w:bottom w:val="single" w:sz="4" w:space="0" w:color="auto"/>
              <w:right w:val="single" w:sz="4" w:space="0" w:color="auto"/>
            </w:tcBorders>
          </w:tcPr>
          <w:p w14:paraId="221A9B1D"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71BD6580" w14:textId="26E5DCE0" w:rsidR="00D26F49" w:rsidRPr="008A10FF" w:rsidRDefault="008A10FF" w:rsidP="00096131">
            <w:pPr>
              <w:pStyle w:val="Tabletext1"/>
              <w:keepNext/>
              <w:keepLines/>
              <w:jc w:val="center"/>
            </w:pPr>
            <w:r w:rsidRPr="008A10FF">
              <w:t>15/27</w:t>
            </w:r>
            <w:r w:rsidR="009907A0">
              <w:t xml:space="preserve"> (56%)</w:t>
            </w:r>
          </w:p>
        </w:tc>
        <w:tc>
          <w:tcPr>
            <w:tcW w:w="349" w:type="pct"/>
            <w:tcBorders>
              <w:top w:val="single" w:sz="4" w:space="0" w:color="auto"/>
              <w:left w:val="single" w:sz="4" w:space="0" w:color="auto"/>
              <w:bottom w:val="single" w:sz="4" w:space="0" w:color="auto"/>
              <w:right w:val="single" w:sz="4" w:space="0" w:color="auto"/>
            </w:tcBorders>
          </w:tcPr>
          <w:p w14:paraId="09EBC1A9" w14:textId="345E2A4A" w:rsidR="00D26F49" w:rsidRPr="008A10FF" w:rsidRDefault="008A10FF" w:rsidP="00096131">
            <w:pPr>
              <w:pStyle w:val="Tabletext1"/>
              <w:keepNext/>
              <w:keepLines/>
              <w:jc w:val="center"/>
            </w:pPr>
            <w:r w:rsidRPr="008A10FF">
              <w:t>4/27</w:t>
            </w:r>
            <w:r w:rsidR="0094184D">
              <w:t xml:space="preserve"> (15%)</w:t>
            </w:r>
          </w:p>
        </w:tc>
        <w:tc>
          <w:tcPr>
            <w:tcW w:w="349" w:type="pct"/>
            <w:tcBorders>
              <w:top w:val="single" w:sz="4" w:space="0" w:color="auto"/>
              <w:left w:val="single" w:sz="4" w:space="0" w:color="auto"/>
              <w:bottom w:val="single" w:sz="4" w:space="0" w:color="auto"/>
              <w:right w:val="single" w:sz="4" w:space="0" w:color="auto"/>
            </w:tcBorders>
          </w:tcPr>
          <w:p w14:paraId="34712213"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334F6C9"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1EC6C96"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760EA229"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A6FFFC6"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5B41298" w14:textId="77777777" w:rsidR="00D26F49" w:rsidRDefault="00D26F49"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083A0586" w14:textId="77777777" w:rsidR="00D26F49" w:rsidRDefault="00D26F49" w:rsidP="00096131">
            <w:pPr>
              <w:pStyle w:val="Tabletext1"/>
              <w:keepNext/>
              <w:keepLines/>
              <w:jc w:val="center"/>
            </w:pPr>
          </w:p>
        </w:tc>
      </w:tr>
      <w:tr w:rsidR="00D26F49" w:rsidRPr="00B2301A" w14:paraId="51C5AB22" w14:textId="77777777" w:rsidTr="0036654A">
        <w:tc>
          <w:tcPr>
            <w:tcW w:w="669" w:type="pct"/>
            <w:tcBorders>
              <w:top w:val="nil"/>
              <w:left w:val="single" w:sz="4" w:space="0" w:color="auto"/>
              <w:bottom w:val="nil"/>
              <w:right w:val="single" w:sz="4" w:space="0" w:color="auto"/>
            </w:tcBorders>
            <w:shd w:val="clear" w:color="auto" w:fill="auto"/>
            <w:vAlign w:val="bottom"/>
          </w:tcPr>
          <w:p w14:paraId="6CC3A688" w14:textId="77777777" w:rsidR="00D26F49" w:rsidRDefault="00D26F49"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28D8A858" w14:textId="6CC5334D" w:rsidR="00D26F49" w:rsidRDefault="00D26F49" w:rsidP="00096131">
            <w:pPr>
              <w:pStyle w:val="Tabletext1"/>
              <w:keepNext/>
              <w:keepLines/>
              <w:jc w:val="center"/>
            </w:pPr>
            <w:r>
              <w:t>GU 6 months</w:t>
            </w:r>
          </w:p>
        </w:tc>
        <w:tc>
          <w:tcPr>
            <w:tcW w:w="349" w:type="pct"/>
            <w:tcBorders>
              <w:top w:val="single" w:sz="4" w:space="0" w:color="auto"/>
              <w:left w:val="single" w:sz="4" w:space="0" w:color="auto"/>
              <w:bottom w:val="single" w:sz="4" w:space="0" w:color="auto"/>
              <w:right w:val="single" w:sz="4" w:space="0" w:color="auto"/>
            </w:tcBorders>
          </w:tcPr>
          <w:p w14:paraId="1ABEF20A"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2A583AB5"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5D0F9C3" w14:textId="77777777" w:rsidR="00D26F49" w:rsidRPr="008A10FF"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0D0A76AC"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5776D3D" w14:textId="77777777" w:rsidR="00D26F49" w:rsidRDefault="00D26F49"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1A6A550" w14:textId="77777777" w:rsidR="00D26F49" w:rsidRDefault="00D26F49"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120B3F8" w14:textId="10A94B2B" w:rsidR="00D26F49" w:rsidRPr="008A10FF" w:rsidRDefault="008A10FF" w:rsidP="00096131">
            <w:pPr>
              <w:pStyle w:val="Tabletext1"/>
              <w:keepNext/>
              <w:keepLines/>
              <w:jc w:val="center"/>
            </w:pPr>
            <w:r w:rsidRPr="008A10FF">
              <w:t>17/28</w:t>
            </w:r>
            <w:r w:rsidR="00124DB9">
              <w:t xml:space="preserve"> (61%)</w:t>
            </w:r>
          </w:p>
        </w:tc>
        <w:tc>
          <w:tcPr>
            <w:tcW w:w="349" w:type="pct"/>
            <w:tcBorders>
              <w:top w:val="single" w:sz="4" w:space="0" w:color="auto"/>
              <w:left w:val="single" w:sz="4" w:space="0" w:color="auto"/>
              <w:bottom w:val="single" w:sz="4" w:space="0" w:color="auto"/>
              <w:right w:val="single" w:sz="4" w:space="0" w:color="auto"/>
            </w:tcBorders>
          </w:tcPr>
          <w:p w14:paraId="3EA51CFE" w14:textId="411575EC" w:rsidR="00D26F49" w:rsidRPr="008A10FF" w:rsidRDefault="008A10FF" w:rsidP="00096131">
            <w:pPr>
              <w:pStyle w:val="Tabletext1"/>
              <w:keepNext/>
              <w:keepLines/>
              <w:jc w:val="center"/>
            </w:pPr>
            <w:r w:rsidRPr="008A10FF">
              <w:t>5/28</w:t>
            </w:r>
            <w:r w:rsidR="00D242DD">
              <w:t xml:space="preserve"> (18%)</w:t>
            </w:r>
          </w:p>
        </w:tc>
        <w:tc>
          <w:tcPr>
            <w:tcW w:w="349" w:type="pct"/>
            <w:tcBorders>
              <w:top w:val="single" w:sz="4" w:space="0" w:color="auto"/>
              <w:left w:val="single" w:sz="4" w:space="0" w:color="auto"/>
              <w:bottom w:val="single" w:sz="4" w:space="0" w:color="auto"/>
              <w:right w:val="single" w:sz="4" w:space="0" w:color="auto"/>
            </w:tcBorders>
          </w:tcPr>
          <w:p w14:paraId="5F560554" w14:textId="77777777" w:rsidR="00D26F49" w:rsidRDefault="00D26F49"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0217452E" w14:textId="77777777" w:rsidR="00D26F49" w:rsidRDefault="00D26F49" w:rsidP="00096131">
            <w:pPr>
              <w:pStyle w:val="Tabletext1"/>
              <w:keepNext/>
              <w:keepLines/>
              <w:jc w:val="center"/>
            </w:pPr>
          </w:p>
        </w:tc>
      </w:tr>
      <w:tr w:rsidR="005B65E5" w:rsidRPr="00B2301A" w14:paraId="019AACB0" w14:textId="77777777" w:rsidTr="0036654A">
        <w:tc>
          <w:tcPr>
            <w:tcW w:w="669" w:type="pct"/>
            <w:tcBorders>
              <w:top w:val="nil"/>
              <w:left w:val="single" w:sz="4" w:space="0" w:color="auto"/>
              <w:bottom w:val="single" w:sz="4" w:space="0" w:color="auto"/>
              <w:right w:val="single" w:sz="4" w:space="0" w:color="auto"/>
            </w:tcBorders>
            <w:shd w:val="clear" w:color="auto" w:fill="auto"/>
            <w:vAlign w:val="bottom"/>
          </w:tcPr>
          <w:p w14:paraId="6975A683" w14:textId="77777777" w:rsidR="00D26F49" w:rsidRDefault="00D26F49" w:rsidP="009C1ABE">
            <w:pPr>
              <w:pStyle w:val="Tabletext1"/>
              <w:rPr>
                <w:snapToGrid w:val="0"/>
              </w:rPr>
            </w:pPr>
          </w:p>
        </w:tc>
        <w:tc>
          <w:tcPr>
            <w:tcW w:w="847" w:type="pct"/>
            <w:tcBorders>
              <w:top w:val="single" w:sz="4" w:space="0" w:color="auto"/>
              <w:left w:val="single" w:sz="4" w:space="0" w:color="auto"/>
              <w:bottom w:val="single" w:sz="4" w:space="0" w:color="auto"/>
              <w:right w:val="single" w:sz="4" w:space="0" w:color="auto"/>
            </w:tcBorders>
          </w:tcPr>
          <w:p w14:paraId="6181DD0F" w14:textId="2374AADB" w:rsidR="00D26F49" w:rsidRDefault="00D26F49" w:rsidP="009C1ABE">
            <w:pPr>
              <w:pStyle w:val="Tabletext1"/>
              <w:jc w:val="center"/>
            </w:pPr>
            <w:r>
              <w:t>GU 1 year</w:t>
            </w:r>
          </w:p>
        </w:tc>
        <w:tc>
          <w:tcPr>
            <w:tcW w:w="349" w:type="pct"/>
            <w:tcBorders>
              <w:top w:val="single" w:sz="4" w:space="0" w:color="auto"/>
              <w:left w:val="single" w:sz="4" w:space="0" w:color="auto"/>
              <w:bottom w:val="single" w:sz="4" w:space="0" w:color="auto"/>
              <w:right w:val="single" w:sz="4" w:space="0" w:color="auto"/>
            </w:tcBorders>
          </w:tcPr>
          <w:p w14:paraId="4E0A70C0" w14:textId="77777777" w:rsidR="00D26F49" w:rsidRDefault="00D26F49"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1944999" w14:textId="77777777" w:rsidR="00D26F49" w:rsidRPr="008A10FF" w:rsidRDefault="00D26F49"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0D82FE0" w14:textId="77777777" w:rsidR="00D26F49" w:rsidRPr="008A10FF" w:rsidRDefault="00D26F49"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0B16E2E" w14:textId="77777777" w:rsidR="00D26F49" w:rsidRDefault="00D26F49"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1DCBCD4" w14:textId="77777777" w:rsidR="00D26F49" w:rsidRDefault="00D26F49"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C44F8A4" w14:textId="77777777" w:rsidR="00D26F49" w:rsidRDefault="00D26F49"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D038D70" w14:textId="13FCE898" w:rsidR="00D26F49" w:rsidRPr="008A10FF" w:rsidRDefault="008A10FF" w:rsidP="009C1ABE">
            <w:pPr>
              <w:pStyle w:val="Tabletext1"/>
              <w:jc w:val="center"/>
            </w:pPr>
            <w:r w:rsidRPr="008A10FF">
              <w:t>15/23</w:t>
            </w:r>
            <w:r w:rsidR="00793912">
              <w:t xml:space="preserve"> (65%)</w:t>
            </w:r>
          </w:p>
        </w:tc>
        <w:tc>
          <w:tcPr>
            <w:tcW w:w="349" w:type="pct"/>
            <w:tcBorders>
              <w:top w:val="single" w:sz="4" w:space="0" w:color="auto"/>
              <w:left w:val="single" w:sz="4" w:space="0" w:color="auto"/>
              <w:bottom w:val="single" w:sz="4" w:space="0" w:color="auto"/>
              <w:right w:val="single" w:sz="4" w:space="0" w:color="auto"/>
            </w:tcBorders>
          </w:tcPr>
          <w:p w14:paraId="7C55BDDA" w14:textId="664AE4F7" w:rsidR="00D26F49" w:rsidRPr="008A10FF" w:rsidRDefault="008A10FF" w:rsidP="009C1ABE">
            <w:pPr>
              <w:pStyle w:val="Tabletext1"/>
              <w:jc w:val="center"/>
            </w:pPr>
            <w:r w:rsidRPr="008A10FF">
              <w:t>5/23</w:t>
            </w:r>
            <w:r w:rsidR="00D43C1F">
              <w:t xml:space="preserve"> (22%)</w:t>
            </w:r>
          </w:p>
        </w:tc>
        <w:tc>
          <w:tcPr>
            <w:tcW w:w="349" w:type="pct"/>
            <w:tcBorders>
              <w:top w:val="single" w:sz="4" w:space="0" w:color="auto"/>
              <w:left w:val="single" w:sz="4" w:space="0" w:color="auto"/>
              <w:bottom w:val="single" w:sz="4" w:space="0" w:color="auto"/>
              <w:right w:val="single" w:sz="4" w:space="0" w:color="auto"/>
            </w:tcBorders>
          </w:tcPr>
          <w:p w14:paraId="00614EEF" w14:textId="77777777" w:rsidR="00D26F49" w:rsidRDefault="00D26F49" w:rsidP="009C1ABE">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01DC852" w14:textId="77777777" w:rsidR="00D26F49" w:rsidRDefault="00D26F49" w:rsidP="009C1ABE">
            <w:pPr>
              <w:pStyle w:val="Tabletext1"/>
              <w:jc w:val="center"/>
            </w:pPr>
          </w:p>
        </w:tc>
      </w:tr>
      <w:tr w:rsidR="00BA3111" w:rsidRPr="00B2301A" w14:paraId="49CEE172" w14:textId="77777777" w:rsidTr="00541163">
        <w:tc>
          <w:tcPr>
            <w:tcW w:w="669" w:type="pct"/>
            <w:tcBorders>
              <w:top w:val="single" w:sz="4" w:space="0" w:color="auto"/>
              <w:left w:val="single" w:sz="4" w:space="0" w:color="auto"/>
              <w:bottom w:val="nil"/>
              <w:right w:val="single" w:sz="4" w:space="0" w:color="auto"/>
            </w:tcBorders>
            <w:shd w:val="clear" w:color="auto" w:fill="auto"/>
          </w:tcPr>
          <w:p w14:paraId="769F3994" w14:textId="2C4B91CD" w:rsidR="00BA3111" w:rsidRDefault="00211285" w:rsidP="009C1ABE">
            <w:pPr>
              <w:pStyle w:val="Tabletext1"/>
              <w:keepNext/>
              <w:keepLines/>
            </w:pPr>
            <w:hyperlink w:anchor="_ENREF_23" w:tooltip="Correa, 2020 #39" w:history="1">
              <w:r w:rsidR="008B6FC0">
                <w:fldChar w:fldCharType="begin"/>
              </w:r>
              <w:r w:rsidR="008B6FC0">
                <w:instrText xml:space="preserve"> ADDIN EN.CITE &lt;EndNote&gt;&lt;Cite AuthorYear="1"&gt;&lt;Author&gt;Correa&lt;/Author&gt;&lt;Year&gt;2020&lt;/Year&gt;&lt;RecNum&gt;39&lt;/RecNum&gt;&lt;DisplayText&gt;Correa et al. (2020)&lt;/DisplayText&gt;&lt;record&gt;&lt;rec-number&gt;39&lt;/rec-number&gt;&lt;foreign-keys&gt;&lt;key app="EN" db-id="sx5wsdwv795wvue959xxw0ptaewvdezxxp05" timestamp="1604876376"&gt;39&lt;/key&gt;&lt;/foreign-keys&gt;&lt;ref-type name="Journal Article"&gt;17&lt;/ref-type&gt;&lt;contributors&gt;&lt;authors&gt;&lt;author&gt;Correa, R.&lt;/author&gt;&lt;author&gt;Navarro, I.&lt;/author&gt;&lt;author&gt;Lobato, M.&lt;/author&gt;&lt;author&gt;Otero, A.&lt;/author&gt;&lt;author&gt;Jerez, I.&lt;/author&gt;&lt;author&gt;Rico, J. M.&lt;/author&gt;&lt;author&gt;Zapata, I.&lt;/author&gt;&lt;author&gt;Lupianez, Y.&lt;/author&gt;&lt;author&gt;Medina, J. A.&lt;/author&gt;&lt;author&gt;Olmos, D.&lt;/author&gt;&lt;author&gt;Gomez-Millan, J.&lt;/author&gt;&lt;/authors&gt;&lt;/contributors&gt;&lt;titles&gt;&lt;title&gt;Influence of the technique and comorbidities in hypofractionated radiotherapy for prostate cancer&lt;/title&gt;&lt;secondary-title&gt;Clinical and Translational Oncology&lt;/secondary-title&gt;&lt;/titles&gt;&lt;pages&gt;311-318&lt;/pages&gt;&lt;volume&gt;22&lt;/volume&gt;&lt;number&gt;3&lt;/number&gt;&lt;dates&gt;&lt;year&gt;2020&lt;/year&gt;&lt;/dates&gt;&lt;accession-num&gt;2003637482&lt;/accession-num&gt;&lt;urls&gt;&lt;related-urls&gt;&lt;url&gt;http://www.springer.com/medicine/oncology/journal/12094http://ezproxy.library.usyd.edu.au/login?url=http://ovidsp.ovid.com/ovidweb.cgi?T=JS&amp;amp;CSC=Y&amp;amp;NEWS=N&amp;amp;PAGE=fulltext&amp;amp;D=emexb&amp;amp;AN=2003637482https://sydney.alma.exlibrisgroup.com/openurl/61USYD_INST/61USYD_IN&lt;/url&gt;&lt;url&gt;https://link.springer.com/content/pdf/10.1007/s12094-019-02224-6.pdf&lt;/url&gt;&lt;/related-urls&gt;&lt;/urls&gt;&lt;electronic-resource-num&gt;http://dx.doi.org/10.1007/s12094-019-02224-6&lt;/electronic-resource-num&gt;&lt;/record&gt;&lt;/Cite&gt;&lt;/EndNote&gt;</w:instrText>
              </w:r>
              <w:r w:rsidR="008B6FC0">
                <w:fldChar w:fldCharType="separate"/>
              </w:r>
              <w:r w:rsidR="008B6FC0">
                <w:rPr>
                  <w:noProof/>
                </w:rPr>
                <w:t>Correa et al. (2020)</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5570CEBC" w14:textId="094E2C51" w:rsidR="00BA3111" w:rsidRDefault="001B50BE" w:rsidP="009C1ABE">
            <w:pPr>
              <w:pStyle w:val="Tabletext1"/>
              <w:keepNext/>
              <w:keepLines/>
              <w:jc w:val="center"/>
            </w:pPr>
            <w:r>
              <w:t>GI</w:t>
            </w:r>
          </w:p>
        </w:tc>
        <w:tc>
          <w:tcPr>
            <w:tcW w:w="349" w:type="pct"/>
            <w:tcBorders>
              <w:top w:val="single" w:sz="4" w:space="0" w:color="auto"/>
              <w:left w:val="single" w:sz="4" w:space="0" w:color="auto"/>
              <w:bottom w:val="single" w:sz="4" w:space="0" w:color="auto"/>
              <w:right w:val="single" w:sz="4" w:space="0" w:color="auto"/>
            </w:tcBorders>
          </w:tcPr>
          <w:p w14:paraId="63B7F8C2" w14:textId="77777777" w:rsidR="00BA3111" w:rsidRDefault="00BA3111" w:rsidP="009C1ABE">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23CF0AFC" w14:textId="7B2329B4" w:rsidR="00BA3111" w:rsidRDefault="00C5250F" w:rsidP="009C1ABE">
            <w:pPr>
              <w:pStyle w:val="Tabletext1"/>
              <w:keepNext/>
              <w:keepLines/>
              <w:jc w:val="center"/>
            </w:pPr>
            <w:r>
              <w:t>86/</w:t>
            </w:r>
            <w:r w:rsidR="001B50BE">
              <w:t xml:space="preserve">451 </w:t>
            </w:r>
            <w:r w:rsidR="000D52C8">
              <w:t>(</w:t>
            </w:r>
            <w:r w:rsidR="001B50BE">
              <w:t>19%)</w:t>
            </w:r>
          </w:p>
        </w:tc>
        <w:tc>
          <w:tcPr>
            <w:tcW w:w="349" w:type="pct"/>
            <w:tcBorders>
              <w:top w:val="single" w:sz="4" w:space="0" w:color="auto"/>
              <w:left w:val="nil"/>
              <w:bottom w:val="single" w:sz="4" w:space="0" w:color="auto"/>
              <w:right w:val="single" w:sz="4" w:space="0" w:color="auto"/>
            </w:tcBorders>
          </w:tcPr>
          <w:p w14:paraId="58E53D96" w14:textId="77777777" w:rsidR="00BA3111" w:rsidRDefault="00BA3111"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D788DBD" w14:textId="77777777" w:rsidR="00BA3111" w:rsidRDefault="00BA3111"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44E27B3A" w14:textId="77777777" w:rsidR="00BA3111" w:rsidRDefault="00BA3111"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F9E4BBE" w14:textId="77777777" w:rsidR="00BA3111" w:rsidRDefault="00BA3111" w:rsidP="009C1ABE">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36CC928A" w14:textId="74A55F89" w:rsidR="00BA3111" w:rsidRDefault="006C0A2D" w:rsidP="009C1ABE">
            <w:pPr>
              <w:pStyle w:val="Tabletext1"/>
              <w:keepNext/>
              <w:keepLines/>
              <w:jc w:val="center"/>
            </w:pPr>
            <w:r>
              <w:t>12/451                                                                          (</w:t>
            </w:r>
            <w:r w:rsidR="006E14A1">
              <w:t>3</w:t>
            </w:r>
            <w:r>
              <w:t>%)</w:t>
            </w:r>
          </w:p>
        </w:tc>
        <w:tc>
          <w:tcPr>
            <w:tcW w:w="349" w:type="pct"/>
            <w:tcBorders>
              <w:top w:val="single" w:sz="4" w:space="0" w:color="auto"/>
              <w:left w:val="nil"/>
              <w:bottom w:val="single" w:sz="4" w:space="0" w:color="auto"/>
              <w:right w:val="nil"/>
            </w:tcBorders>
          </w:tcPr>
          <w:p w14:paraId="611E7BCB" w14:textId="77777777" w:rsidR="00BA3111" w:rsidRDefault="00BA3111" w:rsidP="009C1ABE">
            <w:pPr>
              <w:pStyle w:val="Tabletext1"/>
              <w:keepNext/>
              <w:keepLines/>
              <w:jc w:val="center"/>
            </w:pPr>
          </w:p>
        </w:tc>
        <w:tc>
          <w:tcPr>
            <w:tcW w:w="349" w:type="pct"/>
            <w:tcBorders>
              <w:top w:val="single" w:sz="4" w:space="0" w:color="auto"/>
              <w:left w:val="nil"/>
              <w:bottom w:val="single" w:sz="4" w:space="0" w:color="auto"/>
              <w:right w:val="nil"/>
            </w:tcBorders>
          </w:tcPr>
          <w:p w14:paraId="697FF568" w14:textId="77777777" w:rsidR="00BA3111" w:rsidRDefault="00BA3111" w:rsidP="009C1ABE">
            <w:pPr>
              <w:pStyle w:val="Tabletext1"/>
              <w:keepNext/>
              <w:keepLines/>
              <w:jc w:val="center"/>
            </w:pPr>
          </w:p>
        </w:tc>
        <w:tc>
          <w:tcPr>
            <w:tcW w:w="341" w:type="pct"/>
            <w:tcBorders>
              <w:top w:val="single" w:sz="4" w:space="0" w:color="auto"/>
              <w:left w:val="nil"/>
              <w:bottom w:val="single" w:sz="4" w:space="0" w:color="auto"/>
              <w:right w:val="single" w:sz="4" w:space="0" w:color="auto"/>
            </w:tcBorders>
          </w:tcPr>
          <w:p w14:paraId="6CF68EBD" w14:textId="77777777" w:rsidR="00BA3111" w:rsidRDefault="00BA3111" w:rsidP="009C1ABE">
            <w:pPr>
              <w:pStyle w:val="Tabletext1"/>
              <w:keepNext/>
              <w:keepLines/>
              <w:jc w:val="center"/>
            </w:pPr>
          </w:p>
        </w:tc>
      </w:tr>
      <w:tr w:rsidR="00D66037" w:rsidRPr="00B2301A" w14:paraId="22772A8F" w14:textId="77777777" w:rsidTr="00EC12FD">
        <w:tc>
          <w:tcPr>
            <w:tcW w:w="669" w:type="pct"/>
            <w:tcBorders>
              <w:top w:val="nil"/>
              <w:left w:val="single" w:sz="4" w:space="0" w:color="auto"/>
              <w:bottom w:val="single" w:sz="4" w:space="0" w:color="auto"/>
              <w:right w:val="single" w:sz="4" w:space="0" w:color="auto"/>
            </w:tcBorders>
            <w:shd w:val="clear" w:color="auto" w:fill="auto"/>
          </w:tcPr>
          <w:p w14:paraId="378FC4F1" w14:textId="77777777" w:rsidR="00D66037" w:rsidRDefault="00D66037" w:rsidP="009C1ABE">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218316C9" w14:textId="6770F8F7" w:rsidR="00D66037" w:rsidRDefault="00D66037" w:rsidP="009C1ABE">
            <w:pPr>
              <w:pStyle w:val="Tabletext1"/>
              <w:keepNext/>
              <w:keepLines/>
              <w:jc w:val="center"/>
            </w:pPr>
            <w:r>
              <w:t>GU</w:t>
            </w:r>
          </w:p>
        </w:tc>
        <w:tc>
          <w:tcPr>
            <w:tcW w:w="349" w:type="pct"/>
            <w:tcBorders>
              <w:top w:val="single" w:sz="4" w:space="0" w:color="auto"/>
              <w:left w:val="single" w:sz="4" w:space="0" w:color="auto"/>
              <w:bottom w:val="single" w:sz="4" w:space="0" w:color="auto"/>
              <w:right w:val="single" w:sz="4" w:space="0" w:color="auto"/>
            </w:tcBorders>
          </w:tcPr>
          <w:p w14:paraId="3D0DF091" w14:textId="77777777" w:rsidR="00D66037" w:rsidRDefault="00D66037"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5AD2B275" w14:textId="5C7FA19B" w:rsidR="00D66037" w:rsidRDefault="00936355" w:rsidP="009C1ABE">
            <w:pPr>
              <w:pStyle w:val="Tabletext1"/>
              <w:keepNext/>
              <w:keepLines/>
              <w:jc w:val="center"/>
            </w:pPr>
            <w:r>
              <w:t>46.1%</w:t>
            </w:r>
          </w:p>
        </w:tc>
        <w:tc>
          <w:tcPr>
            <w:tcW w:w="349" w:type="pct"/>
            <w:tcBorders>
              <w:top w:val="single" w:sz="4" w:space="0" w:color="auto"/>
              <w:left w:val="single" w:sz="4" w:space="0" w:color="auto"/>
              <w:bottom w:val="single" w:sz="4" w:space="0" w:color="auto"/>
              <w:right w:val="single" w:sz="4" w:space="0" w:color="auto"/>
            </w:tcBorders>
          </w:tcPr>
          <w:p w14:paraId="60150CCA" w14:textId="2E172D69" w:rsidR="00D66037" w:rsidRDefault="00936355" w:rsidP="009C1ABE">
            <w:pPr>
              <w:pStyle w:val="Tabletext1"/>
              <w:keepNext/>
              <w:keepLines/>
              <w:jc w:val="center"/>
            </w:pPr>
            <w:r>
              <w:t>25.9%</w:t>
            </w:r>
          </w:p>
        </w:tc>
        <w:tc>
          <w:tcPr>
            <w:tcW w:w="349" w:type="pct"/>
            <w:tcBorders>
              <w:top w:val="single" w:sz="4" w:space="0" w:color="auto"/>
              <w:left w:val="single" w:sz="4" w:space="0" w:color="auto"/>
              <w:bottom w:val="single" w:sz="4" w:space="0" w:color="auto"/>
              <w:right w:val="single" w:sz="4" w:space="0" w:color="auto"/>
            </w:tcBorders>
          </w:tcPr>
          <w:p w14:paraId="22989CDE" w14:textId="1AF77E52" w:rsidR="00D66037" w:rsidRDefault="00936355" w:rsidP="009C1ABE">
            <w:pPr>
              <w:pStyle w:val="Tabletext1"/>
              <w:keepNext/>
              <w:keepLines/>
              <w:jc w:val="center"/>
            </w:pPr>
            <w:r>
              <w:t>0.7%</w:t>
            </w:r>
          </w:p>
        </w:tc>
        <w:tc>
          <w:tcPr>
            <w:tcW w:w="349" w:type="pct"/>
            <w:tcBorders>
              <w:top w:val="single" w:sz="4" w:space="0" w:color="auto"/>
              <w:left w:val="single" w:sz="4" w:space="0" w:color="auto"/>
              <w:bottom w:val="single" w:sz="4" w:space="0" w:color="auto"/>
              <w:right w:val="single" w:sz="4" w:space="0" w:color="auto"/>
            </w:tcBorders>
          </w:tcPr>
          <w:p w14:paraId="53C6B150" w14:textId="77777777" w:rsidR="00D66037" w:rsidRDefault="00D66037"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088D1A8A" w14:textId="77777777" w:rsidR="00D66037" w:rsidRDefault="00D66037" w:rsidP="009C1ABE">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283FD6C2" w14:textId="41ACB100" w:rsidR="00D66037" w:rsidRDefault="008D1AFE" w:rsidP="009C1ABE">
            <w:pPr>
              <w:pStyle w:val="Tabletext1"/>
              <w:keepNext/>
              <w:keepLines/>
              <w:jc w:val="center"/>
            </w:pPr>
            <w:r>
              <w:t>91/451 (20%)</w:t>
            </w:r>
          </w:p>
        </w:tc>
        <w:tc>
          <w:tcPr>
            <w:tcW w:w="349" w:type="pct"/>
            <w:tcBorders>
              <w:top w:val="single" w:sz="4" w:space="0" w:color="auto"/>
              <w:left w:val="nil"/>
              <w:bottom w:val="single" w:sz="4" w:space="0" w:color="auto"/>
              <w:right w:val="single" w:sz="4" w:space="0" w:color="auto"/>
            </w:tcBorders>
          </w:tcPr>
          <w:p w14:paraId="341E93EA" w14:textId="77777777" w:rsidR="00D66037" w:rsidRDefault="00D66037"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41D3DC5" w14:textId="77777777" w:rsidR="00D66037" w:rsidRDefault="00D66037" w:rsidP="009C1ABE">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40D7662A" w14:textId="77777777" w:rsidR="00D66037" w:rsidRDefault="00D66037" w:rsidP="009C1ABE">
            <w:pPr>
              <w:pStyle w:val="Tabletext1"/>
              <w:keepNext/>
              <w:keepLines/>
              <w:jc w:val="center"/>
            </w:pPr>
          </w:p>
        </w:tc>
      </w:tr>
      <w:tr w:rsidR="0008788D" w:rsidRPr="00B2301A" w14:paraId="3B7213EC" w14:textId="77777777" w:rsidTr="0008788D">
        <w:tc>
          <w:tcPr>
            <w:tcW w:w="669" w:type="pct"/>
            <w:tcBorders>
              <w:top w:val="single" w:sz="4" w:space="0" w:color="auto"/>
              <w:left w:val="single" w:sz="4" w:space="0" w:color="auto"/>
              <w:bottom w:val="nil"/>
              <w:right w:val="single" w:sz="4" w:space="0" w:color="auto"/>
            </w:tcBorders>
            <w:shd w:val="clear" w:color="auto" w:fill="auto"/>
          </w:tcPr>
          <w:p w14:paraId="770619B7" w14:textId="6A2531BF" w:rsidR="0008788D" w:rsidRDefault="00211285" w:rsidP="009C1ABE">
            <w:pPr>
              <w:pStyle w:val="Tabletext1"/>
            </w:pPr>
            <w:hyperlink w:anchor="_ENREF_24" w:tooltip="Duffton, 2018 #40" w:history="1">
              <w:r w:rsidR="008B6FC0">
                <w:fldChar w:fldCharType="begin"/>
              </w:r>
              <w:r w:rsidR="008B6FC0">
                <w:instrText xml:space="preserve"> ADDIN EN.CITE &lt;EndNote&gt;&lt;Cite AuthorYear="1"&gt;&lt;Author&gt;Duffton&lt;/Author&gt;&lt;Year&gt;2018&lt;/Year&gt;&lt;RecNum&gt;40&lt;/RecNum&gt;&lt;DisplayText&gt;Duffton et al. (2018)&lt;/DisplayText&gt;&lt;record&gt;&lt;rec-number&gt;40&lt;/rec-number&gt;&lt;foreign-keys&gt;&lt;key app="EN" db-id="sx5wsdwv795wvue959xxw0ptaewvdezxxp05" timestamp="1604876376"&gt;40&lt;/key&gt;&lt;/foreign-keys&gt;&lt;ref-type name="Journal Article"&gt;17&lt;/ref-type&gt;&lt;contributors&gt;&lt;authors&gt;&lt;author&gt;Duffton, A.&lt;/author&gt;&lt;author&gt;Sadozye, A.&lt;/author&gt;&lt;author&gt;Devlin, L.&lt;/author&gt;&lt;author&gt;MacLeod, N.&lt;/author&gt;&lt;author&gt;Lamb, C.&lt;/author&gt;&lt;author&gt;Currie, S.&lt;/author&gt;&lt;author&gt;McLoone, P.&lt;/author&gt;&lt;author&gt;Sankaralingam, M.&lt;/author&gt;&lt;author&gt;Foster, J.&lt;/author&gt;&lt;author&gt;Paterson, S.&lt;/author&gt;&lt;author&gt;Keatings, S.&lt;/author&gt;&lt;author&gt;Dodds, D.&lt;/author&gt;&lt;/authors&gt;&lt;/contributors&gt;&lt;titles&gt;&lt;title&gt;Safety and feasibility of prostate stereotactic ablative radiotherapy using multimodality imaging and flattening filter free&lt;/title&gt;&lt;secondary-title&gt;Br J Radiol&lt;/secondary-title&gt;&lt;/titles&gt;&lt;pages&gt;20170625&lt;/pages&gt;&lt;volume&gt;91&lt;/volume&gt;&lt;number&gt;1084&lt;/number&gt;&lt;dates&gt;&lt;year&gt;2018&lt;/year&gt;&lt;/dates&gt;&lt;accession-num&gt;29338305&lt;/accession-num&gt;&lt;urls&gt;&lt;related-urls&gt;&lt;url&gt;http://ezproxy.library.usyd.edu.au/login?url=http://ovidsp.ovid.com/ovidweb.cgi?T=JS&amp;amp;CSC=Y&amp;amp;NEWS=N&amp;amp;PAGE=fulltext&amp;amp;D=med15&amp;amp;AN=29338305https://sydney.alma.exlibrisgroup.com/openurl/61USYD_INST/61USYD_INST:sydney?sid=OVID:medline&amp;amp;id=pmid:29338305&amp;amp;id=doi:10.125&lt;/url&gt;&lt;url&gt;https://www.ncbi.nlm.nih.gov/pmc/articles/PMC5966012/pdf/bjr.20170625.pdf&lt;/url&gt;&lt;/related-urls&gt;&lt;/urls&gt;&lt;electronic-resource-num&gt;https://dx.doi.org/10.1259/bjr.20170625&lt;/electronic-resource-num&gt;&lt;/record&gt;&lt;/Cite&gt;&lt;/EndNote&gt;</w:instrText>
              </w:r>
              <w:r w:rsidR="008B6FC0">
                <w:fldChar w:fldCharType="separate"/>
              </w:r>
              <w:r w:rsidR="008B6FC0">
                <w:rPr>
                  <w:noProof/>
                </w:rPr>
                <w:t>Duffton et al. (2018)</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40156CEE" w14:textId="788EFF44" w:rsidR="0008788D" w:rsidRPr="008A10FF" w:rsidRDefault="0008788D" w:rsidP="009C1ABE">
            <w:pPr>
              <w:pStyle w:val="Tabletext1"/>
              <w:jc w:val="center"/>
            </w:pPr>
            <w:r>
              <w:t>GI baseline</w:t>
            </w:r>
          </w:p>
        </w:tc>
        <w:tc>
          <w:tcPr>
            <w:tcW w:w="349" w:type="pct"/>
            <w:tcBorders>
              <w:top w:val="single" w:sz="4" w:space="0" w:color="auto"/>
              <w:left w:val="single" w:sz="4" w:space="0" w:color="auto"/>
              <w:bottom w:val="single" w:sz="4" w:space="0" w:color="auto"/>
              <w:right w:val="single" w:sz="4" w:space="0" w:color="auto"/>
            </w:tcBorders>
          </w:tcPr>
          <w:p w14:paraId="1100AC39" w14:textId="77777777" w:rsidR="0008788D" w:rsidRDefault="0008788D" w:rsidP="009C1ABE">
            <w:pPr>
              <w:pStyle w:val="Tabletext1"/>
              <w:jc w:val="center"/>
            </w:pPr>
          </w:p>
        </w:tc>
        <w:tc>
          <w:tcPr>
            <w:tcW w:w="350" w:type="pct"/>
            <w:tcBorders>
              <w:top w:val="single" w:sz="4" w:space="0" w:color="auto"/>
              <w:left w:val="single" w:sz="4" w:space="0" w:color="auto"/>
              <w:bottom w:val="single" w:sz="4" w:space="0" w:color="auto"/>
              <w:right w:val="nil"/>
            </w:tcBorders>
          </w:tcPr>
          <w:p w14:paraId="61DBBE4D" w14:textId="123647A2" w:rsidR="0008788D" w:rsidRDefault="0008788D" w:rsidP="009C1ABE">
            <w:pPr>
              <w:pStyle w:val="Tabletext1"/>
              <w:jc w:val="center"/>
            </w:pPr>
            <w:r>
              <w:t>2/41 (5%)</w:t>
            </w:r>
          </w:p>
        </w:tc>
        <w:tc>
          <w:tcPr>
            <w:tcW w:w="349" w:type="pct"/>
            <w:tcBorders>
              <w:top w:val="single" w:sz="4" w:space="0" w:color="auto"/>
              <w:left w:val="nil"/>
              <w:bottom w:val="single" w:sz="4" w:space="0" w:color="auto"/>
              <w:right w:val="single" w:sz="4" w:space="0" w:color="auto"/>
            </w:tcBorders>
          </w:tcPr>
          <w:p w14:paraId="462087A2" w14:textId="77777777" w:rsidR="0008788D" w:rsidRDefault="0008788D"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9002EC3" w14:textId="77777777" w:rsidR="0008788D" w:rsidRDefault="0008788D"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70ED1AC" w14:textId="77777777" w:rsidR="0008788D" w:rsidRDefault="0008788D"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E8E7D5E" w14:textId="77777777" w:rsidR="0008788D" w:rsidRDefault="0008788D"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B6C365F" w14:textId="77777777" w:rsidR="0008788D" w:rsidRDefault="0008788D"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16EAF54" w14:textId="77777777" w:rsidR="0008788D" w:rsidRDefault="0008788D"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E491B08" w14:textId="77777777" w:rsidR="0008788D" w:rsidRDefault="0008788D" w:rsidP="009C1ABE">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059EE2DE" w14:textId="77777777" w:rsidR="0008788D" w:rsidRDefault="0008788D" w:rsidP="009C1ABE">
            <w:pPr>
              <w:pStyle w:val="Tabletext1"/>
              <w:jc w:val="center"/>
            </w:pPr>
          </w:p>
        </w:tc>
      </w:tr>
      <w:tr w:rsidR="008A7DAC" w:rsidRPr="00B2301A" w14:paraId="5DBCEE68" w14:textId="77777777" w:rsidTr="0008788D">
        <w:tc>
          <w:tcPr>
            <w:tcW w:w="669" w:type="pct"/>
            <w:tcBorders>
              <w:top w:val="nil"/>
              <w:left w:val="single" w:sz="4" w:space="0" w:color="auto"/>
              <w:bottom w:val="nil"/>
              <w:right w:val="single" w:sz="4" w:space="0" w:color="auto"/>
            </w:tcBorders>
            <w:shd w:val="clear" w:color="auto" w:fill="auto"/>
          </w:tcPr>
          <w:p w14:paraId="7FC677E7" w14:textId="7254290B" w:rsidR="003C414F" w:rsidRDefault="003C414F" w:rsidP="00096131">
            <w:pPr>
              <w:pStyle w:val="Tabletext1"/>
              <w:rPr>
                <w:snapToGrid w:val="0"/>
              </w:rPr>
            </w:pPr>
          </w:p>
        </w:tc>
        <w:tc>
          <w:tcPr>
            <w:tcW w:w="847" w:type="pct"/>
            <w:tcBorders>
              <w:top w:val="single" w:sz="4" w:space="0" w:color="auto"/>
              <w:left w:val="single" w:sz="4" w:space="0" w:color="auto"/>
              <w:bottom w:val="single" w:sz="4" w:space="0" w:color="auto"/>
              <w:right w:val="single" w:sz="4" w:space="0" w:color="auto"/>
            </w:tcBorders>
          </w:tcPr>
          <w:p w14:paraId="6A73C809" w14:textId="2C5F77F7" w:rsidR="003C414F" w:rsidRDefault="008A10FF" w:rsidP="00096131">
            <w:pPr>
              <w:pStyle w:val="Tabletext1"/>
              <w:jc w:val="center"/>
            </w:pPr>
            <w:r w:rsidRPr="008A10FF">
              <w:t>GI</w:t>
            </w:r>
          </w:p>
        </w:tc>
        <w:tc>
          <w:tcPr>
            <w:tcW w:w="349" w:type="pct"/>
            <w:tcBorders>
              <w:top w:val="single" w:sz="4" w:space="0" w:color="auto"/>
              <w:left w:val="single" w:sz="4" w:space="0" w:color="auto"/>
              <w:bottom w:val="single" w:sz="4" w:space="0" w:color="auto"/>
              <w:right w:val="single" w:sz="4" w:space="0" w:color="auto"/>
            </w:tcBorders>
          </w:tcPr>
          <w:p w14:paraId="45D9B889" w14:textId="77777777" w:rsidR="003C414F" w:rsidRDefault="003C414F"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1064A740" w14:textId="6243F004" w:rsidR="003C414F" w:rsidRPr="008A10FF" w:rsidRDefault="0008788D" w:rsidP="00096131">
            <w:pPr>
              <w:pStyle w:val="Tabletext1"/>
              <w:jc w:val="center"/>
            </w:pPr>
            <w:r>
              <w:t xml:space="preserve">Grade 1-2: </w:t>
            </w:r>
            <w:r w:rsidR="008A10FF" w:rsidRPr="008A10FF">
              <w:t>31/41</w:t>
            </w:r>
            <w:r>
              <w:t xml:space="preserve"> (76%)</w:t>
            </w:r>
          </w:p>
        </w:tc>
        <w:tc>
          <w:tcPr>
            <w:tcW w:w="349" w:type="pct"/>
            <w:tcBorders>
              <w:top w:val="single" w:sz="4" w:space="0" w:color="auto"/>
              <w:left w:val="nil"/>
              <w:bottom w:val="single" w:sz="4" w:space="0" w:color="auto"/>
              <w:right w:val="single" w:sz="4" w:space="0" w:color="auto"/>
            </w:tcBorders>
          </w:tcPr>
          <w:p w14:paraId="6302C0D2" w14:textId="4ECAB7F3" w:rsidR="003C414F" w:rsidRPr="008A10FF" w:rsidRDefault="0008788D" w:rsidP="00096131">
            <w:pPr>
              <w:pStyle w:val="Tabletext1"/>
              <w:jc w:val="center"/>
            </w:pPr>
            <w:r>
              <w:t>3/41 (7%)</w:t>
            </w:r>
          </w:p>
        </w:tc>
        <w:tc>
          <w:tcPr>
            <w:tcW w:w="349" w:type="pct"/>
            <w:tcBorders>
              <w:top w:val="single" w:sz="4" w:space="0" w:color="auto"/>
              <w:left w:val="single" w:sz="4" w:space="0" w:color="auto"/>
              <w:bottom w:val="single" w:sz="4" w:space="0" w:color="auto"/>
              <w:right w:val="single" w:sz="4" w:space="0" w:color="auto"/>
            </w:tcBorders>
          </w:tcPr>
          <w:p w14:paraId="343D5FD1" w14:textId="3EB0DFDC" w:rsidR="003C414F" w:rsidRDefault="0008788D" w:rsidP="00096131">
            <w:pPr>
              <w:pStyle w:val="Tabletext1"/>
              <w:jc w:val="center"/>
            </w:pPr>
            <w:r>
              <w:t>0/41 (0%)</w:t>
            </w:r>
          </w:p>
        </w:tc>
        <w:tc>
          <w:tcPr>
            <w:tcW w:w="349" w:type="pct"/>
            <w:tcBorders>
              <w:top w:val="single" w:sz="4" w:space="0" w:color="auto"/>
              <w:left w:val="single" w:sz="4" w:space="0" w:color="auto"/>
              <w:bottom w:val="single" w:sz="4" w:space="0" w:color="auto"/>
              <w:right w:val="single" w:sz="4" w:space="0" w:color="auto"/>
            </w:tcBorders>
          </w:tcPr>
          <w:p w14:paraId="0E7DD56D" w14:textId="24DFAEB0"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70859EF" w14:textId="224364C6" w:rsidR="003C414F" w:rsidRDefault="003C414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E541974" w14:textId="69C649C1"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BF2D585" w14:textId="7446771A" w:rsidR="003C414F" w:rsidRDefault="003C414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42F5CD6" w14:textId="77777777" w:rsidR="003C414F" w:rsidRDefault="003C414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27E0B90A" w14:textId="77777777" w:rsidR="003C414F" w:rsidRDefault="003C414F" w:rsidP="00096131">
            <w:pPr>
              <w:pStyle w:val="Tabletext1"/>
              <w:jc w:val="center"/>
            </w:pPr>
          </w:p>
        </w:tc>
      </w:tr>
      <w:tr w:rsidR="0008788D" w:rsidRPr="00B2301A" w14:paraId="76A6ED75" w14:textId="77777777" w:rsidTr="0008788D">
        <w:tc>
          <w:tcPr>
            <w:tcW w:w="669" w:type="pct"/>
            <w:tcBorders>
              <w:top w:val="nil"/>
              <w:left w:val="single" w:sz="4" w:space="0" w:color="auto"/>
              <w:bottom w:val="nil"/>
              <w:right w:val="single" w:sz="4" w:space="0" w:color="auto"/>
            </w:tcBorders>
            <w:shd w:val="clear" w:color="auto" w:fill="auto"/>
            <w:vAlign w:val="bottom"/>
          </w:tcPr>
          <w:p w14:paraId="045656FA" w14:textId="77777777" w:rsidR="0008788D" w:rsidRDefault="0008788D"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F535BEE" w14:textId="0DF03F8C" w:rsidR="0008788D" w:rsidRPr="008A10FF" w:rsidRDefault="0008788D" w:rsidP="00096131">
            <w:pPr>
              <w:pStyle w:val="Tabletext1"/>
              <w:jc w:val="center"/>
            </w:pPr>
            <w:r>
              <w:t>GU baseline</w:t>
            </w:r>
          </w:p>
        </w:tc>
        <w:tc>
          <w:tcPr>
            <w:tcW w:w="349" w:type="pct"/>
            <w:tcBorders>
              <w:top w:val="single" w:sz="4" w:space="0" w:color="auto"/>
              <w:left w:val="single" w:sz="4" w:space="0" w:color="auto"/>
              <w:bottom w:val="single" w:sz="4" w:space="0" w:color="auto"/>
              <w:right w:val="single" w:sz="4" w:space="0" w:color="auto"/>
            </w:tcBorders>
          </w:tcPr>
          <w:p w14:paraId="3BFAB29F" w14:textId="77777777" w:rsidR="0008788D" w:rsidRDefault="0008788D"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BA34CAA" w14:textId="7F92A7C7" w:rsidR="0008788D" w:rsidRDefault="0008788D" w:rsidP="00096131">
            <w:pPr>
              <w:pStyle w:val="Tabletext1"/>
              <w:jc w:val="center"/>
            </w:pPr>
            <w:r>
              <w:t>22/41 (</w:t>
            </w:r>
            <w:r w:rsidR="006E14A1">
              <w:t>54</w:t>
            </w:r>
            <w:r>
              <w:t>%)</w:t>
            </w:r>
          </w:p>
        </w:tc>
        <w:tc>
          <w:tcPr>
            <w:tcW w:w="349" w:type="pct"/>
            <w:tcBorders>
              <w:top w:val="single" w:sz="4" w:space="0" w:color="auto"/>
              <w:left w:val="single" w:sz="4" w:space="0" w:color="auto"/>
              <w:bottom w:val="single" w:sz="4" w:space="0" w:color="auto"/>
              <w:right w:val="single" w:sz="4" w:space="0" w:color="auto"/>
            </w:tcBorders>
          </w:tcPr>
          <w:p w14:paraId="62C0D37F" w14:textId="77777777" w:rsidR="0008788D" w:rsidRDefault="0008788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A7EA2C1" w14:textId="77777777" w:rsidR="0008788D" w:rsidRDefault="0008788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7368402" w14:textId="77777777" w:rsidR="0008788D" w:rsidRDefault="0008788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172F58D" w14:textId="77777777" w:rsidR="0008788D" w:rsidRDefault="0008788D"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242FE3C" w14:textId="77777777" w:rsidR="0008788D" w:rsidRDefault="0008788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F201FBC" w14:textId="77777777" w:rsidR="0008788D" w:rsidRDefault="0008788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E6E4444" w14:textId="77777777" w:rsidR="0008788D" w:rsidRDefault="0008788D"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573DBDCB" w14:textId="77777777" w:rsidR="0008788D" w:rsidRDefault="0008788D" w:rsidP="00096131">
            <w:pPr>
              <w:pStyle w:val="Tabletext1"/>
              <w:jc w:val="center"/>
            </w:pPr>
          </w:p>
        </w:tc>
      </w:tr>
      <w:tr w:rsidR="005B65E5" w:rsidRPr="00B2301A" w14:paraId="3FE9785D" w14:textId="77777777" w:rsidTr="0008788D">
        <w:tc>
          <w:tcPr>
            <w:tcW w:w="669" w:type="pct"/>
            <w:tcBorders>
              <w:top w:val="nil"/>
              <w:left w:val="single" w:sz="4" w:space="0" w:color="auto"/>
              <w:bottom w:val="single" w:sz="4" w:space="0" w:color="auto"/>
              <w:right w:val="single" w:sz="4" w:space="0" w:color="auto"/>
            </w:tcBorders>
            <w:shd w:val="clear" w:color="auto" w:fill="auto"/>
            <w:vAlign w:val="bottom"/>
          </w:tcPr>
          <w:p w14:paraId="000A0C94" w14:textId="77777777" w:rsidR="008A10FF" w:rsidRDefault="008A10FF"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C91335A" w14:textId="2068C6D4" w:rsidR="008A10FF" w:rsidRPr="008A10FF" w:rsidRDefault="008A10FF" w:rsidP="00096131">
            <w:pPr>
              <w:pStyle w:val="Tabletext1"/>
              <w:jc w:val="center"/>
            </w:pPr>
            <w:r w:rsidRPr="008A10FF">
              <w:t>GU</w:t>
            </w:r>
          </w:p>
        </w:tc>
        <w:tc>
          <w:tcPr>
            <w:tcW w:w="349" w:type="pct"/>
            <w:tcBorders>
              <w:top w:val="single" w:sz="4" w:space="0" w:color="auto"/>
              <w:left w:val="single" w:sz="4" w:space="0" w:color="auto"/>
              <w:bottom w:val="single" w:sz="4" w:space="0" w:color="auto"/>
              <w:right w:val="single" w:sz="4" w:space="0" w:color="auto"/>
            </w:tcBorders>
          </w:tcPr>
          <w:p w14:paraId="096BD645" w14:textId="77777777" w:rsidR="008A10FF" w:rsidRDefault="008A10F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907DCA0" w14:textId="3758BBB3" w:rsidR="008A10FF" w:rsidRPr="008A10FF" w:rsidRDefault="0008788D" w:rsidP="00096131">
            <w:pPr>
              <w:pStyle w:val="Tabletext1"/>
              <w:jc w:val="center"/>
            </w:pPr>
            <w:r>
              <w:t>Grade ≥1: 41</w:t>
            </w:r>
            <w:r w:rsidR="008A10FF" w:rsidRPr="008A10FF">
              <w:t>/41</w:t>
            </w:r>
            <w:r>
              <w:t xml:space="preserve"> (100%)</w:t>
            </w:r>
          </w:p>
        </w:tc>
        <w:tc>
          <w:tcPr>
            <w:tcW w:w="349" w:type="pct"/>
            <w:tcBorders>
              <w:top w:val="single" w:sz="4" w:space="0" w:color="auto"/>
              <w:left w:val="single" w:sz="4" w:space="0" w:color="auto"/>
              <w:bottom w:val="single" w:sz="4" w:space="0" w:color="auto"/>
              <w:right w:val="single" w:sz="4" w:space="0" w:color="auto"/>
            </w:tcBorders>
          </w:tcPr>
          <w:p w14:paraId="0DA7AB83" w14:textId="5B2AFB66" w:rsidR="008A10FF" w:rsidRDefault="0008788D" w:rsidP="00096131">
            <w:pPr>
              <w:pStyle w:val="Tabletext1"/>
              <w:jc w:val="center"/>
            </w:pPr>
            <w:r>
              <w:t>Grade ≥2: 14/41 (34%)</w:t>
            </w:r>
          </w:p>
        </w:tc>
        <w:tc>
          <w:tcPr>
            <w:tcW w:w="349" w:type="pct"/>
            <w:tcBorders>
              <w:top w:val="single" w:sz="4" w:space="0" w:color="auto"/>
              <w:left w:val="single" w:sz="4" w:space="0" w:color="auto"/>
              <w:bottom w:val="single" w:sz="4" w:space="0" w:color="auto"/>
              <w:right w:val="single" w:sz="4" w:space="0" w:color="auto"/>
            </w:tcBorders>
          </w:tcPr>
          <w:p w14:paraId="746B7BB5" w14:textId="3A44848A" w:rsidR="008A10FF" w:rsidRDefault="0008788D" w:rsidP="00096131">
            <w:pPr>
              <w:pStyle w:val="Tabletext1"/>
              <w:jc w:val="center"/>
            </w:pPr>
            <w:r>
              <w:t>2/41 (</w:t>
            </w:r>
            <w:r w:rsidR="006E14A1">
              <w:t>5</w:t>
            </w:r>
            <w:r>
              <w:t>%)</w:t>
            </w:r>
          </w:p>
        </w:tc>
        <w:tc>
          <w:tcPr>
            <w:tcW w:w="349" w:type="pct"/>
            <w:tcBorders>
              <w:top w:val="single" w:sz="4" w:space="0" w:color="auto"/>
              <w:left w:val="single" w:sz="4" w:space="0" w:color="auto"/>
              <w:bottom w:val="single" w:sz="4" w:space="0" w:color="auto"/>
              <w:right w:val="single" w:sz="4" w:space="0" w:color="auto"/>
            </w:tcBorders>
          </w:tcPr>
          <w:p w14:paraId="5A75B4A8" w14:textId="77777777"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0A06C11" w14:textId="77777777" w:rsidR="008A10FF" w:rsidRDefault="008A10F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55EBC9D" w14:textId="77777777"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E76B75E" w14:textId="77777777"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B654CF2" w14:textId="77777777" w:rsidR="008A10FF" w:rsidRDefault="008A10FF"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18459172" w14:textId="77777777" w:rsidR="008A10FF" w:rsidRDefault="008A10FF" w:rsidP="00096131">
            <w:pPr>
              <w:pStyle w:val="Tabletext1"/>
              <w:jc w:val="center"/>
            </w:pPr>
          </w:p>
        </w:tc>
      </w:tr>
      <w:tr w:rsidR="008A7DAC" w:rsidRPr="00B2301A" w14:paraId="7B469E2D" w14:textId="77777777" w:rsidTr="00B16BFE">
        <w:tc>
          <w:tcPr>
            <w:tcW w:w="669" w:type="pct"/>
            <w:tcBorders>
              <w:top w:val="single" w:sz="4" w:space="0" w:color="auto"/>
              <w:left w:val="single" w:sz="4" w:space="0" w:color="auto"/>
              <w:bottom w:val="nil"/>
              <w:right w:val="single" w:sz="4" w:space="0" w:color="auto"/>
            </w:tcBorders>
            <w:shd w:val="clear" w:color="auto" w:fill="auto"/>
          </w:tcPr>
          <w:p w14:paraId="4F7493A1" w14:textId="2FF26925" w:rsidR="008A10FF" w:rsidRDefault="00211285" w:rsidP="00096131">
            <w:pPr>
              <w:pStyle w:val="Tabletext1"/>
            </w:pPr>
            <w:hyperlink w:anchor="_ENREF_25" w:tooltip="Eldredge, 2011 #41" w:history="1">
              <w:r w:rsidR="008B6FC0">
                <w:fldChar w:fldCharType="begin"/>
              </w:r>
              <w:r w:rsidR="008B6FC0">
                <w:instrText xml:space="preserve"> ADDIN EN.CITE &lt;EndNote&gt;&lt;Cite AuthorYear="1"&gt;&lt;Author&gt;Eldredge&lt;/Author&gt;&lt;Year&gt;2011&lt;/Year&gt;&lt;RecNum&gt;41&lt;/RecNum&gt;&lt;DisplayText&gt;Eldredge et al. (2011)&lt;/DisplayText&gt;&lt;record&gt;&lt;rec-number&gt;41&lt;/rec-number&gt;&lt;foreign-keys&gt;&lt;key app="EN" db-id="sx5wsdwv795wvue959xxw0ptaewvdezxxp05" timestamp="1604876376"&gt;41&lt;/key&gt;&lt;/foreign-keys&gt;&lt;ref-type name="Journal Article"&gt;17&lt;/ref-type&gt;&lt;contributors&gt;&lt;authors&gt;&lt;author&gt;Eldredge, H. B.&lt;/author&gt;&lt;author&gt;Studenski, M.&lt;/author&gt;&lt;author&gt;Keith, S. W.&lt;/author&gt;&lt;author&gt;Trabulsi, E.&lt;/author&gt;&lt;author&gt;Lallas, C. D.&lt;/author&gt;&lt;author&gt;Gomella, L. G.&lt;/author&gt;&lt;author&gt;Dicker, A. P.&lt;/author&gt;&lt;author&gt;Showalter, T. N.&lt;/author&gt;&lt;/authors&gt;&lt;/contributors&gt;&lt;titles&gt;&lt;title&gt;Post-prostatectomy image-guided radiation therapy: evaluation of toxicity and inter-fraction variation using online cone-beam CT&lt;/title&gt;&lt;secondary-title&gt;J Med Imaging Radiat Oncol&lt;/secondary-title&gt;&lt;/titles&gt;&lt;pages&gt;507-15&lt;/pages&gt;&lt;volume&gt;55&lt;/volume&gt;&lt;number&gt;5&lt;/number&gt;&lt;dates&gt;&lt;year&gt;2011&lt;/year&gt;&lt;/dates&gt;&lt;accession-num&gt;22008172&lt;/accession-num&gt;&lt;urls&gt;&lt;related-urls&gt;&lt;url&gt;http://ezproxy.library.usyd.edu.au/login?url=http://ovidsp.ovid.com/ovidweb.cgi?T=JS&amp;amp;CSC=Y&amp;amp;NEWS=N&amp;amp;PAGE=fulltext&amp;amp;D=med8&amp;amp;AN=22008172https://sydney.alma.exlibrisgroup.com/openurl/61USYD_INST/61USYD_INST:sydney?sid=OVID:medline&amp;amp;id=pmid:22008172&amp;amp;id=doi:10.1111&lt;/url&gt;&lt;url&gt;https://onlinelibrary.wiley.com/doi/pdfdirect/10.1111/j.1754-9485.2011.02305.x?download=true&lt;/url&gt;&lt;/related-urls&gt;&lt;/urls&gt;&lt;electronic-resource-num&gt;https://dx.doi.org/10.1111/j.1754-9485.2011.02305.x&lt;/electronic-resource-num&gt;&lt;/record&gt;&lt;/Cite&gt;&lt;/EndNote&gt;</w:instrText>
              </w:r>
              <w:r w:rsidR="008B6FC0">
                <w:fldChar w:fldCharType="separate"/>
              </w:r>
              <w:r w:rsidR="008B6FC0">
                <w:rPr>
                  <w:noProof/>
                </w:rPr>
                <w:t>Eldredge et al. (2011)</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46506C1E" w14:textId="1C407893" w:rsidR="008A10FF" w:rsidRPr="008A7DAC" w:rsidRDefault="008A10FF" w:rsidP="00096131">
            <w:pPr>
              <w:pStyle w:val="Tabletext1"/>
              <w:jc w:val="center"/>
            </w:pPr>
            <w:r w:rsidRPr="008A7DAC">
              <w:t>GI</w:t>
            </w:r>
          </w:p>
        </w:tc>
        <w:tc>
          <w:tcPr>
            <w:tcW w:w="349" w:type="pct"/>
            <w:tcBorders>
              <w:top w:val="single" w:sz="4" w:space="0" w:color="auto"/>
              <w:left w:val="single" w:sz="4" w:space="0" w:color="auto"/>
              <w:bottom w:val="single" w:sz="4" w:space="0" w:color="auto"/>
              <w:right w:val="single" w:sz="4" w:space="0" w:color="auto"/>
            </w:tcBorders>
          </w:tcPr>
          <w:p w14:paraId="16509291" w14:textId="77777777" w:rsidR="008A10FF" w:rsidRDefault="008A10F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C138C16" w14:textId="267EA5B8" w:rsidR="008A10FF" w:rsidRDefault="008A10FF" w:rsidP="00096131">
            <w:pPr>
              <w:pStyle w:val="Tabletext1"/>
              <w:jc w:val="center"/>
              <w:rPr>
                <w:rFonts w:ascii="Calibri" w:hAnsi="Calibri" w:cs="Calibri"/>
                <w:color w:val="000000"/>
                <w:sz w:val="22"/>
                <w:szCs w:val="22"/>
              </w:rPr>
            </w:pPr>
          </w:p>
        </w:tc>
        <w:tc>
          <w:tcPr>
            <w:tcW w:w="349" w:type="pct"/>
            <w:tcBorders>
              <w:top w:val="single" w:sz="4" w:space="0" w:color="auto"/>
              <w:left w:val="single" w:sz="4" w:space="0" w:color="auto"/>
              <w:bottom w:val="single" w:sz="4" w:space="0" w:color="auto"/>
              <w:right w:val="single" w:sz="4" w:space="0" w:color="auto"/>
            </w:tcBorders>
          </w:tcPr>
          <w:p w14:paraId="04F1DF71" w14:textId="3BB522D1" w:rsidR="008A10FF" w:rsidRDefault="008A10FF" w:rsidP="00096131">
            <w:pPr>
              <w:pStyle w:val="Tabletext1"/>
              <w:jc w:val="center"/>
            </w:pPr>
            <w:r w:rsidRPr="008A10FF">
              <w:t>9/68</w:t>
            </w:r>
            <w:r w:rsidR="00135FAE">
              <w:t xml:space="preserve"> (13%)</w:t>
            </w:r>
          </w:p>
        </w:tc>
        <w:tc>
          <w:tcPr>
            <w:tcW w:w="349" w:type="pct"/>
            <w:tcBorders>
              <w:top w:val="single" w:sz="4" w:space="0" w:color="auto"/>
              <w:left w:val="single" w:sz="4" w:space="0" w:color="auto"/>
              <w:bottom w:val="single" w:sz="4" w:space="0" w:color="auto"/>
              <w:right w:val="single" w:sz="4" w:space="0" w:color="auto"/>
            </w:tcBorders>
          </w:tcPr>
          <w:p w14:paraId="4E15B569" w14:textId="77777777"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1DD624D" w14:textId="77777777"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510DFB2" w14:textId="77777777" w:rsidR="008A10FF" w:rsidRDefault="008A10F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3625A39" w14:textId="77777777"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nil"/>
            </w:tcBorders>
          </w:tcPr>
          <w:p w14:paraId="2F2C1D24" w14:textId="506726E4" w:rsidR="008A10FF" w:rsidRDefault="008A10FF" w:rsidP="00096131">
            <w:pPr>
              <w:pStyle w:val="Tabletext1"/>
              <w:jc w:val="center"/>
            </w:pPr>
            <w:r w:rsidRPr="008A7DAC">
              <w:t>2/43</w:t>
            </w:r>
            <w:r w:rsidR="0039458C">
              <w:t xml:space="preserve"> (5%)</w:t>
            </w:r>
          </w:p>
        </w:tc>
        <w:tc>
          <w:tcPr>
            <w:tcW w:w="349" w:type="pct"/>
            <w:tcBorders>
              <w:top w:val="single" w:sz="4" w:space="0" w:color="auto"/>
              <w:left w:val="nil"/>
              <w:bottom w:val="single" w:sz="4" w:space="0" w:color="auto"/>
              <w:right w:val="nil"/>
            </w:tcBorders>
          </w:tcPr>
          <w:p w14:paraId="4A66BF26" w14:textId="77777777" w:rsidR="008A10FF" w:rsidRDefault="008A10FF" w:rsidP="00096131">
            <w:pPr>
              <w:pStyle w:val="Tabletext1"/>
              <w:jc w:val="center"/>
            </w:pPr>
          </w:p>
        </w:tc>
        <w:tc>
          <w:tcPr>
            <w:tcW w:w="341" w:type="pct"/>
            <w:tcBorders>
              <w:top w:val="single" w:sz="4" w:space="0" w:color="auto"/>
              <w:left w:val="nil"/>
              <w:bottom w:val="single" w:sz="4" w:space="0" w:color="auto"/>
              <w:right w:val="single" w:sz="4" w:space="0" w:color="auto"/>
            </w:tcBorders>
          </w:tcPr>
          <w:p w14:paraId="62C0032C" w14:textId="77777777" w:rsidR="008A10FF" w:rsidRDefault="008A10FF" w:rsidP="00096131">
            <w:pPr>
              <w:pStyle w:val="Tabletext1"/>
              <w:jc w:val="center"/>
            </w:pPr>
          </w:p>
        </w:tc>
      </w:tr>
      <w:tr w:rsidR="008A7DAC" w:rsidRPr="00B2301A" w14:paraId="39FF25C0" w14:textId="77777777" w:rsidTr="00B16BFE">
        <w:tc>
          <w:tcPr>
            <w:tcW w:w="669" w:type="pct"/>
            <w:tcBorders>
              <w:top w:val="nil"/>
              <w:left w:val="single" w:sz="4" w:space="0" w:color="auto"/>
              <w:bottom w:val="single" w:sz="4" w:space="0" w:color="auto"/>
              <w:right w:val="single" w:sz="4" w:space="0" w:color="auto"/>
            </w:tcBorders>
            <w:shd w:val="clear" w:color="auto" w:fill="auto"/>
          </w:tcPr>
          <w:p w14:paraId="17F617C8" w14:textId="5B1D63A3" w:rsidR="008A10FF" w:rsidRDefault="008A10FF" w:rsidP="00096131">
            <w:pPr>
              <w:pStyle w:val="Tabletext1"/>
              <w:rPr>
                <w:snapToGrid w:val="0"/>
              </w:rPr>
            </w:pPr>
          </w:p>
        </w:tc>
        <w:tc>
          <w:tcPr>
            <w:tcW w:w="847" w:type="pct"/>
            <w:tcBorders>
              <w:top w:val="single" w:sz="4" w:space="0" w:color="auto"/>
              <w:left w:val="single" w:sz="4" w:space="0" w:color="auto"/>
              <w:bottom w:val="single" w:sz="4" w:space="0" w:color="auto"/>
              <w:right w:val="single" w:sz="4" w:space="0" w:color="auto"/>
            </w:tcBorders>
          </w:tcPr>
          <w:p w14:paraId="557D8EC3" w14:textId="4CB26CAE" w:rsidR="008A10FF" w:rsidRPr="008A7DAC" w:rsidRDefault="008A10FF" w:rsidP="00096131">
            <w:pPr>
              <w:pStyle w:val="Tabletext1"/>
              <w:jc w:val="center"/>
            </w:pPr>
            <w:r w:rsidRPr="008A7DAC">
              <w:t>GU</w:t>
            </w:r>
          </w:p>
        </w:tc>
        <w:tc>
          <w:tcPr>
            <w:tcW w:w="349" w:type="pct"/>
            <w:tcBorders>
              <w:top w:val="single" w:sz="4" w:space="0" w:color="auto"/>
              <w:left w:val="single" w:sz="4" w:space="0" w:color="auto"/>
              <w:bottom w:val="single" w:sz="4" w:space="0" w:color="auto"/>
              <w:right w:val="single" w:sz="4" w:space="0" w:color="auto"/>
            </w:tcBorders>
          </w:tcPr>
          <w:p w14:paraId="46575426" w14:textId="77777777" w:rsidR="008A10FF" w:rsidRDefault="008A10F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A501E12" w14:textId="380320B7"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71D212D" w14:textId="22789B75" w:rsidR="008A10FF" w:rsidRDefault="008A10FF" w:rsidP="00096131">
            <w:pPr>
              <w:pStyle w:val="Tabletext1"/>
              <w:jc w:val="center"/>
            </w:pPr>
            <w:r>
              <w:t>9/68</w:t>
            </w:r>
            <w:r w:rsidR="001C196C">
              <w:t xml:space="preserve"> (13%)</w:t>
            </w:r>
          </w:p>
        </w:tc>
        <w:tc>
          <w:tcPr>
            <w:tcW w:w="349" w:type="pct"/>
            <w:tcBorders>
              <w:top w:val="single" w:sz="4" w:space="0" w:color="auto"/>
              <w:left w:val="single" w:sz="4" w:space="0" w:color="auto"/>
              <w:bottom w:val="single" w:sz="4" w:space="0" w:color="auto"/>
              <w:right w:val="single" w:sz="4" w:space="0" w:color="auto"/>
            </w:tcBorders>
          </w:tcPr>
          <w:p w14:paraId="3D7A2069" w14:textId="195E997A" w:rsidR="008A10FF" w:rsidRDefault="008A10FF" w:rsidP="00096131">
            <w:pPr>
              <w:pStyle w:val="Tabletext1"/>
              <w:jc w:val="center"/>
            </w:pPr>
            <w:r>
              <w:t>1/68</w:t>
            </w:r>
            <w:r w:rsidR="00706056">
              <w:t xml:space="preserve"> (1%)</w:t>
            </w:r>
          </w:p>
        </w:tc>
        <w:tc>
          <w:tcPr>
            <w:tcW w:w="349" w:type="pct"/>
            <w:tcBorders>
              <w:top w:val="single" w:sz="4" w:space="0" w:color="auto"/>
              <w:left w:val="single" w:sz="4" w:space="0" w:color="auto"/>
              <w:bottom w:val="single" w:sz="4" w:space="0" w:color="auto"/>
              <w:right w:val="single" w:sz="4" w:space="0" w:color="auto"/>
            </w:tcBorders>
          </w:tcPr>
          <w:p w14:paraId="7771FBE3" w14:textId="3191B283"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1BC44BC" w14:textId="0C7173BE" w:rsidR="008A10FF" w:rsidRDefault="008A10FF"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171E794" w14:textId="166F2A73"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nil"/>
            </w:tcBorders>
          </w:tcPr>
          <w:p w14:paraId="56FB1824" w14:textId="47706994" w:rsidR="008A7DAC" w:rsidRDefault="008A7DAC" w:rsidP="00096131">
            <w:pPr>
              <w:pStyle w:val="Tabletext1"/>
              <w:jc w:val="center"/>
            </w:pPr>
            <w:r>
              <w:t>3/43</w:t>
            </w:r>
            <w:r w:rsidR="0039458C">
              <w:t xml:space="preserve"> </w:t>
            </w:r>
            <w:r w:rsidR="00C538E9">
              <w:t>(7%)</w:t>
            </w:r>
          </w:p>
        </w:tc>
        <w:tc>
          <w:tcPr>
            <w:tcW w:w="349" w:type="pct"/>
            <w:tcBorders>
              <w:top w:val="single" w:sz="4" w:space="0" w:color="auto"/>
              <w:left w:val="nil"/>
              <w:bottom w:val="single" w:sz="4" w:space="0" w:color="auto"/>
              <w:right w:val="nil"/>
            </w:tcBorders>
          </w:tcPr>
          <w:p w14:paraId="5A0CF9D1" w14:textId="77777777" w:rsidR="008A10FF" w:rsidRDefault="008A10FF" w:rsidP="00096131">
            <w:pPr>
              <w:pStyle w:val="Tabletext1"/>
              <w:jc w:val="center"/>
            </w:pPr>
          </w:p>
        </w:tc>
        <w:tc>
          <w:tcPr>
            <w:tcW w:w="341" w:type="pct"/>
            <w:tcBorders>
              <w:top w:val="single" w:sz="4" w:space="0" w:color="auto"/>
              <w:left w:val="nil"/>
              <w:bottom w:val="single" w:sz="4" w:space="0" w:color="auto"/>
              <w:right w:val="single" w:sz="4" w:space="0" w:color="auto"/>
            </w:tcBorders>
          </w:tcPr>
          <w:p w14:paraId="4D136657" w14:textId="77777777" w:rsidR="008A10FF" w:rsidRDefault="008A10FF" w:rsidP="00096131">
            <w:pPr>
              <w:pStyle w:val="Tabletext1"/>
              <w:jc w:val="center"/>
            </w:pPr>
          </w:p>
        </w:tc>
      </w:tr>
      <w:tr w:rsidR="008A7DAC" w:rsidRPr="00B2301A" w14:paraId="1032BDA2" w14:textId="77777777" w:rsidTr="00B743BF">
        <w:tc>
          <w:tcPr>
            <w:tcW w:w="669" w:type="pct"/>
            <w:tcBorders>
              <w:top w:val="single" w:sz="4" w:space="0" w:color="auto"/>
              <w:left w:val="single" w:sz="4" w:space="0" w:color="auto"/>
              <w:bottom w:val="nil"/>
              <w:right w:val="single" w:sz="4" w:space="0" w:color="auto"/>
            </w:tcBorders>
            <w:shd w:val="clear" w:color="auto" w:fill="auto"/>
          </w:tcPr>
          <w:p w14:paraId="0C580D4C" w14:textId="01B8747B" w:rsidR="008A10FF" w:rsidRPr="008A7DAC" w:rsidRDefault="00211285" w:rsidP="00096131">
            <w:pPr>
              <w:pStyle w:val="Tabletext1"/>
            </w:pPr>
            <w:hyperlink w:anchor="_ENREF_26" w:tooltip="Faria, 2016 #42" w:history="1">
              <w:r w:rsidR="008B6FC0">
                <w:fldChar w:fldCharType="begin"/>
              </w:r>
              <w:r w:rsidR="008B6FC0">
                <w:instrText xml:space="preserve"> ADDIN EN.CITE &lt;EndNote&gt;&lt;Cite AuthorYear="1"&gt;&lt;Author&gt;Faria&lt;/Author&gt;&lt;Year&gt;2016&lt;/Year&gt;&lt;RecNum&gt;42&lt;/RecNum&gt;&lt;DisplayText&gt;Faria et al. (2016)&lt;/DisplayText&gt;&lt;record&gt;&lt;rec-number&gt;42&lt;/rec-number&gt;&lt;foreign-keys&gt;&lt;key app="EN" db-id="sx5wsdwv795wvue959xxw0ptaewvdezxxp05" timestamp="1604876376"&gt;42&lt;/key&gt;&lt;/foreign-keys&gt;&lt;ref-type name="Journal Article"&gt;17&lt;/ref-type&gt;&lt;contributors&gt;&lt;authors&gt;&lt;author&gt;Faria, S.&lt;/author&gt;&lt;author&gt;Petrucelli, M.&lt;/author&gt;&lt;author&gt;Cury, F.&lt;/author&gt;&lt;author&gt;Duclos, M.&lt;/author&gt;&lt;author&gt;Souhami, L.&lt;/author&gt;&lt;/authors&gt;&lt;/contributors&gt;&lt;titles&gt;&lt;title&gt;Acute and late toxicity in high-risk prostate cancer patients treated with androgen suppression and hypofractionated radiotherapy (HypoRT) to the prostate and pelvic nodes&lt;/title&gt;&lt;secondary-title&gt;Radiotherapy and oncology&lt;/secondary-title&gt;&lt;/titles&gt;&lt;volume&gt;120&lt;/volume&gt;&lt;dates&gt;&lt;year&gt;2016&lt;/year&gt;&lt;/dates&gt;&lt;accession-num&gt;CN-01252399&lt;/accession-num&gt;&lt;urls&gt;&lt;related-urls&gt;&lt;url&gt;http://ezproxy.library.usyd.edu.au/login?url=http://ovidsp.ovid.com/ovidweb.cgi?T=JS&amp;amp;CSC=Y&amp;amp;NEWS=N&amp;amp;PAGE=fulltext&amp;amp;D=cctr&amp;amp;AN=CN-01252399https://sydney.alma.exlibrisgroup.com/openurl/61USYD_INST/61USYD_INST:sydney?sid=OVID:cctrdb&amp;amp;id=pmid:5118516&amp;amp;id=doi:&amp;amp;issn=&lt;/url&gt;&lt;/related-urls&gt;&lt;/urls&gt;&lt;/record&gt;&lt;/Cite&gt;&lt;/EndNote&gt;</w:instrText>
              </w:r>
              <w:r w:rsidR="008B6FC0">
                <w:fldChar w:fldCharType="separate"/>
              </w:r>
              <w:r w:rsidR="008B6FC0">
                <w:rPr>
                  <w:noProof/>
                </w:rPr>
                <w:t>Faria et al. (2016)</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1704DACD" w14:textId="43CF9DC7" w:rsidR="008A7DAC" w:rsidRPr="008A7DAC" w:rsidRDefault="008A7DAC" w:rsidP="00096131">
            <w:pPr>
              <w:pStyle w:val="Tabletext1"/>
              <w:jc w:val="center"/>
            </w:pPr>
            <w:r w:rsidRPr="008A7DAC">
              <w:t>GI</w:t>
            </w:r>
          </w:p>
          <w:p w14:paraId="7BA2AB96" w14:textId="27F2ED9E"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EEE3794" w14:textId="385FC882" w:rsidR="008A10FF" w:rsidRDefault="008A7DAC" w:rsidP="00096131">
            <w:pPr>
              <w:pStyle w:val="Tabletext1"/>
              <w:jc w:val="center"/>
            </w:pPr>
            <w:r w:rsidRPr="008A7DAC">
              <w:t>40/105 (38%)</w:t>
            </w:r>
          </w:p>
        </w:tc>
        <w:tc>
          <w:tcPr>
            <w:tcW w:w="350" w:type="pct"/>
            <w:tcBorders>
              <w:top w:val="single" w:sz="4" w:space="0" w:color="auto"/>
              <w:left w:val="single" w:sz="4" w:space="0" w:color="auto"/>
              <w:bottom w:val="single" w:sz="4" w:space="0" w:color="auto"/>
              <w:right w:val="single" w:sz="4" w:space="0" w:color="auto"/>
            </w:tcBorders>
          </w:tcPr>
          <w:p w14:paraId="5B2A435D" w14:textId="52C03D15" w:rsidR="008A10FF" w:rsidRDefault="008A7DAC" w:rsidP="00096131">
            <w:pPr>
              <w:pStyle w:val="Tabletext1"/>
              <w:jc w:val="center"/>
            </w:pPr>
            <w:r w:rsidRPr="008A7DAC">
              <w:t>47/105 (45%)</w:t>
            </w:r>
          </w:p>
        </w:tc>
        <w:tc>
          <w:tcPr>
            <w:tcW w:w="349" w:type="pct"/>
            <w:tcBorders>
              <w:top w:val="single" w:sz="4" w:space="0" w:color="auto"/>
              <w:left w:val="single" w:sz="4" w:space="0" w:color="auto"/>
              <w:bottom w:val="single" w:sz="4" w:space="0" w:color="auto"/>
              <w:right w:val="single" w:sz="4" w:space="0" w:color="auto"/>
            </w:tcBorders>
          </w:tcPr>
          <w:p w14:paraId="1A77E3BE" w14:textId="1C50D62B" w:rsidR="008A10FF" w:rsidRDefault="008A7DAC" w:rsidP="00096131">
            <w:pPr>
              <w:pStyle w:val="Tabletext1"/>
              <w:jc w:val="center"/>
            </w:pPr>
            <w:r w:rsidRPr="008A7DAC">
              <w:t>17/105 (16%)</w:t>
            </w:r>
          </w:p>
        </w:tc>
        <w:tc>
          <w:tcPr>
            <w:tcW w:w="349" w:type="pct"/>
            <w:tcBorders>
              <w:top w:val="single" w:sz="4" w:space="0" w:color="auto"/>
              <w:left w:val="single" w:sz="4" w:space="0" w:color="auto"/>
              <w:bottom w:val="single" w:sz="4" w:space="0" w:color="auto"/>
              <w:right w:val="single" w:sz="4" w:space="0" w:color="auto"/>
            </w:tcBorders>
          </w:tcPr>
          <w:p w14:paraId="7F026F90" w14:textId="4472F940" w:rsidR="008A10FF" w:rsidRDefault="008A7DAC" w:rsidP="00096131">
            <w:pPr>
              <w:pStyle w:val="Tabletext1"/>
              <w:jc w:val="center"/>
            </w:pPr>
            <w:r w:rsidRPr="008A7DAC">
              <w:t>1/105 (1%)</w:t>
            </w:r>
          </w:p>
        </w:tc>
        <w:tc>
          <w:tcPr>
            <w:tcW w:w="349" w:type="pct"/>
            <w:tcBorders>
              <w:top w:val="single" w:sz="4" w:space="0" w:color="auto"/>
              <w:left w:val="single" w:sz="4" w:space="0" w:color="auto"/>
              <w:bottom w:val="single" w:sz="4" w:space="0" w:color="auto"/>
              <w:right w:val="single" w:sz="4" w:space="0" w:color="auto"/>
            </w:tcBorders>
          </w:tcPr>
          <w:p w14:paraId="2A609048" w14:textId="113A274D" w:rsidR="008A10FF" w:rsidRDefault="008A10FF"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6F6C17B" w14:textId="56EB7E13" w:rsidR="008A10FF" w:rsidRDefault="008A7DAC" w:rsidP="00096131">
            <w:pPr>
              <w:pStyle w:val="Tabletext1"/>
              <w:jc w:val="center"/>
            </w:pPr>
            <w:r w:rsidRPr="008A7DAC">
              <w:t>78/105 (74%)</w:t>
            </w:r>
          </w:p>
        </w:tc>
        <w:tc>
          <w:tcPr>
            <w:tcW w:w="350" w:type="pct"/>
            <w:tcBorders>
              <w:top w:val="single" w:sz="4" w:space="0" w:color="auto"/>
              <w:left w:val="single" w:sz="4" w:space="0" w:color="auto"/>
              <w:bottom w:val="single" w:sz="4" w:space="0" w:color="auto"/>
              <w:right w:val="single" w:sz="4" w:space="0" w:color="auto"/>
            </w:tcBorders>
          </w:tcPr>
          <w:p w14:paraId="6AE14D00" w14:textId="09D0E5A5" w:rsidR="008A10FF" w:rsidRDefault="008A7DAC" w:rsidP="00096131">
            <w:pPr>
              <w:pStyle w:val="Tabletext1"/>
              <w:jc w:val="center"/>
            </w:pPr>
            <w:r w:rsidRPr="008A7DAC">
              <w:t>20/105 (19%)</w:t>
            </w:r>
          </w:p>
        </w:tc>
        <w:tc>
          <w:tcPr>
            <w:tcW w:w="349" w:type="pct"/>
            <w:tcBorders>
              <w:top w:val="single" w:sz="4" w:space="0" w:color="auto"/>
              <w:left w:val="single" w:sz="4" w:space="0" w:color="auto"/>
              <w:bottom w:val="single" w:sz="4" w:space="0" w:color="auto"/>
              <w:right w:val="single" w:sz="4" w:space="0" w:color="auto"/>
            </w:tcBorders>
          </w:tcPr>
          <w:p w14:paraId="2902C838" w14:textId="2E0692CE" w:rsidR="008A10FF" w:rsidRDefault="008A7DAC" w:rsidP="00096131">
            <w:pPr>
              <w:pStyle w:val="Tabletext1"/>
              <w:jc w:val="center"/>
            </w:pPr>
            <w:r w:rsidRPr="008A7DAC">
              <w:t>5/105 (5%)</w:t>
            </w:r>
          </w:p>
        </w:tc>
        <w:tc>
          <w:tcPr>
            <w:tcW w:w="349" w:type="pct"/>
            <w:tcBorders>
              <w:top w:val="single" w:sz="4" w:space="0" w:color="auto"/>
              <w:left w:val="single" w:sz="4" w:space="0" w:color="auto"/>
              <w:bottom w:val="single" w:sz="4" w:space="0" w:color="auto"/>
              <w:right w:val="single" w:sz="4" w:space="0" w:color="auto"/>
            </w:tcBorders>
          </w:tcPr>
          <w:p w14:paraId="18B04476" w14:textId="26391304" w:rsidR="008A10FF" w:rsidRDefault="008A7DAC" w:rsidP="00096131">
            <w:pPr>
              <w:pStyle w:val="Tabletext1"/>
              <w:jc w:val="center"/>
            </w:pPr>
            <w:r w:rsidRPr="008A7DAC">
              <w:t>2/105 (2%)</w:t>
            </w:r>
          </w:p>
        </w:tc>
        <w:tc>
          <w:tcPr>
            <w:tcW w:w="341" w:type="pct"/>
            <w:tcBorders>
              <w:top w:val="single" w:sz="4" w:space="0" w:color="auto"/>
              <w:left w:val="single" w:sz="4" w:space="0" w:color="auto"/>
              <w:bottom w:val="single" w:sz="4" w:space="0" w:color="auto"/>
              <w:right w:val="single" w:sz="4" w:space="0" w:color="auto"/>
            </w:tcBorders>
          </w:tcPr>
          <w:p w14:paraId="3ACEFEF3" w14:textId="77777777" w:rsidR="008A10FF" w:rsidRDefault="008A10FF" w:rsidP="00096131">
            <w:pPr>
              <w:pStyle w:val="Tabletext1"/>
              <w:jc w:val="center"/>
            </w:pPr>
          </w:p>
        </w:tc>
      </w:tr>
      <w:tr w:rsidR="008A7DAC" w:rsidRPr="00B2301A" w14:paraId="446A5C7D" w14:textId="77777777" w:rsidTr="00B743BF">
        <w:tc>
          <w:tcPr>
            <w:tcW w:w="669" w:type="pct"/>
            <w:tcBorders>
              <w:top w:val="nil"/>
              <w:left w:val="single" w:sz="4" w:space="0" w:color="auto"/>
              <w:bottom w:val="single" w:sz="4" w:space="0" w:color="auto"/>
              <w:right w:val="single" w:sz="4" w:space="0" w:color="auto"/>
            </w:tcBorders>
            <w:shd w:val="clear" w:color="auto" w:fill="auto"/>
          </w:tcPr>
          <w:p w14:paraId="2E5388B3" w14:textId="77777777" w:rsidR="008A7DAC" w:rsidRDefault="008A7DAC"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55AFFA31" w14:textId="101781BC" w:rsidR="008A7DAC" w:rsidRPr="008A7DAC" w:rsidRDefault="008A7DAC" w:rsidP="00096131">
            <w:pPr>
              <w:pStyle w:val="Tabletext1"/>
              <w:jc w:val="center"/>
            </w:pPr>
            <w:r w:rsidRPr="008A7DAC">
              <w:t>GU</w:t>
            </w:r>
          </w:p>
        </w:tc>
        <w:tc>
          <w:tcPr>
            <w:tcW w:w="349" w:type="pct"/>
            <w:tcBorders>
              <w:top w:val="single" w:sz="4" w:space="0" w:color="auto"/>
              <w:left w:val="single" w:sz="4" w:space="0" w:color="auto"/>
              <w:bottom w:val="single" w:sz="4" w:space="0" w:color="auto"/>
              <w:right w:val="single" w:sz="4" w:space="0" w:color="auto"/>
            </w:tcBorders>
          </w:tcPr>
          <w:p w14:paraId="5B1E085C" w14:textId="38DA60EC" w:rsidR="008A7DAC" w:rsidRPr="008A7DAC" w:rsidRDefault="008A7DAC" w:rsidP="00096131">
            <w:pPr>
              <w:pStyle w:val="Tabletext1"/>
              <w:jc w:val="center"/>
            </w:pPr>
            <w:r w:rsidRPr="008A7DAC">
              <w:t>34/105 (32%)</w:t>
            </w:r>
          </w:p>
        </w:tc>
        <w:tc>
          <w:tcPr>
            <w:tcW w:w="350" w:type="pct"/>
            <w:tcBorders>
              <w:top w:val="single" w:sz="4" w:space="0" w:color="auto"/>
              <w:left w:val="single" w:sz="4" w:space="0" w:color="auto"/>
              <w:bottom w:val="single" w:sz="4" w:space="0" w:color="auto"/>
              <w:right w:val="single" w:sz="4" w:space="0" w:color="auto"/>
            </w:tcBorders>
          </w:tcPr>
          <w:p w14:paraId="2A33941B" w14:textId="264B7413" w:rsidR="008A7DAC" w:rsidRPr="008A7DAC" w:rsidRDefault="008A7DAC" w:rsidP="00096131">
            <w:pPr>
              <w:pStyle w:val="Tabletext1"/>
              <w:jc w:val="center"/>
            </w:pPr>
            <w:r w:rsidRPr="008A7DAC">
              <w:t>53/105 (50%)</w:t>
            </w:r>
          </w:p>
        </w:tc>
        <w:tc>
          <w:tcPr>
            <w:tcW w:w="349" w:type="pct"/>
            <w:tcBorders>
              <w:top w:val="single" w:sz="4" w:space="0" w:color="auto"/>
              <w:left w:val="single" w:sz="4" w:space="0" w:color="auto"/>
              <w:bottom w:val="single" w:sz="4" w:space="0" w:color="auto"/>
              <w:right w:val="single" w:sz="4" w:space="0" w:color="auto"/>
            </w:tcBorders>
          </w:tcPr>
          <w:p w14:paraId="17C58BC1" w14:textId="53A8F21A" w:rsidR="008A7DAC" w:rsidRPr="008A7DAC" w:rsidRDefault="008A7DAC" w:rsidP="00096131">
            <w:pPr>
              <w:pStyle w:val="Tabletext1"/>
              <w:jc w:val="center"/>
            </w:pPr>
            <w:r w:rsidRPr="008A7DAC">
              <w:t>15/105 (14%)</w:t>
            </w:r>
          </w:p>
        </w:tc>
        <w:tc>
          <w:tcPr>
            <w:tcW w:w="349" w:type="pct"/>
            <w:tcBorders>
              <w:top w:val="single" w:sz="4" w:space="0" w:color="auto"/>
              <w:left w:val="single" w:sz="4" w:space="0" w:color="auto"/>
              <w:bottom w:val="single" w:sz="4" w:space="0" w:color="auto"/>
              <w:right w:val="single" w:sz="4" w:space="0" w:color="auto"/>
            </w:tcBorders>
          </w:tcPr>
          <w:p w14:paraId="108F2A95" w14:textId="0B8F3601" w:rsidR="008A7DAC" w:rsidRPr="008A7DAC" w:rsidRDefault="008A7DAC" w:rsidP="00096131">
            <w:pPr>
              <w:pStyle w:val="Tabletext1"/>
              <w:jc w:val="center"/>
            </w:pPr>
            <w:r w:rsidRPr="008A7DAC">
              <w:t>3/105 (3%)</w:t>
            </w:r>
          </w:p>
        </w:tc>
        <w:tc>
          <w:tcPr>
            <w:tcW w:w="349" w:type="pct"/>
            <w:tcBorders>
              <w:top w:val="single" w:sz="4" w:space="0" w:color="auto"/>
              <w:left w:val="single" w:sz="4" w:space="0" w:color="auto"/>
              <w:bottom w:val="single" w:sz="4" w:space="0" w:color="auto"/>
              <w:right w:val="single" w:sz="4" w:space="0" w:color="auto"/>
            </w:tcBorders>
          </w:tcPr>
          <w:p w14:paraId="5F6143D5" w14:textId="77777777" w:rsidR="008A7DAC" w:rsidRDefault="008A7DAC"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1743AF1" w14:textId="710FC81B" w:rsidR="008A7DAC" w:rsidRPr="008A7DAC" w:rsidRDefault="008A7DAC" w:rsidP="00096131">
            <w:pPr>
              <w:pStyle w:val="Tabletext1"/>
              <w:jc w:val="center"/>
            </w:pPr>
            <w:r w:rsidRPr="008A7DAC">
              <w:t>81/105 (77%)</w:t>
            </w:r>
          </w:p>
        </w:tc>
        <w:tc>
          <w:tcPr>
            <w:tcW w:w="350" w:type="pct"/>
            <w:tcBorders>
              <w:top w:val="single" w:sz="4" w:space="0" w:color="auto"/>
              <w:left w:val="single" w:sz="4" w:space="0" w:color="auto"/>
              <w:bottom w:val="single" w:sz="4" w:space="0" w:color="auto"/>
              <w:right w:val="single" w:sz="4" w:space="0" w:color="auto"/>
            </w:tcBorders>
          </w:tcPr>
          <w:p w14:paraId="5305ECFE" w14:textId="045DE10E" w:rsidR="008A7DAC" w:rsidRPr="008A7DAC" w:rsidRDefault="008A7DAC" w:rsidP="00096131">
            <w:pPr>
              <w:pStyle w:val="Tabletext1"/>
              <w:jc w:val="center"/>
            </w:pPr>
            <w:r w:rsidRPr="008A7DAC">
              <w:t>16/105 (15%)</w:t>
            </w:r>
          </w:p>
        </w:tc>
        <w:tc>
          <w:tcPr>
            <w:tcW w:w="349" w:type="pct"/>
            <w:tcBorders>
              <w:top w:val="single" w:sz="4" w:space="0" w:color="auto"/>
              <w:left w:val="single" w:sz="4" w:space="0" w:color="auto"/>
              <w:bottom w:val="single" w:sz="4" w:space="0" w:color="auto"/>
              <w:right w:val="single" w:sz="4" w:space="0" w:color="auto"/>
            </w:tcBorders>
          </w:tcPr>
          <w:p w14:paraId="2561A404" w14:textId="70D8B3B4" w:rsidR="008A7DAC" w:rsidRPr="008A7DAC" w:rsidRDefault="008A7DAC" w:rsidP="00096131">
            <w:pPr>
              <w:pStyle w:val="Tabletext1"/>
              <w:jc w:val="center"/>
            </w:pPr>
            <w:r w:rsidRPr="008A7DAC">
              <w:t>6/105 (6%)</w:t>
            </w:r>
          </w:p>
        </w:tc>
        <w:tc>
          <w:tcPr>
            <w:tcW w:w="349" w:type="pct"/>
            <w:tcBorders>
              <w:top w:val="single" w:sz="4" w:space="0" w:color="auto"/>
              <w:left w:val="single" w:sz="4" w:space="0" w:color="auto"/>
              <w:bottom w:val="single" w:sz="4" w:space="0" w:color="auto"/>
              <w:right w:val="single" w:sz="4" w:space="0" w:color="auto"/>
            </w:tcBorders>
          </w:tcPr>
          <w:p w14:paraId="2DDDFBD4" w14:textId="1D1851FD" w:rsidR="008A7DAC" w:rsidRPr="008A7DAC" w:rsidRDefault="008A7DAC" w:rsidP="00096131">
            <w:pPr>
              <w:pStyle w:val="Tabletext1"/>
              <w:jc w:val="center"/>
            </w:pPr>
            <w:r w:rsidRPr="008A7DAC">
              <w:t>2/105 (2%)</w:t>
            </w:r>
          </w:p>
        </w:tc>
        <w:tc>
          <w:tcPr>
            <w:tcW w:w="341" w:type="pct"/>
            <w:tcBorders>
              <w:top w:val="single" w:sz="4" w:space="0" w:color="auto"/>
              <w:left w:val="single" w:sz="4" w:space="0" w:color="auto"/>
              <w:bottom w:val="single" w:sz="4" w:space="0" w:color="auto"/>
              <w:right w:val="single" w:sz="4" w:space="0" w:color="auto"/>
            </w:tcBorders>
          </w:tcPr>
          <w:p w14:paraId="3812CDB5" w14:textId="77777777" w:rsidR="008A7DAC" w:rsidRDefault="008A7DAC" w:rsidP="00096131">
            <w:pPr>
              <w:pStyle w:val="Tabletext1"/>
              <w:jc w:val="center"/>
            </w:pPr>
          </w:p>
        </w:tc>
      </w:tr>
      <w:tr w:rsidR="008A7DAC" w:rsidRPr="00B2301A" w14:paraId="1E166A2E" w14:textId="77777777" w:rsidTr="00B743BF">
        <w:tc>
          <w:tcPr>
            <w:tcW w:w="669" w:type="pct"/>
            <w:tcBorders>
              <w:top w:val="single" w:sz="4" w:space="0" w:color="auto"/>
              <w:left w:val="single" w:sz="4" w:space="0" w:color="auto"/>
              <w:bottom w:val="nil"/>
              <w:right w:val="single" w:sz="4" w:space="0" w:color="auto"/>
            </w:tcBorders>
            <w:shd w:val="clear" w:color="auto" w:fill="auto"/>
          </w:tcPr>
          <w:p w14:paraId="05A196BE" w14:textId="1C594377" w:rsidR="008A10FF" w:rsidRDefault="00211285" w:rsidP="00096131">
            <w:pPr>
              <w:pStyle w:val="Tabletext1"/>
              <w:keepNext/>
              <w:keepLines/>
              <w:rPr>
                <w:snapToGrid w:val="0"/>
              </w:rPr>
            </w:pPr>
            <w:hyperlink w:anchor="_ENREF_31" w:tooltip="Girelli, 2015 #44" w:history="1">
              <w:r w:rsidR="008B6FC0">
                <w:fldChar w:fldCharType="begin"/>
              </w:r>
              <w:r w:rsidR="008B6FC0">
                <w:instrText xml:space="preserve"> ADDIN EN.CITE &lt;EndNote&gt;&lt;Cite AuthorYear="1"&gt;&lt;Author&gt;Girelli&lt;/Author&gt;&lt;Year&gt;2015&lt;/Year&gt;&lt;RecNum&gt;44&lt;/RecNum&gt;&lt;DisplayText&gt;Girelli et al. (2015)&lt;/DisplayText&gt;&lt;record&gt;&lt;rec-number&gt;44&lt;/rec-number&gt;&lt;foreign-keys&gt;&lt;key app="EN" db-id="sx5wsdwv795wvue959xxw0ptaewvdezxxp05" timestamp="1604876376"&gt;44&lt;/key&gt;&lt;/foreign-keys&gt;&lt;ref-type name="Journal Article"&gt;17&lt;/ref-type&gt;&lt;contributors&gt;&lt;authors&gt;&lt;author&gt;Girelli, G.&lt;/author&gt;&lt;author&gt;Franco, P.&lt;/author&gt;&lt;author&gt;Sciacero, P.&lt;/author&gt;&lt;author&gt;Cante, D.&lt;/author&gt;&lt;author&gt;Borca, V. C.&lt;/author&gt;&lt;author&gt;Pasquino, M.&lt;/author&gt;&lt;author&gt;Annoscia, S.&lt;/author&gt;&lt;author&gt;Tofani, S.&lt;/author&gt;&lt;author&gt;La Porta, M. R.&lt;/author&gt;&lt;author&gt;Ricardi, U.&lt;/author&gt;&lt;/authors&gt;&lt;/contributors&gt;&lt;titles&gt;&lt;title&gt;Image-guided Intensity-modulated Radiotherapy for Prostate Cancer Employing Hypofractionation and Simultaneous Integrated Boost: Results of a Consecutive Case Series with Focus on Erectile Function&lt;/title&gt;&lt;secondary-title&gt;Anticancer Res&lt;/secondary-title&gt;&lt;/titles&gt;&lt;pages&gt;4177-82&lt;/pages&gt;&lt;volume&gt;35&lt;/volume&gt;&lt;number&gt;7&lt;/number&gt;&lt;dates&gt;&lt;year&gt;2015&lt;/year&gt;&lt;/dates&gt;&lt;accession-num&gt;26124375&lt;/accession-num&gt;&lt;urls&gt;&lt;related-urls&gt;&lt;url&gt;http://ezproxy.library.usyd.edu.au/login?url=http://ovidsp.ovid.com/ovidweb.cgi?T=JS&amp;amp;CSC=Y&amp;amp;NEWS=N&amp;amp;PAGE=fulltext&amp;amp;D=med12&amp;amp;AN=26124375https://sydney.alma.exlibrisgroup.com/openurl/61USYD_INST/61USYD_INST:sydney?sid=OVID:medline&amp;amp;id=pmid:26124375&amp;amp;id=doi:&amp;amp;issn=&lt;/url&gt;&lt;url&gt;http://ar.iiarjournals.org/content/35/7/4177.full.pdf&lt;/url&gt;&lt;/related-urls&gt;&lt;/urls&gt;&lt;/record&gt;&lt;/Cite&gt;&lt;/EndNote&gt;</w:instrText>
              </w:r>
              <w:r w:rsidR="008B6FC0">
                <w:fldChar w:fldCharType="separate"/>
              </w:r>
              <w:r w:rsidR="008B6FC0">
                <w:rPr>
                  <w:noProof/>
                </w:rPr>
                <w:t>Girelli et al. (2015)</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0717AE46" w14:textId="20F48076" w:rsidR="008A7DAC" w:rsidRPr="008A7DAC" w:rsidRDefault="008A7DAC" w:rsidP="00096131">
            <w:pPr>
              <w:pStyle w:val="Tabletext1"/>
              <w:keepNext/>
              <w:keepLines/>
              <w:jc w:val="center"/>
            </w:pPr>
            <w:r w:rsidRPr="008A7DAC">
              <w:t>GI</w:t>
            </w:r>
          </w:p>
          <w:p w14:paraId="7A9F9919" w14:textId="2D929F0A" w:rsidR="008A10FF" w:rsidRPr="008A7DAC" w:rsidRDefault="008A10F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4330FAB0" w14:textId="77777777" w:rsidR="008A10FF" w:rsidRPr="008A7DAC" w:rsidRDefault="008A10FF"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3657DDE3" w14:textId="3A057ADF" w:rsidR="008A10FF" w:rsidRPr="008A7DAC" w:rsidRDefault="008A7DAC" w:rsidP="00096131">
            <w:pPr>
              <w:pStyle w:val="Tabletext1"/>
              <w:keepNext/>
              <w:keepLines/>
              <w:jc w:val="center"/>
            </w:pPr>
            <w:r w:rsidRPr="008A7DAC">
              <w:t>11/104 (10%)</w:t>
            </w:r>
          </w:p>
        </w:tc>
        <w:tc>
          <w:tcPr>
            <w:tcW w:w="349" w:type="pct"/>
            <w:tcBorders>
              <w:top w:val="single" w:sz="4" w:space="0" w:color="auto"/>
              <w:left w:val="single" w:sz="4" w:space="0" w:color="auto"/>
              <w:bottom w:val="single" w:sz="4" w:space="0" w:color="auto"/>
              <w:right w:val="single" w:sz="4" w:space="0" w:color="auto"/>
            </w:tcBorders>
          </w:tcPr>
          <w:p w14:paraId="3C6981C7" w14:textId="54D9ABF0" w:rsidR="008A10FF" w:rsidRPr="008A7DAC" w:rsidRDefault="008A7DAC" w:rsidP="00096131">
            <w:pPr>
              <w:pStyle w:val="Tabletext1"/>
              <w:keepNext/>
              <w:keepLines/>
              <w:jc w:val="center"/>
            </w:pPr>
            <w:r w:rsidRPr="008A7DAC">
              <w:t>3/104 (3%)</w:t>
            </w:r>
          </w:p>
        </w:tc>
        <w:tc>
          <w:tcPr>
            <w:tcW w:w="349" w:type="pct"/>
            <w:tcBorders>
              <w:top w:val="single" w:sz="4" w:space="0" w:color="auto"/>
              <w:left w:val="single" w:sz="4" w:space="0" w:color="auto"/>
              <w:bottom w:val="single" w:sz="4" w:space="0" w:color="auto"/>
              <w:right w:val="single" w:sz="4" w:space="0" w:color="auto"/>
            </w:tcBorders>
          </w:tcPr>
          <w:p w14:paraId="6EC3C1DA" w14:textId="7F479859" w:rsidR="008A10FF" w:rsidRPr="008A7DAC" w:rsidRDefault="008A7DAC" w:rsidP="00096131">
            <w:pPr>
              <w:pStyle w:val="Tabletext1"/>
              <w:keepNext/>
              <w:keepLines/>
              <w:jc w:val="center"/>
            </w:pPr>
            <w:r w:rsidRPr="008A7DAC">
              <w:t>1/104 (1%)</w:t>
            </w:r>
          </w:p>
        </w:tc>
        <w:tc>
          <w:tcPr>
            <w:tcW w:w="349" w:type="pct"/>
            <w:tcBorders>
              <w:top w:val="single" w:sz="4" w:space="0" w:color="auto"/>
              <w:left w:val="single" w:sz="4" w:space="0" w:color="auto"/>
              <w:bottom w:val="single" w:sz="4" w:space="0" w:color="auto"/>
              <w:right w:val="single" w:sz="4" w:space="0" w:color="auto"/>
            </w:tcBorders>
          </w:tcPr>
          <w:p w14:paraId="7042872D" w14:textId="1B7EE92A" w:rsidR="008A10FF" w:rsidRPr="008A7DAC" w:rsidRDefault="008A10FF"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EC74793" w14:textId="558BD3A0" w:rsidR="008A10FF" w:rsidRPr="008A7DAC" w:rsidRDefault="008A10FF"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0B6D4C9D" w14:textId="78AC7847" w:rsidR="008A10FF" w:rsidRPr="008A7DAC" w:rsidRDefault="008A7DAC" w:rsidP="00096131">
            <w:pPr>
              <w:pStyle w:val="Tabletext1"/>
              <w:keepNext/>
              <w:keepLines/>
              <w:jc w:val="center"/>
            </w:pPr>
            <w:r w:rsidRPr="008A7DAC">
              <w:t>6/104 (5.7%)</w:t>
            </w:r>
          </w:p>
        </w:tc>
        <w:tc>
          <w:tcPr>
            <w:tcW w:w="349" w:type="pct"/>
            <w:tcBorders>
              <w:top w:val="single" w:sz="4" w:space="0" w:color="auto"/>
              <w:left w:val="single" w:sz="4" w:space="0" w:color="auto"/>
              <w:bottom w:val="single" w:sz="4" w:space="0" w:color="auto"/>
              <w:right w:val="single" w:sz="4" w:space="0" w:color="auto"/>
            </w:tcBorders>
          </w:tcPr>
          <w:p w14:paraId="2320B4EB" w14:textId="4688A582" w:rsidR="008A10FF" w:rsidRPr="008A7DAC" w:rsidRDefault="008A7DAC" w:rsidP="00096131">
            <w:pPr>
              <w:pStyle w:val="Tabletext1"/>
              <w:keepNext/>
              <w:keepLines/>
              <w:jc w:val="center"/>
            </w:pPr>
            <w:r w:rsidRPr="008A7DAC">
              <w:t>8/104 (7.6%)</w:t>
            </w:r>
          </w:p>
        </w:tc>
        <w:tc>
          <w:tcPr>
            <w:tcW w:w="349" w:type="pct"/>
            <w:tcBorders>
              <w:top w:val="single" w:sz="4" w:space="0" w:color="auto"/>
              <w:left w:val="single" w:sz="4" w:space="0" w:color="auto"/>
              <w:bottom w:val="single" w:sz="4" w:space="0" w:color="auto"/>
              <w:right w:val="single" w:sz="4" w:space="0" w:color="auto"/>
            </w:tcBorders>
          </w:tcPr>
          <w:p w14:paraId="3C2B92E5" w14:textId="0D9FC97D" w:rsidR="008A10FF" w:rsidRPr="008A7DAC" w:rsidRDefault="008A7DAC" w:rsidP="00096131">
            <w:pPr>
              <w:pStyle w:val="Tabletext1"/>
              <w:keepNext/>
              <w:keepLines/>
              <w:jc w:val="center"/>
            </w:pPr>
            <w:r w:rsidRPr="008A7DAC">
              <w:t>2/104 (1.9%)</w:t>
            </w:r>
          </w:p>
        </w:tc>
        <w:tc>
          <w:tcPr>
            <w:tcW w:w="341" w:type="pct"/>
            <w:tcBorders>
              <w:top w:val="single" w:sz="4" w:space="0" w:color="auto"/>
              <w:left w:val="single" w:sz="4" w:space="0" w:color="auto"/>
              <w:bottom w:val="single" w:sz="4" w:space="0" w:color="auto"/>
              <w:right w:val="single" w:sz="4" w:space="0" w:color="auto"/>
            </w:tcBorders>
          </w:tcPr>
          <w:p w14:paraId="4C317189" w14:textId="77777777" w:rsidR="008A10FF" w:rsidRPr="008A7DAC" w:rsidRDefault="008A10FF" w:rsidP="00096131">
            <w:pPr>
              <w:pStyle w:val="Tabletext1"/>
              <w:keepNext/>
              <w:keepLines/>
              <w:jc w:val="center"/>
            </w:pPr>
          </w:p>
        </w:tc>
      </w:tr>
      <w:tr w:rsidR="008A7DAC" w:rsidRPr="00B2301A" w14:paraId="3DEA4531" w14:textId="77777777" w:rsidTr="00B743BF">
        <w:tc>
          <w:tcPr>
            <w:tcW w:w="669" w:type="pct"/>
            <w:tcBorders>
              <w:top w:val="nil"/>
              <w:left w:val="single" w:sz="4" w:space="0" w:color="auto"/>
              <w:bottom w:val="single" w:sz="4" w:space="0" w:color="auto"/>
              <w:right w:val="single" w:sz="4" w:space="0" w:color="auto"/>
            </w:tcBorders>
            <w:shd w:val="clear" w:color="auto" w:fill="auto"/>
          </w:tcPr>
          <w:p w14:paraId="3D668AA1" w14:textId="77777777" w:rsidR="008A7DAC" w:rsidRDefault="008A7DAC" w:rsidP="009C1ABE">
            <w:pPr>
              <w:pStyle w:val="Tabletext1"/>
            </w:pPr>
          </w:p>
        </w:tc>
        <w:tc>
          <w:tcPr>
            <w:tcW w:w="847" w:type="pct"/>
            <w:tcBorders>
              <w:top w:val="single" w:sz="4" w:space="0" w:color="auto"/>
              <w:left w:val="single" w:sz="4" w:space="0" w:color="auto"/>
              <w:bottom w:val="single" w:sz="4" w:space="0" w:color="auto"/>
              <w:right w:val="single" w:sz="4" w:space="0" w:color="auto"/>
            </w:tcBorders>
          </w:tcPr>
          <w:p w14:paraId="21E10ACC" w14:textId="25B20264" w:rsidR="008A7DAC" w:rsidRPr="008A7DAC" w:rsidRDefault="008A7DAC" w:rsidP="009C1ABE">
            <w:pPr>
              <w:pStyle w:val="Tabletext1"/>
              <w:jc w:val="center"/>
            </w:pPr>
            <w:r w:rsidRPr="008A7DAC">
              <w:t>GU</w:t>
            </w:r>
          </w:p>
        </w:tc>
        <w:tc>
          <w:tcPr>
            <w:tcW w:w="349" w:type="pct"/>
            <w:tcBorders>
              <w:top w:val="single" w:sz="4" w:space="0" w:color="auto"/>
              <w:left w:val="single" w:sz="4" w:space="0" w:color="auto"/>
              <w:bottom w:val="single" w:sz="4" w:space="0" w:color="auto"/>
              <w:right w:val="single" w:sz="4" w:space="0" w:color="auto"/>
            </w:tcBorders>
          </w:tcPr>
          <w:p w14:paraId="5167FDEA" w14:textId="77777777" w:rsidR="008A7DAC" w:rsidRPr="008A7DAC" w:rsidRDefault="008A7DAC"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D84D0A1" w14:textId="329B3634" w:rsidR="008A7DAC" w:rsidRPr="008A7DAC" w:rsidRDefault="008A7DAC" w:rsidP="009C1ABE">
            <w:pPr>
              <w:pStyle w:val="Tabletext1"/>
              <w:jc w:val="center"/>
            </w:pPr>
            <w:r w:rsidRPr="008A7DAC">
              <w:t>27/104 (26%)</w:t>
            </w:r>
          </w:p>
        </w:tc>
        <w:tc>
          <w:tcPr>
            <w:tcW w:w="349" w:type="pct"/>
            <w:tcBorders>
              <w:top w:val="single" w:sz="4" w:space="0" w:color="auto"/>
              <w:left w:val="single" w:sz="4" w:space="0" w:color="auto"/>
              <w:bottom w:val="single" w:sz="4" w:space="0" w:color="auto"/>
              <w:right w:val="single" w:sz="4" w:space="0" w:color="auto"/>
            </w:tcBorders>
          </w:tcPr>
          <w:p w14:paraId="0B446312" w14:textId="1EDA88FD" w:rsidR="008A7DAC" w:rsidRPr="008A7DAC" w:rsidRDefault="008A7DAC" w:rsidP="009C1ABE">
            <w:pPr>
              <w:pStyle w:val="Tabletext1"/>
              <w:jc w:val="center"/>
            </w:pPr>
            <w:r w:rsidRPr="008A7DAC">
              <w:t>3/104 (3%)</w:t>
            </w:r>
          </w:p>
        </w:tc>
        <w:tc>
          <w:tcPr>
            <w:tcW w:w="349" w:type="pct"/>
            <w:tcBorders>
              <w:top w:val="single" w:sz="4" w:space="0" w:color="auto"/>
              <w:left w:val="single" w:sz="4" w:space="0" w:color="auto"/>
              <w:bottom w:val="single" w:sz="4" w:space="0" w:color="auto"/>
              <w:right w:val="single" w:sz="4" w:space="0" w:color="auto"/>
            </w:tcBorders>
          </w:tcPr>
          <w:p w14:paraId="59994DF4" w14:textId="077B455B" w:rsidR="008A7DAC" w:rsidRPr="008A7DAC" w:rsidRDefault="008A7DAC" w:rsidP="009C1ABE">
            <w:pPr>
              <w:pStyle w:val="Tabletext1"/>
              <w:jc w:val="center"/>
            </w:pPr>
            <w:r w:rsidRPr="008A7DAC">
              <w:t>2/104 (2%)</w:t>
            </w:r>
          </w:p>
        </w:tc>
        <w:tc>
          <w:tcPr>
            <w:tcW w:w="349" w:type="pct"/>
            <w:tcBorders>
              <w:top w:val="single" w:sz="4" w:space="0" w:color="auto"/>
              <w:left w:val="single" w:sz="4" w:space="0" w:color="auto"/>
              <w:bottom w:val="single" w:sz="4" w:space="0" w:color="auto"/>
              <w:right w:val="single" w:sz="4" w:space="0" w:color="auto"/>
            </w:tcBorders>
          </w:tcPr>
          <w:p w14:paraId="69506E1E" w14:textId="77777777" w:rsidR="008A7DAC" w:rsidRPr="008A7DAC" w:rsidRDefault="008A7DAC"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D9D64FE" w14:textId="77777777" w:rsidR="008A7DAC" w:rsidRPr="008A7DAC" w:rsidRDefault="008A7DAC"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A3833ED" w14:textId="1F206D15" w:rsidR="008A7DAC" w:rsidRPr="008A7DAC" w:rsidRDefault="008A7DAC" w:rsidP="009C1ABE">
            <w:pPr>
              <w:pStyle w:val="Tabletext1"/>
              <w:jc w:val="center"/>
            </w:pPr>
            <w:r w:rsidRPr="008A7DAC">
              <w:t>6/104 (5.8%)</w:t>
            </w:r>
          </w:p>
        </w:tc>
        <w:tc>
          <w:tcPr>
            <w:tcW w:w="349" w:type="pct"/>
            <w:tcBorders>
              <w:top w:val="single" w:sz="4" w:space="0" w:color="auto"/>
              <w:left w:val="single" w:sz="4" w:space="0" w:color="auto"/>
              <w:bottom w:val="single" w:sz="4" w:space="0" w:color="auto"/>
              <w:right w:val="single" w:sz="4" w:space="0" w:color="auto"/>
            </w:tcBorders>
          </w:tcPr>
          <w:p w14:paraId="492CC1CC" w14:textId="001F9EEF" w:rsidR="008A7DAC" w:rsidRPr="008A7DAC" w:rsidRDefault="008A7DAC" w:rsidP="009C1ABE">
            <w:pPr>
              <w:pStyle w:val="Tabletext1"/>
              <w:jc w:val="center"/>
            </w:pPr>
            <w:r w:rsidRPr="008A7DAC">
              <w:t>5/104 (4.8%)</w:t>
            </w:r>
          </w:p>
        </w:tc>
        <w:tc>
          <w:tcPr>
            <w:tcW w:w="349" w:type="pct"/>
            <w:tcBorders>
              <w:top w:val="single" w:sz="4" w:space="0" w:color="auto"/>
              <w:left w:val="single" w:sz="4" w:space="0" w:color="auto"/>
              <w:bottom w:val="single" w:sz="4" w:space="0" w:color="auto"/>
              <w:right w:val="single" w:sz="4" w:space="0" w:color="auto"/>
            </w:tcBorders>
          </w:tcPr>
          <w:p w14:paraId="55137983" w14:textId="29A6D7EC" w:rsidR="008A7DAC" w:rsidRPr="008A7DAC" w:rsidRDefault="008A7DAC" w:rsidP="009C1ABE">
            <w:pPr>
              <w:pStyle w:val="Tabletext1"/>
              <w:jc w:val="center"/>
            </w:pPr>
            <w:r w:rsidRPr="008A7DAC">
              <w:t>0/104 (0%)</w:t>
            </w:r>
          </w:p>
        </w:tc>
        <w:tc>
          <w:tcPr>
            <w:tcW w:w="341" w:type="pct"/>
            <w:tcBorders>
              <w:top w:val="single" w:sz="4" w:space="0" w:color="auto"/>
              <w:left w:val="single" w:sz="4" w:space="0" w:color="auto"/>
              <w:bottom w:val="single" w:sz="4" w:space="0" w:color="auto"/>
              <w:right w:val="single" w:sz="4" w:space="0" w:color="auto"/>
            </w:tcBorders>
          </w:tcPr>
          <w:p w14:paraId="67297E97" w14:textId="77777777" w:rsidR="008A7DAC" w:rsidRPr="008A7DAC" w:rsidRDefault="008A7DAC" w:rsidP="009C1ABE">
            <w:pPr>
              <w:pStyle w:val="Tabletext1"/>
              <w:jc w:val="center"/>
            </w:pPr>
          </w:p>
        </w:tc>
      </w:tr>
      <w:tr w:rsidR="008A7DAC" w:rsidRPr="00B2301A" w14:paraId="0D500438" w14:textId="77777777" w:rsidTr="00B16993">
        <w:tc>
          <w:tcPr>
            <w:tcW w:w="669" w:type="pct"/>
            <w:tcBorders>
              <w:top w:val="single" w:sz="4" w:space="0" w:color="auto"/>
              <w:left w:val="single" w:sz="4" w:space="0" w:color="auto"/>
              <w:bottom w:val="nil"/>
              <w:right w:val="single" w:sz="4" w:space="0" w:color="auto"/>
            </w:tcBorders>
            <w:shd w:val="clear" w:color="auto" w:fill="auto"/>
            <w:vAlign w:val="bottom"/>
          </w:tcPr>
          <w:p w14:paraId="5CF41C49" w14:textId="277DE93A" w:rsidR="008A10FF" w:rsidRDefault="00211285" w:rsidP="009C1ABE">
            <w:pPr>
              <w:pStyle w:val="Tabletext1"/>
              <w:rPr>
                <w:snapToGrid w:val="0"/>
              </w:rPr>
            </w:pPr>
            <w:hyperlink w:anchor="_ENREF_35" w:tooltip="Guckenberger, 2010 #48" w:history="1">
              <w:r w:rsidR="001F781A">
                <w:fldChar w:fldCharType="begin"/>
              </w:r>
              <w:r w:rsidR="001F781A">
                <w:instrText xml:space="preserve"> ADDIN EN.CITE &lt;EndNote&gt;&lt;Cite AuthorYear="1"&gt;&lt;Author&gt;Guckenberger&lt;/Author&gt;&lt;Year&gt;2010&lt;/Year&gt;&lt;RecNum&gt;48&lt;/RecNum&gt;&lt;DisplayText&gt;Guckenberger, Ok, et al. (2010)&lt;/DisplayText&gt;&lt;record&gt;&lt;rec-number&gt;48&lt;/rec-number&gt;&lt;foreign-keys&gt;&lt;key app="EN" db-id="sx5wsdwv795wvue959xxw0ptaewvdezxxp05" timestamp="1604876377"&gt;48&lt;/key&gt;&lt;/foreign-keys&gt;&lt;ref-type name="Journal Article"&gt;17&lt;/ref-type&gt;&lt;contributors&gt;&lt;authors&gt;&lt;author&gt;Guckenberger, M.&lt;/author&gt;&lt;author&gt;Ok, S.&lt;/author&gt;&lt;author&gt;Polat, B.&lt;/author&gt;&lt;author&gt;Sweeney, R. A.&lt;/author&gt;&lt;author&gt;Flentje, M.&lt;/author&gt;&lt;/authors&gt;&lt;/contributors&gt;&lt;titles&gt;&lt;title&gt;Toxicity after intensity-modulated, image-guided radiotherapy for prostate cancer&lt;/title&gt;&lt;secondary-title&gt;Strahlenther Onkol&lt;/secondary-title&gt;&lt;/titles&gt;&lt;pages&gt;535-43&lt;/pages&gt;&lt;volume&gt;186&lt;/volume&gt;&lt;number&gt;10&lt;/number&gt;&lt;dates&gt;&lt;year&gt;2010&lt;/year&gt;&lt;/dates&gt;&lt;accession-num&gt;20890743&lt;/accession-num&gt;&lt;urls&gt;&lt;related-urls&gt;&lt;url&gt;http://ezproxy.library.usyd.edu.au/login?url=http://ovidsp.ovid.com/ovidweb.cgi?T=JS&amp;amp;CSC=Y&amp;amp;NEWS=N&amp;amp;PAGE=fulltext&amp;amp;D=med8&amp;amp;AN=20890743https://sydney.alma.exlibrisgroup.com/openurl/61USYD_INST/61USYD_INST:sydney?sid=OVID:medline&amp;amp;id=pmid:20890743&amp;amp;id=doi:10.1007&lt;/url&gt;&lt;url&gt;https://link.springer.com/content/pdf/10.1007/s00066-010-2144-z.pdf&lt;/url&gt;&lt;/related-urls&gt;&lt;/urls&gt;&lt;electronic-resource-num&gt;https://dx.doi.org/10.1007/s00066-010-2144-z&lt;/electronic-resource-num&gt;&lt;/record&gt;&lt;/Cite&gt;&lt;/EndNote&gt;</w:instrText>
              </w:r>
              <w:r w:rsidR="001F781A">
                <w:fldChar w:fldCharType="separate"/>
              </w:r>
              <w:r w:rsidR="001F781A">
                <w:rPr>
                  <w:noProof/>
                </w:rPr>
                <w:t>Guckenberger, Ok, et al. (2010)</w:t>
              </w:r>
              <w:r w:rsidR="001F781A">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2E32ED32" w14:textId="75A957F3" w:rsidR="008A10FF" w:rsidRPr="00B16993" w:rsidRDefault="008A7DAC" w:rsidP="009C1ABE">
            <w:pPr>
              <w:pStyle w:val="Tabletext1"/>
              <w:jc w:val="center"/>
            </w:pPr>
            <w:r w:rsidRPr="00B16993">
              <w:t>Diarrhea</w:t>
            </w:r>
          </w:p>
        </w:tc>
        <w:tc>
          <w:tcPr>
            <w:tcW w:w="349" w:type="pct"/>
            <w:tcBorders>
              <w:top w:val="single" w:sz="4" w:space="0" w:color="auto"/>
              <w:left w:val="single" w:sz="4" w:space="0" w:color="auto"/>
              <w:bottom w:val="single" w:sz="4" w:space="0" w:color="auto"/>
              <w:right w:val="single" w:sz="4" w:space="0" w:color="auto"/>
            </w:tcBorders>
          </w:tcPr>
          <w:p w14:paraId="3CE92BD1" w14:textId="77777777" w:rsidR="008A10FF" w:rsidRDefault="008A10FF"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B63F694" w14:textId="4D0DC1D2" w:rsidR="008A10FF" w:rsidRDefault="008A7DAC" w:rsidP="009C1ABE">
            <w:pPr>
              <w:pStyle w:val="Tabletext1"/>
              <w:jc w:val="center"/>
            </w:pPr>
            <w:r w:rsidRPr="005B65E5">
              <w:t>14%</w:t>
            </w:r>
          </w:p>
        </w:tc>
        <w:tc>
          <w:tcPr>
            <w:tcW w:w="349" w:type="pct"/>
            <w:tcBorders>
              <w:top w:val="single" w:sz="4" w:space="0" w:color="auto"/>
              <w:left w:val="single" w:sz="4" w:space="0" w:color="auto"/>
              <w:bottom w:val="single" w:sz="4" w:space="0" w:color="auto"/>
              <w:right w:val="single" w:sz="4" w:space="0" w:color="auto"/>
            </w:tcBorders>
          </w:tcPr>
          <w:p w14:paraId="6002BC79" w14:textId="27D56375" w:rsidR="008A10FF" w:rsidRDefault="008A7DAC" w:rsidP="009C1ABE">
            <w:pPr>
              <w:pStyle w:val="Tabletext1"/>
              <w:jc w:val="center"/>
            </w:pPr>
            <w:r w:rsidRPr="005B65E5">
              <w:t>1%</w:t>
            </w:r>
          </w:p>
        </w:tc>
        <w:tc>
          <w:tcPr>
            <w:tcW w:w="349" w:type="pct"/>
            <w:tcBorders>
              <w:top w:val="single" w:sz="4" w:space="0" w:color="auto"/>
              <w:left w:val="single" w:sz="4" w:space="0" w:color="auto"/>
              <w:bottom w:val="single" w:sz="4" w:space="0" w:color="auto"/>
              <w:right w:val="single" w:sz="4" w:space="0" w:color="auto"/>
            </w:tcBorders>
          </w:tcPr>
          <w:p w14:paraId="3D282F88" w14:textId="17A77D77" w:rsidR="008A10FF" w:rsidRDefault="008A7DAC"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56EDE00F" w14:textId="66F0C0FA" w:rsidR="008A10FF" w:rsidRDefault="008A10FF"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65D1FF4" w14:textId="4348B253" w:rsidR="008A10FF" w:rsidRDefault="008A10FF"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6B5470C" w14:textId="75105493" w:rsidR="008A10FF" w:rsidRDefault="005B65E5" w:rsidP="009C1ABE">
            <w:pPr>
              <w:pStyle w:val="Tabletext1"/>
              <w:jc w:val="center"/>
            </w:pPr>
            <w:r w:rsidRPr="005B65E5">
              <w:t>1.5%</w:t>
            </w:r>
          </w:p>
        </w:tc>
        <w:tc>
          <w:tcPr>
            <w:tcW w:w="349" w:type="pct"/>
            <w:tcBorders>
              <w:top w:val="single" w:sz="4" w:space="0" w:color="auto"/>
              <w:left w:val="single" w:sz="4" w:space="0" w:color="auto"/>
              <w:bottom w:val="single" w:sz="4" w:space="0" w:color="auto"/>
              <w:right w:val="single" w:sz="4" w:space="0" w:color="auto"/>
            </w:tcBorders>
          </w:tcPr>
          <w:p w14:paraId="1BEDF17E" w14:textId="59FE89E6" w:rsidR="008A10FF" w:rsidRDefault="005B65E5" w:rsidP="009C1ABE">
            <w:pPr>
              <w:pStyle w:val="Tabletext1"/>
              <w:jc w:val="center"/>
            </w:pPr>
            <w:r w:rsidRPr="005B65E5">
              <w:t>1.5%</w:t>
            </w:r>
          </w:p>
        </w:tc>
        <w:tc>
          <w:tcPr>
            <w:tcW w:w="349" w:type="pct"/>
            <w:tcBorders>
              <w:top w:val="single" w:sz="4" w:space="0" w:color="auto"/>
              <w:left w:val="single" w:sz="4" w:space="0" w:color="auto"/>
              <w:bottom w:val="single" w:sz="4" w:space="0" w:color="auto"/>
              <w:right w:val="single" w:sz="4" w:space="0" w:color="auto"/>
            </w:tcBorders>
          </w:tcPr>
          <w:p w14:paraId="5189D17A" w14:textId="4482BE7A" w:rsidR="008A10FF" w:rsidRDefault="005B65E5" w:rsidP="009C1ABE">
            <w:pPr>
              <w:pStyle w:val="Tabletext1"/>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0DA6DFD0" w14:textId="77777777" w:rsidR="008A10FF" w:rsidRDefault="008A10FF" w:rsidP="009C1ABE">
            <w:pPr>
              <w:pStyle w:val="Tabletext1"/>
              <w:jc w:val="center"/>
            </w:pPr>
          </w:p>
        </w:tc>
      </w:tr>
      <w:tr w:rsidR="005B65E5" w:rsidRPr="00B2301A" w14:paraId="554E4720" w14:textId="77777777" w:rsidTr="00B16993">
        <w:tc>
          <w:tcPr>
            <w:tcW w:w="669" w:type="pct"/>
            <w:tcBorders>
              <w:top w:val="nil"/>
              <w:left w:val="single" w:sz="4" w:space="0" w:color="auto"/>
              <w:bottom w:val="nil"/>
              <w:right w:val="single" w:sz="4" w:space="0" w:color="auto"/>
            </w:tcBorders>
            <w:shd w:val="clear" w:color="auto" w:fill="auto"/>
            <w:vAlign w:val="bottom"/>
          </w:tcPr>
          <w:p w14:paraId="7C584C27" w14:textId="77777777" w:rsidR="005B65E5" w:rsidRDefault="005B65E5" w:rsidP="009C1ABE">
            <w:pPr>
              <w:pStyle w:val="Tabletext1"/>
            </w:pPr>
          </w:p>
        </w:tc>
        <w:tc>
          <w:tcPr>
            <w:tcW w:w="847" w:type="pct"/>
            <w:tcBorders>
              <w:top w:val="single" w:sz="4" w:space="0" w:color="auto"/>
              <w:left w:val="single" w:sz="4" w:space="0" w:color="auto"/>
              <w:bottom w:val="single" w:sz="4" w:space="0" w:color="auto"/>
              <w:right w:val="single" w:sz="4" w:space="0" w:color="auto"/>
            </w:tcBorders>
          </w:tcPr>
          <w:p w14:paraId="626E6CF3" w14:textId="67BF68BE" w:rsidR="005B65E5" w:rsidRPr="00B16993" w:rsidRDefault="005B65E5" w:rsidP="009C1ABE">
            <w:pPr>
              <w:pStyle w:val="Tabletext1"/>
              <w:jc w:val="center"/>
            </w:pPr>
            <w:r w:rsidRPr="00B16993">
              <w:t>Proctitis</w:t>
            </w:r>
          </w:p>
        </w:tc>
        <w:tc>
          <w:tcPr>
            <w:tcW w:w="349" w:type="pct"/>
            <w:tcBorders>
              <w:top w:val="single" w:sz="4" w:space="0" w:color="auto"/>
              <w:left w:val="single" w:sz="4" w:space="0" w:color="auto"/>
              <w:bottom w:val="single" w:sz="4" w:space="0" w:color="auto"/>
              <w:right w:val="single" w:sz="4" w:space="0" w:color="auto"/>
            </w:tcBorders>
          </w:tcPr>
          <w:p w14:paraId="41569EFD"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31E1B4A" w14:textId="2873D2FA" w:rsidR="005B65E5" w:rsidRDefault="005B65E5" w:rsidP="009C1ABE">
            <w:pPr>
              <w:pStyle w:val="Tabletext1"/>
              <w:jc w:val="center"/>
            </w:pPr>
            <w:r w:rsidRPr="005B65E5">
              <w:t>20%</w:t>
            </w:r>
          </w:p>
        </w:tc>
        <w:tc>
          <w:tcPr>
            <w:tcW w:w="349" w:type="pct"/>
            <w:tcBorders>
              <w:top w:val="single" w:sz="4" w:space="0" w:color="auto"/>
              <w:left w:val="single" w:sz="4" w:space="0" w:color="auto"/>
              <w:bottom w:val="single" w:sz="4" w:space="0" w:color="auto"/>
              <w:right w:val="single" w:sz="4" w:space="0" w:color="auto"/>
            </w:tcBorders>
          </w:tcPr>
          <w:p w14:paraId="2509B562" w14:textId="5410D8C9" w:rsidR="005B65E5" w:rsidRDefault="005B65E5" w:rsidP="009C1ABE">
            <w:pPr>
              <w:pStyle w:val="Tabletext1"/>
              <w:jc w:val="center"/>
            </w:pPr>
            <w:r w:rsidRPr="005B65E5">
              <w:t>7%</w:t>
            </w:r>
          </w:p>
        </w:tc>
        <w:tc>
          <w:tcPr>
            <w:tcW w:w="349" w:type="pct"/>
            <w:tcBorders>
              <w:top w:val="single" w:sz="4" w:space="0" w:color="auto"/>
              <w:left w:val="single" w:sz="4" w:space="0" w:color="auto"/>
              <w:bottom w:val="single" w:sz="4" w:space="0" w:color="auto"/>
              <w:right w:val="single" w:sz="4" w:space="0" w:color="auto"/>
            </w:tcBorders>
          </w:tcPr>
          <w:p w14:paraId="00803FBB" w14:textId="51005DE1"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53199537" w14:textId="77777777" w:rsidR="005B65E5" w:rsidRDefault="005B65E5"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77E463C"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2593646" w14:textId="7040B2D8" w:rsidR="005B65E5" w:rsidRDefault="005B65E5" w:rsidP="009C1ABE">
            <w:pPr>
              <w:pStyle w:val="Tabletext1"/>
              <w:jc w:val="center"/>
            </w:pPr>
            <w:r w:rsidRPr="005B65E5">
              <w:t>1.5%</w:t>
            </w:r>
          </w:p>
        </w:tc>
        <w:tc>
          <w:tcPr>
            <w:tcW w:w="349" w:type="pct"/>
            <w:tcBorders>
              <w:top w:val="single" w:sz="4" w:space="0" w:color="auto"/>
              <w:left w:val="single" w:sz="4" w:space="0" w:color="auto"/>
              <w:bottom w:val="single" w:sz="4" w:space="0" w:color="auto"/>
              <w:right w:val="single" w:sz="4" w:space="0" w:color="auto"/>
            </w:tcBorders>
          </w:tcPr>
          <w:p w14:paraId="13840A67" w14:textId="4F2E4BB4"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4B8FC545" w14:textId="3E1B0E7C" w:rsidR="005B65E5" w:rsidRDefault="005B65E5" w:rsidP="009C1ABE">
            <w:pPr>
              <w:pStyle w:val="Tabletext1"/>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658FB637" w14:textId="77777777" w:rsidR="005B65E5" w:rsidRDefault="005B65E5" w:rsidP="009C1ABE">
            <w:pPr>
              <w:pStyle w:val="Tabletext1"/>
              <w:jc w:val="center"/>
            </w:pPr>
          </w:p>
        </w:tc>
      </w:tr>
      <w:tr w:rsidR="005B65E5" w:rsidRPr="00B2301A" w14:paraId="5A59BD03" w14:textId="77777777" w:rsidTr="00B16993">
        <w:tc>
          <w:tcPr>
            <w:tcW w:w="669" w:type="pct"/>
            <w:tcBorders>
              <w:top w:val="nil"/>
              <w:left w:val="single" w:sz="4" w:space="0" w:color="auto"/>
              <w:bottom w:val="nil"/>
              <w:right w:val="single" w:sz="4" w:space="0" w:color="auto"/>
            </w:tcBorders>
            <w:shd w:val="clear" w:color="auto" w:fill="auto"/>
            <w:vAlign w:val="bottom"/>
          </w:tcPr>
          <w:p w14:paraId="28D4890F" w14:textId="77777777" w:rsidR="005B65E5" w:rsidRDefault="005B65E5" w:rsidP="009C1ABE">
            <w:pPr>
              <w:pStyle w:val="Tabletext1"/>
            </w:pPr>
          </w:p>
        </w:tc>
        <w:tc>
          <w:tcPr>
            <w:tcW w:w="847" w:type="pct"/>
            <w:tcBorders>
              <w:top w:val="single" w:sz="4" w:space="0" w:color="auto"/>
              <w:left w:val="single" w:sz="4" w:space="0" w:color="auto"/>
              <w:bottom w:val="single" w:sz="4" w:space="0" w:color="auto"/>
              <w:right w:val="single" w:sz="4" w:space="0" w:color="auto"/>
            </w:tcBorders>
          </w:tcPr>
          <w:p w14:paraId="7C9AD9F0" w14:textId="03615F93" w:rsidR="005B65E5" w:rsidRPr="00B16993" w:rsidRDefault="005B65E5" w:rsidP="009C1ABE">
            <w:pPr>
              <w:pStyle w:val="Tabletext1"/>
              <w:jc w:val="center"/>
            </w:pPr>
            <w:r w:rsidRPr="00B16993">
              <w:t>Rectal bleeding</w:t>
            </w:r>
          </w:p>
        </w:tc>
        <w:tc>
          <w:tcPr>
            <w:tcW w:w="349" w:type="pct"/>
            <w:tcBorders>
              <w:top w:val="single" w:sz="4" w:space="0" w:color="auto"/>
              <w:left w:val="single" w:sz="4" w:space="0" w:color="auto"/>
              <w:bottom w:val="single" w:sz="4" w:space="0" w:color="auto"/>
              <w:right w:val="single" w:sz="4" w:space="0" w:color="auto"/>
            </w:tcBorders>
          </w:tcPr>
          <w:p w14:paraId="5BA7D60E"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0CBB951" w14:textId="02506841" w:rsidR="005B65E5" w:rsidRDefault="005B65E5" w:rsidP="009C1ABE">
            <w:pPr>
              <w:pStyle w:val="Tabletext1"/>
              <w:jc w:val="center"/>
            </w:pPr>
            <w:r w:rsidRPr="005B65E5">
              <w:t>1%</w:t>
            </w:r>
          </w:p>
        </w:tc>
        <w:tc>
          <w:tcPr>
            <w:tcW w:w="349" w:type="pct"/>
            <w:tcBorders>
              <w:top w:val="single" w:sz="4" w:space="0" w:color="auto"/>
              <w:left w:val="single" w:sz="4" w:space="0" w:color="auto"/>
              <w:bottom w:val="single" w:sz="4" w:space="0" w:color="auto"/>
              <w:right w:val="single" w:sz="4" w:space="0" w:color="auto"/>
            </w:tcBorders>
          </w:tcPr>
          <w:p w14:paraId="32913749" w14:textId="662007C8"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0802C3B7" w14:textId="63DF8F26"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6D1AEEF0" w14:textId="77777777" w:rsidR="005B65E5" w:rsidRDefault="005B65E5"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D4D5484"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AB01203" w14:textId="3899552D"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2FAFD090" w14:textId="1F9CE827"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06E0E521" w14:textId="250D2B39" w:rsidR="005B65E5" w:rsidRDefault="005B65E5" w:rsidP="009C1ABE">
            <w:pPr>
              <w:pStyle w:val="Tabletext1"/>
              <w:jc w:val="center"/>
            </w:pPr>
            <w:r w:rsidRPr="005B65E5">
              <w:t>1.5%</w:t>
            </w:r>
          </w:p>
        </w:tc>
        <w:tc>
          <w:tcPr>
            <w:tcW w:w="341" w:type="pct"/>
            <w:tcBorders>
              <w:top w:val="single" w:sz="4" w:space="0" w:color="auto"/>
              <w:left w:val="single" w:sz="4" w:space="0" w:color="auto"/>
              <w:bottom w:val="single" w:sz="4" w:space="0" w:color="auto"/>
              <w:right w:val="single" w:sz="4" w:space="0" w:color="auto"/>
            </w:tcBorders>
          </w:tcPr>
          <w:p w14:paraId="7CC2DB08" w14:textId="77777777" w:rsidR="005B65E5" w:rsidRDefault="005B65E5" w:rsidP="009C1ABE">
            <w:pPr>
              <w:pStyle w:val="Tabletext1"/>
              <w:jc w:val="center"/>
            </w:pPr>
          </w:p>
        </w:tc>
      </w:tr>
      <w:tr w:rsidR="005B65E5" w:rsidRPr="00B2301A" w14:paraId="53E48BDC" w14:textId="77777777" w:rsidTr="00B16993">
        <w:tc>
          <w:tcPr>
            <w:tcW w:w="669" w:type="pct"/>
            <w:tcBorders>
              <w:top w:val="nil"/>
              <w:left w:val="single" w:sz="4" w:space="0" w:color="auto"/>
              <w:bottom w:val="nil"/>
              <w:right w:val="single" w:sz="4" w:space="0" w:color="auto"/>
            </w:tcBorders>
            <w:shd w:val="clear" w:color="auto" w:fill="auto"/>
            <w:vAlign w:val="bottom"/>
          </w:tcPr>
          <w:p w14:paraId="5A05E6DB" w14:textId="77777777" w:rsidR="005B65E5" w:rsidRDefault="005B65E5" w:rsidP="009C1ABE">
            <w:pPr>
              <w:pStyle w:val="Tabletext1"/>
            </w:pPr>
          </w:p>
        </w:tc>
        <w:tc>
          <w:tcPr>
            <w:tcW w:w="847" w:type="pct"/>
            <w:tcBorders>
              <w:top w:val="single" w:sz="4" w:space="0" w:color="auto"/>
              <w:left w:val="single" w:sz="4" w:space="0" w:color="auto"/>
              <w:bottom w:val="single" w:sz="4" w:space="0" w:color="auto"/>
              <w:right w:val="single" w:sz="4" w:space="0" w:color="auto"/>
            </w:tcBorders>
          </w:tcPr>
          <w:p w14:paraId="2F7648E9" w14:textId="6A9B98BF" w:rsidR="005B65E5" w:rsidRPr="00B16993" w:rsidRDefault="005B65E5" w:rsidP="009C1ABE">
            <w:pPr>
              <w:pStyle w:val="Tabletext1"/>
              <w:jc w:val="center"/>
            </w:pPr>
            <w:r w:rsidRPr="00B16993">
              <w:t>Faecal incontinence</w:t>
            </w:r>
          </w:p>
        </w:tc>
        <w:tc>
          <w:tcPr>
            <w:tcW w:w="349" w:type="pct"/>
            <w:tcBorders>
              <w:top w:val="single" w:sz="4" w:space="0" w:color="auto"/>
              <w:left w:val="single" w:sz="4" w:space="0" w:color="auto"/>
              <w:bottom w:val="single" w:sz="4" w:space="0" w:color="auto"/>
              <w:right w:val="single" w:sz="4" w:space="0" w:color="auto"/>
            </w:tcBorders>
          </w:tcPr>
          <w:p w14:paraId="67D7D4F4"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E118B53" w14:textId="43595482" w:rsidR="005B65E5" w:rsidRDefault="005B65E5" w:rsidP="009C1ABE">
            <w:pPr>
              <w:pStyle w:val="Tabletext1"/>
              <w:jc w:val="center"/>
            </w:pPr>
            <w:r w:rsidRPr="005B65E5">
              <w:t>1%</w:t>
            </w:r>
          </w:p>
        </w:tc>
        <w:tc>
          <w:tcPr>
            <w:tcW w:w="349" w:type="pct"/>
            <w:tcBorders>
              <w:top w:val="single" w:sz="4" w:space="0" w:color="auto"/>
              <w:left w:val="single" w:sz="4" w:space="0" w:color="auto"/>
              <w:bottom w:val="single" w:sz="4" w:space="0" w:color="auto"/>
              <w:right w:val="single" w:sz="4" w:space="0" w:color="auto"/>
            </w:tcBorders>
          </w:tcPr>
          <w:p w14:paraId="621AE490" w14:textId="550BD039"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3CBF5A5B" w14:textId="4140021C"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13FA1A12" w14:textId="77777777" w:rsidR="005B65E5" w:rsidRDefault="005B65E5"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CC6E32D"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5062FDA" w14:textId="6358B3EE" w:rsidR="005B65E5" w:rsidRDefault="005B65E5" w:rsidP="009C1ABE">
            <w:pPr>
              <w:pStyle w:val="Tabletext1"/>
              <w:jc w:val="center"/>
            </w:pPr>
            <w:r w:rsidRPr="005B65E5">
              <w:t>1.5%</w:t>
            </w:r>
          </w:p>
        </w:tc>
        <w:tc>
          <w:tcPr>
            <w:tcW w:w="349" w:type="pct"/>
            <w:tcBorders>
              <w:top w:val="single" w:sz="4" w:space="0" w:color="auto"/>
              <w:left w:val="single" w:sz="4" w:space="0" w:color="auto"/>
              <w:bottom w:val="single" w:sz="4" w:space="0" w:color="auto"/>
              <w:right w:val="single" w:sz="4" w:space="0" w:color="auto"/>
            </w:tcBorders>
          </w:tcPr>
          <w:p w14:paraId="0966BDCD" w14:textId="5CFB9C62"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458C21D6" w14:textId="3BAB3D29" w:rsidR="005B65E5" w:rsidRDefault="005B65E5" w:rsidP="009C1ABE">
            <w:pPr>
              <w:pStyle w:val="Tabletext1"/>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2BFAE9B5" w14:textId="77777777" w:rsidR="005B65E5" w:rsidRDefault="005B65E5" w:rsidP="009C1ABE">
            <w:pPr>
              <w:pStyle w:val="Tabletext1"/>
              <w:jc w:val="center"/>
            </w:pPr>
          </w:p>
        </w:tc>
      </w:tr>
      <w:tr w:rsidR="005B65E5" w:rsidRPr="00B2301A" w14:paraId="49EA90B6" w14:textId="77777777" w:rsidTr="00B16993">
        <w:tc>
          <w:tcPr>
            <w:tcW w:w="669" w:type="pct"/>
            <w:tcBorders>
              <w:top w:val="nil"/>
              <w:left w:val="single" w:sz="4" w:space="0" w:color="auto"/>
              <w:bottom w:val="nil"/>
              <w:right w:val="single" w:sz="4" w:space="0" w:color="auto"/>
            </w:tcBorders>
            <w:shd w:val="clear" w:color="auto" w:fill="auto"/>
            <w:vAlign w:val="bottom"/>
          </w:tcPr>
          <w:p w14:paraId="374427D2" w14:textId="77777777" w:rsidR="005B65E5" w:rsidRDefault="005B65E5" w:rsidP="009C1ABE">
            <w:pPr>
              <w:pStyle w:val="Tabletext1"/>
            </w:pPr>
          </w:p>
        </w:tc>
        <w:tc>
          <w:tcPr>
            <w:tcW w:w="847" w:type="pct"/>
            <w:tcBorders>
              <w:top w:val="single" w:sz="4" w:space="0" w:color="auto"/>
              <w:left w:val="single" w:sz="4" w:space="0" w:color="auto"/>
              <w:bottom w:val="single" w:sz="4" w:space="0" w:color="auto"/>
              <w:right w:val="single" w:sz="4" w:space="0" w:color="auto"/>
            </w:tcBorders>
          </w:tcPr>
          <w:p w14:paraId="4CB870B1" w14:textId="2440EFA3" w:rsidR="005B65E5" w:rsidRPr="00B16993" w:rsidRDefault="005B65E5" w:rsidP="009C1ABE">
            <w:pPr>
              <w:pStyle w:val="Tabletext1"/>
              <w:jc w:val="center"/>
            </w:pPr>
            <w:r w:rsidRPr="00B16993">
              <w:t>Urinary frequency</w:t>
            </w:r>
          </w:p>
        </w:tc>
        <w:tc>
          <w:tcPr>
            <w:tcW w:w="349" w:type="pct"/>
            <w:tcBorders>
              <w:top w:val="single" w:sz="4" w:space="0" w:color="auto"/>
              <w:left w:val="single" w:sz="4" w:space="0" w:color="auto"/>
              <w:bottom w:val="single" w:sz="4" w:space="0" w:color="auto"/>
              <w:right w:val="single" w:sz="4" w:space="0" w:color="auto"/>
            </w:tcBorders>
          </w:tcPr>
          <w:p w14:paraId="5AC80220"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6067EEF" w14:textId="39C6DC37" w:rsidR="005B65E5" w:rsidRDefault="005B65E5" w:rsidP="009C1ABE">
            <w:pPr>
              <w:pStyle w:val="Tabletext1"/>
              <w:jc w:val="center"/>
            </w:pPr>
            <w:r w:rsidRPr="005B65E5">
              <w:t>53%</w:t>
            </w:r>
          </w:p>
        </w:tc>
        <w:tc>
          <w:tcPr>
            <w:tcW w:w="349" w:type="pct"/>
            <w:tcBorders>
              <w:top w:val="single" w:sz="4" w:space="0" w:color="auto"/>
              <w:left w:val="single" w:sz="4" w:space="0" w:color="auto"/>
              <w:bottom w:val="single" w:sz="4" w:space="0" w:color="auto"/>
              <w:right w:val="single" w:sz="4" w:space="0" w:color="auto"/>
            </w:tcBorders>
          </w:tcPr>
          <w:p w14:paraId="02407397" w14:textId="68D1C460" w:rsidR="005B65E5" w:rsidRDefault="005B65E5" w:rsidP="009C1ABE">
            <w:pPr>
              <w:pStyle w:val="Tabletext1"/>
              <w:jc w:val="center"/>
            </w:pPr>
            <w:r w:rsidRPr="005B65E5">
              <w:t>32%</w:t>
            </w:r>
          </w:p>
        </w:tc>
        <w:tc>
          <w:tcPr>
            <w:tcW w:w="349" w:type="pct"/>
            <w:tcBorders>
              <w:top w:val="single" w:sz="4" w:space="0" w:color="auto"/>
              <w:left w:val="single" w:sz="4" w:space="0" w:color="auto"/>
              <w:bottom w:val="single" w:sz="4" w:space="0" w:color="auto"/>
              <w:right w:val="single" w:sz="4" w:space="0" w:color="auto"/>
            </w:tcBorders>
          </w:tcPr>
          <w:p w14:paraId="7D9F1662" w14:textId="6A920EA5" w:rsidR="005B65E5" w:rsidRDefault="005B65E5" w:rsidP="009C1ABE">
            <w:pPr>
              <w:pStyle w:val="Tabletext1"/>
              <w:jc w:val="center"/>
            </w:pPr>
            <w:r w:rsidRPr="005B65E5">
              <w:t>1%</w:t>
            </w:r>
          </w:p>
        </w:tc>
        <w:tc>
          <w:tcPr>
            <w:tcW w:w="349" w:type="pct"/>
            <w:tcBorders>
              <w:top w:val="single" w:sz="4" w:space="0" w:color="auto"/>
              <w:left w:val="single" w:sz="4" w:space="0" w:color="auto"/>
              <w:bottom w:val="single" w:sz="4" w:space="0" w:color="auto"/>
              <w:right w:val="single" w:sz="4" w:space="0" w:color="auto"/>
            </w:tcBorders>
          </w:tcPr>
          <w:p w14:paraId="5B2AA616" w14:textId="77777777" w:rsidR="005B65E5" w:rsidRDefault="005B65E5"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E328DE9"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47AD70C" w14:textId="33ACE077" w:rsidR="005B65E5" w:rsidRDefault="005B65E5" w:rsidP="009C1ABE">
            <w:pPr>
              <w:pStyle w:val="Tabletext1"/>
              <w:jc w:val="center"/>
            </w:pPr>
            <w:r w:rsidRPr="005B65E5">
              <w:t>11%</w:t>
            </w:r>
          </w:p>
        </w:tc>
        <w:tc>
          <w:tcPr>
            <w:tcW w:w="349" w:type="pct"/>
            <w:tcBorders>
              <w:top w:val="single" w:sz="4" w:space="0" w:color="auto"/>
              <w:left w:val="single" w:sz="4" w:space="0" w:color="auto"/>
              <w:bottom w:val="single" w:sz="4" w:space="0" w:color="auto"/>
              <w:right w:val="single" w:sz="4" w:space="0" w:color="auto"/>
            </w:tcBorders>
          </w:tcPr>
          <w:p w14:paraId="3798B210" w14:textId="5EC01B19" w:rsidR="005B65E5" w:rsidRDefault="005B65E5" w:rsidP="009C1ABE">
            <w:pPr>
              <w:pStyle w:val="Tabletext1"/>
              <w:jc w:val="center"/>
            </w:pPr>
            <w:r w:rsidRPr="005B65E5">
              <w:t>3.1%</w:t>
            </w:r>
          </w:p>
        </w:tc>
        <w:tc>
          <w:tcPr>
            <w:tcW w:w="349" w:type="pct"/>
            <w:tcBorders>
              <w:top w:val="single" w:sz="4" w:space="0" w:color="auto"/>
              <w:left w:val="single" w:sz="4" w:space="0" w:color="auto"/>
              <w:bottom w:val="single" w:sz="4" w:space="0" w:color="auto"/>
              <w:right w:val="single" w:sz="4" w:space="0" w:color="auto"/>
            </w:tcBorders>
          </w:tcPr>
          <w:p w14:paraId="77F3ED52" w14:textId="55010076" w:rsidR="005B65E5" w:rsidRDefault="005B65E5" w:rsidP="009C1ABE">
            <w:pPr>
              <w:pStyle w:val="Tabletext1"/>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63E45700" w14:textId="77777777" w:rsidR="005B65E5" w:rsidRDefault="005B65E5" w:rsidP="009C1ABE">
            <w:pPr>
              <w:pStyle w:val="Tabletext1"/>
              <w:jc w:val="center"/>
            </w:pPr>
          </w:p>
        </w:tc>
      </w:tr>
      <w:tr w:rsidR="005B65E5" w:rsidRPr="00B2301A" w14:paraId="1C94238B" w14:textId="77777777" w:rsidTr="00B16993">
        <w:tc>
          <w:tcPr>
            <w:tcW w:w="669" w:type="pct"/>
            <w:tcBorders>
              <w:top w:val="nil"/>
              <w:left w:val="single" w:sz="4" w:space="0" w:color="auto"/>
              <w:bottom w:val="nil"/>
              <w:right w:val="single" w:sz="4" w:space="0" w:color="auto"/>
            </w:tcBorders>
            <w:shd w:val="clear" w:color="auto" w:fill="auto"/>
            <w:vAlign w:val="bottom"/>
          </w:tcPr>
          <w:p w14:paraId="1A831563" w14:textId="2BB894B0" w:rsidR="005B65E5" w:rsidRDefault="005B65E5" w:rsidP="009C1ABE">
            <w:pPr>
              <w:pStyle w:val="Tabletext1"/>
            </w:pPr>
          </w:p>
        </w:tc>
        <w:tc>
          <w:tcPr>
            <w:tcW w:w="847" w:type="pct"/>
            <w:tcBorders>
              <w:top w:val="single" w:sz="4" w:space="0" w:color="auto"/>
              <w:left w:val="single" w:sz="4" w:space="0" w:color="auto"/>
              <w:bottom w:val="single" w:sz="4" w:space="0" w:color="auto"/>
              <w:right w:val="single" w:sz="4" w:space="0" w:color="auto"/>
            </w:tcBorders>
          </w:tcPr>
          <w:p w14:paraId="31D82858" w14:textId="14BBFBCF" w:rsidR="005B65E5" w:rsidRPr="00B16993" w:rsidRDefault="005B65E5" w:rsidP="009C1ABE">
            <w:pPr>
              <w:pStyle w:val="Tabletext1"/>
              <w:jc w:val="center"/>
            </w:pPr>
            <w:r w:rsidRPr="00B16993">
              <w:t>Dysuria</w:t>
            </w:r>
          </w:p>
        </w:tc>
        <w:tc>
          <w:tcPr>
            <w:tcW w:w="349" w:type="pct"/>
            <w:tcBorders>
              <w:top w:val="single" w:sz="4" w:space="0" w:color="auto"/>
              <w:left w:val="single" w:sz="4" w:space="0" w:color="auto"/>
              <w:bottom w:val="single" w:sz="4" w:space="0" w:color="auto"/>
              <w:right w:val="single" w:sz="4" w:space="0" w:color="auto"/>
            </w:tcBorders>
          </w:tcPr>
          <w:p w14:paraId="4C908658"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F7EB7A8" w14:textId="54F4D530" w:rsidR="005B65E5" w:rsidRDefault="005B65E5" w:rsidP="009C1ABE">
            <w:pPr>
              <w:pStyle w:val="Tabletext1"/>
              <w:jc w:val="center"/>
            </w:pPr>
            <w:r w:rsidRPr="005B65E5">
              <w:t>41%</w:t>
            </w:r>
          </w:p>
        </w:tc>
        <w:tc>
          <w:tcPr>
            <w:tcW w:w="349" w:type="pct"/>
            <w:tcBorders>
              <w:top w:val="single" w:sz="4" w:space="0" w:color="auto"/>
              <w:left w:val="single" w:sz="4" w:space="0" w:color="auto"/>
              <w:bottom w:val="single" w:sz="4" w:space="0" w:color="auto"/>
              <w:right w:val="single" w:sz="4" w:space="0" w:color="auto"/>
            </w:tcBorders>
          </w:tcPr>
          <w:p w14:paraId="1B589222" w14:textId="5FA46E3C" w:rsidR="005B65E5" w:rsidRDefault="005B65E5" w:rsidP="009C1ABE">
            <w:pPr>
              <w:pStyle w:val="Tabletext1"/>
              <w:jc w:val="center"/>
            </w:pPr>
            <w:r w:rsidRPr="005B65E5">
              <w:t>2%</w:t>
            </w:r>
          </w:p>
        </w:tc>
        <w:tc>
          <w:tcPr>
            <w:tcW w:w="349" w:type="pct"/>
            <w:tcBorders>
              <w:top w:val="single" w:sz="4" w:space="0" w:color="auto"/>
              <w:left w:val="single" w:sz="4" w:space="0" w:color="auto"/>
              <w:bottom w:val="single" w:sz="4" w:space="0" w:color="auto"/>
              <w:right w:val="single" w:sz="4" w:space="0" w:color="auto"/>
            </w:tcBorders>
          </w:tcPr>
          <w:p w14:paraId="2FEADD9F" w14:textId="029F5A28"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6044EA3C" w14:textId="77777777" w:rsidR="005B65E5" w:rsidRDefault="005B65E5"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EDAF8F5"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18D9DD4" w14:textId="549BBCF7" w:rsidR="005B65E5" w:rsidRDefault="005B65E5" w:rsidP="009C1ABE">
            <w:pPr>
              <w:pStyle w:val="Tabletext1"/>
              <w:jc w:val="center"/>
            </w:pPr>
            <w:r w:rsidRPr="005B65E5">
              <w:t>4.6%</w:t>
            </w:r>
          </w:p>
        </w:tc>
        <w:tc>
          <w:tcPr>
            <w:tcW w:w="349" w:type="pct"/>
            <w:tcBorders>
              <w:top w:val="single" w:sz="4" w:space="0" w:color="auto"/>
              <w:left w:val="single" w:sz="4" w:space="0" w:color="auto"/>
              <w:bottom w:val="single" w:sz="4" w:space="0" w:color="auto"/>
              <w:right w:val="single" w:sz="4" w:space="0" w:color="auto"/>
            </w:tcBorders>
          </w:tcPr>
          <w:p w14:paraId="70ECAB26" w14:textId="6129F848"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426EC88A" w14:textId="6D96D626" w:rsidR="005B65E5" w:rsidRDefault="005B65E5" w:rsidP="009C1ABE">
            <w:pPr>
              <w:pStyle w:val="Tabletext1"/>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2F103A2A" w14:textId="77777777" w:rsidR="005B65E5" w:rsidRDefault="005B65E5" w:rsidP="009C1ABE">
            <w:pPr>
              <w:pStyle w:val="Tabletext1"/>
              <w:jc w:val="center"/>
            </w:pPr>
          </w:p>
        </w:tc>
      </w:tr>
      <w:tr w:rsidR="005B65E5" w:rsidRPr="00B2301A" w14:paraId="42912CAF" w14:textId="77777777" w:rsidTr="00B16993">
        <w:tc>
          <w:tcPr>
            <w:tcW w:w="669" w:type="pct"/>
            <w:tcBorders>
              <w:top w:val="nil"/>
              <w:left w:val="single" w:sz="4" w:space="0" w:color="auto"/>
              <w:bottom w:val="nil"/>
              <w:right w:val="single" w:sz="4" w:space="0" w:color="auto"/>
            </w:tcBorders>
            <w:shd w:val="clear" w:color="auto" w:fill="auto"/>
            <w:vAlign w:val="bottom"/>
          </w:tcPr>
          <w:p w14:paraId="2E7DE668" w14:textId="77777777" w:rsidR="005B65E5" w:rsidRDefault="005B65E5" w:rsidP="009C1ABE">
            <w:pPr>
              <w:pStyle w:val="Tabletext1"/>
            </w:pPr>
          </w:p>
        </w:tc>
        <w:tc>
          <w:tcPr>
            <w:tcW w:w="847" w:type="pct"/>
            <w:tcBorders>
              <w:top w:val="single" w:sz="4" w:space="0" w:color="auto"/>
              <w:left w:val="single" w:sz="4" w:space="0" w:color="auto"/>
              <w:bottom w:val="single" w:sz="4" w:space="0" w:color="auto"/>
              <w:right w:val="single" w:sz="4" w:space="0" w:color="auto"/>
            </w:tcBorders>
          </w:tcPr>
          <w:p w14:paraId="2EFCE439" w14:textId="6568DB74" w:rsidR="005B65E5" w:rsidRPr="00B16993" w:rsidRDefault="005B65E5" w:rsidP="009C1ABE">
            <w:pPr>
              <w:pStyle w:val="Tabletext1"/>
              <w:jc w:val="center"/>
            </w:pPr>
            <w:r w:rsidRPr="00B16993">
              <w:t>Haematuria</w:t>
            </w:r>
          </w:p>
        </w:tc>
        <w:tc>
          <w:tcPr>
            <w:tcW w:w="349" w:type="pct"/>
            <w:tcBorders>
              <w:top w:val="single" w:sz="4" w:space="0" w:color="auto"/>
              <w:left w:val="single" w:sz="4" w:space="0" w:color="auto"/>
              <w:bottom w:val="single" w:sz="4" w:space="0" w:color="auto"/>
              <w:right w:val="single" w:sz="4" w:space="0" w:color="auto"/>
            </w:tcBorders>
          </w:tcPr>
          <w:p w14:paraId="36CC1A47"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F18D8C7" w14:textId="7C3EB6BC" w:rsidR="005B65E5" w:rsidRDefault="005B65E5" w:rsidP="009C1ABE">
            <w:pPr>
              <w:pStyle w:val="Tabletext1"/>
              <w:jc w:val="center"/>
            </w:pPr>
            <w:r w:rsidRPr="005B65E5">
              <w:t>2%</w:t>
            </w:r>
          </w:p>
        </w:tc>
        <w:tc>
          <w:tcPr>
            <w:tcW w:w="349" w:type="pct"/>
            <w:tcBorders>
              <w:top w:val="single" w:sz="4" w:space="0" w:color="auto"/>
              <w:left w:val="single" w:sz="4" w:space="0" w:color="auto"/>
              <w:bottom w:val="single" w:sz="4" w:space="0" w:color="auto"/>
              <w:right w:val="single" w:sz="4" w:space="0" w:color="auto"/>
            </w:tcBorders>
          </w:tcPr>
          <w:p w14:paraId="074132F9" w14:textId="275641BB"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6B4D246A" w14:textId="33247A9A"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097AEBED" w14:textId="77777777" w:rsidR="005B65E5" w:rsidRDefault="005B65E5"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BB9887D"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7B5EF64" w14:textId="6E569531" w:rsidR="005B65E5" w:rsidRDefault="005B65E5" w:rsidP="009C1ABE">
            <w:pPr>
              <w:pStyle w:val="Tabletext1"/>
              <w:jc w:val="center"/>
            </w:pPr>
            <w:r w:rsidRPr="005B65E5">
              <w:t>1.5%</w:t>
            </w:r>
          </w:p>
        </w:tc>
        <w:tc>
          <w:tcPr>
            <w:tcW w:w="349" w:type="pct"/>
            <w:tcBorders>
              <w:top w:val="single" w:sz="4" w:space="0" w:color="auto"/>
              <w:left w:val="single" w:sz="4" w:space="0" w:color="auto"/>
              <w:bottom w:val="single" w:sz="4" w:space="0" w:color="auto"/>
              <w:right w:val="single" w:sz="4" w:space="0" w:color="auto"/>
            </w:tcBorders>
          </w:tcPr>
          <w:p w14:paraId="09AD89DA" w14:textId="0D6FCC2D" w:rsidR="005B65E5" w:rsidRDefault="005B65E5" w:rsidP="009C1ABE">
            <w:pPr>
              <w:pStyle w:val="Tabletext1"/>
              <w:jc w:val="center"/>
            </w:pPr>
            <w:r w:rsidRPr="005B65E5">
              <w:t>3.1%</w:t>
            </w:r>
          </w:p>
        </w:tc>
        <w:tc>
          <w:tcPr>
            <w:tcW w:w="349" w:type="pct"/>
            <w:tcBorders>
              <w:top w:val="single" w:sz="4" w:space="0" w:color="auto"/>
              <w:left w:val="single" w:sz="4" w:space="0" w:color="auto"/>
              <w:bottom w:val="single" w:sz="4" w:space="0" w:color="auto"/>
              <w:right w:val="single" w:sz="4" w:space="0" w:color="auto"/>
            </w:tcBorders>
          </w:tcPr>
          <w:p w14:paraId="618E1E59" w14:textId="27DF18F3" w:rsidR="005B65E5" w:rsidRDefault="005B65E5" w:rsidP="009C1ABE">
            <w:pPr>
              <w:pStyle w:val="Tabletext1"/>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242F3857" w14:textId="77777777" w:rsidR="005B65E5" w:rsidRDefault="005B65E5" w:rsidP="009C1ABE">
            <w:pPr>
              <w:pStyle w:val="Tabletext1"/>
              <w:jc w:val="center"/>
            </w:pPr>
          </w:p>
        </w:tc>
      </w:tr>
      <w:tr w:rsidR="005B65E5" w:rsidRPr="00B2301A" w14:paraId="4D0558F0" w14:textId="77777777" w:rsidTr="00B16993">
        <w:tc>
          <w:tcPr>
            <w:tcW w:w="669" w:type="pct"/>
            <w:tcBorders>
              <w:top w:val="nil"/>
              <w:left w:val="single" w:sz="4" w:space="0" w:color="auto"/>
              <w:bottom w:val="single" w:sz="4" w:space="0" w:color="auto"/>
              <w:right w:val="single" w:sz="4" w:space="0" w:color="auto"/>
            </w:tcBorders>
            <w:shd w:val="clear" w:color="auto" w:fill="auto"/>
            <w:vAlign w:val="bottom"/>
          </w:tcPr>
          <w:p w14:paraId="67B2886A" w14:textId="77777777" w:rsidR="005B65E5" w:rsidRDefault="005B65E5" w:rsidP="009C1ABE">
            <w:pPr>
              <w:pStyle w:val="Tabletext1"/>
            </w:pPr>
          </w:p>
        </w:tc>
        <w:tc>
          <w:tcPr>
            <w:tcW w:w="847" w:type="pct"/>
            <w:tcBorders>
              <w:top w:val="single" w:sz="4" w:space="0" w:color="auto"/>
              <w:left w:val="single" w:sz="4" w:space="0" w:color="auto"/>
              <w:bottom w:val="single" w:sz="4" w:space="0" w:color="auto"/>
              <w:right w:val="single" w:sz="4" w:space="0" w:color="auto"/>
            </w:tcBorders>
          </w:tcPr>
          <w:p w14:paraId="472841DE" w14:textId="0A621C54" w:rsidR="005B65E5" w:rsidRPr="00B16993" w:rsidRDefault="005B65E5" w:rsidP="009C1ABE">
            <w:pPr>
              <w:pStyle w:val="Tabletext1"/>
              <w:jc w:val="center"/>
            </w:pPr>
            <w:r w:rsidRPr="00B16993">
              <w:t>Urinary incontinence</w:t>
            </w:r>
          </w:p>
        </w:tc>
        <w:tc>
          <w:tcPr>
            <w:tcW w:w="349" w:type="pct"/>
            <w:tcBorders>
              <w:top w:val="single" w:sz="4" w:space="0" w:color="auto"/>
              <w:left w:val="single" w:sz="4" w:space="0" w:color="auto"/>
              <w:bottom w:val="single" w:sz="4" w:space="0" w:color="auto"/>
              <w:right w:val="single" w:sz="4" w:space="0" w:color="auto"/>
            </w:tcBorders>
          </w:tcPr>
          <w:p w14:paraId="6E73C90C"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AF4C4AC" w14:textId="4ACC3A82" w:rsidR="005B65E5" w:rsidRDefault="005B65E5" w:rsidP="009C1ABE">
            <w:pPr>
              <w:pStyle w:val="Tabletext1"/>
              <w:jc w:val="center"/>
            </w:pPr>
            <w:r>
              <w:t>12%</w:t>
            </w:r>
          </w:p>
        </w:tc>
        <w:tc>
          <w:tcPr>
            <w:tcW w:w="349" w:type="pct"/>
            <w:tcBorders>
              <w:top w:val="single" w:sz="4" w:space="0" w:color="auto"/>
              <w:left w:val="single" w:sz="4" w:space="0" w:color="auto"/>
              <w:bottom w:val="single" w:sz="4" w:space="0" w:color="auto"/>
              <w:right w:val="single" w:sz="4" w:space="0" w:color="auto"/>
            </w:tcBorders>
          </w:tcPr>
          <w:p w14:paraId="4B29E94E" w14:textId="7A67C360"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21E821B1" w14:textId="79BF2B9D" w:rsidR="005B65E5" w:rsidRDefault="005B65E5" w:rsidP="009C1ABE">
            <w:pPr>
              <w:pStyle w:val="Tabletext1"/>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61613A4C" w14:textId="77777777" w:rsidR="005B65E5" w:rsidRDefault="005B65E5" w:rsidP="009C1ABE">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A065BE2" w14:textId="77777777" w:rsidR="005B65E5" w:rsidRDefault="005B65E5" w:rsidP="009C1ABE">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0FFEAFC" w14:textId="294E3E45" w:rsidR="005B65E5" w:rsidRDefault="005B65E5" w:rsidP="009C1ABE">
            <w:pPr>
              <w:pStyle w:val="Tabletext1"/>
              <w:jc w:val="center"/>
            </w:pPr>
            <w:r w:rsidRPr="005B65E5">
              <w:t>11%</w:t>
            </w:r>
          </w:p>
        </w:tc>
        <w:tc>
          <w:tcPr>
            <w:tcW w:w="349" w:type="pct"/>
            <w:tcBorders>
              <w:top w:val="single" w:sz="4" w:space="0" w:color="auto"/>
              <w:left w:val="single" w:sz="4" w:space="0" w:color="auto"/>
              <w:bottom w:val="single" w:sz="4" w:space="0" w:color="auto"/>
              <w:right w:val="single" w:sz="4" w:space="0" w:color="auto"/>
            </w:tcBorders>
          </w:tcPr>
          <w:p w14:paraId="44E67F04" w14:textId="63ACCD08" w:rsidR="005B65E5" w:rsidRDefault="005B65E5" w:rsidP="009C1ABE">
            <w:pPr>
              <w:pStyle w:val="Tabletext1"/>
              <w:jc w:val="center"/>
            </w:pPr>
            <w:r w:rsidRPr="005B65E5">
              <w:t>1.5%</w:t>
            </w:r>
          </w:p>
        </w:tc>
        <w:tc>
          <w:tcPr>
            <w:tcW w:w="349" w:type="pct"/>
            <w:tcBorders>
              <w:top w:val="single" w:sz="4" w:space="0" w:color="auto"/>
              <w:left w:val="single" w:sz="4" w:space="0" w:color="auto"/>
              <w:bottom w:val="single" w:sz="4" w:space="0" w:color="auto"/>
              <w:right w:val="single" w:sz="4" w:space="0" w:color="auto"/>
            </w:tcBorders>
          </w:tcPr>
          <w:p w14:paraId="59A3A281" w14:textId="34CCED22" w:rsidR="005B65E5" w:rsidRDefault="005B65E5" w:rsidP="009C1ABE">
            <w:pPr>
              <w:pStyle w:val="Tabletext1"/>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759E17D6" w14:textId="77777777" w:rsidR="005B65E5" w:rsidRDefault="005B65E5" w:rsidP="009C1ABE">
            <w:pPr>
              <w:pStyle w:val="Tabletext1"/>
              <w:jc w:val="center"/>
            </w:pPr>
          </w:p>
        </w:tc>
      </w:tr>
      <w:tr w:rsidR="005B65E5" w:rsidRPr="00B2301A" w14:paraId="4BC20D31" w14:textId="77777777" w:rsidTr="00B16993">
        <w:tc>
          <w:tcPr>
            <w:tcW w:w="669" w:type="pct"/>
            <w:tcBorders>
              <w:top w:val="single" w:sz="4" w:space="0" w:color="auto"/>
              <w:left w:val="single" w:sz="4" w:space="0" w:color="auto"/>
              <w:bottom w:val="nil"/>
              <w:right w:val="single" w:sz="4" w:space="0" w:color="auto"/>
            </w:tcBorders>
            <w:shd w:val="clear" w:color="auto" w:fill="auto"/>
            <w:vAlign w:val="bottom"/>
          </w:tcPr>
          <w:p w14:paraId="51BE8E37" w14:textId="24691B02" w:rsidR="005B65E5" w:rsidRDefault="00211285" w:rsidP="009C1ABE">
            <w:pPr>
              <w:pStyle w:val="Tabletext1"/>
              <w:keepNext/>
              <w:keepLines/>
              <w:rPr>
                <w:snapToGrid w:val="0"/>
              </w:rPr>
            </w:pPr>
            <w:hyperlink w:anchor="_ENREF_34" w:tooltip="Guckenberger, 2014 #47" w:history="1">
              <w:r w:rsidR="008B6FC0">
                <w:fldChar w:fldCharType="begin"/>
              </w:r>
              <w:r w:rsidR="008B6FC0">
                <w:instrText xml:space="preserve"> ADDIN EN.CITE &lt;EndNote&gt;&lt;Cite AuthorYear="1"&gt;&lt;Author&gt;Guckenberger&lt;/Author&gt;&lt;Year&gt;2014&lt;/Year&gt;&lt;RecNum&gt;47&lt;/RecNum&gt;&lt;DisplayText&gt;Guckenberger et al. (2014)&lt;/DisplayText&gt;&lt;record&gt;&lt;rec-number&gt;47&lt;/rec-number&gt;&lt;foreign-keys&gt;&lt;key app="EN" db-id="sx5wsdwv795wvue959xxw0ptaewvdezxxp05" timestamp="1604876376"&gt;47&lt;/key&gt;&lt;/foreign-keys&gt;&lt;ref-type name="Journal Article"&gt;17&lt;/ref-type&gt;&lt;contributors&gt;&lt;authors&gt;&lt;author&gt;Guckenberger, M.&lt;/author&gt;&lt;author&gt;Lawrenz, I.&lt;/author&gt;&lt;author&gt;Flentje, M.&lt;/author&gt;&lt;/authors&gt;&lt;/contributors&gt;&lt;titles&gt;&lt;title&gt;Moderately hypofractionated radiotherapy for localized prostate cancer: long-term outcome using IMRT and volumetric IGRT&lt;/title&gt;&lt;secondary-title&gt;Strahlenther Onkol&lt;/secondary-title&gt;&lt;/titles&gt;&lt;pages&gt;48-53&lt;/pages&gt;&lt;volume&gt;190&lt;/volume&gt;&lt;number&gt;1&lt;/number&gt;&lt;dates&gt;&lt;year&gt;2014&lt;/year&gt;&lt;/dates&gt;&lt;accession-num&gt;24196279&lt;/accession-num&gt;&lt;urls&gt;&lt;related-urls&gt;&lt;url&gt;http://ezproxy.library.usyd.edu.au/login?url=http://ovidsp.ovid.com/ovidweb.cgi?T=JS&amp;amp;CSC=Y&amp;amp;NEWS=N&amp;amp;PAGE=fulltext&amp;amp;D=med11&amp;amp;AN=24196279https://sydney.alma.exlibrisgroup.com/openurl/61USYD_INST/61USYD_INST:sydney?sid=OVID:medline&amp;amp;id=pmid:24196279&amp;amp;id=doi:10.100&lt;/url&gt;&lt;url&gt;https://link.springer.com/content/pdf/10.1007/s00066-013-0443-x.pdf&lt;/url&gt;&lt;/related-urls&gt;&lt;/urls&gt;&lt;electronic-resource-num&gt;https://dx.doi.org/10.1007/s00066-013-0443-x&lt;/electronic-resource-num&gt;&lt;/record&gt;&lt;/Cite&gt;&lt;/EndNote&gt;</w:instrText>
              </w:r>
              <w:r w:rsidR="008B6FC0">
                <w:fldChar w:fldCharType="separate"/>
              </w:r>
              <w:r w:rsidR="008B6FC0">
                <w:rPr>
                  <w:noProof/>
                </w:rPr>
                <w:t>Guckenberger et al. (2014)</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28B82210" w14:textId="7C9FF418" w:rsidR="005B65E5" w:rsidRDefault="005B65E5" w:rsidP="009C1ABE">
            <w:pPr>
              <w:pStyle w:val="Tabletext1"/>
              <w:keepNext/>
              <w:keepLines/>
              <w:jc w:val="center"/>
            </w:pPr>
            <w:r w:rsidRPr="005B65E5">
              <w:t>Diarrhea</w:t>
            </w:r>
          </w:p>
        </w:tc>
        <w:tc>
          <w:tcPr>
            <w:tcW w:w="349" w:type="pct"/>
            <w:tcBorders>
              <w:top w:val="single" w:sz="4" w:space="0" w:color="auto"/>
              <w:left w:val="single" w:sz="4" w:space="0" w:color="auto"/>
              <w:bottom w:val="single" w:sz="4" w:space="0" w:color="auto"/>
              <w:right w:val="single" w:sz="4" w:space="0" w:color="auto"/>
            </w:tcBorders>
          </w:tcPr>
          <w:p w14:paraId="140802C9"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41A5C11E" w14:textId="543D45E4" w:rsidR="005B65E5" w:rsidRDefault="005B65E5" w:rsidP="009C1ABE">
            <w:pPr>
              <w:pStyle w:val="Tabletext1"/>
              <w:keepNext/>
              <w:keepLines/>
              <w:jc w:val="center"/>
            </w:pPr>
            <w:r w:rsidRPr="005B65E5">
              <w:t>17%</w:t>
            </w:r>
          </w:p>
        </w:tc>
        <w:tc>
          <w:tcPr>
            <w:tcW w:w="349" w:type="pct"/>
            <w:tcBorders>
              <w:top w:val="single" w:sz="4" w:space="0" w:color="auto"/>
              <w:left w:val="single" w:sz="4" w:space="0" w:color="auto"/>
              <w:bottom w:val="single" w:sz="4" w:space="0" w:color="auto"/>
              <w:right w:val="single" w:sz="4" w:space="0" w:color="auto"/>
            </w:tcBorders>
          </w:tcPr>
          <w:p w14:paraId="3A8BE42D" w14:textId="0EA36F8E" w:rsidR="005B65E5" w:rsidRDefault="005B65E5" w:rsidP="009C1ABE">
            <w:pPr>
              <w:pStyle w:val="Tabletext1"/>
              <w:keepNext/>
              <w:keepLines/>
              <w:jc w:val="center"/>
            </w:pPr>
            <w:r w:rsidRPr="005B65E5">
              <w:t>2.7%</w:t>
            </w:r>
          </w:p>
        </w:tc>
        <w:tc>
          <w:tcPr>
            <w:tcW w:w="349" w:type="pct"/>
            <w:tcBorders>
              <w:top w:val="single" w:sz="4" w:space="0" w:color="auto"/>
              <w:left w:val="single" w:sz="4" w:space="0" w:color="auto"/>
              <w:bottom w:val="single" w:sz="4" w:space="0" w:color="auto"/>
              <w:right w:val="single" w:sz="4" w:space="0" w:color="auto"/>
            </w:tcBorders>
          </w:tcPr>
          <w:p w14:paraId="22FFD185" w14:textId="575B331D" w:rsidR="005B65E5" w:rsidRDefault="005B65E5" w:rsidP="009C1ABE">
            <w:pPr>
              <w:pStyle w:val="Tabletext1"/>
              <w:keepNext/>
              <w:keepLines/>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2F239E63" w14:textId="49B43FC9" w:rsidR="005B65E5" w:rsidRDefault="005B65E5"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44D3CA6" w14:textId="7EB98B58"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5BF0640C" w14:textId="0832CA05" w:rsidR="005B65E5" w:rsidRDefault="005B65E5" w:rsidP="009C1ABE">
            <w:pPr>
              <w:pStyle w:val="Tabletext1"/>
              <w:keepNext/>
              <w:keepLines/>
              <w:jc w:val="center"/>
            </w:pPr>
            <w:r w:rsidRPr="005B65E5">
              <w:t>2.9%</w:t>
            </w:r>
          </w:p>
        </w:tc>
        <w:tc>
          <w:tcPr>
            <w:tcW w:w="349" w:type="pct"/>
            <w:tcBorders>
              <w:top w:val="single" w:sz="4" w:space="0" w:color="auto"/>
              <w:left w:val="single" w:sz="4" w:space="0" w:color="auto"/>
              <w:bottom w:val="single" w:sz="4" w:space="0" w:color="auto"/>
              <w:right w:val="single" w:sz="4" w:space="0" w:color="auto"/>
            </w:tcBorders>
          </w:tcPr>
          <w:p w14:paraId="1662C4D3" w14:textId="0C377981" w:rsidR="005B65E5" w:rsidRDefault="005B65E5" w:rsidP="009C1ABE">
            <w:pPr>
              <w:pStyle w:val="Tabletext1"/>
              <w:keepNext/>
              <w:keepLines/>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473871D8" w14:textId="473D0A00" w:rsidR="005B65E5" w:rsidRDefault="005B65E5" w:rsidP="009C1ABE">
            <w:pPr>
              <w:pStyle w:val="Tabletext1"/>
              <w:keepNext/>
              <w:keepLines/>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482AF208" w14:textId="77777777" w:rsidR="005B65E5" w:rsidRDefault="005B65E5" w:rsidP="009C1ABE">
            <w:pPr>
              <w:pStyle w:val="Tabletext1"/>
              <w:keepNext/>
              <w:keepLines/>
              <w:jc w:val="center"/>
            </w:pPr>
          </w:p>
        </w:tc>
      </w:tr>
      <w:tr w:rsidR="005B65E5" w:rsidRPr="00B2301A" w14:paraId="6870DA00" w14:textId="77777777" w:rsidTr="00B16993">
        <w:tc>
          <w:tcPr>
            <w:tcW w:w="669" w:type="pct"/>
            <w:tcBorders>
              <w:top w:val="nil"/>
              <w:left w:val="single" w:sz="4" w:space="0" w:color="auto"/>
              <w:bottom w:val="nil"/>
              <w:right w:val="single" w:sz="4" w:space="0" w:color="auto"/>
            </w:tcBorders>
            <w:shd w:val="clear" w:color="auto" w:fill="auto"/>
          </w:tcPr>
          <w:p w14:paraId="38263A3F" w14:textId="77777777" w:rsidR="005B65E5" w:rsidRDefault="005B65E5" w:rsidP="009C1ABE">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2D954E44" w14:textId="386FAA00" w:rsidR="005B65E5" w:rsidRDefault="005B65E5" w:rsidP="009C1ABE">
            <w:pPr>
              <w:pStyle w:val="Tabletext1"/>
              <w:keepNext/>
              <w:keepLines/>
              <w:jc w:val="center"/>
            </w:pPr>
            <w:r>
              <w:t>Proctitis</w:t>
            </w:r>
          </w:p>
        </w:tc>
        <w:tc>
          <w:tcPr>
            <w:tcW w:w="349" w:type="pct"/>
            <w:tcBorders>
              <w:top w:val="single" w:sz="4" w:space="0" w:color="auto"/>
              <w:left w:val="single" w:sz="4" w:space="0" w:color="auto"/>
              <w:bottom w:val="single" w:sz="4" w:space="0" w:color="auto"/>
              <w:right w:val="single" w:sz="4" w:space="0" w:color="auto"/>
            </w:tcBorders>
          </w:tcPr>
          <w:p w14:paraId="53E85633"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133FD805" w14:textId="67D26E65" w:rsidR="005B65E5" w:rsidRDefault="005B65E5" w:rsidP="009C1ABE">
            <w:pPr>
              <w:pStyle w:val="Tabletext1"/>
              <w:keepNext/>
              <w:keepLines/>
              <w:jc w:val="center"/>
            </w:pPr>
            <w:r w:rsidRPr="005B65E5">
              <w:t>19%</w:t>
            </w:r>
          </w:p>
        </w:tc>
        <w:tc>
          <w:tcPr>
            <w:tcW w:w="349" w:type="pct"/>
            <w:tcBorders>
              <w:top w:val="single" w:sz="4" w:space="0" w:color="auto"/>
              <w:left w:val="single" w:sz="4" w:space="0" w:color="auto"/>
              <w:bottom w:val="single" w:sz="4" w:space="0" w:color="auto"/>
              <w:right w:val="single" w:sz="4" w:space="0" w:color="auto"/>
            </w:tcBorders>
          </w:tcPr>
          <w:p w14:paraId="134EE41A" w14:textId="5955C841" w:rsidR="005B65E5" w:rsidRDefault="005B65E5" w:rsidP="009C1ABE">
            <w:pPr>
              <w:pStyle w:val="Tabletext1"/>
              <w:keepNext/>
              <w:keepLines/>
              <w:jc w:val="center"/>
            </w:pPr>
            <w:r w:rsidRPr="005B65E5">
              <w:t>5.3%</w:t>
            </w:r>
          </w:p>
        </w:tc>
        <w:tc>
          <w:tcPr>
            <w:tcW w:w="349" w:type="pct"/>
            <w:tcBorders>
              <w:top w:val="single" w:sz="4" w:space="0" w:color="auto"/>
              <w:left w:val="single" w:sz="4" w:space="0" w:color="auto"/>
              <w:bottom w:val="single" w:sz="4" w:space="0" w:color="auto"/>
              <w:right w:val="single" w:sz="4" w:space="0" w:color="auto"/>
            </w:tcBorders>
          </w:tcPr>
          <w:p w14:paraId="54917A55" w14:textId="73DF6076" w:rsidR="005B65E5" w:rsidRDefault="005B65E5" w:rsidP="009C1ABE">
            <w:pPr>
              <w:pStyle w:val="Tabletext1"/>
              <w:keepNext/>
              <w:keepLines/>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6C0EF441" w14:textId="77777777" w:rsidR="005B65E5" w:rsidRDefault="005B65E5"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4BD589A"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3EFCD081" w14:textId="66AA28FF" w:rsidR="005B65E5" w:rsidRDefault="005B65E5" w:rsidP="009C1ABE">
            <w:pPr>
              <w:pStyle w:val="Tabletext1"/>
              <w:keepNext/>
              <w:keepLines/>
              <w:jc w:val="center"/>
            </w:pPr>
            <w:r w:rsidRPr="005B65E5">
              <w:t>4.8%</w:t>
            </w:r>
          </w:p>
        </w:tc>
        <w:tc>
          <w:tcPr>
            <w:tcW w:w="349" w:type="pct"/>
            <w:tcBorders>
              <w:top w:val="single" w:sz="4" w:space="0" w:color="auto"/>
              <w:left w:val="single" w:sz="4" w:space="0" w:color="auto"/>
              <w:bottom w:val="single" w:sz="4" w:space="0" w:color="auto"/>
              <w:right w:val="single" w:sz="4" w:space="0" w:color="auto"/>
            </w:tcBorders>
          </w:tcPr>
          <w:p w14:paraId="03D7C66D" w14:textId="3C8353EB" w:rsidR="005B65E5" w:rsidRDefault="005B65E5" w:rsidP="009C1ABE">
            <w:pPr>
              <w:pStyle w:val="Tabletext1"/>
              <w:keepNext/>
              <w:keepLines/>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07E3E3BF" w14:textId="153725DB" w:rsidR="005B65E5" w:rsidRDefault="005B65E5" w:rsidP="009C1ABE">
            <w:pPr>
              <w:pStyle w:val="Tabletext1"/>
              <w:keepNext/>
              <w:keepLines/>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4CA4C6F1" w14:textId="77777777" w:rsidR="005B65E5" w:rsidRDefault="005B65E5" w:rsidP="009C1ABE">
            <w:pPr>
              <w:pStyle w:val="Tabletext1"/>
              <w:keepNext/>
              <w:keepLines/>
              <w:jc w:val="center"/>
            </w:pPr>
          </w:p>
        </w:tc>
      </w:tr>
      <w:tr w:rsidR="005B65E5" w:rsidRPr="00B2301A" w14:paraId="3A872300" w14:textId="77777777" w:rsidTr="00B16993">
        <w:tc>
          <w:tcPr>
            <w:tcW w:w="669" w:type="pct"/>
            <w:tcBorders>
              <w:top w:val="nil"/>
              <w:left w:val="single" w:sz="4" w:space="0" w:color="auto"/>
              <w:bottom w:val="nil"/>
              <w:right w:val="single" w:sz="4" w:space="0" w:color="auto"/>
            </w:tcBorders>
            <w:shd w:val="clear" w:color="auto" w:fill="auto"/>
          </w:tcPr>
          <w:p w14:paraId="1C22D1EE" w14:textId="77777777" w:rsidR="005B65E5" w:rsidRDefault="005B65E5" w:rsidP="009C1ABE">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7EDC6109" w14:textId="215D447E" w:rsidR="005B65E5" w:rsidRDefault="005B65E5" w:rsidP="009C1ABE">
            <w:pPr>
              <w:pStyle w:val="Tabletext1"/>
              <w:keepNext/>
              <w:keepLines/>
              <w:jc w:val="center"/>
            </w:pPr>
            <w:r>
              <w:t>Rectal bleeding</w:t>
            </w:r>
          </w:p>
        </w:tc>
        <w:tc>
          <w:tcPr>
            <w:tcW w:w="349" w:type="pct"/>
            <w:tcBorders>
              <w:top w:val="single" w:sz="4" w:space="0" w:color="auto"/>
              <w:left w:val="single" w:sz="4" w:space="0" w:color="auto"/>
              <w:bottom w:val="single" w:sz="4" w:space="0" w:color="auto"/>
              <w:right w:val="single" w:sz="4" w:space="0" w:color="auto"/>
            </w:tcBorders>
          </w:tcPr>
          <w:p w14:paraId="6783A4B5"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40529922" w14:textId="0D157FAE" w:rsidR="005B65E5" w:rsidRDefault="005B65E5" w:rsidP="009C1ABE">
            <w:pPr>
              <w:pStyle w:val="Tabletext1"/>
              <w:keepNext/>
              <w:keepLines/>
              <w:jc w:val="center"/>
            </w:pPr>
            <w:r w:rsidRPr="005B65E5">
              <w:t>4.7%</w:t>
            </w:r>
          </w:p>
        </w:tc>
        <w:tc>
          <w:tcPr>
            <w:tcW w:w="349" w:type="pct"/>
            <w:tcBorders>
              <w:top w:val="single" w:sz="4" w:space="0" w:color="auto"/>
              <w:left w:val="single" w:sz="4" w:space="0" w:color="auto"/>
              <w:bottom w:val="single" w:sz="4" w:space="0" w:color="auto"/>
              <w:right w:val="single" w:sz="4" w:space="0" w:color="auto"/>
            </w:tcBorders>
          </w:tcPr>
          <w:p w14:paraId="3BC97DFA" w14:textId="5446A311" w:rsidR="005B65E5" w:rsidRDefault="005B65E5" w:rsidP="009C1ABE">
            <w:pPr>
              <w:pStyle w:val="Tabletext1"/>
              <w:keepNext/>
              <w:keepLines/>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3BF2A461" w14:textId="34EAA2EF" w:rsidR="005B65E5" w:rsidRDefault="005B65E5" w:rsidP="009C1ABE">
            <w:pPr>
              <w:pStyle w:val="Tabletext1"/>
              <w:keepNext/>
              <w:keepLines/>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6698FECB" w14:textId="77777777" w:rsidR="005B65E5" w:rsidRDefault="005B65E5"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6739E9F"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C98EA50" w14:textId="3F297AD6" w:rsidR="005B65E5" w:rsidRDefault="005B65E5" w:rsidP="009C1ABE">
            <w:pPr>
              <w:pStyle w:val="Tabletext1"/>
              <w:keepNext/>
              <w:keepLines/>
              <w:jc w:val="center"/>
            </w:pPr>
            <w:r w:rsidRPr="005B65E5">
              <w:t>5.7%</w:t>
            </w:r>
          </w:p>
        </w:tc>
        <w:tc>
          <w:tcPr>
            <w:tcW w:w="349" w:type="pct"/>
            <w:tcBorders>
              <w:top w:val="single" w:sz="4" w:space="0" w:color="auto"/>
              <w:left w:val="single" w:sz="4" w:space="0" w:color="auto"/>
              <w:bottom w:val="single" w:sz="4" w:space="0" w:color="auto"/>
              <w:right w:val="single" w:sz="4" w:space="0" w:color="auto"/>
            </w:tcBorders>
          </w:tcPr>
          <w:p w14:paraId="4161F3E0" w14:textId="526268FE" w:rsidR="005B65E5" w:rsidRDefault="005B65E5" w:rsidP="009C1ABE">
            <w:pPr>
              <w:pStyle w:val="Tabletext1"/>
              <w:keepNext/>
              <w:keepLines/>
              <w:jc w:val="center"/>
            </w:pPr>
            <w:r w:rsidRPr="005B65E5">
              <w:t>0%</w:t>
            </w:r>
          </w:p>
        </w:tc>
        <w:tc>
          <w:tcPr>
            <w:tcW w:w="349" w:type="pct"/>
            <w:tcBorders>
              <w:top w:val="single" w:sz="4" w:space="0" w:color="auto"/>
              <w:left w:val="single" w:sz="4" w:space="0" w:color="auto"/>
              <w:bottom w:val="single" w:sz="4" w:space="0" w:color="auto"/>
              <w:right w:val="single" w:sz="4" w:space="0" w:color="auto"/>
            </w:tcBorders>
          </w:tcPr>
          <w:p w14:paraId="65D5B91B" w14:textId="2462BA35" w:rsidR="005B65E5" w:rsidRDefault="005B65E5" w:rsidP="009C1ABE">
            <w:pPr>
              <w:pStyle w:val="Tabletext1"/>
              <w:keepNext/>
              <w:keepLines/>
              <w:jc w:val="center"/>
            </w:pPr>
            <w:r w:rsidRPr="005B65E5">
              <w:t>0%</w:t>
            </w:r>
          </w:p>
        </w:tc>
        <w:tc>
          <w:tcPr>
            <w:tcW w:w="341" w:type="pct"/>
            <w:tcBorders>
              <w:top w:val="single" w:sz="4" w:space="0" w:color="auto"/>
              <w:left w:val="single" w:sz="4" w:space="0" w:color="auto"/>
              <w:bottom w:val="single" w:sz="4" w:space="0" w:color="auto"/>
              <w:right w:val="single" w:sz="4" w:space="0" w:color="auto"/>
            </w:tcBorders>
          </w:tcPr>
          <w:p w14:paraId="532B2DC1" w14:textId="77777777" w:rsidR="005B65E5" w:rsidRDefault="005B65E5" w:rsidP="009C1ABE">
            <w:pPr>
              <w:pStyle w:val="Tabletext1"/>
              <w:keepNext/>
              <w:keepLines/>
              <w:jc w:val="center"/>
            </w:pPr>
          </w:p>
        </w:tc>
      </w:tr>
      <w:tr w:rsidR="005B65E5" w:rsidRPr="00B2301A" w14:paraId="017AC412" w14:textId="77777777" w:rsidTr="00B16993">
        <w:tc>
          <w:tcPr>
            <w:tcW w:w="669" w:type="pct"/>
            <w:tcBorders>
              <w:top w:val="nil"/>
              <w:left w:val="single" w:sz="4" w:space="0" w:color="auto"/>
              <w:bottom w:val="nil"/>
              <w:right w:val="single" w:sz="4" w:space="0" w:color="auto"/>
            </w:tcBorders>
            <w:shd w:val="clear" w:color="auto" w:fill="auto"/>
          </w:tcPr>
          <w:p w14:paraId="2B4C7DE0" w14:textId="77777777" w:rsidR="005B65E5" w:rsidRDefault="005B65E5" w:rsidP="009C1ABE">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3085C42E" w14:textId="5DEE8D5A" w:rsidR="005B65E5" w:rsidRDefault="005B65E5" w:rsidP="009C1ABE">
            <w:pPr>
              <w:pStyle w:val="Tabletext1"/>
              <w:keepNext/>
              <w:keepLines/>
              <w:jc w:val="center"/>
            </w:pPr>
            <w:r>
              <w:t>Faecal incontinence</w:t>
            </w:r>
          </w:p>
        </w:tc>
        <w:tc>
          <w:tcPr>
            <w:tcW w:w="349" w:type="pct"/>
            <w:tcBorders>
              <w:top w:val="single" w:sz="4" w:space="0" w:color="auto"/>
              <w:left w:val="single" w:sz="4" w:space="0" w:color="auto"/>
              <w:bottom w:val="single" w:sz="4" w:space="0" w:color="auto"/>
              <w:right w:val="single" w:sz="4" w:space="0" w:color="auto"/>
            </w:tcBorders>
          </w:tcPr>
          <w:p w14:paraId="16C3EF55"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75C14274" w14:textId="22773DAB" w:rsidR="005B65E5" w:rsidRDefault="005B65E5" w:rsidP="009C1ABE">
            <w:pPr>
              <w:pStyle w:val="Tabletext1"/>
              <w:keepNext/>
              <w:keepLines/>
              <w:jc w:val="center"/>
            </w:pPr>
            <w:r w:rsidRPr="005B65E5">
              <w:t>2.7%</w:t>
            </w:r>
          </w:p>
        </w:tc>
        <w:tc>
          <w:tcPr>
            <w:tcW w:w="349" w:type="pct"/>
            <w:tcBorders>
              <w:top w:val="single" w:sz="4" w:space="0" w:color="auto"/>
              <w:left w:val="single" w:sz="4" w:space="0" w:color="auto"/>
              <w:bottom w:val="single" w:sz="4" w:space="0" w:color="auto"/>
              <w:right w:val="single" w:sz="4" w:space="0" w:color="auto"/>
            </w:tcBorders>
          </w:tcPr>
          <w:p w14:paraId="121F4D49" w14:textId="5B22626C" w:rsidR="005B65E5" w:rsidRDefault="005B65E5" w:rsidP="009C1ABE">
            <w:pPr>
              <w:pStyle w:val="Tabletext1"/>
              <w:keepNext/>
              <w:keepLines/>
              <w:jc w:val="center"/>
            </w:pPr>
            <w:r w:rsidRPr="005B65E5">
              <w:t>0.7%</w:t>
            </w:r>
          </w:p>
        </w:tc>
        <w:tc>
          <w:tcPr>
            <w:tcW w:w="349" w:type="pct"/>
            <w:tcBorders>
              <w:top w:val="single" w:sz="4" w:space="0" w:color="auto"/>
              <w:left w:val="single" w:sz="4" w:space="0" w:color="auto"/>
              <w:bottom w:val="single" w:sz="4" w:space="0" w:color="auto"/>
              <w:right w:val="single" w:sz="4" w:space="0" w:color="auto"/>
            </w:tcBorders>
          </w:tcPr>
          <w:p w14:paraId="55E4A7C9" w14:textId="5164EBEB" w:rsidR="005B65E5" w:rsidRDefault="005B65E5" w:rsidP="009C1ABE">
            <w:pPr>
              <w:pStyle w:val="Tabletext1"/>
              <w:keepNext/>
              <w:keepLines/>
              <w:jc w:val="center"/>
            </w:pPr>
            <w:r>
              <w:t>0%</w:t>
            </w:r>
          </w:p>
        </w:tc>
        <w:tc>
          <w:tcPr>
            <w:tcW w:w="349" w:type="pct"/>
            <w:tcBorders>
              <w:top w:val="single" w:sz="4" w:space="0" w:color="auto"/>
              <w:left w:val="single" w:sz="4" w:space="0" w:color="auto"/>
              <w:bottom w:val="single" w:sz="4" w:space="0" w:color="auto"/>
              <w:right w:val="single" w:sz="4" w:space="0" w:color="auto"/>
            </w:tcBorders>
          </w:tcPr>
          <w:p w14:paraId="4005A1B0" w14:textId="77777777" w:rsidR="005B65E5" w:rsidRDefault="005B65E5"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318A458"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5365A1C7" w14:textId="19F835DA" w:rsidR="005B65E5" w:rsidRDefault="005B65E5" w:rsidP="009C1ABE">
            <w:pPr>
              <w:pStyle w:val="Tabletext1"/>
              <w:keepNext/>
              <w:keepLines/>
              <w:jc w:val="center"/>
            </w:pPr>
            <w:r w:rsidRPr="005B65E5">
              <w:t>3.8%</w:t>
            </w:r>
          </w:p>
        </w:tc>
        <w:tc>
          <w:tcPr>
            <w:tcW w:w="349" w:type="pct"/>
            <w:tcBorders>
              <w:top w:val="single" w:sz="4" w:space="0" w:color="auto"/>
              <w:left w:val="single" w:sz="4" w:space="0" w:color="auto"/>
              <w:bottom w:val="single" w:sz="4" w:space="0" w:color="auto"/>
              <w:right w:val="single" w:sz="4" w:space="0" w:color="auto"/>
            </w:tcBorders>
          </w:tcPr>
          <w:p w14:paraId="7CFC3903" w14:textId="656D1196" w:rsidR="005B65E5" w:rsidRDefault="005B65E5" w:rsidP="009C1ABE">
            <w:pPr>
              <w:pStyle w:val="Tabletext1"/>
              <w:keepNext/>
              <w:keepLines/>
              <w:jc w:val="center"/>
            </w:pPr>
            <w:r>
              <w:t>1%</w:t>
            </w:r>
          </w:p>
        </w:tc>
        <w:tc>
          <w:tcPr>
            <w:tcW w:w="349" w:type="pct"/>
            <w:tcBorders>
              <w:top w:val="single" w:sz="4" w:space="0" w:color="auto"/>
              <w:left w:val="single" w:sz="4" w:space="0" w:color="auto"/>
              <w:bottom w:val="single" w:sz="4" w:space="0" w:color="auto"/>
              <w:right w:val="single" w:sz="4" w:space="0" w:color="auto"/>
            </w:tcBorders>
          </w:tcPr>
          <w:p w14:paraId="7324339B" w14:textId="0CCFE8F8" w:rsidR="005B65E5" w:rsidRDefault="005B65E5" w:rsidP="009C1ABE">
            <w:pPr>
              <w:pStyle w:val="Tabletext1"/>
              <w:keepNext/>
              <w:keepLines/>
              <w:jc w:val="center"/>
            </w:pPr>
            <w:r>
              <w:t>1%</w:t>
            </w:r>
          </w:p>
        </w:tc>
        <w:tc>
          <w:tcPr>
            <w:tcW w:w="341" w:type="pct"/>
            <w:tcBorders>
              <w:top w:val="single" w:sz="4" w:space="0" w:color="auto"/>
              <w:left w:val="single" w:sz="4" w:space="0" w:color="auto"/>
              <w:bottom w:val="single" w:sz="4" w:space="0" w:color="auto"/>
              <w:right w:val="single" w:sz="4" w:space="0" w:color="auto"/>
            </w:tcBorders>
          </w:tcPr>
          <w:p w14:paraId="4EDCA38A" w14:textId="77777777" w:rsidR="005B65E5" w:rsidRDefault="005B65E5" w:rsidP="009C1ABE">
            <w:pPr>
              <w:pStyle w:val="Tabletext1"/>
              <w:keepNext/>
              <w:keepLines/>
              <w:jc w:val="center"/>
            </w:pPr>
          </w:p>
        </w:tc>
      </w:tr>
      <w:tr w:rsidR="005B65E5" w:rsidRPr="00B2301A" w14:paraId="142BA6BB" w14:textId="77777777" w:rsidTr="00B16993">
        <w:tc>
          <w:tcPr>
            <w:tcW w:w="669" w:type="pct"/>
            <w:tcBorders>
              <w:top w:val="nil"/>
              <w:left w:val="single" w:sz="4" w:space="0" w:color="auto"/>
              <w:bottom w:val="nil"/>
              <w:right w:val="single" w:sz="4" w:space="0" w:color="auto"/>
            </w:tcBorders>
            <w:shd w:val="clear" w:color="auto" w:fill="auto"/>
          </w:tcPr>
          <w:p w14:paraId="5DB3A921" w14:textId="77777777" w:rsidR="005B65E5" w:rsidRDefault="005B65E5" w:rsidP="009C1ABE">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506C4701" w14:textId="60A536B3" w:rsidR="005B65E5" w:rsidRPr="00270204" w:rsidRDefault="005B65E5" w:rsidP="009C1ABE">
            <w:pPr>
              <w:pStyle w:val="Tabletext1"/>
              <w:keepNext/>
              <w:keepLines/>
              <w:jc w:val="center"/>
              <w:rPr>
                <w:rFonts w:cs="Calibri"/>
                <w:color w:val="000000"/>
              </w:rPr>
            </w:pPr>
            <w:r>
              <w:rPr>
                <w:rFonts w:cs="Calibri"/>
                <w:color w:val="000000"/>
              </w:rPr>
              <w:t>Urinary frequency</w:t>
            </w:r>
          </w:p>
        </w:tc>
        <w:tc>
          <w:tcPr>
            <w:tcW w:w="349" w:type="pct"/>
            <w:tcBorders>
              <w:top w:val="single" w:sz="4" w:space="0" w:color="auto"/>
              <w:left w:val="single" w:sz="4" w:space="0" w:color="auto"/>
              <w:bottom w:val="single" w:sz="4" w:space="0" w:color="auto"/>
              <w:right w:val="single" w:sz="4" w:space="0" w:color="auto"/>
            </w:tcBorders>
          </w:tcPr>
          <w:p w14:paraId="64ECE068"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E69D6F6" w14:textId="1DA9F819" w:rsidR="005B65E5" w:rsidRPr="00C16EC2" w:rsidRDefault="005B65E5" w:rsidP="009C1ABE">
            <w:pPr>
              <w:pStyle w:val="Tabletext1"/>
              <w:keepNext/>
              <w:keepLines/>
              <w:jc w:val="center"/>
            </w:pPr>
            <w:r w:rsidRPr="00C16EC2">
              <w:t>48%</w:t>
            </w:r>
          </w:p>
        </w:tc>
        <w:tc>
          <w:tcPr>
            <w:tcW w:w="349" w:type="pct"/>
            <w:tcBorders>
              <w:top w:val="single" w:sz="4" w:space="0" w:color="auto"/>
              <w:left w:val="single" w:sz="4" w:space="0" w:color="auto"/>
              <w:bottom w:val="single" w:sz="4" w:space="0" w:color="auto"/>
              <w:right w:val="single" w:sz="4" w:space="0" w:color="auto"/>
            </w:tcBorders>
          </w:tcPr>
          <w:p w14:paraId="6D688BC2" w14:textId="09FBDB54" w:rsidR="005B65E5" w:rsidRPr="00C16EC2" w:rsidRDefault="005B65E5" w:rsidP="009C1ABE">
            <w:pPr>
              <w:pStyle w:val="Tabletext1"/>
              <w:keepNext/>
              <w:keepLines/>
              <w:jc w:val="center"/>
            </w:pPr>
            <w:r w:rsidRPr="00C16EC2">
              <w:t>32%</w:t>
            </w:r>
          </w:p>
        </w:tc>
        <w:tc>
          <w:tcPr>
            <w:tcW w:w="349" w:type="pct"/>
            <w:tcBorders>
              <w:top w:val="single" w:sz="4" w:space="0" w:color="auto"/>
              <w:left w:val="single" w:sz="4" w:space="0" w:color="auto"/>
              <w:bottom w:val="single" w:sz="4" w:space="0" w:color="auto"/>
              <w:right w:val="single" w:sz="4" w:space="0" w:color="auto"/>
            </w:tcBorders>
          </w:tcPr>
          <w:p w14:paraId="5EC67CFF" w14:textId="54CBE8C4" w:rsidR="005B65E5" w:rsidRPr="00C16EC2" w:rsidRDefault="005B65E5" w:rsidP="009C1ABE">
            <w:pPr>
              <w:pStyle w:val="Tabletext1"/>
              <w:keepNext/>
              <w:keepLines/>
              <w:jc w:val="center"/>
            </w:pPr>
            <w:r w:rsidRPr="00C16EC2">
              <w:t>3.3%</w:t>
            </w:r>
          </w:p>
        </w:tc>
        <w:tc>
          <w:tcPr>
            <w:tcW w:w="349" w:type="pct"/>
            <w:tcBorders>
              <w:top w:val="single" w:sz="4" w:space="0" w:color="auto"/>
              <w:left w:val="single" w:sz="4" w:space="0" w:color="auto"/>
              <w:bottom w:val="single" w:sz="4" w:space="0" w:color="auto"/>
              <w:right w:val="single" w:sz="4" w:space="0" w:color="auto"/>
            </w:tcBorders>
          </w:tcPr>
          <w:p w14:paraId="7FB635A6" w14:textId="77777777" w:rsidR="005B65E5" w:rsidRPr="00C16EC2" w:rsidRDefault="005B65E5"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0C351A8B" w14:textId="77777777" w:rsidR="005B65E5" w:rsidRPr="00C16EC2"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C47F613" w14:textId="7DB9630C" w:rsidR="005B65E5" w:rsidRPr="00C16EC2" w:rsidRDefault="005B65E5" w:rsidP="009C1ABE">
            <w:pPr>
              <w:pStyle w:val="Tabletext1"/>
              <w:keepNext/>
              <w:keepLines/>
              <w:jc w:val="center"/>
            </w:pPr>
            <w:r w:rsidRPr="00C16EC2">
              <w:t>20%</w:t>
            </w:r>
          </w:p>
        </w:tc>
        <w:tc>
          <w:tcPr>
            <w:tcW w:w="349" w:type="pct"/>
            <w:tcBorders>
              <w:top w:val="single" w:sz="4" w:space="0" w:color="auto"/>
              <w:left w:val="single" w:sz="4" w:space="0" w:color="auto"/>
              <w:bottom w:val="single" w:sz="4" w:space="0" w:color="auto"/>
              <w:right w:val="single" w:sz="4" w:space="0" w:color="auto"/>
            </w:tcBorders>
          </w:tcPr>
          <w:p w14:paraId="1FB81DDB" w14:textId="6639629E" w:rsidR="005B65E5" w:rsidRPr="00C16EC2" w:rsidRDefault="005B65E5" w:rsidP="009C1ABE">
            <w:pPr>
              <w:pStyle w:val="Tabletext1"/>
              <w:keepNext/>
              <w:keepLines/>
              <w:jc w:val="center"/>
            </w:pPr>
            <w:r w:rsidRPr="00C16EC2">
              <w:t>11%</w:t>
            </w:r>
          </w:p>
        </w:tc>
        <w:tc>
          <w:tcPr>
            <w:tcW w:w="349" w:type="pct"/>
            <w:tcBorders>
              <w:top w:val="single" w:sz="4" w:space="0" w:color="auto"/>
              <w:left w:val="single" w:sz="4" w:space="0" w:color="auto"/>
              <w:bottom w:val="single" w:sz="4" w:space="0" w:color="auto"/>
              <w:right w:val="single" w:sz="4" w:space="0" w:color="auto"/>
            </w:tcBorders>
          </w:tcPr>
          <w:p w14:paraId="755E2436" w14:textId="6469B283" w:rsidR="005B65E5" w:rsidRPr="00C16EC2" w:rsidRDefault="005B65E5" w:rsidP="009C1ABE">
            <w:pPr>
              <w:pStyle w:val="Tabletext1"/>
              <w:keepNext/>
              <w:keepLines/>
              <w:jc w:val="center"/>
            </w:pPr>
            <w:r w:rsidRPr="00C16EC2">
              <w:t>4.8%</w:t>
            </w:r>
          </w:p>
        </w:tc>
        <w:tc>
          <w:tcPr>
            <w:tcW w:w="341" w:type="pct"/>
            <w:tcBorders>
              <w:top w:val="single" w:sz="4" w:space="0" w:color="auto"/>
              <w:left w:val="single" w:sz="4" w:space="0" w:color="auto"/>
              <w:bottom w:val="single" w:sz="4" w:space="0" w:color="auto"/>
              <w:right w:val="single" w:sz="4" w:space="0" w:color="auto"/>
            </w:tcBorders>
          </w:tcPr>
          <w:p w14:paraId="37A01AA9" w14:textId="77777777" w:rsidR="005B65E5" w:rsidRDefault="005B65E5" w:rsidP="009C1ABE">
            <w:pPr>
              <w:pStyle w:val="Tabletext1"/>
              <w:keepNext/>
              <w:keepLines/>
              <w:jc w:val="center"/>
            </w:pPr>
          </w:p>
        </w:tc>
      </w:tr>
      <w:tr w:rsidR="005B65E5" w:rsidRPr="00B2301A" w14:paraId="04D0D2D0" w14:textId="77777777" w:rsidTr="00B16993">
        <w:tc>
          <w:tcPr>
            <w:tcW w:w="669" w:type="pct"/>
            <w:tcBorders>
              <w:top w:val="nil"/>
              <w:left w:val="single" w:sz="4" w:space="0" w:color="auto"/>
              <w:bottom w:val="nil"/>
              <w:right w:val="single" w:sz="4" w:space="0" w:color="auto"/>
            </w:tcBorders>
            <w:shd w:val="clear" w:color="auto" w:fill="auto"/>
          </w:tcPr>
          <w:p w14:paraId="74323C66" w14:textId="77777777" w:rsidR="005B65E5" w:rsidRDefault="005B65E5" w:rsidP="009C1ABE">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4643FC28" w14:textId="78C22E69" w:rsidR="005B65E5" w:rsidRDefault="005B65E5" w:rsidP="009C1ABE">
            <w:pPr>
              <w:pStyle w:val="Tabletext1"/>
              <w:keepNext/>
              <w:keepLines/>
              <w:jc w:val="center"/>
            </w:pPr>
            <w:r>
              <w:t>Dysuria</w:t>
            </w:r>
          </w:p>
        </w:tc>
        <w:tc>
          <w:tcPr>
            <w:tcW w:w="349" w:type="pct"/>
            <w:tcBorders>
              <w:top w:val="single" w:sz="4" w:space="0" w:color="auto"/>
              <w:left w:val="single" w:sz="4" w:space="0" w:color="auto"/>
              <w:bottom w:val="single" w:sz="4" w:space="0" w:color="auto"/>
              <w:right w:val="single" w:sz="4" w:space="0" w:color="auto"/>
            </w:tcBorders>
          </w:tcPr>
          <w:p w14:paraId="392D61F9"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1D146653" w14:textId="6D08CF8C" w:rsidR="005B65E5" w:rsidRDefault="00270204" w:rsidP="009C1ABE">
            <w:pPr>
              <w:pStyle w:val="Tabletext1"/>
              <w:keepNext/>
              <w:keepLines/>
              <w:jc w:val="center"/>
            </w:pPr>
            <w:r>
              <w:rPr>
                <w:rFonts w:cs="Calibri"/>
                <w:color w:val="000000"/>
              </w:rPr>
              <w:t>39%</w:t>
            </w:r>
          </w:p>
        </w:tc>
        <w:tc>
          <w:tcPr>
            <w:tcW w:w="349" w:type="pct"/>
            <w:tcBorders>
              <w:top w:val="single" w:sz="4" w:space="0" w:color="auto"/>
              <w:left w:val="single" w:sz="4" w:space="0" w:color="auto"/>
              <w:bottom w:val="single" w:sz="4" w:space="0" w:color="auto"/>
              <w:right w:val="single" w:sz="4" w:space="0" w:color="auto"/>
            </w:tcBorders>
          </w:tcPr>
          <w:p w14:paraId="32A641F7" w14:textId="1AEB620D" w:rsidR="005B65E5" w:rsidRDefault="00270204" w:rsidP="009C1ABE">
            <w:pPr>
              <w:pStyle w:val="Tabletext1"/>
              <w:keepNext/>
              <w:keepLines/>
              <w:jc w:val="center"/>
            </w:pPr>
            <w:r>
              <w:rPr>
                <w:rFonts w:cs="Calibri"/>
                <w:color w:val="000000"/>
              </w:rPr>
              <w:t>2.7%</w:t>
            </w:r>
          </w:p>
        </w:tc>
        <w:tc>
          <w:tcPr>
            <w:tcW w:w="349" w:type="pct"/>
            <w:tcBorders>
              <w:top w:val="single" w:sz="4" w:space="0" w:color="auto"/>
              <w:left w:val="single" w:sz="4" w:space="0" w:color="auto"/>
              <w:bottom w:val="single" w:sz="4" w:space="0" w:color="auto"/>
              <w:right w:val="single" w:sz="4" w:space="0" w:color="auto"/>
            </w:tcBorders>
          </w:tcPr>
          <w:p w14:paraId="2F3D62F8" w14:textId="68048AE2" w:rsidR="005B65E5" w:rsidRDefault="00270204" w:rsidP="009C1ABE">
            <w:pPr>
              <w:pStyle w:val="Tabletext1"/>
              <w:keepNext/>
              <w:keepLines/>
              <w:jc w:val="center"/>
            </w:pPr>
            <w:r>
              <w:rPr>
                <w:rFonts w:cs="Calibri"/>
                <w:color w:val="000000"/>
              </w:rPr>
              <w:t>0.7%</w:t>
            </w:r>
          </w:p>
        </w:tc>
        <w:tc>
          <w:tcPr>
            <w:tcW w:w="349" w:type="pct"/>
            <w:tcBorders>
              <w:top w:val="single" w:sz="4" w:space="0" w:color="auto"/>
              <w:left w:val="single" w:sz="4" w:space="0" w:color="auto"/>
              <w:bottom w:val="single" w:sz="4" w:space="0" w:color="auto"/>
              <w:right w:val="single" w:sz="4" w:space="0" w:color="auto"/>
            </w:tcBorders>
          </w:tcPr>
          <w:p w14:paraId="610A8D72" w14:textId="77777777" w:rsidR="005B65E5" w:rsidRDefault="005B65E5"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CE147F2"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19920095" w14:textId="2BF089A2" w:rsidR="005B65E5" w:rsidRDefault="00270204" w:rsidP="009C1ABE">
            <w:pPr>
              <w:pStyle w:val="Tabletext1"/>
              <w:keepNext/>
              <w:keepLines/>
              <w:jc w:val="center"/>
            </w:pPr>
            <w:r>
              <w:rPr>
                <w:rFonts w:cs="Calibri"/>
                <w:color w:val="000000"/>
              </w:rPr>
              <w:t>4.9%</w:t>
            </w:r>
          </w:p>
        </w:tc>
        <w:tc>
          <w:tcPr>
            <w:tcW w:w="349" w:type="pct"/>
            <w:tcBorders>
              <w:top w:val="single" w:sz="4" w:space="0" w:color="auto"/>
              <w:left w:val="single" w:sz="4" w:space="0" w:color="auto"/>
              <w:bottom w:val="single" w:sz="4" w:space="0" w:color="auto"/>
              <w:right w:val="single" w:sz="4" w:space="0" w:color="auto"/>
            </w:tcBorders>
          </w:tcPr>
          <w:p w14:paraId="112D1CBD" w14:textId="434E0C8A" w:rsidR="005B65E5" w:rsidRDefault="00270204" w:rsidP="009C1ABE">
            <w:pPr>
              <w:pStyle w:val="Tabletext1"/>
              <w:keepNext/>
              <w:keepLines/>
              <w:jc w:val="center"/>
            </w:pPr>
            <w:r>
              <w:rPr>
                <w:rFonts w:cs="Calibri"/>
                <w:color w:val="000000"/>
              </w:rPr>
              <w:t>4.9%</w:t>
            </w:r>
          </w:p>
        </w:tc>
        <w:tc>
          <w:tcPr>
            <w:tcW w:w="349" w:type="pct"/>
            <w:tcBorders>
              <w:top w:val="single" w:sz="4" w:space="0" w:color="auto"/>
              <w:left w:val="single" w:sz="4" w:space="0" w:color="auto"/>
              <w:bottom w:val="single" w:sz="4" w:space="0" w:color="auto"/>
              <w:right w:val="single" w:sz="4" w:space="0" w:color="auto"/>
            </w:tcBorders>
          </w:tcPr>
          <w:p w14:paraId="0AB43284" w14:textId="7EE930A5" w:rsidR="005B65E5" w:rsidRDefault="00270204" w:rsidP="009C1ABE">
            <w:pPr>
              <w:pStyle w:val="Tabletext1"/>
              <w:keepNext/>
              <w:keepLines/>
              <w:jc w:val="center"/>
            </w:pPr>
            <w:r>
              <w:rPr>
                <w:rFonts w:cs="Calibri"/>
                <w:color w:val="000000"/>
              </w:rPr>
              <w:t>0%</w:t>
            </w:r>
          </w:p>
        </w:tc>
        <w:tc>
          <w:tcPr>
            <w:tcW w:w="341" w:type="pct"/>
            <w:tcBorders>
              <w:top w:val="single" w:sz="4" w:space="0" w:color="auto"/>
              <w:left w:val="single" w:sz="4" w:space="0" w:color="auto"/>
              <w:bottom w:val="single" w:sz="4" w:space="0" w:color="auto"/>
              <w:right w:val="single" w:sz="4" w:space="0" w:color="auto"/>
            </w:tcBorders>
          </w:tcPr>
          <w:p w14:paraId="3E0299BE" w14:textId="77777777" w:rsidR="005B65E5" w:rsidRDefault="005B65E5" w:rsidP="009C1ABE">
            <w:pPr>
              <w:pStyle w:val="Tabletext1"/>
              <w:keepNext/>
              <w:keepLines/>
              <w:jc w:val="center"/>
            </w:pPr>
          </w:p>
        </w:tc>
      </w:tr>
      <w:tr w:rsidR="005B65E5" w:rsidRPr="00B2301A" w14:paraId="35D05497" w14:textId="77777777" w:rsidTr="00B16993">
        <w:tc>
          <w:tcPr>
            <w:tcW w:w="669" w:type="pct"/>
            <w:tcBorders>
              <w:top w:val="nil"/>
              <w:left w:val="single" w:sz="4" w:space="0" w:color="auto"/>
              <w:bottom w:val="nil"/>
              <w:right w:val="single" w:sz="4" w:space="0" w:color="auto"/>
            </w:tcBorders>
            <w:shd w:val="clear" w:color="auto" w:fill="auto"/>
          </w:tcPr>
          <w:p w14:paraId="34B0AA73" w14:textId="77777777" w:rsidR="005B65E5" w:rsidRDefault="005B65E5" w:rsidP="009C1ABE">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7887D54A" w14:textId="4C7B75DE" w:rsidR="005B65E5" w:rsidRDefault="005B65E5" w:rsidP="009C1ABE">
            <w:pPr>
              <w:pStyle w:val="Tabletext1"/>
              <w:keepNext/>
              <w:keepLines/>
              <w:jc w:val="center"/>
            </w:pPr>
            <w:r>
              <w:t>Haematuria</w:t>
            </w:r>
          </w:p>
        </w:tc>
        <w:tc>
          <w:tcPr>
            <w:tcW w:w="349" w:type="pct"/>
            <w:tcBorders>
              <w:top w:val="single" w:sz="4" w:space="0" w:color="auto"/>
              <w:left w:val="single" w:sz="4" w:space="0" w:color="auto"/>
              <w:bottom w:val="single" w:sz="4" w:space="0" w:color="auto"/>
              <w:right w:val="single" w:sz="4" w:space="0" w:color="auto"/>
            </w:tcBorders>
          </w:tcPr>
          <w:p w14:paraId="0E0E7E15"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5D07AB64" w14:textId="623C88E8" w:rsidR="005B65E5" w:rsidRDefault="00270204" w:rsidP="009C1ABE">
            <w:pPr>
              <w:pStyle w:val="Tabletext1"/>
              <w:keepNext/>
              <w:keepLines/>
              <w:jc w:val="center"/>
            </w:pPr>
            <w:r>
              <w:rPr>
                <w:rFonts w:cs="Calibri"/>
                <w:color w:val="000000"/>
              </w:rPr>
              <w:t>5.3%</w:t>
            </w:r>
          </w:p>
        </w:tc>
        <w:tc>
          <w:tcPr>
            <w:tcW w:w="349" w:type="pct"/>
            <w:tcBorders>
              <w:top w:val="single" w:sz="4" w:space="0" w:color="auto"/>
              <w:left w:val="single" w:sz="4" w:space="0" w:color="auto"/>
              <w:bottom w:val="single" w:sz="4" w:space="0" w:color="auto"/>
              <w:right w:val="single" w:sz="4" w:space="0" w:color="auto"/>
            </w:tcBorders>
          </w:tcPr>
          <w:p w14:paraId="0A470B46" w14:textId="263E999C" w:rsidR="005B65E5" w:rsidRDefault="00270204" w:rsidP="009C1ABE">
            <w:pPr>
              <w:pStyle w:val="Tabletext1"/>
              <w:keepNext/>
              <w:keepLines/>
              <w:jc w:val="center"/>
            </w:pPr>
            <w:r>
              <w:rPr>
                <w:rFonts w:cs="Calibri"/>
                <w:color w:val="000000"/>
              </w:rPr>
              <w:t>0.7%</w:t>
            </w:r>
          </w:p>
        </w:tc>
        <w:tc>
          <w:tcPr>
            <w:tcW w:w="349" w:type="pct"/>
            <w:tcBorders>
              <w:top w:val="single" w:sz="4" w:space="0" w:color="auto"/>
              <w:left w:val="single" w:sz="4" w:space="0" w:color="auto"/>
              <w:bottom w:val="single" w:sz="4" w:space="0" w:color="auto"/>
              <w:right w:val="single" w:sz="4" w:space="0" w:color="auto"/>
            </w:tcBorders>
          </w:tcPr>
          <w:p w14:paraId="62883E24" w14:textId="53EF73F7" w:rsidR="005B65E5" w:rsidRDefault="00270204" w:rsidP="009C1ABE">
            <w:pPr>
              <w:pStyle w:val="Tabletext1"/>
              <w:keepNext/>
              <w:keepLines/>
              <w:jc w:val="cente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1FC4D062" w14:textId="77777777" w:rsidR="005B65E5" w:rsidRDefault="005B65E5"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C7B0941"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771EF1A7" w14:textId="78B7EA98" w:rsidR="005B65E5" w:rsidRDefault="00270204" w:rsidP="009C1ABE">
            <w:pPr>
              <w:pStyle w:val="Tabletext1"/>
              <w:keepNext/>
              <w:keepLines/>
              <w:jc w:val="center"/>
            </w:pPr>
            <w:r>
              <w:rPr>
                <w:rFonts w:cs="Calibri"/>
                <w:color w:val="000000"/>
              </w:rPr>
              <w:t>9.6%</w:t>
            </w:r>
          </w:p>
        </w:tc>
        <w:tc>
          <w:tcPr>
            <w:tcW w:w="349" w:type="pct"/>
            <w:tcBorders>
              <w:top w:val="single" w:sz="4" w:space="0" w:color="auto"/>
              <w:left w:val="single" w:sz="4" w:space="0" w:color="auto"/>
              <w:bottom w:val="single" w:sz="4" w:space="0" w:color="auto"/>
              <w:right w:val="single" w:sz="4" w:space="0" w:color="auto"/>
            </w:tcBorders>
          </w:tcPr>
          <w:p w14:paraId="79299B36" w14:textId="13DAD5E0" w:rsidR="005B65E5" w:rsidRDefault="00270204" w:rsidP="009C1ABE">
            <w:pPr>
              <w:pStyle w:val="Tabletext1"/>
              <w:keepNext/>
              <w:keepLines/>
              <w:jc w:val="center"/>
            </w:pPr>
            <w:r>
              <w:rPr>
                <w:rFonts w:cs="Calibri"/>
                <w:color w:val="000000"/>
              </w:rPr>
              <w:t>6.7%</w:t>
            </w:r>
          </w:p>
        </w:tc>
        <w:tc>
          <w:tcPr>
            <w:tcW w:w="349" w:type="pct"/>
            <w:tcBorders>
              <w:top w:val="single" w:sz="4" w:space="0" w:color="auto"/>
              <w:left w:val="single" w:sz="4" w:space="0" w:color="auto"/>
              <w:bottom w:val="single" w:sz="4" w:space="0" w:color="auto"/>
              <w:right w:val="single" w:sz="4" w:space="0" w:color="auto"/>
            </w:tcBorders>
          </w:tcPr>
          <w:p w14:paraId="4C345716" w14:textId="398A9076" w:rsidR="005B65E5" w:rsidRDefault="00270204" w:rsidP="009C1ABE">
            <w:pPr>
              <w:pStyle w:val="Tabletext1"/>
              <w:keepNext/>
              <w:keepLines/>
              <w:jc w:val="center"/>
            </w:pPr>
            <w:r>
              <w:rPr>
                <w:rFonts w:cs="Calibri"/>
                <w:color w:val="000000"/>
              </w:rPr>
              <w:t>1.9%</w:t>
            </w:r>
          </w:p>
        </w:tc>
        <w:tc>
          <w:tcPr>
            <w:tcW w:w="341" w:type="pct"/>
            <w:tcBorders>
              <w:top w:val="single" w:sz="4" w:space="0" w:color="auto"/>
              <w:left w:val="single" w:sz="4" w:space="0" w:color="auto"/>
              <w:bottom w:val="single" w:sz="4" w:space="0" w:color="auto"/>
              <w:right w:val="single" w:sz="4" w:space="0" w:color="auto"/>
            </w:tcBorders>
          </w:tcPr>
          <w:p w14:paraId="0EFDB333" w14:textId="77777777" w:rsidR="005B65E5" w:rsidRDefault="005B65E5" w:rsidP="009C1ABE">
            <w:pPr>
              <w:pStyle w:val="Tabletext1"/>
              <w:keepNext/>
              <w:keepLines/>
              <w:jc w:val="center"/>
            </w:pPr>
          </w:p>
        </w:tc>
      </w:tr>
      <w:tr w:rsidR="005B65E5" w:rsidRPr="00B2301A" w14:paraId="104848B6" w14:textId="77777777" w:rsidTr="000F2EEC">
        <w:tc>
          <w:tcPr>
            <w:tcW w:w="669" w:type="pct"/>
            <w:tcBorders>
              <w:top w:val="nil"/>
              <w:left w:val="single" w:sz="4" w:space="0" w:color="auto"/>
              <w:bottom w:val="single" w:sz="4" w:space="0" w:color="auto"/>
              <w:right w:val="single" w:sz="4" w:space="0" w:color="auto"/>
            </w:tcBorders>
            <w:shd w:val="clear" w:color="auto" w:fill="auto"/>
          </w:tcPr>
          <w:p w14:paraId="59D64A81" w14:textId="77777777" w:rsidR="005B65E5" w:rsidRDefault="005B65E5" w:rsidP="009C1ABE">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0CF50EAF" w14:textId="3765AC14" w:rsidR="005B65E5" w:rsidRDefault="005B65E5" w:rsidP="009C1ABE">
            <w:pPr>
              <w:pStyle w:val="Tabletext1"/>
              <w:keepNext/>
              <w:keepLines/>
              <w:jc w:val="center"/>
            </w:pPr>
            <w:r>
              <w:t>Urinary incontinence</w:t>
            </w:r>
          </w:p>
        </w:tc>
        <w:tc>
          <w:tcPr>
            <w:tcW w:w="349" w:type="pct"/>
            <w:tcBorders>
              <w:top w:val="single" w:sz="4" w:space="0" w:color="auto"/>
              <w:left w:val="single" w:sz="4" w:space="0" w:color="auto"/>
              <w:bottom w:val="single" w:sz="4" w:space="0" w:color="auto"/>
              <w:right w:val="single" w:sz="4" w:space="0" w:color="auto"/>
            </w:tcBorders>
          </w:tcPr>
          <w:p w14:paraId="3040FE8E"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48726327" w14:textId="1DED9561" w:rsidR="005B65E5" w:rsidRDefault="00270204" w:rsidP="009C1ABE">
            <w:pPr>
              <w:pStyle w:val="Tabletext1"/>
              <w:keepNext/>
              <w:keepLines/>
              <w:jc w:val="center"/>
            </w:pPr>
            <w:r>
              <w:rPr>
                <w:rFonts w:cs="Calibri"/>
                <w:color w:val="000000"/>
              </w:rPr>
              <w:t>16%</w:t>
            </w:r>
          </w:p>
        </w:tc>
        <w:tc>
          <w:tcPr>
            <w:tcW w:w="349" w:type="pct"/>
            <w:tcBorders>
              <w:top w:val="single" w:sz="4" w:space="0" w:color="auto"/>
              <w:left w:val="single" w:sz="4" w:space="0" w:color="auto"/>
              <w:bottom w:val="single" w:sz="4" w:space="0" w:color="auto"/>
              <w:right w:val="single" w:sz="4" w:space="0" w:color="auto"/>
            </w:tcBorders>
          </w:tcPr>
          <w:p w14:paraId="6752B9A4" w14:textId="58F1D8D8" w:rsidR="005B65E5" w:rsidRDefault="00270204" w:rsidP="009C1ABE">
            <w:pPr>
              <w:pStyle w:val="Tabletext1"/>
              <w:keepNext/>
              <w:keepLines/>
              <w:jc w:val="center"/>
            </w:pPr>
            <w:r>
              <w:rPr>
                <w:rFonts w:cs="Calibri"/>
                <w:color w:val="000000"/>
              </w:rPr>
              <w:t>1.3%</w:t>
            </w:r>
          </w:p>
        </w:tc>
        <w:tc>
          <w:tcPr>
            <w:tcW w:w="349" w:type="pct"/>
            <w:tcBorders>
              <w:top w:val="single" w:sz="4" w:space="0" w:color="auto"/>
              <w:left w:val="single" w:sz="4" w:space="0" w:color="auto"/>
              <w:bottom w:val="single" w:sz="4" w:space="0" w:color="auto"/>
              <w:right w:val="single" w:sz="4" w:space="0" w:color="auto"/>
            </w:tcBorders>
          </w:tcPr>
          <w:p w14:paraId="6BA8A6B0" w14:textId="0B9AF764" w:rsidR="005B65E5" w:rsidRDefault="00270204" w:rsidP="009C1ABE">
            <w:pPr>
              <w:pStyle w:val="Tabletext1"/>
              <w:keepNext/>
              <w:keepLines/>
              <w:jc w:val="cente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400F8D2C" w14:textId="77777777" w:rsidR="005B65E5" w:rsidRDefault="005B65E5" w:rsidP="009C1ABE">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FA7A5BB" w14:textId="77777777" w:rsidR="005B65E5" w:rsidRDefault="005B65E5" w:rsidP="009C1ABE">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4D8DBB1E" w14:textId="27265F89" w:rsidR="005B65E5" w:rsidRDefault="00270204" w:rsidP="009C1ABE">
            <w:pPr>
              <w:pStyle w:val="Tabletext1"/>
              <w:keepNext/>
              <w:keepLines/>
              <w:jc w:val="center"/>
            </w:pPr>
            <w:r>
              <w:rPr>
                <w:rFonts w:cs="Calibri"/>
                <w:color w:val="000000"/>
              </w:rPr>
              <w:t>17%</w:t>
            </w:r>
          </w:p>
        </w:tc>
        <w:tc>
          <w:tcPr>
            <w:tcW w:w="349" w:type="pct"/>
            <w:tcBorders>
              <w:top w:val="single" w:sz="4" w:space="0" w:color="auto"/>
              <w:left w:val="single" w:sz="4" w:space="0" w:color="auto"/>
              <w:bottom w:val="single" w:sz="4" w:space="0" w:color="auto"/>
              <w:right w:val="single" w:sz="4" w:space="0" w:color="auto"/>
            </w:tcBorders>
          </w:tcPr>
          <w:p w14:paraId="515052FA" w14:textId="00B8BAE1" w:rsidR="005B65E5" w:rsidRDefault="00270204" w:rsidP="009C1ABE">
            <w:pPr>
              <w:pStyle w:val="Tabletext1"/>
              <w:keepNext/>
              <w:keepLines/>
              <w:jc w:val="center"/>
            </w:pPr>
            <w:r>
              <w:rPr>
                <w:rFonts w:cs="Calibri"/>
                <w:color w:val="000000"/>
              </w:rPr>
              <w:t>9.7%</w:t>
            </w:r>
          </w:p>
        </w:tc>
        <w:tc>
          <w:tcPr>
            <w:tcW w:w="349" w:type="pct"/>
            <w:tcBorders>
              <w:top w:val="single" w:sz="4" w:space="0" w:color="auto"/>
              <w:left w:val="single" w:sz="4" w:space="0" w:color="auto"/>
              <w:bottom w:val="single" w:sz="4" w:space="0" w:color="auto"/>
              <w:right w:val="single" w:sz="4" w:space="0" w:color="auto"/>
            </w:tcBorders>
          </w:tcPr>
          <w:p w14:paraId="118C1BF0" w14:textId="5C7BB620" w:rsidR="005B65E5" w:rsidRDefault="00270204" w:rsidP="009C1ABE">
            <w:pPr>
              <w:pStyle w:val="Tabletext1"/>
              <w:keepNext/>
              <w:keepLines/>
              <w:jc w:val="center"/>
            </w:pPr>
            <w:r>
              <w:rPr>
                <w:rFonts w:cs="Calibri"/>
                <w:color w:val="000000"/>
              </w:rPr>
              <w:t>1.9%</w:t>
            </w:r>
          </w:p>
        </w:tc>
        <w:tc>
          <w:tcPr>
            <w:tcW w:w="341" w:type="pct"/>
            <w:tcBorders>
              <w:top w:val="single" w:sz="4" w:space="0" w:color="auto"/>
              <w:left w:val="single" w:sz="4" w:space="0" w:color="auto"/>
              <w:bottom w:val="single" w:sz="4" w:space="0" w:color="auto"/>
              <w:right w:val="single" w:sz="4" w:space="0" w:color="auto"/>
            </w:tcBorders>
          </w:tcPr>
          <w:p w14:paraId="471874DE" w14:textId="77777777" w:rsidR="005B65E5" w:rsidRDefault="005B65E5" w:rsidP="009C1ABE">
            <w:pPr>
              <w:pStyle w:val="Tabletext1"/>
              <w:keepNext/>
              <w:keepLines/>
              <w:jc w:val="center"/>
            </w:pPr>
          </w:p>
        </w:tc>
      </w:tr>
      <w:tr w:rsidR="008E4AD8" w:rsidRPr="00B2301A" w14:paraId="044CBB27" w14:textId="77777777" w:rsidTr="000F2EEC">
        <w:tc>
          <w:tcPr>
            <w:tcW w:w="669" w:type="pct"/>
            <w:tcBorders>
              <w:top w:val="single" w:sz="4" w:space="0" w:color="auto"/>
              <w:left w:val="single" w:sz="4" w:space="0" w:color="auto"/>
              <w:bottom w:val="nil"/>
              <w:right w:val="single" w:sz="4" w:space="0" w:color="auto"/>
            </w:tcBorders>
            <w:shd w:val="clear" w:color="auto" w:fill="auto"/>
          </w:tcPr>
          <w:p w14:paraId="4A38AC72" w14:textId="6F3DD365" w:rsidR="008E4AD8" w:rsidRDefault="00211285" w:rsidP="00096131">
            <w:pPr>
              <w:pStyle w:val="Tabletext1"/>
            </w:pPr>
            <w:hyperlink w:anchor="_ENREF_38" w:tooltip="Hopper, 2018 #49" w:history="1">
              <w:r w:rsidR="008B6FC0">
                <w:fldChar w:fldCharType="begin"/>
              </w:r>
              <w:r w:rsidR="008B6FC0">
                <w:instrText xml:space="preserve"> ADDIN EN.CITE &lt;EndNote&gt;&lt;Cite AuthorYear="1"&gt;&lt;Author&gt;Hopper&lt;/Author&gt;&lt;Year&gt;2018&lt;/Year&gt;&lt;RecNum&gt;49&lt;/RecNum&gt;&lt;DisplayText&gt;Hopper et al. (2018)&lt;/DisplayText&gt;&lt;record&gt;&lt;rec-number&gt;49&lt;/rec-number&gt;&lt;foreign-keys&gt;&lt;key app="EN" db-id="sx5wsdwv795wvue959xxw0ptaewvdezxxp05" timestamp="1604876377"&gt;49&lt;/key&gt;&lt;/foreign-keys&gt;&lt;ref-type name="Journal Article"&gt;17&lt;/ref-type&gt;&lt;contributors&gt;&lt;authors&gt;&lt;author&gt;Hopper, A. B.&lt;/author&gt;&lt;author&gt;Sandhu, A. P. S.&lt;/author&gt;&lt;author&gt;Parsons, J. K.&lt;/author&gt;&lt;author&gt;Rose, B.&lt;/author&gt;&lt;author&gt;Einck, J. P.&lt;/author&gt;&lt;/authors&gt;&lt;/contributors&gt;&lt;titles&gt;&lt;title&gt;Salvage image guided radiation therapy to the prostate after cryotherapy failure&lt;/title&gt;&lt;secondary-title&gt;Advances in Radiation Oncology&lt;/secondary-title&gt;&lt;/titles&gt;&lt;pages&gt;52-56&lt;/pages&gt;&lt;volume&gt;3&lt;/volume&gt;&lt;number&gt;1&lt;/number&gt;&lt;dates&gt;&lt;year&gt;2018&lt;/year&gt;&lt;/dates&gt;&lt;accession-num&gt;619240347&lt;/accession-num&gt;&lt;urls&gt;&lt;related-urls&gt;&lt;url&gt;http://www.journals.elsevier.com/advances-in-radiation-oncology/http://ezproxy.library.usyd.edu.au/login?url=http://ovidsp.ovid.com/ovidweb.cgi?T=JS&amp;amp;CSC=Y&amp;amp;NEWS=N&amp;amp;PAGE=fulltext&amp;amp;D=emed19&amp;amp;AN=619240347https://sydney.alma.exlibrisgroup.com/openurl/61USYD_INST/&lt;/url&gt;&lt;url&gt;https://www.ncbi.nlm.nih.gov/pmc/articles/PMC5856984/pdf/main.pdf&lt;/url&gt;&lt;/related-urls&gt;&lt;/urls&gt;&lt;electronic-resource-num&gt;http://dx.doi.org/10.1016/j.adro.2017.09.001&lt;/electronic-resource-num&gt;&lt;/record&gt;&lt;/Cite&gt;&lt;/EndNote&gt;</w:instrText>
              </w:r>
              <w:r w:rsidR="008B6FC0">
                <w:fldChar w:fldCharType="separate"/>
              </w:r>
              <w:r w:rsidR="008B6FC0">
                <w:rPr>
                  <w:noProof/>
                </w:rPr>
                <w:t>Hopper et al. (2018)</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7B3C7CA2" w14:textId="14545331" w:rsidR="008E4AD8" w:rsidRPr="00270204" w:rsidRDefault="00941547" w:rsidP="00096131">
            <w:pPr>
              <w:pStyle w:val="Tabletext1"/>
              <w:jc w:val="center"/>
            </w:pPr>
            <w:r w:rsidRPr="000F2EEC">
              <w:t>GI (diarrhea)</w:t>
            </w:r>
          </w:p>
        </w:tc>
        <w:tc>
          <w:tcPr>
            <w:tcW w:w="349" w:type="pct"/>
            <w:tcBorders>
              <w:top w:val="single" w:sz="4" w:space="0" w:color="auto"/>
              <w:left w:val="single" w:sz="4" w:space="0" w:color="auto"/>
              <w:bottom w:val="single" w:sz="4" w:space="0" w:color="auto"/>
              <w:right w:val="single" w:sz="4" w:space="0" w:color="auto"/>
            </w:tcBorders>
          </w:tcPr>
          <w:p w14:paraId="5A865048" w14:textId="77777777" w:rsidR="008E4AD8" w:rsidRDefault="008E4AD8"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DC2B6B1" w14:textId="3CCCFE0A" w:rsidR="008E4AD8" w:rsidRPr="00270204" w:rsidRDefault="00750D34" w:rsidP="00096131">
            <w:pPr>
              <w:pStyle w:val="Tabletext1"/>
              <w:jc w:val="center"/>
              <w:rPr>
                <w:rFonts w:cs="Calibri"/>
                <w:color w:val="000000"/>
              </w:rPr>
            </w:pPr>
            <w:r>
              <w:rPr>
                <w:rFonts w:cs="Calibri"/>
                <w:color w:val="000000"/>
              </w:rPr>
              <w:t>2</w:t>
            </w:r>
            <w:r w:rsidR="00966AF7">
              <w:rPr>
                <w:rFonts w:cs="Calibri"/>
                <w:color w:val="000000"/>
              </w:rPr>
              <w:t>/8</w:t>
            </w:r>
          </w:p>
        </w:tc>
        <w:tc>
          <w:tcPr>
            <w:tcW w:w="349" w:type="pct"/>
            <w:tcBorders>
              <w:top w:val="single" w:sz="4" w:space="0" w:color="auto"/>
              <w:left w:val="single" w:sz="4" w:space="0" w:color="auto"/>
              <w:bottom w:val="single" w:sz="4" w:space="0" w:color="auto"/>
              <w:right w:val="single" w:sz="4" w:space="0" w:color="auto"/>
            </w:tcBorders>
          </w:tcPr>
          <w:p w14:paraId="61E78AA7" w14:textId="11657CCE" w:rsidR="008E4AD8" w:rsidRPr="00270204" w:rsidRDefault="00750D34" w:rsidP="00096131">
            <w:pPr>
              <w:pStyle w:val="Tabletext1"/>
              <w:jc w:val="center"/>
              <w:rPr>
                <w:rFonts w:cs="Calibri"/>
                <w:color w:val="000000"/>
              </w:rPr>
            </w:pPr>
            <w:r>
              <w:rPr>
                <w:rFonts w:cs="Calibri"/>
                <w:color w:val="000000"/>
              </w:rPr>
              <w:t>0</w:t>
            </w:r>
            <w:r w:rsidR="00966AF7">
              <w:rPr>
                <w:rFonts w:cs="Calibri"/>
                <w:color w:val="000000"/>
              </w:rPr>
              <w:t>/8</w:t>
            </w:r>
          </w:p>
        </w:tc>
        <w:tc>
          <w:tcPr>
            <w:tcW w:w="349" w:type="pct"/>
            <w:tcBorders>
              <w:top w:val="single" w:sz="4" w:space="0" w:color="auto"/>
              <w:left w:val="single" w:sz="4" w:space="0" w:color="auto"/>
              <w:bottom w:val="single" w:sz="4" w:space="0" w:color="auto"/>
              <w:right w:val="single" w:sz="4" w:space="0" w:color="auto"/>
            </w:tcBorders>
          </w:tcPr>
          <w:p w14:paraId="0ABF074E" w14:textId="36082C7E" w:rsidR="008E4AD8" w:rsidRPr="00270204" w:rsidRDefault="00750D34"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5D87FE9F" w14:textId="729FA8EC" w:rsidR="008E4AD8" w:rsidRPr="00270204" w:rsidRDefault="00750D34"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453FF7F2" w14:textId="77777777" w:rsidR="008E4AD8" w:rsidRPr="00270204" w:rsidRDefault="008E4AD8" w:rsidP="00096131">
            <w:pPr>
              <w:pStyle w:val="Tabletext1"/>
              <w:jc w:val="center"/>
              <w:rPr>
                <w:rFonts w:cs="Calibri"/>
                <w:color w:val="000000"/>
              </w:rPr>
            </w:pPr>
          </w:p>
        </w:tc>
        <w:tc>
          <w:tcPr>
            <w:tcW w:w="350" w:type="pct"/>
            <w:tcBorders>
              <w:top w:val="single" w:sz="4" w:space="0" w:color="auto"/>
              <w:left w:val="single" w:sz="4" w:space="0" w:color="auto"/>
              <w:bottom w:val="single" w:sz="4" w:space="0" w:color="auto"/>
              <w:right w:val="single" w:sz="4" w:space="0" w:color="auto"/>
            </w:tcBorders>
          </w:tcPr>
          <w:p w14:paraId="4217E51E" w14:textId="3EF9477C" w:rsidR="008E4AD8" w:rsidRPr="00270204" w:rsidRDefault="006612C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29BD8073" w14:textId="7C3823EE" w:rsidR="008E4AD8" w:rsidRPr="00270204" w:rsidRDefault="006612C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65F5795E" w14:textId="10C75108" w:rsidR="008E4AD8" w:rsidRPr="00270204" w:rsidRDefault="006612CC" w:rsidP="00096131">
            <w:pPr>
              <w:pStyle w:val="Tabletext1"/>
              <w:jc w:val="center"/>
              <w:rPr>
                <w:rFonts w:cs="Calibri"/>
                <w:color w:val="000000"/>
              </w:rPr>
            </w:pPr>
            <w:r>
              <w:rPr>
                <w:rFonts w:cs="Calibri"/>
                <w:color w:val="000000"/>
              </w:rPr>
              <w:t>0</w:t>
            </w:r>
          </w:p>
        </w:tc>
        <w:tc>
          <w:tcPr>
            <w:tcW w:w="341" w:type="pct"/>
            <w:tcBorders>
              <w:top w:val="single" w:sz="4" w:space="0" w:color="auto"/>
              <w:left w:val="single" w:sz="4" w:space="0" w:color="auto"/>
              <w:bottom w:val="single" w:sz="4" w:space="0" w:color="auto"/>
              <w:right w:val="single" w:sz="4" w:space="0" w:color="auto"/>
            </w:tcBorders>
          </w:tcPr>
          <w:p w14:paraId="153DF0D4" w14:textId="497C6537" w:rsidR="008E4AD8" w:rsidRDefault="006612CC" w:rsidP="00096131">
            <w:pPr>
              <w:pStyle w:val="Tabletext1"/>
              <w:jc w:val="center"/>
            </w:pPr>
            <w:r>
              <w:t>0</w:t>
            </w:r>
          </w:p>
        </w:tc>
      </w:tr>
      <w:tr w:rsidR="008E4AD8" w:rsidRPr="00B2301A" w14:paraId="3D2FB1F3" w14:textId="77777777" w:rsidTr="000F2EEC">
        <w:tc>
          <w:tcPr>
            <w:tcW w:w="669" w:type="pct"/>
            <w:tcBorders>
              <w:top w:val="nil"/>
              <w:left w:val="single" w:sz="4" w:space="0" w:color="auto"/>
              <w:bottom w:val="nil"/>
              <w:right w:val="single" w:sz="4" w:space="0" w:color="auto"/>
            </w:tcBorders>
            <w:shd w:val="clear" w:color="auto" w:fill="auto"/>
          </w:tcPr>
          <w:p w14:paraId="5F855D61" w14:textId="77777777" w:rsidR="008E4AD8" w:rsidRDefault="008E4AD8"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A5C3D2A" w14:textId="2F2BFE69" w:rsidR="008E4AD8" w:rsidRPr="00270204" w:rsidRDefault="00941547" w:rsidP="00096131">
            <w:pPr>
              <w:pStyle w:val="Tabletext1"/>
              <w:jc w:val="center"/>
            </w:pPr>
            <w:r>
              <w:t>Dysuria</w:t>
            </w:r>
          </w:p>
        </w:tc>
        <w:tc>
          <w:tcPr>
            <w:tcW w:w="349" w:type="pct"/>
            <w:tcBorders>
              <w:top w:val="single" w:sz="4" w:space="0" w:color="auto"/>
              <w:left w:val="single" w:sz="4" w:space="0" w:color="auto"/>
              <w:bottom w:val="single" w:sz="4" w:space="0" w:color="auto"/>
              <w:right w:val="single" w:sz="4" w:space="0" w:color="auto"/>
            </w:tcBorders>
          </w:tcPr>
          <w:p w14:paraId="5FA32F73" w14:textId="77777777" w:rsidR="008E4AD8" w:rsidRDefault="008E4AD8"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2603BA7" w14:textId="26CE1917" w:rsidR="008E4AD8" w:rsidRPr="00270204" w:rsidRDefault="007969A6" w:rsidP="00096131">
            <w:pPr>
              <w:pStyle w:val="Tabletext1"/>
              <w:jc w:val="center"/>
              <w:rPr>
                <w:rFonts w:cs="Calibri"/>
                <w:color w:val="000000"/>
              </w:rPr>
            </w:pPr>
            <w:r>
              <w:rPr>
                <w:rFonts w:cs="Calibri"/>
                <w:color w:val="000000"/>
              </w:rPr>
              <w:t>4</w:t>
            </w:r>
            <w:r w:rsidR="00966AF7">
              <w:rPr>
                <w:rFonts w:cs="Calibri"/>
                <w:color w:val="000000"/>
              </w:rPr>
              <w:t>/8</w:t>
            </w:r>
          </w:p>
        </w:tc>
        <w:tc>
          <w:tcPr>
            <w:tcW w:w="349" w:type="pct"/>
            <w:tcBorders>
              <w:top w:val="single" w:sz="4" w:space="0" w:color="auto"/>
              <w:left w:val="single" w:sz="4" w:space="0" w:color="auto"/>
              <w:bottom w:val="single" w:sz="4" w:space="0" w:color="auto"/>
              <w:right w:val="single" w:sz="4" w:space="0" w:color="auto"/>
            </w:tcBorders>
          </w:tcPr>
          <w:p w14:paraId="10DD263A" w14:textId="0C4BC3CC" w:rsidR="008E4AD8" w:rsidRPr="00270204" w:rsidRDefault="007969A6" w:rsidP="00096131">
            <w:pPr>
              <w:pStyle w:val="Tabletext1"/>
              <w:jc w:val="center"/>
              <w:rPr>
                <w:rFonts w:cs="Calibri"/>
                <w:color w:val="000000"/>
              </w:rPr>
            </w:pPr>
            <w:r>
              <w:rPr>
                <w:rFonts w:cs="Calibri"/>
                <w:color w:val="000000"/>
              </w:rPr>
              <w:t>1</w:t>
            </w:r>
            <w:r w:rsidR="00966AF7">
              <w:rPr>
                <w:rFonts w:cs="Calibri"/>
                <w:color w:val="000000"/>
              </w:rPr>
              <w:t>/8</w:t>
            </w:r>
          </w:p>
        </w:tc>
        <w:tc>
          <w:tcPr>
            <w:tcW w:w="349" w:type="pct"/>
            <w:tcBorders>
              <w:top w:val="single" w:sz="4" w:space="0" w:color="auto"/>
              <w:left w:val="single" w:sz="4" w:space="0" w:color="auto"/>
              <w:bottom w:val="single" w:sz="4" w:space="0" w:color="auto"/>
              <w:right w:val="single" w:sz="4" w:space="0" w:color="auto"/>
            </w:tcBorders>
          </w:tcPr>
          <w:p w14:paraId="0F102729" w14:textId="156DD4DD" w:rsidR="008E4AD8" w:rsidRPr="00270204" w:rsidRDefault="000F2EE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79BB0A30" w14:textId="318BEDBE" w:rsidR="008E4AD8" w:rsidRPr="00270204" w:rsidRDefault="000F2EE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1782B96B" w14:textId="77777777" w:rsidR="008E4AD8" w:rsidRPr="00270204" w:rsidRDefault="008E4AD8" w:rsidP="00096131">
            <w:pPr>
              <w:pStyle w:val="Tabletext1"/>
              <w:jc w:val="center"/>
              <w:rPr>
                <w:rFonts w:cs="Calibri"/>
                <w:color w:val="000000"/>
              </w:rPr>
            </w:pPr>
          </w:p>
        </w:tc>
        <w:tc>
          <w:tcPr>
            <w:tcW w:w="350" w:type="pct"/>
            <w:tcBorders>
              <w:top w:val="single" w:sz="4" w:space="0" w:color="auto"/>
              <w:left w:val="single" w:sz="4" w:space="0" w:color="auto"/>
              <w:bottom w:val="single" w:sz="4" w:space="0" w:color="auto"/>
              <w:right w:val="single" w:sz="4" w:space="0" w:color="auto"/>
            </w:tcBorders>
          </w:tcPr>
          <w:p w14:paraId="0D0FF998" w14:textId="46BF395B" w:rsidR="008E4AD8" w:rsidRPr="00270204" w:rsidRDefault="000F2EE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38E6E6C7" w14:textId="676EAA32" w:rsidR="008E4AD8" w:rsidRPr="00270204" w:rsidRDefault="000F2EE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0D3040BB" w14:textId="1B841D01" w:rsidR="008E4AD8" w:rsidRPr="00270204" w:rsidRDefault="000F2EEC" w:rsidP="00096131">
            <w:pPr>
              <w:pStyle w:val="Tabletext1"/>
              <w:jc w:val="center"/>
              <w:rPr>
                <w:rFonts w:cs="Calibri"/>
                <w:color w:val="000000"/>
              </w:rPr>
            </w:pPr>
            <w:r>
              <w:rPr>
                <w:rFonts w:cs="Calibri"/>
                <w:color w:val="000000"/>
              </w:rPr>
              <w:t>0</w:t>
            </w:r>
          </w:p>
        </w:tc>
        <w:tc>
          <w:tcPr>
            <w:tcW w:w="341" w:type="pct"/>
            <w:tcBorders>
              <w:top w:val="single" w:sz="4" w:space="0" w:color="auto"/>
              <w:left w:val="single" w:sz="4" w:space="0" w:color="auto"/>
              <w:bottom w:val="single" w:sz="4" w:space="0" w:color="auto"/>
              <w:right w:val="single" w:sz="4" w:space="0" w:color="auto"/>
            </w:tcBorders>
          </w:tcPr>
          <w:p w14:paraId="0F2FF0A5" w14:textId="365964DD" w:rsidR="008E4AD8" w:rsidRDefault="000F2EEC" w:rsidP="00096131">
            <w:pPr>
              <w:pStyle w:val="Tabletext1"/>
              <w:jc w:val="center"/>
            </w:pPr>
            <w:r>
              <w:t>0</w:t>
            </w:r>
          </w:p>
        </w:tc>
      </w:tr>
      <w:tr w:rsidR="007969A6" w:rsidRPr="00B2301A" w14:paraId="6CB5E59E" w14:textId="77777777" w:rsidTr="000F2EEC">
        <w:tc>
          <w:tcPr>
            <w:tcW w:w="669" w:type="pct"/>
            <w:tcBorders>
              <w:top w:val="nil"/>
              <w:left w:val="single" w:sz="4" w:space="0" w:color="auto"/>
              <w:bottom w:val="single" w:sz="4" w:space="0" w:color="auto"/>
              <w:right w:val="single" w:sz="4" w:space="0" w:color="auto"/>
            </w:tcBorders>
            <w:shd w:val="clear" w:color="auto" w:fill="auto"/>
          </w:tcPr>
          <w:p w14:paraId="06418B66" w14:textId="77777777" w:rsidR="007969A6" w:rsidRDefault="007969A6"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B8D7D55" w14:textId="5A6B076C" w:rsidR="007969A6" w:rsidRDefault="007969A6" w:rsidP="00096131">
            <w:pPr>
              <w:pStyle w:val="Tabletext1"/>
              <w:jc w:val="center"/>
            </w:pPr>
            <w:r>
              <w:t>Nycturia</w:t>
            </w:r>
          </w:p>
        </w:tc>
        <w:tc>
          <w:tcPr>
            <w:tcW w:w="349" w:type="pct"/>
            <w:tcBorders>
              <w:top w:val="single" w:sz="4" w:space="0" w:color="auto"/>
              <w:left w:val="single" w:sz="4" w:space="0" w:color="auto"/>
              <w:bottom w:val="single" w:sz="4" w:space="0" w:color="auto"/>
              <w:right w:val="single" w:sz="4" w:space="0" w:color="auto"/>
            </w:tcBorders>
          </w:tcPr>
          <w:p w14:paraId="1E0DDEFA" w14:textId="77777777" w:rsidR="007969A6" w:rsidRDefault="007969A6"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52FE009" w14:textId="1CF9ED1D" w:rsidR="007969A6" w:rsidRDefault="00221627" w:rsidP="00096131">
            <w:pPr>
              <w:pStyle w:val="Tabletext1"/>
              <w:jc w:val="center"/>
              <w:rPr>
                <w:rFonts w:cs="Calibri"/>
                <w:color w:val="000000"/>
              </w:rPr>
            </w:pPr>
            <w:r>
              <w:rPr>
                <w:rFonts w:cs="Calibri"/>
                <w:color w:val="000000"/>
              </w:rPr>
              <w:t>1</w:t>
            </w:r>
            <w:r w:rsidR="00966AF7">
              <w:rPr>
                <w:rFonts w:cs="Calibri"/>
                <w:color w:val="000000"/>
              </w:rPr>
              <w:t>/8</w:t>
            </w:r>
          </w:p>
        </w:tc>
        <w:tc>
          <w:tcPr>
            <w:tcW w:w="349" w:type="pct"/>
            <w:tcBorders>
              <w:top w:val="single" w:sz="4" w:space="0" w:color="auto"/>
              <w:left w:val="single" w:sz="4" w:space="0" w:color="auto"/>
              <w:bottom w:val="single" w:sz="4" w:space="0" w:color="auto"/>
              <w:right w:val="single" w:sz="4" w:space="0" w:color="auto"/>
            </w:tcBorders>
          </w:tcPr>
          <w:p w14:paraId="68B26A1F" w14:textId="7913BD98" w:rsidR="007969A6" w:rsidRDefault="000F2EEC" w:rsidP="00096131">
            <w:pPr>
              <w:pStyle w:val="Tabletext1"/>
              <w:jc w:val="center"/>
              <w:rPr>
                <w:rFonts w:cs="Calibri"/>
                <w:color w:val="000000"/>
              </w:rPr>
            </w:pPr>
            <w:r>
              <w:rPr>
                <w:rFonts w:cs="Calibri"/>
                <w:color w:val="000000"/>
              </w:rPr>
              <w:t>0</w:t>
            </w:r>
            <w:r w:rsidR="00966AF7">
              <w:rPr>
                <w:rFonts w:cs="Calibri"/>
                <w:color w:val="000000"/>
              </w:rPr>
              <w:t>/8</w:t>
            </w:r>
          </w:p>
        </w:tc>
        <w:tc>
          <w:tcPr>
            <w:tcW w:w="349" w:type="pct"/>
            <w:tcBorders>
              <w:top w:val="single" w:sz="4" w:space="0" w:color="auto"/>
              <w:left w:val="single" w:sz="4" w:space="0" w:color="auto"/>
              <w:bottom w:val="single" w:sz="4" w:space="0" w:color="auto"/>
              <w:right w:val="single" w:sz="4" w:space="0" w:color="auto"/>
            </w:tcBorders>
          </w:tcPr>
          <w:p w14:paraId="1F9E1196" w14:textId="521ED07E" w:rsidR="007969A6" w:rsidRPr="00270204" w:rsidRDefault="000F2EE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0E1577AB" w14:textId="03314D44" w:rsidR="007969A6" w:rsidRPr="00270204" w:rsidRDefault="000F2EE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689C9C3B" w14:textId="77777777" w:rsidR="007969A6" w:rsidRPr="00270204" w:rsidRDefault="007969A6" w:rsidP="00096131">
            <w:pPr>
              <w:pStyle w:val="Tabletext1"/>
              <w:jc w:val="center"/>
              <w:rPr>
                <w:rFonts w:cs="Calibri"/>
                <w:color w:val="000000"/>
              </w:rPr>
            </w:pPr>
          </w:p>
        </w:tc>
        <w:tc>
          <w:tcPr>
            <w:tcW w:w="350" w:type="pct"/>
            <w:tcBorders>
              <w:top w:val="single" w:sz="4" w:space="0" w:color="auto"/>
              <w:left w:val="single" w:sz="4" w:space="0" w:color="auto"/>
              <w:bottom w:val="single" w:sz="4" w:space="0" w:color="auto"/>
              <w:right w:val="single" w:sz="4" w:space="0" w:color="auto"/>
            </w:tcBorders>
          </w:tcPr>
          <w:p w14:paraId="5B227DB7" w14:textId="17693831" w:rsidR="007969A6" w:rsidRPr="00270204" w:rsidRDefault="000F2EE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553DC01A" w14:textId="3A9D6886" w:rsidR="007969A6" w:rsidRPr="00270204" w:rsidRDefault="000F2EEC" w:rsidP="00096131">
            <w:pPr>
              <w:pStyle w:val="Tabletext1"/>
              <w:jc w:val="center"/>
              <w:rPr>
                <w:rFonts w:cs="Calibri"/>
                <w:color w:val="000000"/>
              </w:rPr>
            </w:pPr>
            <w:r>
              <w:rPr>
                <w:rFonts w:cs="Calibri"/>
                <w:color w:val="000000"/>
              </w:rPr>
              <w:t>0</w:t>
            </w:r>
          </w:p>
        </w:tc>
        <w:tc>
          <w:tcPr>
            <w:tcW w:w="349" w:type="pct"/>
            <w:tcBorders>
              <w:top w:val="single" w:sz="4" w:space="0" w:color="auto"/>
              <w:left w:val="single" w:sz="4" w:space="0" w:color="auto"/>
              <w:bottom w:val="single" w:sz="4" w:space="0" w:color="auto"/>
              <w:right w:val="single" w:sz="4" w:space="0" w:color="auto"/>
            </w:tcBorders>
          </w:tcPr>
          <w:p w14:paraId="3CFF917E" w14:textId="43BFA369" w:rsidR="007969A6" w:rsidRPr="00270204" w:rsidRDefault="000F2EEC" w:rsidP="00096131">
            <w:pPr>
              <w:pStyle w:val="Tabletext1"/>
              <w:jc w:val="center"/>
              <w:rPr>
                <w:rFonts w:cs="Calibri"/>
                <w:color w:val="000000"/>
              </w:rPr>
            </w:pPr>
            <w:r>
              <w:rPr>
                <w:rFonts w:cs="Calibri"/>
                <w:color w:val="000000"/>
              </w:rPr>
              <w:t>0</w:t>
            </w:r>
          </w:p>
        </w:tc>
        <w:tc>
          <w:tcPr>
            <w:tcW w:w="341" w:type="pct"/>
            <w:tcBorders>
              <w:top w:val="single" w:sz="4" w:space="0" w:color="auto"/>
              <w:left w:val="single" w:sz="4" w:space="0" w:color="auto"/>
              <w:bottom w:val="single" w:sz="4" w:space="0" w:color="auto"/>
              <w:right w:val="single" w:sz="4" w:space="0" w:color="auto"/>
            </w:tcBorders>
          </w:tcPr>
          <w:p w14:paraId="337D65C4" w14:textId="29ECDEF8" w:rsidR="007969A6" w:rsidRDefault="000F2EEC" w:rsidP="00096131">
            <w:pPr>
              <w:pStyle w:val="Tabletext1"/>
              <w:jc w:val="center"/>
            </w:pPr>
            <w:r>
              <w:t>0</w:t>
            </w:r>
          </w:p>
        </w:tc>
      </w:tr>
      <w:tr w:rsidR="00270204" w:rsidRPr="00B2301A" w14:paraId="37058C6F" w14:textId="77777777" w:rsidTr="000F2EEC">
        <w:tc>
          <w:tcPr>
            <w:tcW w:w="669" w:type="pct"/>
            <w:tcBorders>
              <w:top w:val="single" w:sz="4" w:space="0" w:color="auto"/>
              <w:left w:val="single" w:sz="4" w:space="0" w:color="auto"/>
              <w:bottom w:val="nil"/>
              <w:right w:val="single" w:sz="4" w:space="0" w:color="auto"/>
            </w:tcBorders>
            <w:shd w:val="clear" w:color="auto" w:fill="auto"/>
          </w:tcPr>
          <w:p w14:paraId="7E11934C" w14:textId="31E3C852" w:rsidR="00270204" w:rsidRDefault="00211285" w:rsidP="00096131">
            <w:pPr>
              <w:pStyle w:val="Tabletext1"/>
            </w:pPr>
            <w:hyperlink w:anchor="_ENREF_40" w:tooltip="Ingrosso, 2017 #51" w:history="1">
              <w:r w:rsidR="008B6FC0">
                <w:fldChar w:fldCharType="begin"/>
              </w:r>
              <w:r w:rsidR="008B6FC0">
                <w:instrText xml:space="preserve"> ADDIN EN.CITE &lt;EndNote&gt;&lt;Cite AuthorYear="1"&gt;&lt;Author&gt;Ingrosso&lt;/Author&gt;&lt;Year&gt;2017&lt;/Year&gt;&lt;RecNum&gt;51&lt;/RecNum&gt;&lt;DisplayText&gt;Ingrosso et al. (2017)&lt;/DisplayText&gt;&lt;record&gt;&lt;rec-number&gt;51&lt;/rec-number&gt;&lt;foreign-keys&gt;&lt;key app="EN" db-id="sx5wsdwv795wvue959xxw0ptaewvdezxxp05" timestamp="1604876395"&gt;51&lt;/key&gt;&lt;/foreign-keys&gt;&lt;ref-type name="Journal Article"&gt;17&lt;/ref-type&gt;&lt;contributors&gt;&lt;authors&gt;&lt;author&gt;Ingrosso, G.&lt;/author&gt;&lt;author&gt;Carosi, A.&lt;/author&gt;&lt;author&gt;di Cristino, D.&lt;/author&gt;&lt;author&gt;Ponti, E.&lt;/author&gt;&lt;author&gt;Lancia, A.&lt;/author&gt;&lt;author&gt;Murgia, A.&lt;/author&gt;&lt;author&gt;Bruni, C.&lt;/author&gt;&lt;author&gt;Morelli, P.&lt;/author&gt;&lt;author&gt;Pietrasanta, F.&lt;/author&gt;&lt;author&gt;Santoni, R.&lt;/author&gt;&lt;/authors&gt;&lt;/contributors&gt;&lt;titles&gt;&lt;title&gt;Volumetric image-guided highly conformal radiotherapy of the prostate bed: Toxicity analysis&lt;/title&gt;&lt;secondary-title&gt;Reports of Practical Oncology and Radiotherapy&lt;/secondary-title&gt;&lt;/titles&gt;&lt;pages&gt;64-70&lt;/pages&gt;&lt;volume&gt;22&lt;/volume&gt;&lt;number&gt;1&lt;/number&gt;&lt;dates&gt;&lt;year&gt;2017&lt;/year&gt;&lt;/dates&gt;&lt;accession-num&gt;613351188&lt;/accession-num&gt;&lt;urls&gt;&lt;related-urls&gt;&lt;url&gt;http://www.elsevier.com/wps/find/journaldescription.cws_home/719699/description#descriptionhttp://ezproxy.library.usyd.edu.au/login?url=http://ovidsp.ovid.com/ovidweb.cgi?T=JS&amp;amp;CSC=Y&amp;amp;NEWS=N&amp;amp;PAGE=fulltext&amp;amp;D=emed18&amp;amp;AN=613351188https://sydney.alma.exlibrisgro&lt;/url&gt;&lt;url&gt;https://www.ncbi.nlm.nih.gov/pmc/articles/PMC5126144/pdf/main.pdf&lt;/url&gt;&lt;/related-urls&gt;&lt;/urls&gt;&lt;custom2&gt;include-prostate cancer toxicity&lt;/custom2&gt;&lt;electronic-resource-num&gt;http://dx.doi.org/10.1016/j.rpor.2016.10.006&lt;/electronic-resource-num&gt;&lt;/record&gt;&lt;/Cite&gt;&lt;/EndNote&gt;</w:instrText>
              </w:r>
              <w:r w:rsidR="008B6FC0">
                <w:fldChar w:fldCharType="separate"/>
              </w:r>
              <w:r w:rsidR="008B6FC0">
                <w:rPr>
                  <w:noProof/>
                </w:rPr>
                <w:t>Ingrosso et al. (2017)</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034CC439" w14:textId="07B2F427" w:rsidR="00270204" w:rsidRDefault="00270204" w:rsidP="00096131">
            <w:pPr>
              <w:pStyle w:val="Tabletext1"/>
              <w:jc w:val="center"/>
            </w:pPr>
            <w:r w:rsidRPr="00270204">
              <w:t>GI</w:t>
            </w:r>
          </w:p>
        </w:tc>
        <w:tc>
          <w:tcPr>
            <w:tcW w:w="349" w:type="pct"/>
            <w:tcBorders>
              <w:top w:val="single" w:sz="4" w:space="0" w:color="auto"/>
              <w:left w:val="single" w:sz="4" w:space="0" w:color="auto"/>
              <w:bottom w:val="single" w:sz="4" w:space="0" w:color="auto"/>
              <w:right w:val="single" w:sz="4" w:space="0" w:color="auto"/>
            </w:tcBorders>
          </w:tcPr>
          <w:p w14:paraId="33106AB1" w14:textId="77777777" w:rsidR="00270204" w:rsidRDefault="00270204"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7D9D3AF" w14:textId="0549F24A" w:rsidR="00270204" w:rsidRPr="00270204" w:rsidRDefault="00270204" w:rsidP="00096131">
            <w:pPr>
              <w:pStyle w:val="Tabletext1"/>
              <w:jc w:val="center"/>
              <w:rPr>
                <w:rFonts w:cs="Calibri"/>
                <w:color w:val="000000"/>
              </w:rPr>
            </w:pPr>
            <w:r w:rsidRPr="00270204">
              <w:rPr>
                <w:rFonts w:cs="Calibri"/>
                <w:color w:val="000000"/>
              </w:rPr>
              <w:t>25/118 (21%)</w:t>
            </w:r>
          </w:p>
        </w:tc>
        <w:tc>
          <w:tcPr>
            <w:tcW w:w="349" w:type="pct"/>
            <w:tcBorders>
              <w:top w:val="single" w:sz="4" w:space="0" w:color="auto"/>
              <w:left w:val="single" w:sz="4" w:space="0" w:color="auto"/>
              <w:bottom w:val="single" w:sz="4" w:space="0" w:color="auto"/>
              <w:right w:val="single" w:sz="4" w:space="0" w:color="auto"/>
            </w:tcBorders>
          </w:tcPr>
          <w:p w14:paraId="1A9AA0B7" w14:textId="0407AF36" w:rsidR="00270204" w:rsidRPr="00270204" w:rsidRDefault="00270204" w:rsidP="00096131">
            <w:pPr>
              <w:pStyle w:val="Tabletext1"/>
              <w:jc w:val="center"/>
              <w:rPr>
                <w:rFonts w:cs="Calibri"/>
                <w:color w:val="000000"/>
              </w:rPr>
            </w:pPr>
            <w:r w:rsidRPr="00270204">
              <w:rPr>
                <w:rFonts w:cs="Calibri"/>
                <w:color w:val="000000"/>
              </w:rPr>
              <w:t>3/118 (</w:t>
            </w:r>
            <w:r w:rsidR="00CF043A">
              <w:rPr>
                <w:rFonts w:cs="Calibri"/>
                <w:color w:val="000000"/>
              </w:rPr>
              <w:t>3</w:t>
            </w:r>
            <w:r w:rsidRPr="00270204">
              <w:rPr>
                <w:rFonts w:cs="Calibri"/>
                <w:color w:val="000000"/>
              </w:rPr>
              <w:t>%)</w:t>
            </w:r>
          </w:p>
        </w:tc>
        <w:tc>
          <w:tcPr>
            <w:tcW w:w="349" w:type="pct"/>
            <w:tcBorders>
              <w:top w:val="single" w:sz="4" w:space="0" w:color="auto"/>
              <w:left w:val="single" w:sz="4" w:space="0" w:color="auto"/>
              <w:bottom w:val="single" w:sz="4" w:space="0" w:color="auto"/>
              <w:right w:val="single" w:sz="4" w:space="0" w:color="auto"/>
            </w:tcBorders>
          </w:tcPr>
          <w:p w14:paraId="3914528A" w14:textId="03E09BD3" w:rsidR="00270204" w:rsidRPr="00270204" w:rsidRDefault="00270204" w:rsidP="00096131">
            <w:pPr>
              <w:pStyle w:val="Tabletext1"/>
              <w:jc w:val="center"/>
              <w:rPr>
                <w:rFonts w:cs="Calibri"/>
                <w:color w:val="000000"/>
              </w:rPr>
            </w:pPr>
            <w:r w:rsidRPr="00270204">
              <w:rPr>
                <w:rFonts w:cs="Calibri"/>
                <w:color w:val="000000"/>
              </w:rPr>
              <w:t>0/118 (0%)</w:t>
            </w:r>
          </w:p>
        </w:tc>
        <w:tc>
          <w:tcPr>
            <w:tcW w:w="349" w:type="pct"/>
            <w:tcBorders>
              <w:top w:val="single" w:sz="4" w:space="0" w:color="auto"/>
              <w:left w:val="single" w:sz="4" w:space="0" w:color="auto"/>
              <w:bottom w:val="single" w:sz="4" w:space="0" w:color="auto"/>
              <w:right w:val="single" w:sz="4" w:space="0" w:color="auto"/>
            </w:tcBorders>
          </w:tcPr>
          <w:p w14:paraId="5BAF4B9A" w14:textId="77777777" w:rsidR="00270204" w:rsidRPr="00270204" w:rsidRDefault="00270204" w:rsidP="00096131">
            <w:pPr>
              <w:pStyle w:val="Tabletext1"/>
              <w:jc w:val="center"/>
              <w:rPr>
                <w:rFonts w:cs="Calibri"/>
                <w:color w:val="000000"/>
              </w:rPr>
            </w:pPr>
          </w:p>
        </w:tc>
        <w:tc>
          <w:tcPr>
            <w:tcW w:w="349" w:type="pct"/>
            <w:tcBorders>
              <w:top w:val="single" w:sz="4" w:space="0" w:color="auto"/>
              <w:left w:val="single" w:sz="4" w:space="0" w:color="auto"/>
              <w:bottom w:val="single" w:sz="4" w:space="0" w:color="auto"/>
              <w:right w:val="single" w:sz="4" w:space="0" w:color="auto"/>
            </w:tcBorders>
          </w:tcPr>
          <w:p w14:paraId="6EF43A1E" w14:textId="77777777" w:rsidR="00270204" w:rsidRPr="00270204" w:rsidRDefault="00270204" w:rsidP="00096131">
            <w:pPr>
              <w:pStyle w:val="Tabletext1"/>
              <w:jc w:val="center"/>
              <w:rPr>
                <w:rFonts w:cs="Calibri"/>
                <w:color w:val="000000"/>
              </w:rPr>
            </w:pPr>
          </w:p>
        </w:tc>
        <w:tc>
          <w:tcPr>
            <w:tcW w:w="350" w:type="pct"/>
            <w:tcBorders>
              <w:top w:val="single" w:sz="4" w:space="0" w:color="auto"/>
              <w:left w:val="single" w:sz="4" w:space="0" w:color="auto"/>
              <w:bottom w:val="single" w:sz="4" w:space="0" w:color="auto"/>
              <w:right w:val="single" w:sz="4" w:space="0" w:color="auto"/>
            </w:tcBorders>
          </w:tcPr>
          <w:p w14:paraId="2A6695AC" w14:textId="0F5ACE6A" w:rsidR="00270204" w:rsidRPr="00270204" w:rsidRDefault="00270204" w:rsidP="00096131">
            <w:pPr>
              <w:pStyle w:val="Tabletext1"/>
              <w:jc w:val="center"/>
              <w:rPr>
                <w:rFonts w:cs="Calibri"/>
                <w:color w:val="000000"/>
              </w:rPr>
            </w:pPr>
            <w:r w:rsidRPr="00270204">
              <w:rPr>
                <w:rFonts w:cs="Calibri"/>
                <w:color w:val="000000"/>
              </w:rPr>
              <w:t>4/118 (3%)</w:t>
            </w:r>
          </w:p>
        </w:tc>
        <w:tc>
          <w:tcPr>
            <w:tcW w:w="349" w:type="pct"/>
            <w:tcBorders>
              <w:top w:val="single" w:sz="4" w:space="0" w:color="auto"/>
              <w:left w:val="single" w:sz="4" w:space="0" w:color="auto"/>
              <w:bottom w:val="single" w:sz="4" w:space="0" w:color="auto"/>
              <w:right w:val="single" w:sz="4" w:space="0" w:color="auto"/>
            </w:tcBorders>
          </w:tcPr>
          <w:p w14:paraId="3C88BC3B" w14:textId="25CCB8CF" w:rsidR="00270204" w:rsidRPr="00270204" w:rsidRDefault="00270204" w:rsidP="00096131">
            <w:pPr>
              <w:pStyle w:val="Tabletext1"/>
              <w:jc w:val="center"/>
              <w:rPr>
                <w:rFonts w:cs="Calibri"/>
                <w:color w:val="000000"/>
              </w:rPr>
            </w:pPr>
            <w:r w:rsidRPr="00270204">
              <w:rPr>
                <w:rFonts w:cs="Calibri"/>
                <w:color w:val="000000"/>
              </w:rPr>
              <w:t>4/118 (3%)</w:t>
            </w:r>
          </w:p>
        </w:tc>
        <w:tc>
          <w:tcPr>
            <w:tcW w:w="349" w:type="pct"/>
            <w:tcBorders>
              <w:top w:val="single" w:sz="4" w:space="0" w:color="auto"/>
              <w:left w:val="single" w:sz="4" w:space="0" w:color="auto"/>
              <w:bottom w:val="single" w:sz="4" w:space="0" w:color="auto"/>
              <w:right w:val="single" w:sz="4" w:space="0" w:color="auto"/>
            </w:tcBorders>
          </w:tcPr>
          <w:p w14:paraId="64A9E79E" w14:textId="77492B5F" w:rsidR="00270204" w:rsidRPr="00270204" w:rsidRDefault="00270204" w:rsidP="00096131">
            <w:pPr>
              <w:pStyle w:val="Tabletext1"/>
              <w:jc w:val="center"/>
              <w:rPr>
                <w:rFonts w:cs="Calibri"/>
                <w:color w:val="000000"/>
              </w:rPr>
            </w:pPr>
            <w:r w:rsidRPr="00270204">
              <w:rPr>
                <w:rFonts w:cs="Calibri"/>
                <w:color w:val="000000"/>
              </w:rPr>
              <w:t>0/118 (0%)</w:t>
            </w:r>
          </w:p>
        </w:tc>
        <w:tc>
          <w:tcPr>
            <w:tcW w:w="341" w:type="pct"/>
            <w:tcBorders>
              <w:top w:val="single" w:sz="4" w:space="0" w:color="auto"/>
              <w:left w:val="single" w:sz="4" w:space="0" w:color="auto"/>
              <w:bottom w:val="single" w:sz="4" w:space="0" w:color="auto"/>
              <w:right w:val="single" w:sz="4" w:space="0" w:color="auto"/>
            </w:tcBorders>
          </w:tcPr>
          <w:p w14:paraId="65277D7A" w14:textId="77777777" w:rsidR="00270204" w:rsidRDefault="00270204" w:rsidP="00096131">
            <w:pPr>
              <w:pStyle w:val="Tabletext1"/>
              <w:jc w:val="center"/>
            </w:pPr>
          </w:p>
        </w:tc>
      </w:tr>
      <w:tr w:rsidR="00270204" w:rsidRPr="00B2301A" w14:paraId="19FC9B43" w14:textId="77777777" w:rsidTr="00270204">
        <w:tc>
          <w:tcPr>
            <w:tcW w:w="669" w:type="pct"/>
            <w:tcBorders>
              <w:top w:val="nil"/>
              <w:left w:val="single" w:sz="4" w:space="0" w:color="auto"/>
              <w:bottom w:val="single" w:sz="4" w:space="0" w:color="auto"/>
              <w:right w:val="single" w:sz="4" w:space="0" w:color="auto"/>
            </w:tcBorders>
            <w:shd w:val="clear" w:color="auto" w:fill="auto"/>
          </w:tcPr>
          <w:p w14:paraId="64A11B0F" w14:textId="77777777" w:rsidR="00270204" w:rsidRDefault="00270204"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398060A" w14:textId="7BD06E22" w:rsidR="00270204" w:rsidRPr="00270204" w:rsidRDefault="00270204" w:rsidP="00096131">
            <w:pPr>
              <w:pStyle w:val="Tabletext1"/>
              <w:jc w:val="center"/>
            </w:pPr>
            <w:r w:rsidRPr="00270204">
              <w:t>GU</w:t>
            </w:r>
          </w:p>
        </w:tc>
        <w:tc>
          <w:tcPr>
            <w:tcW w:w="349" w:type="pct"/>
            <w:tcBorders>
              <w:top w:val="single" w:sz="4" w:space="0" w:color="auto"/>
              <w:left w:val="single" w:sz="4" w:space="0" w:color="auto"/>
              <w:bottom w:val="single" w:sz="4" w:space="0" w:color="auto"/>
              <w:right w:val="single" w:sz="4" w:space="0" w:color="auto"/>
            </w:tcBorders>
          </w:tcPr>
          <w:p w14:paraId="4A2C5D36" w14:textId="77777777" w:rsidR="00270204" w:rsidRDefault="00270204"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300C792" w14:textId="46D5E635" w:rsidR="00270204" w:rsidRPr="00270204" w:rsidRDefault="00270204" w:rsidP="00096131">
            <w:pPr>
              <w:pStyle w:val="Tabletext1"/>
              <w:jc w:val="center"/>
              <w:rPr>
                <w:rFonts w:cs="Calibri"/>
                <w:color w:val="000000"/>
              </w:rPr>
            </w:pPr>
            <w:r w:rsidRPr="00270204">
              <w:rPr>
                <w:rFonts w:cs="Calibri"/>
                <w:color w:val="000000"/>
              </w:rPr>
              <w:t>37/118 (31%)</w:t>
            </w:r>
          </w:p>
        </w:tc>
        <w:tc>
          <w:tcPr>
            <w:tcW w:w="349" w:type="pct"/>
            <w:tcBorders>
              <w:top w:val="single" w:sz="4" w:space="0" w:color="auto"/>
              <w:left w:val="single" w:sz="4" w:space="0" w:color="auto"/>
              <w:bottom w:val="single" w:sz="4" w:space="0" w:color="auto"/>
              <w:right w:val="single" w:sz="4" w:space="0" w:color="auto"/>
            </w:tcBorders>
          </w:tcPr>
          <w:p w14:paraId="6FF4F58B" w14:textId="6E7A3635" w:rsidR="00270204" w:rsidRPr="00270204" w:rsidRDefault="00270204" w:rsidP="00096131">
            <w:pPr>
              <w:pStyle w:val="Tabletext1"/>
              <w:jc w:val="center"/>
              <w:rPr>
                <w:rFonts w:cs="Calibri"/>
                <w:color w:val="000000"/>
              </w:rPr>
            </w:pPr>
            <w:r w:rsidRPr="00270204">
              <w:rPr>
                <w:rFonts w:cs="Calibri"/>
                <w:color w:val="000000"/>
              </w:rPr>
              <w:t>5/118 (4%)</w:t>
            </w:r>
          </w:p>
        </w:tc>
        <w:tc>
          <w:tcPr>
            <w:tcW w:w="349" w:type="pct"/>
            <w:tcBorders>
              <w:top w:val="single" w:sz="4" w:space="0" w:color="auto"/>
              <w:left w:val="single" w:sz="4" w:space="0" w:color="auto"/>
              <w:bottom w:val="single" w:sz="4" w:space="0" w:color="auto"/>
              <w:right w:val="single" w:sz="4" w:space="0" w:color="auto"/>
            </w:tcBorders>
          </w:tcPr>
          <w:p w14:paraId="237CB69B" w14:textId="75CD5BB4" w:rsidR="00270204" w:rsidRPr="00270204" w:rsidRDefault="00270204" w:rsidP="00096131">
            <w:pPr>
              <w:pStyle w:val="Tabletext1"/>
              <w:jc w:val="center"/>
              <w:rPr>
                <w:rFonts w:cs="Calibri"/>
                <w:color w:val="000000"/>
              </w:rPr>
            </w:pPr>
            <w:r w:rsidRPr="00270204">
              <w:rPr>
                <w:rFonts w:cs="Calibri"/>
                <w:color w:val="000000"/>
              </w:rPr>
              <w:t>3/118 (</w:t>
            </w:r>
            <w:r w:rsidR="006E14A1">
              <w:rPr>
                <w:rFonts w:cs="Calibri"/>
                <w:color w:val="000000"/>
              </w:rPr>
              <w:t>3</w:t>
            </w:r>
            <w:r w:rsidRPr="00270204">
              <w:rPr>
                <w:rFonts w:cs="Calibri"/>
                <w:color w:val="000000"/>
              </w:rPr>
              <w:t>%)</w:t>
            </w:r>
          </w:p>
        </w:tc>
        <w:tc>
          <w:tcPr>
            <w:tcW w:w="349" w:type="pct"/>
            <w:tcBorders>
              <w:top w:val="single" w:sz="4" w:space="0" w:color="auto"/>
              <w:left w:val="single" w:sz="4" w:space="0" w:color="auto"/>
              <w:bottom w:val="single" w:sz="4" w:space="0" w:color="auto"/>
              <w:right w:val="single" w:sz="4" w:space="0" w:color="auto"/>
            </w:tcBorders>
          </w:tcPr>
          <w:p w14:paraId="02761B60" w14:textId="77777777" w:rsidR="00270204" w:rsidRPr="00270204" w:rsidRDefault="00270204" w:rsidP="00096131">
            <w:pPr>
              <w:pStyle w:val="Tabletext1"/>
              <w:jc w:val="center"/>
              <w:rPr>
                <w:rFonts w:cs="Calibri"/>
                <w:color w:val="000000"/>
              </w:rPr>
            </w:pPr>
          </w:p>
        </w:tc>
        <w:tc>
          <w:tcPr>
            <w:tcW w:w="349" w:type="pct"/>
            <w:tcBorders>
              <w:top w:val="single" w:sz="4" w:space="0" w:color="auto"/>
              <w:left w:val="single" w:sz="4" w:space="0" w:color="auto"/>
              <w:bottom w:val="single" w:sz="4" w:space="0" w:color="auto"/>
              <w:right w:val="single" w:sz="4" w:space="0" w:color="auto"/>
            </w:tcBorders>
          </w:tcPr>
          <w:p w14:paraId="0804D4CC" w14:textId="77777777" w:rsidR="00270204" w:rsidRPr="00270204" w:rsidRDefault="00270204" w:rsidP="00096131">
            <w:pPr>
              <w:pStyle w:val="Tabletext1"/>
              <w:jc w:val="center"/>
              <w:rPr>
                <w:rFonts w:cs="Calibri"/>
                <w:color w:val="000000"/>
              </w:rPr>
            </w:pPr>
          </w:p>
        </w:tc>
        <w:tc>
          <w:tcPr>
            <w:tcW w:w="350" w:type="pct"/>
            <w:tcBorders>
              <w:top w:val="single" w:sz="4" w:space="0" w:color="auto"/>
              <w:left w:val="single" w:sz="4" w:space="0" w:color="auto"/>
              <w:bottom w:val="single" w:sz="4" w:space="0" w:color="auto"/>
              <w:right w:val="single" w:sz="4" w:space="0" w:color="auto"/>
            </w:tcBorders>
          </w:tcPr>
          <w:p w14:paraId="3C643BF3" w14:textId="7C67FBFA" w:rsidR="00270204" w:rsidRPr="00270204" w:rsidRDefault="00270204" w:rsidP="00096131">
            <w:pPr>
              <w:pStyle w:val="Tabletext1"/>
              <w:jc w:val="center"/>
              <w:rPr>
                <w:rFonts w:cs="Calibri"/>
                <w:color w:val="000000"/>
              </w:rPr>
            </w:pPr>
            <w:r w:rsidRPr="00270204">
              <w:rPr>
                <w:rFonts w:cs="Calibri"/>
                <w:color w:val="000000"/>
              </w:rPr>
              <w:t>19/118 (16%)</w:t>
            </w:r>
          </w:p>
        </w:tc>
        <w:tc>
          <w:tcPr>
            <w:tcW w:w="349" w:type="pct"/>
            <w:tcBorders>
              <w:top w:val="single" w:sz="4" w:space="0" w:color="auto"/>
              <w:left w:val="single" w:sz="4" w:space="0" w:color="auto"/>
              <w:bottom w:val="single" w:sz="4" w:space="0" w:color="auto"/>
              <w:right w:val="single" w:sz="4" w:space="0" w:color="auto"/>
            </w:tcBorders>
          </w:tcPr>
          <w:p w14:paraId="6C5CBFB1" w14:textId="539AD28E" w:rsidR="00270204" w:rsidRPr="00270204" w:rsidRDefault="00270204" w:rsidP="00096131">
            <w:pPr>
              <w:pStyle w:val="Tabletext1"/>
              <w:jc w:val="center"/>
              <w:rPr>
                <w:rFonts w:cs="Calibri"/>
                <w:color w:val="000000"/>
              </w:rPr>
            </w:pPr>
            <w:r w:rsidRPr="00270204">
              <w:rPr>
                <w:rFonts w:cs="Calibri"/>
                <w:color w:val="000000"/>
              </w:rPr>
              <w:t>1/118 (</w:t>
            </w:r>
            <w:r w:rsidR="00D2291F">
              <w:rPr>
                <w:rFonts w:cs="Calibri"/>
                <w:color w:val="000000"/>
              </w:rPr>
              <w:t>1</w:t>
            </w:r>
            <w:r w:rsidRPr="00270204">
              <w:rPr>
                <w:rFonts w:cs="Calibri"/>
                <w:color w:val="000000"/>
              </w:rPr>
              <w:t>%)</w:t>
            </w:r>
          </w:p>
        </w:tc>
        <w:tc>
          <w:tcPr>
            <w:tcW w:w="349" w:type="pct"/>
            <w:tcBorders>
              <w:top w:val="single" w:sz="4" w:space="0" w:color="auto"/>
              <w:left w:val="single" w:sz="4" w:space="0" w:color="auto"/>
              <w:bottom w:val="single" w:sz="4" w:space="0" w:color="auto"/>
              <w:right w:val="single" w:sz="4" w:space="0" w:color="auto"/>
            </w:tcBorders>
          </w:tcPr>
          <w:p w14:paraId="3D32E5D5" w14:textId="1057372C" w:rsidR="00270204" w:rsidRPr="00270204" w:rsidRDefault="00270204" w:rsidP="00096131">
            <w:pPr>
              <w:pStyle w:val="Tabletext1"/>
              <w:jc w:val="center"/>
              <w:rPr>
                <w:rFonts w:cs="Calibri"/>
                <w:color w:val="000000"/>
              </w:rPr>
            </w:pPr>
            <w:r w:rsidRPr="00270204">
              <w:rPr>
                <w:rFonts w:cs="Calibri"/>
                <w:color w:val="000000"/>
              </w:rPr>
              <w:t>4/118 (3%)</w:t>
            </w:r>
          </w:p>
        </w:tc>
        <w:tc>
          <w:tcPr>
            <w:tcW w:w="341" w:type="pct"/>
            <w:tcBorders>
              <w:top w:val="single" w:sz="4" w:space="0" w:color="auto"/>
              <w:left w:val="single" w:sz="4" w:space="0" w:color="auto"/>
              <w:bottom w:val="single" w:sz="4" w:space="0" w:color="auto"/>
              <w:right w:val="single" w:sz="4" w:space="0" w:color="auto"/>
            </w:tcBorders>
          </w:tcPr>
          <w:p w14:paraId="64A7F205" w14:textId="77777777" w:rsidR="00270204" w:rsidRDefault="00270204" w:rsidP="00096131">
            <w:pPr>
              <w:pStyle w:val="Tabletext1"/>
              <w:jc w:val="center"/>
            </w:pPr>
          </w:p>
        </w:tc>
      </w:tr>
      <w:tr w:rsidR="00270204" w:rsidRPr="00B2301A" w14:paraId="48B2D0EA" w14:textId="77777777" w:rsidTr="00270204">
        <w:tc>
          <w:tcPr>
            <w:tcW w:w="669" w:type="pct"/>
            <w:tcBorders>
              <w:top w:val="single" w:sz="4" w:space="0" w:color="auto"/>
              <w:left w:val="single" w:sz="4" w:space="0" w:color="auto"/>
              <w:bottom w:val="nil"/>
              <w:right w:val="single" w:sz="4" w:space="0" w:color="auto"/>
            </w:tcBorders>
            <w:shd w:val="clear" w:color="auto" w:fill="auto"/>
          </w:tcPr>
          <w:p w14:paraId="6E80DEF3" w14:textId="0A88CABC" w:rsidR="005B65E5" w:rsidRDefault="00211285" w:rsidP="00096131">
            <w:pPr>
              <w:pStyle w:val="Tabletext1"/>
              <w:keepNext/>
              <w:keepLines/>
              <w:rPr>
                <w:snapToGrid w:val="0"/>
              </w:rPr>
            </w:pPr>
            <w:hyperlink w:anchor="_ENREF_39" w:tooltip="Ingrosso, 2018 #50" w:history="1">
              <w:r w:rsidR="008B6FC0">
                <w:fldChar w:fldCharType="begin"/>
              </w:r>
              <w:r w:rsidR="008B6FC0">
                <w:instrText xml:space="preserve"> ADDIN EN.CITE &lt;EndNote&gt;&lt;Cite AuthorYear="1"&gt;&lt;Author&gt;Ingrosso&lt;/Author&gt;&lt;Year&gt;2018&lt;/Year&gt;&lt;RecNum&gt;50&lt;/RecNum&gt;&lt;DisplayText&gt;Ingrosso et al. (2018)&lt;/DisplayText&gt;&lt;record&gt;&lt;rec-number&gt;50&lt;/rec-number&gt;&lt;foreign-keys&gt;&lt;key app="EN" db-id="sx5wsdwv795wvue959xxw0ptaewvdezxxp05" timestamp="1604876395"&gt;50&lt;/key&gt;&lt;/foreign-keys&gt;&lt;ref-type name="Journal Article"&gt;17&lt;/ref-type&gt;&lt;contributors&gt;&lt;authors&gt;&lt;author&gt;Ingrosso, G.&lt;/author&gt;&lt;author&gt;Carosi, A.&lt;/author&gt;&lt;author&gt;Cristino, D. D.&lt;/author&gt;&lt;author&gt;Ponti, E.&lt;/author&gt;&lt;author&gt;Lancia, A.&lt;/author&gt;&lt;author&gt;Bottero, M.&lt;/author&gt;&lt;author&gt;Cancelli, A.&lt;/author&gt;&lt;author&gt;Murgia, A.&lt;/author&gt;&lt;author&gt;Turturici, I.&lt;/author&gt;&lt;author&gt;Santoni, R.&lt;/author&gt;&lt;/authors&gt;&lt;/contributors&gt;&lt;titles&gt;&lt;title&gt;Volumetric image-guided conformal radiotherapy for localized prostate cancer: Analysis of dosimetric and clinical factors affecting acute and late toxicity&lt;/title&gt;&lt;secondary-title&gt;Reports of Practical Oncology and Radiotherapy&lt;/secondary-title&gt;&lt;/titles&gt;&lt;pages&gt;315-321&lt;/pages&gt;&lt;volume&gt;23&lt;/volume&gt;&lt;number&gt;5&lt;/number&gt;&lt;dates&gt;&lt;year&gt;2018&lt;/year&gt;&lt;/dates&gt;&lt;accession-num&gt;2001023098&lt;/accession-num&gt;&lt;urls&gt;&lt;related-urls&gt;&lt;url&gt;http://www.elsevier.com/wps/find/journaldescription.cws_home/719699/description#descriptionhttp://ezproxy.library.usyd.edu.au/login?url=http://ovidsp.ovid.com/ovidweb.cgi?T=JS&amp;amp;CSC=Y&amp;amp;NEWS=N&amp;amp;PAGE=fulltext&amp;amp;D=emed19&amp;amp;AN=2001023098https://sydney.alma.exlibrisgr&lt;/url&gt;&lt;url&gt;https://www.ncbi.nlm.nih.gov/pmc/articles/PMC6097402/pdf/main.pdf&lt;/url&gt;&lt;/related-urls&gt;&lt;/urls&gt;&lt;custom2&gt;include-prostate cancer toxicity (overlap with Ingrosso 2014)&lt;/custom2&gt;&lt;custom6&gt;toxicity&lt;/custom6&gt;&lt;electronic-resource-num&gt;http://dx.doi.org/10.1016/j.rpor.2018.07.010&lt;/electronic-resource-num&gt;&lt;/record&gt;&lt;/Cite&gt;&lt;/EndNote&gt;</w:instrText>
              </w:r>
              <w:r w:rsidR="008B6FC0">
                <w:fldChar w:fldCharType="separate"/>
              </w:r>
              <w:r w:rsidR="008B6FC0">
                <w:rPr>
                  <w:noProof/>
                </w:rPr>
                <w:t>Ingrosso et al. (2018)</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77F34D27" w14:textId="320EA145" w:rsidR="005B65E5" w:rsidRPr="004614A0" w:rsidRDefault="00270204" w:rsidP="00096131">
            <w:pPr>
              <w:pStyle w:val="Tabletext1"/>
              <w:keepNext/>
              <w:keepLines/>
              <w:jc w:val="center"/>
            </w:pPr>
            <w:r w:rsidRPr="004614A0">
              <w:t>GI</w:t>
            </w:r>
          </w:p>
        </w:tc>
        <w:tc>
          <w:tcPr>
            <w:tcW w:w="349" w:type="pct"/>
            <w:tcBorders>
              <w:top w:val="single" w:sz="4" w:space="0" w:color="auto"/>
              <w:left w:val="single" w:sz="4" w:space="0" w:color="auto"/>
              <w:bottom w:val="single" w:sz="4" w:space="0" w:color="auto"/>
              <w:right w:val="single" w:sz="4" w:space="0" w:color="auto"/>
            </w:tcBorders>
          </w:tcPr>
          <w:p w14:paraId="77C5C87C" w14:textId="77777777" w:rsidR="005B65E5" w:rsidRDefault="005B65E5"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F9A4923" w14:textId="7E7B6797" w:rsidR="005B65E5" w:rsidRPr="004614A0" w:rsidRDefault="00270204" w:rsidP="00096131">
            <w:pPr>
              <w:pStyle w:val="Tabletext1"/>
              <w:keepNext/>
              <w:keepLines/>
              <w:jc w:val="center"/>
              <w:rPr>
                <w:rFonts w:cs="Calibri"/>
                <w:color w:val="000000"/>
              </w:rPr>
            </w:pPr>
            <w:r w:rsidRPr="004614A0">
              <w:rPr>
                <w:rFonts w:cs="Calibri"/>
                <w:color w:val="000000"/>
              </w:rPr>
              <w:t>40/294 (1</w:t>
            </w:r>
            <w:r w:rsidR="00D2291F">
              <w:rPr>
                <w:rFonts w:cs="Calibri"/>
                <w:color w:val="000000"/>
              </w:rPr>
              <w:t>4</w:t>
            </w:r>
            <w:r w:rsidRPr="004614A0">
              <w:rPr>
                <w:rFonts w:cs="Calibri"/>
                <w:color w:val="000000"/>
              </w:rPr>
              <w:t>%)</w:t>
            </w:r>
          </w:p>
        </w:tc>
        <w:tc>
          <w:tcPr>
            <w:tcW w:w="349" w:type="pct"/>
            <w:tcBorders>
              <w:top w:val="single" w:sz="4" w:space="0" w:color="auto"/>
              <w:left w:val="single" w:sz="4" w:space="0" w:color="auto"/>
              <w:bottom w:val="single" w:sz="4" w:space="0" w:color="auto"/>
              <w:right w:val="single" w:sz="4" w:space="0" w:color="auto"/>
            </w:tcBorders>
          </w:tcPr>
          <w:p w14:paraId="35F4B336" w14:textId="52200FBD" w:rsidR="005B65E5" w:rsidRPr="004614A0" w:rsidRDefault="00270204" w:rsidP="00096131">
            <w:pPr>
              <w:pStyle w:val="Tabletext1"/>
              <w:keepNext/>
              <w:keepLines/>
              <w:jc w:val="center"/>
              <w:rPr>
                <w:rFonts w:cs="Calibri"/>
                <w:color w:val="000000"/>
              </w:rPr>
            </w:pPr>
            <w:r w:rsidRPr="004614A0">
              <w:rPr>
                <w:rFonts w:cs="Calibri"/>
                <w:color w:val="000000"/>
              </w:rPr>
              <w:t>34/294 (1</w:t>
            </w:r>
            <w:r w:rsidR="008541FB">
              <w:rPr>
                <w:rFonts w:cs="Calibri"/>
                <w:color w:val="000000"/>
              </w:rPr>
              <w:t>2</w:t>
            </w:r>
            <w:r w:rsidRPr="004614A0">
              <w:rPr>
                <w:rFonts w:cs="Calibri"/>
                <w:color w:val="000000"/>
              </w:rPr>
              <w:t>%)</w:t>
            </w:r>
          </w:p>
        </w:tc>
        <w:tc>
          <w:tcPr>
            <w:tcW w:w="349" w:type="pct"/>
            <w:tcBorders>
              <w:top w:val="single" w:sz="4" w:space="0" w:color="auto"/>
              <w:left w:val="single" w:sz="4" w:space="0" w:color="auto"/>
              <w:bottom w:val="single" w:sz="4" w:space="0" w:color="auto"/>
              <w:right w:val="single" w:sz="4" w:space="0" w:color="auto"/>
            </w:tcBorders>
          </w:tcPr>
          <w:p w14:paraId="193883B3" w14:textId="370988C7" w:rsidR="005B65E5" w:rsidRPr="004614A0" w:rsidRDefault="00270204" w:rsidP="00096131">
            <w:pPr>
              <w:pStyle w:val="Tabletext1"/>
              <w:keepNext/>
              <w:keepLines/>
              <w:jc w:val="center"/>
              <w:rPr>
                <w:rFonts w:cs="Calibri"/>
                <w:color w:val="000000"/>
              </w:rPr>
            </w:pPr>
            <w:r w:rsidRPr="004614A0">
              <w:rPr>
                <w:rFonts w:cs="Calibri"/>
                <w:color w:val="000000"/>
              </w:rPr>
              <w:t>2/294 (</w:t>
            </w:r>
            <w:r w:rsidR="00EE6900">
              <w:rPr>
                <w:rFonts w:cs="Calibri"/>
                <w:color w:val="000000"/>
              </w:rPr>
              <w:t>1</w:t>
            </w:r>
            <w:r w:rsidRPr="004614A0">
              <w:rPr>
                <w:rFonts w:cs="Calibri"/>
                <w:color w:val="000000"/>
              </w:rPr>
              <w:t>%)</w:t>
            </w:r>
          </w:p>
        </w:tc>
        <w:tc>
          <w:tcPr>
            <w:tcW w:w="349" w:type="pct"/>
            <w:tcBorders>
              <w:top w:val="single" w:sz="4" w:space="0" w:color="auto"/>
              <w:left w:val="single" w:sz="4" w:space="0" w:color="auto"/>
              <w:bottom w:val="single" w:sz="4" w:space="0" w:color="auto"/>
              <w:right w:val="single" w:sz="4" w:space="0" w:color="auto"/>
            </w:tcBorders>
          </w:tcPr>
          <w:p w14:paraId="4166CAC8" w14:textId="4B15AA71" w:rsidR="005B65E5" w:rsidRPr="004614A0" w:rsidRDefault="005B65E5" w:rsidP="00096131">
            <w:pPr>
              <w:pStyle w:val="Tabletext1"/>
              <w:keepNext/>
              <w:keepLines/>
              <w:jc w:val="center"/>
              <w:rPr>
                <w:rFonts w:cs="Calibri"/>
                <w:color w:val="000000"/>
              </w:rPr>
            </w:pPr>
          </w:p>
        </w:tc>
        <w:tc>
          <w:tcPr>
            <w:tcW w:w="349" w:type="pct"/>
            <w:tcBorders>
              <w:top w:val="single" w:sz="4" w:space="0" w:color="auto"/>
              <w:left w:val="single" w:sz="4" w:space="0" w:color="auto"/>
              <w:bottom w:val="single" w:sz="4" w:space="0" w:color="auto"/>
              <w:right w:val="single" w:sz="4" w:space="0" w:color="auto"/>
            </w:tcBorders>
          </w:tcPr>
          <w:p w14:paraId="46624404" w14:textId="048019B4" w:rsidR="005B65E5" w:rsidRPr="004614A0" w:rsidRDefault="005B65E5" w:rsidP="00096131">
            <w:pPr>
              <w:pStyle w:val="Tabletext1"/>
              <w:keepNext/>
              <w:keepLines/>
              <w:jc w:val="center"/>
              <w:rPr>
                <w:rFonts w:cs="Calibri"/>
                <w:color w:val="000000"/>
              </w:rPr>
            </w:pPr>
          </w:p>
        </w:tc>
        <w:tc>
          <w:tcPr>
            <w:tcW w:w="350" w:type="pct"/>
            <w:tcBorders>
              <w:top w:val="single" w:sz="4" w:space="0" w:color="auto"/>
              <w:left w:val="single" w:sz="4" w:space="0" w:color="auto"/>
              <w:bottom w:val="single" w:sz="4" w:space="0" w:color="auto"/>
              <w:right w:val="single" w:sz="4" w:space="0" w:color="auto"/>
            </w:tcBorders>
          </w:tcPr>
          <w:p w14:paraId="632FB617" w14:textId="2DBE6B6F" w:rsidR="005B65E5" w:rsidRPr="004614A0" w:rsidRDefault="00270204" w:rsidP="00096131">
            <w:pPr>
              <w:pStyle w:val="Tabletext1"/>
              <w:keepNext/>
              <w:keepLines/>
              <w:jc w:val="center"/>
              <w:rPr>
                <w:rFonts w:cs="Calibri"/>
                <w:color w:val="000000"/>
              </w:rPr>
            </w:pPr>
            <w:r w:rsidRPr="004614A0">
              <w:rPr>
                <w:rFonts w:cs="Calibri"/>
                <w:color w:val="000000"/>
              </w:rPr>
              <w:t>4/294 (1%)</w:t>
            </w:r>
          </w:p>
        </w:tc>
        <w:tc>
          <w:tcPr>
            <w:tcW w:w="349" w:type="pct"/>
            <w:tcBorders>
              <w:top w:val="single" w:sz="4" w:space="0" w:color="auto"/>
              <w:left w:val="single" w:sz="4" w:space="0" w:color="auto"/>
              <w:bottom w:val="single" w:sz="4" w:space="0" w:color="auto"/>
              <w:right w:val="single" w:sz="4" w:space="0" w:color="auto"/>
            </w:tcBorders>
          </w:tcPr>
          <w:p w14:paraId="60F5FB6C" w14:textId="775D0BE1" w:rsidR="005B65E5" w:rsidRPr="004614A0" w:rsidRDefault="00270204" w:rsidP="00096131">
            <w:pPr>
              <w:pStyle w:val="Tabletext1"/>
              <w:keepNext/>
              <w:keepLines/>
              <w:jc w:val="center"/>
              <w:rPr>
                <w:rFonts w:cs="Calibri"/>
                <w:color w:val="000000"/>
              </w:rPr>
            </w:pPr>
            <w:r w:rsidRPr="004614A0">
              <w:rPr>
                <w:rFonts w:cs="Calibri"/>
                <w:color w:val="000000"/>
              </w:rPr>
              <w:t>8/294 (</w:t>
            </w:r>
            <w:r w:rsidR="00D2291F">
              <w:rPr>
                <w:rFonts w:cs="Calibri"/>
                <w:color w:val="000000"/>
              </w:rPr>
              <w:t>3</w:t>
            </w:r>
            <w:r w:rsidRPr="004614A0">
              <w:rPr>
                <w:rFonts w:cs="Calibri"/>
                <w:color w:val="000000"/>
              </w:rPr>
              <w:t>%)</w:t>
            </w:r>
          </w:p>
        </w:tc>
        <w:tc>
          <w:tcPr>
            <w:tcW w:w="349" w:type="pct"/>
            <w:tcBorders>
              <w:top w:val="single" w:sz="4" w:space="0" w:color="auto"/>
              <w:left w:val="single" w:sz="4" w:space="0" w:color="auto"/>
              <w:bottom w:val="single" w:sz="4" w:space="0" w:color="auto"/>
              <w:right w:val="single" w:sz="4" w:space="0" w:color="auto"/>
            </w:tcBorders>
          </w:tcPr>
          <w:p w14:paraId="15CA826D" w14:textId="6ACCE5BC" w:rsidR="005B65E5" w:rsidRPr="004614A0" w:rsidRDefault="00270204" w:rsidP="00096131">
            <w:pPr>
              <w:pStyle w:val="Tabletext1"/>
              <w:keepNext/>
              <w:keepLines/>
              <w:jc w:val="center"/>
              <w:rPr>
                <w:rFonts w:cs="Calibri"/>
                <w:color w:val="000000"/>
              </w:rPr>
            </w:pPr>
            <w:r w:rsidRPr="004614A0">
              <w:rPr>
                <w:rFonts w:cs="Calibri"/>
                <w:color w:val="000000"/>
              </w:rPr>
              <w:t>7/294 (2%)</w:t>
            </w:r>
          </w:p>
        </w:tc>
        <w:tc>
          <w:tcPr>
            <w:tcW w:w="341" w:type="pct"/>
            <w:tcBorders>
              <w:top w:val="single" w:sz="4" w:space="0" w:color="auto"/>
              <w:left w:val="single" w:sz="4" w:space="0" w:color="auto"/>
              <w:bottom w:val="single" w:sz="4" w:space="0" w:color="auto"/>
              <w:right w:val="single" w:sz="4" w:space="0" w:color="auto"/>
            </w:tcBorders>
          </w:tcPr>
          <w:p w14:paraId="6EFB2B40" w14:textId="77777777" w:rsidR="005B65E5" w:rsidRPr="004614A0" w:rsidRDefault="005B65E5" w:rsidP="00096131">
            <w:pPr>
              <w:pStyle w:val="Tabletext1"/>
              <w:keepNext/>
              <w:keepLines/>
              <w:jc w:val="center"/>
              <w:rPr>
                <w:rFonts w:cs="Calibri"/>
                <w:color w:val="000000"/>
              </w:rPr>
            </w:pPr>
          </w:p>
        </w:tc>
      </w:tr>
      <w:tr w:rsidR="00270204" w:rsidRPr="00B2301A" w14:paraId="29EE4420" w14:textId="77777777" w:rsidTr="00270204">
        <w:tc>
          <w:tcPr>
            <w:tcW w:w="669" w:type="pct"/>
            <w:tcBorders>
              <w:top w:val="nil"/>
              <w:left w:val="single" w:sz="4" w:space="0" w:color="auto"/>
              <w:bottom w:val="nil"/>
              <w:right w:val="single" w:sz="4" w:space="0" w:color="auto"/>
            </w:tcBorders>
            <w:shd w:val="clear" w:color="auto" w:fill="auto"/>
          </w:tcPr>
          <w:p w14:paraId="2C7EE989" w14:textId="77777777" w:rsidR="00270204" w:rsidRDefault="00270204"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1BD201F7" w14:textId="1F642F70" w:rsidR="00270204" w:rsidRPr="004614A0" w:rsidRDefault="00270204" w:rsidP="00096131">
            <w:pPr>
              <w:pStyle w:val="Tabletext1"/>
              <w:keepNext/>
              <w:keepLines/>
              <w:jc w:val="center"/>
            </w:pPr>
            <w:r w:rsidRPr="004614A0">
              <w:t xml:space="preserve">GI actuarial 4-year toxicity </w:t>
            </w:r>
            <w:r w:rsidR="00B16993">
              <w:t xml:space="preserve">grade </w:t>
            </w:r>
            <w:r w:rsidRPr="004614A0">
              <w:t>≥2</w:t>
            </w:r>
          </w:p>
        </w:tc>
        <w:tc>
          <w:tcPr>
            <w:tcW w:w="349" w:type="pct"/>
            <w:tcBorders>
              <w:top w:val="single" w:sz="4" w:space="0" w:color="auto"/>
              <w:left w:val="single" w:sz="4" w:space="0" w:color="auto"/>
              <w:bottom w:val="single" w:sz="4" w:space="0" w:color="auto"/>
              <w:right w:val="single" w:sz="4" w:space="0" w:color="auto"/>
            </w:tcBorders>
          </w:tcPr>
          <w:p w14:paraId="62A2285C" w14:textId="77777777" w:rsidR="00270204" w:rsidRPr="004614A0" w:rsidRDefault="00270204"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01F34424"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C89D013"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E004F2E"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CEA863A"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C2C5C46" w14:textId="77777777" w:rsidR="00270204" w:rsidRPr="004614A0" w:rsidRDefault="00270204"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4CDCD759"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nil"/>
            </w:tcBorders>
          </w:tcPr>
          <w:p w14:paraId="4F3E5D27" w14:textId="1C390F54" w:rsidR="00270204" w:rsidRPr="004614A0" w:rsidRDefault="00270204" w:rsidP="00096131">
            <w:pPr>
              <w:pStyle w:val="Tabletext1"/>
              <w:keepNext/>
              <w:keepLines/>
              <w:jc w:val="center"/>
            </w:pPr>
            <w:r w:rsidRPr="004614A0">
              <w:t>3%</w:t>
            </w:r>
          </w:p>
        </w:tc>
        <w:tc>
          <w:tcPr>
            <w:tcW w:w="349" w:type="pct"/>
            <w:tcBorders>
              <w:top w:val="single" w:sz="4" w:space="0" w:color="auto"/>
              <w:left w:val="nil"/>
              <w:bottom w:val="single" w:sz="4" w:space="0" w:color="auto"/>
              <w:right w:val="nil"/>
            </w:tcBorders>
          </w:tcPr>
          <w:p w14:paraId="2688899F" w14:textId="77777777" w:rsidR="00270204" w:rsidRPr="004614A0" w:rsidRDefault="00270204" w:rsidP="00096131">
            <w:pPr>
              <w:pStyle w:val="Tabletext1"/>
              <w:keepNext/>
              <w:keepLines/>
              <w:jc w:val="center"/>
            </w:pPr>
          </w:p>
        </w:tc>
        <w:tc>
          <w:tcPr>
            <w:tcW w:w="341" w:type="pct"/>
            <w:tcBorders>
              <w:top w:val="single" w:sz="4" w:space="0" w:color="auto"/>
              <w:left w:val="nil"/>
              <w:bottom w:val="single" w:sz="4" w:space="0" w:color="auto"/>
              <w:right w:val="single" w:sz="4" w:space="0" w:color="auto"/>
            </w:tcBorders>
          </w:tcPr>
          <w:p w14:paraId="5F14542E" w14:textId="77777777" w:rsidR="00270204" w:rsidRDefault="00270204" w:rsidP="00096131">
            <w:pPr>
              <w:pStyle w:val="Tabletext1"/>
              <w:keepNext/>
              <w:keepLines/>
              <w:jc w:val="center"/>
            </w:pPr>
          </w:p>
        </w:tc>
      </w:tr>
      <w:tr w:rsidR="00270204" w:rsidRPr="00B2301A" w14:paraId="500C0932" w14:textId="77777777" w:rsidTr="00270204">
        <w:tc>
          <w:tcPr>
            <w:tcW w:w="669" w:type="pct"/>
            <w:tcBorders>
              <w:top w:val="nil"/>
              <w:left w:val="single" w:sz="4" w:space="0" w:color="auto"/>
              <w:bottom w:val="nil"/>
              <w:right w:val="single" w:sz="4" w:space="0" w:color="auto"/>
            </w:tcBorders>
            <w:shd w:val="clear" w:color="auto" w:fill="auto"/>
          </w:tcPr>
          <w:p w14:paraId="5634EA43" w14:textId="77777777" w:rsidR="00270204" w:rsidRDefault="00270204"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470BFAC9" w14:textId="617C92C2" w:rsidR="00270204" w:rsidRPr="004614A0" w:rsidRDefault="00270204" w:rsidP="00096131">
            <w:pPr>
              <w:pStyle w:val="Tabletext1"/>
              <w:keepNext/>
              <w:keepLines/>
              <w:jc w:val="center"/>
            </w:pPr>
            <w:r w:rsidRPr="004614A0">
              <w:t xml:space="preserve">GI actuarial 5-year toxicity </w:t>
            </w:r>
            <w:r w:rsidR="00B16993">
              <w:t xml:space="preserve">grade </w:t>
            </w:r>
            <w:r w:rsidRPr="004614A0">
              <w:t>≥2</w:t>
            </w:r>
          </w:p>
        </w:tc>
        <w:tc>
          <w:tcPr>
            <w:tcW w:w="349" w:type="pct"/>
            <w:tcBorders>
              <w:top w:val="single" w:sz="4" w:space="0" w:color="auto"/>
              <w:left w:val="single" w:sz="4" w:space="0" w:color="auto"/>
              <w:bottom w:val="single" w:sz="4" w:space="0" w:color="auto"/>
              <w:right w:val="single" w:sz="4" w:space="0" w:color="auto"/>
            </w:tcBorders>
          </w:tcPr>
          <w:p w14:paraId="31A0C0D2" w14:textId="77777777" w:rsidR="00270204" w:rsidRPr="004614A0" w:rsidRDefault="00270204"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7F11FCEB"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020D242"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62F16CD"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478A94CF"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A7B96FA" w14:textId="77777777" w:rsidR="00270204" w:rsidRPr="004614A0" w:rsidRDefault="00270204"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25BBD20"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nil"/>
            </w:tcBorders>
          </w:tcPr>
          <w:p w14:paraId="74735953" w14:textId="1CA3BD5C" w:rsidR="00270204" w:rsidRPr="004614A0" w:rsidRDefault="00270204" w:rsidP="00096131">
            <w:pPr>
              <w:pStyle w:val="Tabletext1"/>
              <w:keepNext/>
              <w:keepLines/>
              <w:jc w:val="center"/>
            </w:pPr>
            <w:r w:rsidRPr="004614A0">
              <w:t>4%</w:t>
            </w:r>
          </w:p>
        </w:tc>
        <w:tc>
          <w:tcPr>
            <w:tcW w:w="349" w:type="pct"/>
            <w:tcBorders>
              <w:top w:val="single" w:sz="4" w:space="0" w:color="auto"/>
              <w:left w:val="nil"/>
              <w:bottom w:val="single" w:sz="4" w:space="0" w:color="auto"/>
              <w:right w:val="nil"/>
            </w:tcBorders>
          </w:tcPr>
          <w:p w14:paraId="0836CA27" w14:textId="77777777" w:rsidR="00270204" w:rsidRPr="004614A0" w:rsidRDefault="00270204" w:rsidP="00096131">
            <w:pPr>
              <w:pStyle w:val="Tabletext1"/>
              <w:keepNext/>
              <w:keepLines/>
              <w:jc w:val="center"/>
            </w:pPr>
          </w:p>
        </w:tc>
        <w:tc>
          <w:tcPr>
            <w:tcW w:w="341" w:type="pct"/>
            <w:tcBorders>
              <w:top w:val="single" w:sz="4" w:space="0" w:color="auto"/>
              <w:left w:val="nil"/>
              <w:bottom w:val="single" w:sz="4" w:space="0" w:color="auto"/>
              <w:right w:val="single" w:sz="4" w:space="0" w:color="auto"/>
            </w:tcBorders>
          </w:tcPr>
          <w:p w14:paraId="38F5FD87" w14:textId="77777777" w:rsidR="00270204" w:rsidRDefault="00270204" w:rsidP="00096131">
            <w:pPr>
              <w:pStyle w:val="Tabletext1"/>
              <w:keepNext/>
              <w:keepLines/>
              <w:jc w:val="center"/>
            </w:pPr>
          </w:p>
        </w:tc>
      </w:tr>
      <w:tr w:rsidR="00270204" w:rsidRPr="00B2301A" w14:paraId="68413E67" w14:textId="77777777" w:rsidTr="00270204">
        <w:tc>
          <w:tcPr>
            <w:tcW w:w="669" w:type="pct"/>
            <w:tcBorders>
              <w:top w:val="nil"/>
              <w:left w:val="single" w:sz="4" w:space="0" w:color="auto"/>
              <w:bottom w:val="nil"/>
              <w:right w:val="single" w:sz="4" w:space="0" w:color="auto"/>
            </w:tcBorders>
            <w:shd w:val="clear" w:color="auto" w:fill="auto"/>
          </w:tcPr>
          <w:p w14:paraId="10AF944F" w14:textId="77DBDD43" w:rsidR="005B65E5" w:rsidRDefault="005B65E5"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7A85A20E" w14:textId="3D69BD33" w:rsidR="005B65E5" w:rsidRDefault="00270204" w:rsidP="00096131">
            <w:pPr>
              <w:pStyle w:val="Tabletext1"/>
              <w:keepNext/>
              <w:keepLines/>
              <w:jc w:val="center"/>
            </w:pPr>
            <w:r w:rsidRPr="004614A0">
              <w:t>GU</w:t>
            </w:r>
            <w:r w:rsidRPr="004614A0">
              <w:br/>
            </w:r>
          </w:p>
        </w:tc>
        <w:tc>
          <w:tcPr>
            <w:tcW w:w="349" w:type="pct"/>
            <w:tcBorders>
              <w:top w:val="single" w:sz="4" w:space="0" w:color="auto"/>
              <w:left w:val="single" w:sz="4" w:space="0" w:color="auto"/>
              <w:bottom w:val="single" w:sz="4" w:space="0" w:color="auto"/>
              <w:right w:val="single" w:sz="4" w:space="0" w:color="auto"/>
            </w:tcBorders>
          </w:tcPr>
          <w:p w14:paraId="6C2F76F7" w14:textId="77777777" w:rsidR="005B65E5" w:rsidRPr="004614A0" w:rsidRDefault="005B65E5"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22947C92" w14:textId="39277873" w:rsidR="005B65E5" w:rsidRPr="004614A0" w:rsidRDefault="00270204" w:rsidP="00096131">
            <w:pPr>
              <w:pStyle w:val="Tabletext1"/>
              <w:keepNext/>
              <w:keepLines/>
              <w:jc w:val="center"/>
            </w:pPr>
            <w:r w:rsidRPr="004614A0">
              <w:t>89/294 (30%)</w:t>
            </w:r>
            <w:r w:rsidRPr="004614A0">
              <w:br/>
            </w:r>
          </w:p>
        </w:tc>
        <w:tc>
          <w:tcPr>
            <w:tcW w:w="349" w:type="pct"/>
            <w:tcBorders>
              <w:top w:val="single" w:sz="4" w:space="0" w:color="auto"/>
              <w:left w:val="single" w:sz="4" w:space="0" w:color="auto"/>
              <w:bottom w:val="single" w:sz="4" w:space="0" w:color="auto"/>
              <w:right w:val="single" w:sz="4" w:space="0" w:color="auto"/>
            </w:tcBorders>
          </w:tcPr>
          <w:p w14:paraId="2062AB32" w14:textId="62FCBAA1" w:rsidR="005B65E5" w:rsidRPr="004614A0" w:rsidRDefault="00270204" w:rsidP="00096131">
            <w:pPr>
              <w:pStyle w:val="Tabletext1"/>
              <w:keepNext/>
              <w:keepLines/>
              <w:jc w:val="center"/>
            </w:pPr>
            <w:r w:rsidRPr="004614A0">
              <w:t>94/294 (</w:t>
            </w:r>
            <w:r w:rsidR="00CA4BBF">
              <w:t>32</w:t>
            </w:r>
            <w:r w:rsidRPr="004614A0">
              <w:t>%)</w:t>
            </w:r>
          </w:p>
        </w:tc>
        <w:tc>
          <w:tcPr>
            <w:tcW w:w="349" w:type="pct"/>
            <w:tcBorders>
              <w:top w:val="single" w:sz="4" w:space="0" w:color="auto"/>
              <w:left w:val="single" w:sz="4" w:space="0" w:color="auto"/>
              <w:bottom w:val="single" w:sz="4" w:space="0" w:color="auto"/>
              <w:right w:val="single" w:sz="4" w:space="0" w:color="auto"/>
            </w:tcBorders>
          </w:tcPr>
          <w:p w14:paraId="1B783863" w14:textId="5B10CFD7" w:rsidR="005B65E5" w:rsidRPr="004614A0" w:rsidRDefault="00270204" w:rsidP="00096131">
            <w:pPr>
              <w:pStyle w:val="Tabletext1"/>
              <w:keepNext/>
              <w:keepLines/>
              <w:jc w:val="center"/>
            </w:pPr>
            <w:r w:rsidRPr="004614A0">
              <w:t>6/294 (2%)</w:t>
            </w:r>
          </w:p>
        </w:tc>
        <w:tc>
          <w:tcPr>
            <w:tcW w:w="349" w:type="pct"/>
            <w:tcBorders>
              <w:top w:val="single" w:sz="4" w:space="0" w:color="auto"/>
              <w:left w:val="single" w:sz="4" w:space="0" w:color="auto"/>
              <w:bottom w:val="single" w:sz="4" w:space="0" w:color="auto"/>
              <w:right w:val="single" w:sz="4" w:space="0" w:color="auto"/>
            </w:tcBorders>
          </w:tcPr>
          <w:p w14:paraId="4A00E32B" w14:textId="28212AEB" w:rsidR="005B65E5" w:rsidRPr="004614A0" w:rsidRDefault="005B65E5"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AE3A8D8" w14:textId="1F7E43EF" w:rsidR="005B65E5" w:rsidRPr="004614A0" w:rsidRDefault="005B65E5"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4490D2FC" w14:textId="0A023191" w:rsidR="005B65E5" w:rsidRPr="004614A0" w:rsidRDefault="00270204" w:rsidP="00096131">
            <w:pPr>
              <w:pStyle w:val="Tabletext1"/>
              <w:keepNext/>
              <w:keepLines/>
              <w:jc w:val="center"/>
            </w:pPr>
            <w:r w:rsidRPr="004614A0">
              <w:t>21/294 (7%)</w:t>
            </w:r>
          </w:p>
        </w:tc>
        <w:tc>
          <w:tcPr>
            <w:tcW w:w="349" w:type="pct"/>
            <w:tcBorders>
              <w:top w:val="single" w:sz="4" w:space="0" w:color="auto"/>
              <w:left w:val="single" w:sz="4" w:space="0" w:color="auto"/>
              <w:bottom w:val="single" w:sz="4" w:space="0" w:color="auto"/>
              <w:right w:val="single" w:sz="4" w:space="0" w:color="auto"/>
            </w:tcBorders>
          </w:tcPr>
          <w:p w14:paraId="3AD964A7" w14:textId="7027354D" w:rsidR="005B65E5" w:rsidRPr="004614A0" w:rsidRDefault="00270204" w:rsidP="00096131">
            <w:pPr>
              <w:pStyle w:val="Tabletext1"/>
              <w:keepNext/>
              <w:keepLines/>
              <w:jc w:val="center"/>
            </w:pPr>
            <w:r w:rsidRPr="004614A0">
              <w:t>22/294 (7%)</w:t>
            </w:r>
          </w:p>
        </w:tc>
        <w:tc>
          <w:tcPr>
            <w:tcW w:w="349" w:type="pct"/>
            <w:tcBorders>
              <w:top w:val="single" w:sz="4" w:space="0" w:color="auto"/>
              <w:left w:val="single" w:sz="4" w:space="0" w:color="auto"/>
              <w:bottom w:val="single" w:sz="4" w:space="0" w:color="auto"/>
              <w:right w:val="single" w:sz="4" w:space="0" w:color="auto"/>
            </w:tcBorders>
          </w:tcPr>
          <w:p w14:paraId="62D75FF3" w14:textId="21A2E345" w:rsidR="005B65E5" w:rsidRPr="004614A0" w:rsidRDefault="00270204" w:rsidP="00096131">
            <w:pPr>
              <w:pStyle w:val="Tabletext1"/>
              <w:keepNext/>
              <w:keepLines/>
              <w:jc w:val="center"/>
            </w:pPr>
            <w:r w:rsidRPr="004614A0">
              <w:t>10/294 (3%)</w:t>
            </w:r>
          </w:p>
        </w:tc>
        <w:tc>
          <w:tcPr>
            <w:tcW w:w="341" w:type="pct"/>
            <w:tcBorders>
              <w:top w:val="single" w:sz="4" w:space="0" w:color="auto"/>
              <w:left w:val="single" w:sz="4" w:space="0" w:color="auto"/>
              <w:bottom w:val="single" w:sz="4" w:space="0" w:color="auto"/>
              <w:right w:val="single" w:sz="4" w:space="0" w:color="auto"/>
            </w:tcBorders>
          </w:tcPr>
          <w:p w14:paraId="7046F933" w14:textId="77777777" w:rsidR="005B65E5" w:rsidRDefault="005B65E5" w:rsidP="00096131">
            <w:pPr>
              <w:pStyle w:val="Tabletext1"/>
              <w:keepNext/>
              <w:keepLines/>
              <w:jc w:val="center"/>
            </w:pPr>
          </w:p>
        </w:tc>
      </w:tr>
      <w:tr w:rsidR="00270204" w:rsidRPr="00B2301A" w14:paraId="04F2C70F" w14:textId="77777777" w:rsidTr="00270204">
        <w:tc>
          <w:tcPr>
            <w:tcW w:w="669" w:type="pct"/>
            <w:tcBorders>
              <w:top w:val="nil"/>
              <w:left w:val="single" w:sz="4" w:space="0" w:color="auto"/>
              <w:bottom w:val="nil"/>
              <w:right w:val="single" w:sz="4" w:space="0" w:color="auto"/>
            </w:tcBorders>
            <w:shd w:val="clear" w:color="auto" w:fill="auto"/>
          </w:tcPr>
          <w:p w14:paraId="581F9A43" w14:textId="77777777" w:rsidR="00270204" w:rsidRDefault="00270204"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4F6DDEA5" w14:textId="031709BA" w:rsidR="00270204" w:rsidRPr="004614A0" w:rsidRDefault="00270204" w:rsidP="00096131">
            <w:pPr>
              <w:pStyle w:val="Tabletext1"/>
              <w:keepNext/>
              <w:keepLines/>
              <w:jc w:val="center"/>
            </w:pPr>
            <w:r w:rsidRPr="004614A0">
              <w:t xml:space="preserve">GU actuarial 4-year toxicity </w:t>
            </w:r>
            <w:r w:rsidR="00B16993">
              <w:t xml:space="preserve">grade </w:t>
            </w:r>
            <w:r w:rsidRPr="004614A0">
              <w:t>≥2</w:t>
            </w:r>
          </w:p>
        </w:tc>
        <w:tc>
          <w:tcPr>
            <w:tcW w:w="349" w:type="pct"/>
            <w:tcBorders>
              <w:top w:val="single" w:sz="4" w:space="0" w:color="auto"/>
              <w:left w:val="single" w:sz="4" w:space="0" w:color="auto"/>
              <w:bottom w:val="single" w:sz="4" w:space="0" w:color="auto"/>
              <w:right w:val="single" w:sz="4" w:space="0" w:color="auto"/>
            </w:tcBorders>
          </w:tcPr>
          <w:p w14:paraId="450345C5" w14:textId="77777777" w:rsidR="00270204" w:rsidRPr="004614A0" w:rsidRDefault="00270204"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29986AA3"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73FC169"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43EBBCF3"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45BC8E05"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DA12430" w14:textId="77777777" w:rsidR="00270204" w:rsidRPr="004614A0" w:rsidRDefault="00270204"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59F6457D"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nil"/>
            </w:tcBorders>
          </w:tcPr>
          <w:p w14:paraId="57D4B695" w14:textId="602B223A" w:rsidR="00270204" w:rsidRPr="004614A0" w:rsidRDefault="00270204" w:rsidP="00096131">
            <w:pPr>
              <w:pStyle w:val="Tabletext1"/>
              <w:keepNext/>
              <w:keepLines/>
              <w:jc w:val="center"/>
            </w:pPr>
            <w:r w:rsidRPr="004614A0">
              <w:t>6%</w:t>
            </w:r>
          </w:p>
        </w:tc>
        <w:tc>
          <w:tcPr>
            <w:tcW w:w="349" w:type="pct"/>
            <w:tcBorders>
              <w:top w:val="single" w:sz="4" w:space="0" w:color="auto"/>
              <w:left w:val="nil"/>
              <w:bottom w:val="single" w:sz="4" w:space="0" w:color="auto"/>
              <w:right w:val="nil"/>
            </w:tcBorders>
          </w:tcPr>
          <w:p w14:paraId="166D5ABB" w14:textId="77777777" w:rsidR="00270204" w:rsidRPr="004614A0" w:rsidRDefault="00270204" w:rsidP="00096131">
            <w:pPr>
              <w:pStyle w:val="Tabletext1"/>
              <w:keepNext/>
              <w:keepLines/>
              <w:jc w:val="center"/>
            </w:pPr>
          </w:p>
        </w:tc>
        <w:tc>
          <w:tcPr>
            <w:tcW w:w="341" w:type="pct"/>
            <w:tcBorders>
              <w:top w:val="single" w:sz="4" w:space="0" w:color="auto"/>
              <w:left w:val="nil"/>
              <w:bottom w:val="single" w:sz="4" w:space="0" w:color="auto"/>
              <w:right w:val="single" w:sz="4" w:space="0" w:color="auto"/>
            </w:tcBorders>
          </w:tcPr>
          <w:p w14:paraId="7C3E8149" w14:textId="77777777" w:rsidR="00270204" w:rsidRDefault="00270204" w:rsidP="00096131">
            <w:pPr>
              <w:pStyle w:val="Tabletext1"/>
              <w:keepNext/>
              <w:keepLines/>
              <w:jc w:val="center"/>
            </w:pPr>
          </w:p>
        </w:tc>
      </w:tr>
      <w:tr w:rsidR="00270204" w:rsidRPr="00B2301A" w14:paraId="61467B87" w14:textId="77777777" w:rsidTr="004614A0">
        <w:tc>
          <w:tcPr>
            <w:tcW w:w="669" w:type="pct"/>
            <w:tcBorders>
              <w:top w:val="nil"/>
              <w:left w:val="single" w:sz="4" w:space="0" w:color="auto"/>
              <w:bottom w:val="single" w:sz="4" w:space="0" w:color="auto"/>
              <w:right w:val="single" w:sz="4" w:space="0" w:color="auto"/>
            </w:tcBorders>
            <w:shd w:val="clear" w:color="auto" w:fill="auto"/>
          </w:tcPr>
          <w:p w14:paraId="79979866" w14:textId="77777777" w:rsidR="00270204" w:rsidRDefault="00270204" w:rsidP="00096131">
            <w:pPr>
              <w:pStyle w:val="Tabletext1"/>
              <w:keepNext/>
              <w:keepLines/>
              <w:rPr>
                <w:snapToGrid w:val="0"/>
              </w:rPr>
            </w:pPr>
          </w:p>
        </w:tc>
        <w:tc>
          <w:tcPr>
            <w:tcW w:w="847" w:type="pct"/>
            <w:tcBorders>
              <w:top w:val="single" w:sz="4" w:space="0" w:color="auto"/>
              <w:left w:val="single" w:sz="4" w:space="0" w:color="auto"/>
              <w:bottom w:val="single" w:sz="4" w:space="0" w:color="auto"/>
              <w:right w:val="single" w:sz="4" w:space="0" w:color="auto"/>
            </w:tcBorders>
          </w:tcPr>
          <w:p w14:paraId="47BE85C1" w14:textId="25DCD19B" w:rsidR="00270204" w:rsidRPr="004614A0" w:rsidRDefault="00270204" w:rsidP="00096131">
            <w:pPr>
              <w:pStyle w:val="Tabletext1"/>
              <w:keepNext/>
              <w:keepLines/>
              <w:jc w:val="center"/>
            </w:pPr>
            <w:r w:rsidRPr="004614A0">
              <w:t xml:space="preserve">GU actuarial 5-year toxicity </w:t>
            </w:r>
            <w:r w:rsidR="00B16993">
              <w:t xml:space="preserve">grade </w:t>
            </w:r>
            <w:r w:rsidRPr="004614A0">
              <w:t>≥2</w:t>
            </w:r>
          </w:p>
        </w:tc>
        <w:tc>
          <w:tcPr>
            <w:tcW w:w="349" w:type="pct"/>
            <w:tcBorders>
              <w:top w:val="single" w:sz="4" w:space="0" w:color="auto"/>
              <w:left w:val="single" w:sz="4" w:space="0" w:color="auto"/>
              <w:bottom w:val="single" w:sz="4" w:space="0" w:color="auto"/>
              <w:right w:val="single" w:sz="4" w:space="0" w:color="auto"/>
            </w:tcBorders>
          </w:tcPr>
          <w:p w14:paraId="731E0AF6" w14:textId="77777777" w:rsidR="00270204" w:rsidRPr="004614A0" w:rsidRDefault="00270204"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62977501"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7708818"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321EDAA"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7A770A5"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D993445" w14:textId="77777777" w:rsidR="00270204" w:rsidRPr="004614A0" w:rsidRDefault="00270204"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59771C19" w14:textId="77777777" w:rsidR="00270204" w:rsidRPr="004614A0" w:rsidRDefault="00270204" w:rsidP="00096131">
            <w:pPr>
              <w:pStyle w:val="Tabletext1"/>
              <w:keepNext/>
              <w:keepLines/>
              <w:jc w:val="center"/>
            </w:pPr>
          </w:p>
        </w:tc>
        <w:tc>
          <w:tcPr>
            <w:tcW w:w="349" w:type="pct"/>
            <w:tcBorders>
              <w:top w:val="single" w:sz="4" w:space="0" w:color="auto"/>
              <w:left w:val="single" w:sz="4" w:space="0" w:color="auto"/>
              <w:bottom w:val="single" w:sz="4" w:space="0" w:color="auto"/>
              <w:right w:val="nil"/>
            </w:tcBorders>
          </w:tcPr>
          <w:p w14:paraId="497DCD8A" w14:textId="3D03ED4D" w:rsidR="00270204" w:rsidRPr="004614A0" w:rsidRDefault="00270204" w:rsidP="00096131">
            <w:pPr>
              <w:pStyle w:val="Tabletext1"/>
              <w:keepNext/>
              <w:keepLines/>
              <w:jc w:val="center"/>
            </w:pPr>
            <w:r w:rsidRPr="004614A0">
              <w:t>10%</w:t>
            </w:r>
          </w:p>
        </w:tc>
        <w:tc>
          <w:tcPr>
            <w:tcW w:w="349" w:type="pct"/>
            <w:tcBorders>
              <w:top w:val="single" w:sz="4" w:space="0" w:color="auto"/>
              <w:left w:val="nil"/>
              <w:bottom w:val="single" w:sz="4" w:space="0" w:color="auto"/>
              <w:right w:val="nil"/>
            </w:tcBorders>
          </w:tcPr>
          <w:p w14:paraId="7A42F488" w14:textId="77777777" w:rsidR="00270204" w:rsidRPr="004614A0" w:rsidRDefault="00270204" w:rsidP="00096131">
            <w:pPr>
              <w:pStyle w:val="Tabletext1"/>
              <w:keepNext/>
              <w:keepLines/>
              <w:jc w:val="center"/>
            </w:pPr>
          </w:p>
        </w:tc>
        <w:tc>
          <w:tcPr>
            <w:tcW w:w="341" w:type="pct"/>
            <w:tcBorders>
              <w:top w:val="single" w:sz="4" w:space="0" w:color="auto"/>
              <w:left w:val="nil"/>
              <w:bottom w:val="single" w:sz="4" w:space="0" w:color="auto"/>
              <w:right w:val="single" w:sz="4" w:space="0" w:color="auto"/>
            </w:tcBorders>
          </w:tcPr>
          <w:p w14:paraId="75ABF798" w14:textId="77777777" w:rsidR="00270204" w:rsidRDefault="00270204" w:rsidP="00096131">
            <w:pPr>
              <w:pStyle w:val="Tabletext1"/>
              <w:keepNext/>
              <w:keepLines/>
              <w:jc w:val="center"/>
            </w:pPr>
          </w:p>
        </w:tc>
      </w:tr>
      <w:tr w:rsidR="005B65E5" w:rsidRPr="00B2301A" w14:paraId="30426921" w14:textId="77777777" w:rsidTr="004614A0">
        <w:tc>
          <w:tcPr>
            <w:tcW w:w="669" w:type="pct"/>
            <w:tcBorders>
              <w:top w:val="single" w:sz="4" w:space="0" w:color="auto"/>
              <w:left w:val="single" w:sz="4" w:space="0" w:color="auto"/>
              <w:bottom w:val="nil"/>
              <w:right w:val="single" w:sz="4" w:space="0" w:color="auto"/>
            </w:tcBorders>
            <w:shd w:val="clear" w:color="auto" w:fill="auto"/>
          </w:tcPr>
          <w:p w14:paraId="2A03E750" w14:textId="3CD632B6" w:rsidR="005B65E5" w:rsidRDefault="00211285" w:rsidP="00096131">
            <w:pPr>
              <w:pStyle w:val="Tabletext1"/>
              <w:rPr>
                <w:snapToGrid w:val="0"/>
              </w:rPr>
            </w:pPr>
            <w:hyperlink w:anchor="_ENREF_41" w:tooltip="Ishii, 2016 #52" w:history="1">
              <w:r w:rsidR="008B6FC0">
                <w:fldChar w:fldCharType="begin"/>
              </w:r>
              <w:r w:rsidR="008B6FC0">
                <w:instrText xml:space="preserve"> ADDIN EN.CITE &lt;EndNote&gt;&lt;Cite AuthorYear="1"&gt;&lt;Author&gt;Ishii&lt;/Author&gt;&lt;Year&gt;2016&lt;/Year&gt;&lt;RecNum&gt;52&lt;/RecNum&gt;&lt;DisplayText&gt;Ishii et al. (2016)&lt;/DisplayText&gt;&lt;record&gt;&lt;rec-number&gt;52&lt;/rec-number&gt;&lt;foreign-keys&gt;&lt;key app="EN" db-id="sx5wsdwv795wvue959xxw0ptaewvdezxxp05" timestamp="1604876395"&gt;52&lt;/key&gt;&lt;/foreign-keys&gt;&lt;ref-type name="Journal Article"&gt;17&lt;/ref-type&gt;&lt;contributors&gt;&lt;authors&gt;&lt;author&gt;Ishii, K.&lt;/author&gt;&lt;author&gt;Ogino, R.&lt;/author&gt;&lt;author&gt;Hosokawa, Y.&lt;/author&gt;&lt;author&gt;Fujioka, C.&lt;/author&gt;&lt;author&gt;Okada, W.&lt;/author&gt;&lt;author&gt;Nakahara, R.&lt;/author&gt;&lt;author&gt;Kawamorita, R.&lt;/author&gt;&lt;author&gt;Tada, T.&lt;/author&gt;&lt;author&gt;Hayashi, Y.&lt;/author&gt;&lt;author&gt;Nakajima, T.&lt;/author&gt;&lt;/authors&gt;&lt;/contributors&gt;&lt;titles&gt;&lt;title&gt;Comparison of dosimetric parameters and acute toxicity after whole-pelvic vs prostate-only volumetric-modulated arc therapy with daily image guidance for prostate cancer&lt;/title&gt;&lt;secondary-title&gt;Br J Radiol&lt;/secondary-title&gt;&lt;/titles&gt;&lt;pages&gt;20150930&lt;/pages&gt;&lt;volume&gt;89&lt;/volume&gt;&lt;number&gt;1062&lt;/number&gt;&lt;dates&gt;&lt;year&gt;2016&lt;/year&gt;&lt;/dates&gt;&lt;accession-num&gt;26959612&lt;/accession-num&gt;&lt;urls&gt;&lt;related-urls&gt;&lt;url&gt;http://ezproxy.library.usyd.edu.au/login?url=http://ovidsp.ovid.com/ovidweb.cgi?T=JS&amp;amp;CSC=Y&amp;amp;NEWS=N&amp;amp;PAGE=fulltext&amp;amp;D=med13&amp;amp;AN=26959612https://sydney.alma.exlibrisgroup.com/openurl/61USYD_INST/61USYD_INST:sydney?sid=OVID:medline&amp;amp;id=pmid:26959612&amp;amp;id=doi:10.125&lt;/url&gt;&lt;url&gt;https://www.ncbi.nlm.nih.gov/pmc/articles/PMC5258156/pdf/bjr.20150930.pdf&lt;/url&gt;&lt;/related-urls&gt;&lt;/urls&gt;&lt;custom2&gt;include - overlap with Ishii 2015?&lt;/custom2&gt;&lt;electronic-resource-num&gt;https://dx.doi.org/10.1259/bjr.20150930&lt;/electronic-resource-num&gt;&lt;/record&gt;&lt;/Cite&gt;&lt;/EndNote&gt;</w:instrText>
              </w:r>
              <w:r w:rsidR="008B6FC0">
                <w:fldChar w:fldCharType="separate"/>
              </w:r>
              <w:r w:rsidR="008B6FC0">
                <w:rPr>
                  <w:noProof/>
                </w:rPr>
                <w:t>Ishii et al. (2016)</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29ACF1BB" w14:textId="49AB79F9" w:rsidR="004614A0" w:rsidRPr="004614A0" w:rsidRDefault="004614A0" w:rsidP="00096131">
            <w:pPr>
              <w:pStyle w:val="Tabletext1"/>
              <w:jc w:val="center"/>
            </w:pPr>
            <w:r w:rsidRPr="004614A0">
              <w:t>GI (PORT)</w:t>
            </w:r>
          </w:p>
          <w:p w14:paraId="6357F7AA" w14:textId="0A1F54DF"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97815E3" w14:textId="77777777" w:rsidR="005B65E5" w:rsidRDefault="005B65E5"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7672478" w14:textId="73F3C276"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C8C68D6" w14:textId="40D8C035" w:rsidR="005B65E5" w:rsidRPr="004614A0" w:rsidRDefault="004614A0" w:rsidP="00096131">
            <w:pPr>
              <w:pStyle w:val="Tabletext1"/>
              <w:jc w:val="center"/>
              <w:rPr>
                <w:rFonts w:cs="Calibri"/>
                <w:color w:val="000000"/>
              </w:rPr>
            </w:pPr>
            <w:r w:rsidRPr="004614A0">
              <w:rPr>
                <w:rFonts w:cs="Calibri"/>
                <w:color w:val="000000"/>
              </w:rPr>
              <w:t>7/105 (7%)</w:t>
            </w:r>
          </w:p>
        </w:tc>
        <w:tc>
          <w:tcPr>
            <w:tcW w:w="349" w:type="pct"/>
            <w:tcBorders>
              <w:top w:val="single" w:sz="4" w:space="0" w:color="auto"/>
              <w:left w:val="single" w:sz="4" w:space="0" w:color="auto"/>
              <w:bottom w:val="single" w:sz="4" w:space="0" w:color="auto"/>
              <w:right w:val="single" w:sz="4" w:space="0" w:color="auto"/>
            </w:tcBorders>
          </w:tcPr>
          <w:p w14:paraId="298EAB6B" w14:textId="044E57D6"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CBD03D9" w14:textId="6E17FE96"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D42F2E8" w14:textId="1F17BD11" w:rsidR="005B65E5" w:rsidRDefault="005B65E5"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D49A11E" w14:textId="0AD15F55"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2CD9F22" w14:textId="02FADEFF"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9A1D7B1" w14:textId="77777777" w:rsidR="005B65E5" w:rsidRDefault="005B65E5"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558F1844" w14:textId="77777777" w:rsidR="005B65E5" w:rsidRDefault="005B65E5" w:rsidP="00096131">
            <w:pPr>
              <w:pStyle w:val="Tabletext1"/>
              <w:jc w:val="center"/>
            </w:pPr>
          </w:p>
        </w:tc>
      </w:tr>
      <w:tr w:rsidR="004614A0" w:rsidRPr="00B2301A" w14:paraId="5B92E3DB" w14:textId="77777777" w:rsidTr="004614A0">
        <w:tc>
          <w:tcPr>
            <w:tcW w:w="669" w:type="pct"/>
            <w:tcBorders>
              <w:top w:val="nil"/>
              <w:left w:val="single" w:sz="4" w:space="0" w:color="auto"/>
              <w:bottom w:val="nil"/>
              <w:right w:val="single" w:sz="4" w:space="0" w:color="auto"/>
            </w:tcBorders>
            <w:shd w:val="clear" w:color="auto" w:fill="auto"/>
          </w:tcPr>
          <w:p w14:paraId="0B14282D" w14:textId="77777777" w:rsidR="004614A0" w:rsidRDefault="004614A0"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F55EFEF" w14:textId="264DAF3B" w:rsidR="004614A0" w:rsidRPr="004614A0" w:rsidRDefault="004614A0" w:rsidP="00096131">
            <w:pPr>
              <w:pStyle w:val="Tabletext1"/>
              <w:jc w:val="center"/>
            </w:pPr>
            <w:r w:rsidRPr="004614A0">
              <w:t>GI (WPRT)</w:t>
            </w:r>
          </w:p>
        </w:tc>
        <w:tc>
          <w:tcPr>
            <w:tcW w:w="349" w:type="pct"/>
            <w:tcBorders>
              <w:top w:val="single" w:sz="4" w:space="0" w:color="auto"/>
              <w:left w:val="single" w:sz="4" w:space="0" w:color="auto"/>
              <w:bottom w:val="single" w:sz="4" w:space="0" w:color="auto"/>
              <w:right w:val="single" w:sz="4" w:space="0" w:color="auto"/>
            </w:tcBorders>
          </w:tcPr>
          <w:p w14:paraId="3EE27665" w14:textId="77777777" w:rsidR="004614A0" w:rsidRDefault="004614A0"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0E4E0FA"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79799F5" w14:textId="7D28A944" w:rsidR="004614A0" w:rsidRPr="004614A0" w:rsidRDefault="004614A0" w:rsidP="00096131">
            <w:pPr>
              <w:pStyle w:val="Tabletext1"/>
              <w:jc w:val="center"/>
              <w:rPr>
                <w:rFonts w:cs="Calibri"/>
                <w:color w:val="000000"/>
              </w:rPr>
            </w:pPr>
            <w:r w:rsidRPr="004614A0">
              <w:rPr>
                <w:rFonts w:cs="Calibri"/>
                <w:color w:val="000000"/>
              </w:rPr>
              <w:t>17/119 (14%)</w:t>
            </w:r>
          </w:p>
        </w:tc>
        <w:tc>
          <w:tcPr>
            <w:tcW w:w="349" w:type="pct"/>
            <w:tcBorders>
              <w:top w:val="single" w:sz="4" w:space="0" w:color="auto"/>
              <w:left w:val="single" w:sz="4" w:space="0" w:color="auto"/>
              <w:bottom w:val="single" w:sz="4" w:space="0" w:color="auto"/>
              <w:right w:val="single" w:sz="4" w:space="0" w:color="auto"/>
            </w:tcBorders>
          </w:tcPr>
          <w:p w14:paraId="4DFA1C40"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F1AB1B3"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E1FC977" w14:textId="77777777" w:rsidR="004614A0" w:rsidRDefault="004614A0"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4809EDD"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55B6CD0"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F6A2A07" w14:textId="77777777" w:rsidR="004614A0" w:rsidRDefault="004614A0"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46DB0670" w14:textId="77777777" w:rsidR="004614A0" w:rsidRDefault="004614A0" w:rsidP="00096131">
            <w:pPr>
              <w:pStyle w:val="Tabletext1"/>
              <w:jc w:val="center"/>
            </w:pPr>
          </w:p>
        </w:tc>
      </w:tr>
      <w:tr w:rsidR="004614A0" w:rsidRPr="00B2301A" w14:paraId="1C7B8F9A" w14:textId="77777777" w:rsidTr="004614A0">
        <w:tc>
          <w:tcPr>
            <w:tcW w:w="669" w:type="pct"/>
            <w:tcBorders>
              <w:top w:val="nil"/>
              <w:left w:val="single" w:sz="4" w:space="0" w:color="auto"/>
              <w:bottom w:val="nil"/>
              <w:right w:val="single" w:sz="4" w:space="0" w:color="auto"/>
            </w:tcBorders>
            <w:shd w:val="clear" w:color="auto" w:fill="auto"/>
          </w:tcPr>
          <w:p w14:paraId="36502A3C" w14:textId="77777777" w:rsidR="004614A0" w:rsidRDefault="004614A0"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56F1C1BF" w14:textId="07F4D23F" w:rsidR="004614A0" w:rsidRPr="004614A0" w:rsidRDefault="004614A0" w:rsidP="00096131">
            <w:pPr>
              <w:pStyle w:val="Tabletext1"/>
              <w:jc w:val="center"/>
            </w:pPr>
            <w:r w:rsidRPr="004614A0">
              <w:t>GU (PORT)</w:t>
            </w:r>
          </w:p>
          <w:p w14:paraId="3C710B2D" w14:textId="77777777" w:rsidR="004614A0" w:rsidRP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7C68CD8" w14:textId="77777777" w:rsidR="004614A0" w:rsidRDefault="004614A0"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7162FF4"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93A9CA7" w14:textId="6669E7FE" w:rsidR="004614A0" w:rsidRPr="004614A0" w:rsidRDefault="004614A0" w:rsidP="00096131">
            <w:pPr>
              <w:pStyle w:val="Tabletext1"/>
              <w:jc w:val="center"/>
              <w:rPr>
                <w:rFonts w:cs="Calibri"/>
                <w:color w:val="000000"/>
              </w:rPr>
            </w:pPr>
            <w:r w:rsidRPr="004614A0">
              <w:rPr>
                <w:rFonts w:cs="Calibri"/>
                <w:color w:val="000000"/>
              </w:rPr>
              <w:t>11/105 (10%)</w:t>
            </w:r>
          </w:p>
        </w:tc>
        <w:tc>
          <w:tcPr>
            <w:tcW w:w="349" w:type="pct"/>
            <w:tcBorders>
              <w:top w:val="single" w:sz="4" w:space="0" w:color="auto"/>
              <w:left w:val="single" w:sz="4" w:space="0" w:color="auto"/>
              <w:bottom w:val="single" w:sz="4" w:space="0" w:color="auto"/>
              <w:right w:val="single" w:sz="4" w:space="0" w:color="auto"/>
            </w:tcBorders>
          </w:tcPr>
          <w:p w14:paraId="489873A1"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B98D3D6"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103853E" w14:textId="77777777" w:rsidR="004614A0" w:rsidRDefault="004614A0"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F1B86D3"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E100453"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782BC6B" w14:textId="77777777" w:rsidR="004614A0" w:rsidRDefault="004614A0"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2D832DAA" w14:textId="77777777" w:rsidR="004614A0" w:rsidRDefault="004614A0" w:rsidP="00096131">
            <w:pPr>
              <w:pStyle w:val="Tabletext1"/>
              <w:jc w:val="center"/>
            </w:pPr>
          </w:p>
        </w:tc>
      </w:tr>
      <w:tr w:rsidR="004614A0" w:rsidRPr="00B2301A" w14:paraId="26B2956C" w14:textId="77777777" w:rsidTr="008076AB">
        <w:tc>
          <w:tcPr>
            <w:tcW w:w="669" w:type="pct"/>
            <w:tcBorders>
              <w:top w:val="nil"/>
              <w:left w:val="single" w:sz="4" w:space="0" w:color="auto"/>
              <w:bottom w:val="single" w:sz="4" w:space="0" w:color="auto"/>
              <w:right w:val="single" w:sz="4" w:space="0" w:color="auto"/>
            </w:tcBorders>
            <w:shd w:val="clear" w:color="auto" w:fill="auto"/>
          </w:tcPr>
          <w:p w14:paraId="51F31A1E" w14:textId="77777777" w:rsidR="004614A0" w:rsidRDefault="004614A0"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63DC8C9" w14:textId="2309E921" w:rsidR="004614A0" w:rsidRPr="004614A0" w:rsidRDefault="004614A0" w:rsidP="00096131">
            <w:pPr>
              <w:pStyle w:val="Tabletext1"/>
              <w:jc w:val="center"/>
            </w:pPr>
            <w:r w:rsidRPr="004614A0">
              <w:t>GU (WPRT)</w:t>
            </w:r>
          </w:p>
        </w:tc>
        <w:tc>
          <w:tcPr>
            <w:tcW w:w="349" w:type="pct"/>
            <w:tcBorders>
              <w:top w:val="single" w:sz="4" w:space="0" w:color="auto"/>
              <w:left w:val="single" w:sz="4" w:space="0" w:color="auto"/>
              <w:bottom w:val="single" w:sz="4" w:space="0" w:color="auto"/>
              <w:right w:val="single" w:sz="4" w:space="0" w:color="auto"/>
            </w:tcBorders>
          </w:tcPr>
          <w:p w14:paraId="3B4CC9B2" w14:textId="77777777" w:rsidR="004614A0" w:rsidRDefault="004614A0"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BE2831D"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BCCB406" w14:textId="5A15AAA8" w:rsidR="004614A0" w:rsidRPr="004614A0" w:rsidRDefault="004614A0" w:rsidP="00096131">
            <w:pPr>
              <w:pStyle w:val="Tabletext1"/>
              <w:jc w:val="center"/>
              <w:rPr>
                <w:rFonts w:cs="Calibri"/>
                <w:color w:val="000000"/>
              </w:rPr>
            </w:pPr>
            <w:r w:rsidRPr="004614A0">
              <w:rPr>
                <w:rFonts w:cs="Calibri"/>
                <w:color w:val="000000"/>
              </w:rPr>
              <w:t>15/119 (</w:t>
            </w:r>
            <w:r w:rsidR="00DA05A3">
              <w:rPr>
                <w:rFonts w:cs="Calibri"/>
                <w:color w:val="000000"/>
              </w:rPr>
              <w:t>13</w:t>
            </w:r>
            <w:r w:rsidRPr="004614A0">
              <w:rPr>
                <w:rFonts w:cs="Calibri"/>
                <w:color w:val="000000"/>
              </w:rPr>
              <w:t>%)</w:t>
            </w:r>
          </w:p>
        </w:tc>
        <w:tc>
          <w:tcPr>
            <w:tcW w:w="349" w:type="pct"/>
            <w:tcBorders>
              <w:top w:val="single" w:sz="4" w:space="0" w:color="auto"/>
              <w:left w:val="single" w:sz="4" w:space="0" w:color="auto"/>
              <w:bottom w:val="single" w:sz="4" w:space="0" w:color="auto"/>
              <w:right w:val="single" w:sz="4" w:space="0" w:color="auto"/>
            </w:tcBorders>
          </w:tcPr>
          <w:p w14:paraId="4722FE68"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486A669"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CAAE0AF" w14:textId="77777777" w:rsidR="004614A0" w:rsidRDefault="004614A0"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27A91E9"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33C668B"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F36C69A" w14:textId="77777777" w:rsidR="004614A0" w:rsidRDefault="004614A0"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036DCF33" w14:textId="77777777" w:rsidR="004614A0" w:rsidRDefault="004614A0" w:rsidP="00096131">
            <w:pPr>
              <w:pStyle w:val="Tabletext1"/>
              <w:jc w:val="center"/>
            </w:pPr>
          </w:p>
        </w:tc>
      </w:tr>
      <w:tr w:rsidR="005B65E5" w:rsidRPr="00B2301A" w14:paraId="5821EEBE" w14:textId="77777777" w:rsidTr="008076AB">
        <w:tc>
          <w:tcPr>
            <w:tcW w:w="669" w:type="pct"/>
            <w:tcBorders>
              <w:top w:val="single" w:sz="4" w:space="0" w:color="auto"/>
              <w:left w:val="single" w:sz="4" w:space="0" w:color="auto"/>
              <w:bottom w:val="nil"/>
              <w:right w:val="single" w:sz="4" w:space="0" w:color="auto"/>
            </w:tcBorders>
            <w:shd w:val="clear" w:color="auto" w:fill="auto"/>
          </w:tcPr>
          <w:p w14:paraId="7EC7DEC4" w14:textId="0064549A" w:rsidR="005B65E5" w:rsidRDefault="00211285" w:rsidP="00096131">
            <w:pPr>
              <w:pStyle w:val="Tabletext1"/>
              <w:rPr>
                <w:snapToGrid w:val="0"/>
              </w:rPr>
            </w:pPr>
            <w:hyperlink w:anchor="_ENREF_42" w:tooltip="Keall, 2020 #54" w:history="1">
              <w:r w:rsidR="008B6FC0">
                <w:fldChar w:fldCharType="begin"/>
              </w:r>
              <w:r w:rsidR="008B6FC0">
                <w:instrText xml:space="preserve"> ADDIN EN.CITE &lt;EndNote&gt;&lt;Cite AuthorYear="1"&gt;&lt;Author&gt;Keall&lt;/Author&gt;&lt;Year&gt;2020&lt;/Year&gt;&lt;RecNum&gt;54&lt;/RecNum&gt;&lt;DisplayText&gt;Keall et al. (2020)&lt;/DisplayText&gt;&lt;record&gt;&lt;rec-number&gt;54&lt;/rec-number&gt;&lt;foreign-keys&gt;&lt;key app="EN" db-id="sx5wsdwv795wvue959xxw0ptaewvdezxxp05" timestamp="1604876395"&gt;54&lt;/key&gt;&lt;/foreign-keys&gt;&lt;ref-type name="Journal Article"&gt;17&lt;/ref-type&gt;&lt;contributors&gt;&lt;authors&gt;&lt;author&gt;Keall, P.&lt;/author&gt;&lt;author&gt;Nguyen, D. T.&lt;/author&gt;&lt;author&gt;O&amp;apos;Brien, R.&lt;/author&gt;&lt;author&gt;Hewson, E.&lt;/author&gt;&lt;author&gt;Ball, H.&lt;/author&gt;&lt;author&gt;Poulsen, P.&lt;/author&gt;&lt;author&gt;Booth, J.&lt;/author&gt;&lt;author&gt;Greer, P.&lt;/author&gt;&lt;author&gt;Hunter, P.&lt;/author&gt;&lt;author&gt;Wilton, L.&lt;/author&gt;&lt;author&gt;Bromley, R.&lt;/author&gt;&lt;author&gt;Kipritidis, J.&lt;/author&gt;&lt;author&gt;Eade, T.&lt;/author&gt;&lt;author&gt;Kneebone, A.&lt;/author&gt;&lt;author&gt;Hruby, G.&lt;/author&gt;&lt;author&gt;Moodie, T.&lt;/author&gt;&lt;author&gt;Hayden, A.&lt;/author&gt;&lt;author&gt;Turner, S.&lt;/author&gt;&lt;author&gt;Arumugam, S.&lt;/author&gt;&lt;author&gt;Sidhom, M.&lt;/author&gt;&lt;author&gt;Hardcastle, N.&lt;/author&gt;&lt;author&gt;Siva, S.&lt;/author&gt;&lt;author&gt;Tai, K. H.&lt;/author&gt;&lt;author&gt;Gebski, V.&lt;/author&gt;&lt;author&gt;Martin, J.&lt;/author&gt;&lt;/authors&gt;&lt;/contributors&gt;&lt;titles&gt;&lt;title&gt;Real-Time Image Guided Ablative Prostate Cancer Radiation Therapy: Results From the TROG 15.01 SPARK Trial&lt;/title&gt;&lt;secondary-title&gt;International Journal of Radiation Oncology Biology Physics&lt;/secondary-title&gt;&lt;/titles&gt;&lt;pages&gt;530-538&lt;/pages&gt;&lt;volume&gt;107&lt;/volume&gt;&lt;number&gt;3&lt;/number&gt;&lt;dates&gt;&lt;year&gt;2020&lt;/year&gt;&lt;/dates&gt;&lt;accession-num&gt;2005761092&lt;/accession-num&gt;&lt;urls&gt;&lt;related-urls&gt;&lt;url&gt;http://www.elsevier.com/locate/ijrobphttp://ezproxy.library.usyd.edu.au/login?url=http://ovidsp.ovid.com/ovidweb.cgi?T=JS&amp;amp;CSC=Y&amp;amp;NEWS=N&amp;amp;PAGE=fulltext&amp;amp;D=emexb&amp;amp;AN=2005761092https://sydney.alma.exlibrisgroup.com/openurl/61USYD_INST/61USYD_INST:sydney?sid=OVID&lt;/url&gt;&lt;/related-urls&gt;&lt;/urls&gt;&lt;custom2&gt;prostate, GI and GU toxicity&lt;/custom2&gt;&lt;electronic-resource-num&gt;http://dx.doi.org/10.1016/j.ijrobp.2020.03.014&lt;/electronic-resource-num&gt;&lt;/record&gt;&lt;/Cite&gt;&lt;/EndNote&gt;</w:instrText>
              </w:r>
              <w:r w:rsidR="008B6FC0">
                <w:fldChar w:fldCharType="separate"/>
              </w:r>
              <w:r w:rsidR="008B6FC0">
                <w:rPr>
                  <w:noProof/>
                </w:rPr>
                <w:t>Keall et al. (2020)</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2DFAA2C0" w14:textId="2361E128" w:rsidR="004614A0" w:rsidRPr="004614A0" w:rsidRDefault="004614A0" w:rsidP="00096131">
            <w:pPr>
              <w:pStyle w:val="Tabletext1"/>
              <w:jc w:val="center"/>
            </w:pPr>
            <w:r w:rsidRPr="004614A0">
              <w:t>GI 12 months</w:t>
            </w:r>
          </w:p>
          <w:p w14:paraId="65F2B10A" w14:textId="6F079765"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38611DF" w14:textId="77777777" w:rsidR="005B65E5" w:rsidRDefault="005B65E5"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F4F4184" w14:textId="3EEC8A65"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E7F0244" w14:textId="7AEF0993"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3E0A98E" w14:textId="419EA725"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35BA961" w14:textId="6152E323"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F4E52FA" w14:textId="2A499165" w:rsidR="005B65E5" w:rsidRDefault="005B65E5"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30F18D3" w14:textId="2C6D7C82"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4BA05DB" w14:textId="6424217A" w:rsidR="005B65E5" w:rsidRPr="004614A0" w:rsidRDefault="004614A0" w:rsidP="00096131">
            <w:pPr>
              <w:pStyle w:val="Tabletext1"/>
              <w:jc w:val="center"/>
              <w:rPr>
                <w:rFonts w:cs="Calibri"/>
                <w:color w:val="000000"/>
              </w:rPr>
            </w:pPr>
            <w:r w:rsidRPr="004614A0">
              <w:rPr>
                <w:rFonts w:cs="Calibri"/>
                <w:color w:val="000000"/>
              </w:rPr>
              <w:t>2/48 (4%)</w:t>
            </w:r>
          </w:p>
        </w:tc>
        <w:tc>
          <w:tcPr>
            <w:tcW w:w="349" w:type="pct"/>
            <w:tcBorders>
              <w:top w:val="single" w:sz="4" w:space="0" w:color="auto"/>
              <w:left w:val="single" w:sz="4" w:space="0" w:color="auto"/>
              <w:bottom w:val="single" w:sz="4" w:space="0" w:color="auto"/>
              <w:right w:val="single" w:sz="4" w:space="0" w:color="auto"/>
            </w:tcBorders>
          </w:tcPr>
          <w:p w14:paraId="0413F546" w14:textId="77777777" w:rsidR="005B65E5" w:rsidRDefault="005B65E5"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178FA5DC" w14:textId="77777777" w:rsidR="005B65E5" w:rsidRDefault="005B65E5" w:rsidP="00096131">
            <w:pPr>
              <w:pStyle w:val="Tabletext1"/>
              <w:jc w:val="center"/>
            </w:pPr>
          </w:p>
        </w:tc>
      </w:tr>
      <w:tr w:rsidR="004614A0" w:rsidRPr="00B2301A" w14:paraId="452FEC4A" w14:textId="77777777" w:rsidTr="006215EE">
        <w:tc>
          <w:tcPr>
            <w:tcW w:w="669" w:type="pct"/>
            <w:tcBorders>
              <w:top w:val="nil"/>
              <w:left w:val="single" w:sz="4" w:space="0" w:color="auto"/>
              <w:bottom w:val="single" w:sz="4" w:space="0" w:color="auto"/>
              <w:right w:val="single" w:sz="4" w:space="0" w:color="auto"/>
            </w:tcBorders>
            <w:shd w:val="clear" w:color="auto" w:fill="auto"/>
          </w:tcPr>
          <w:p w14:paraId="3180E246" w14:textId="77777777" w:rsidR="004614A0" w:rsidRDefault="004614A0"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38756CEC" w14:textId="12E4DB76" w:rsidR="004614A0" w:rsidRPr="004614A0" w:rsidRDefault="004614A0" w:rsidP="00096131">
            <w:pPr>
              <w:pStyle w:val="Tabletext1"/>
              <w:jc w:val="center"/>
            </w:pPr>
            <w:r w:rsidRPr="004614A0">
              <w:t>GU 12 months</w:t>
            </w:r>
          </w:p>
        </w:tc>
        <w:tc>
          <w:tcPr>
            <w:tcW w:w="349" w:type="pct"/>
            <w:tcBorders>
              <w:top w:val="single" w:sz="4" w:space="0" w:color="auto"/>
              <w:left w:val="single" w:sz="4" w:space="0" w:color="auto"/>
              <w:bottom w:val="single" w:sz="4" w:space="0" w:color="auto"/>
              <w:right w:val="single" w:sz="4" w:space="0" w:color="auto"/>
            </w:tcBorders>
          </w:tcPr>
          <w:p w14:paraId="0BE07D3E" w14:textId="77777777" w:rsidR="004614A0" w:rsidRDefault="004614A0"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E316F64"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98B2E31"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B77BFA1"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BFF554F"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D789F07" w14:textId="77777777" w:rsidR="004614A0" w:rsidRDefault="004614A0"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7799599" w14:textId="77777777" w:rsidR="004614A0" w:rsidRDefault="004614A0"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E6D086A" w14:textId="5A715FE5" w:rsidR="004614A0" w:rsidRPr="004614A0" w:rsidRDefault="004614A0" w:rsidP="00096131">
            <w:pPr>
              <w:pStyle w:val="Tabletext1"/>
              <w:jc w:val="center"/>
              <w:rPr>
                <w:rFonts w:cs="Calibri"/>
                <w:color w:val="000000"/>
              </w:rPr>
            </w:pPr>
            <w:r w:rsidRPr="004614A0">
              <w:rPr>
                <w:rFonts w:cs="Calibri"/>
                <w:color w:val="000000"/>
              </w:rPr>
              <w:t>2/48 (4%)</w:t>
            </w:r>
          </w:p>
        </w:tc>
        <w:tc>
          <w:tcPr>
            <w:tcW w:w="349" w:type="pct"/>
            <w:tcBorders>
              <w:top w:val="single" w:sz="4" w:space="0" w:color="auto"/>
              <w:left w:val="single" w:sz="4" w:space="0" w:color="auto"/>
              <w:bottom w:val="single" w:sz="4" w:space="0" w:color="auto"/>
              <w:right w:val="single" w:sz="4" w:space="0" w:color="auto"/>
            </w:tcBorders>
          </w:tcPr>
          <w:p w14:paraId="77E8B1AE" w14:textId="77777777" w:rsidR="004614A0" w:rsidRDefault="004614A0"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4F564FC" w14:textId="77777777" w:rsidR="004614A0" w:rsidRDefault="004614A0" w:rsidP="00096131">
            <w:pPr>
              <w:pStyle w:val="Tabletext1"/>
              <w:jc w:val="center"/>
            </w:pPr>
          </w:p>
        </w:tc>
      </w:tr>
      <w:tr w:rsidR="0099132D" w:rsidRPr="00B2301A" w14:paraId="645FC6D7" w14:textId="77777777" w:rsidTr="006215EE">
        <w:tc>
          <w:tcPr>
            <w:tcW w:w="669" w:type="pct"/>
            <w:tcBorders>
              <w:top w:val="nil"/>
              <w:left w:val="single" w:sz="4" w:space="0" w:color="auto"/>
              <w:bottom w:val="single" w:sz="4" w:space="0" w:color="auto"/>
              <w:right w:val="single" w:sz="4" w:space="0" w:color="auto"/>
            </w:tcBorders>
            <w:shd w:val="clear" w:color="auto" w:fill="auto"/>
          </w:tcPr>
          <w:p w14:paraId="6AB9B56A" w14:textId="240E3B50" w:rsidR="0099132D" w:rsidRDefault="00211285" w:rsidP="00096131">
            <w:pPr>
              <w:pStyle w:val="Tabletext1"/>
            </w:pPr>
            <w:hyperlink w:anchor="_ENREF_49" w:tooltip="Levin-Epstein, 2020 #58" w:history="1">
              <w:r w:rsidR="008B6FC0">
                <w:fldChar w:fldCharType="begin">
                  <w:fldData xml:space="preserve">PEVuZE5vdGU+PENpdGUgQXV0aG9yWWVhcj0iMSI+PEF1dGhvcj5MZXZpbi1FcHN0ZWluPC9BdXRo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</w:fldData>
                </w:fldChar>
              </w:r>
              <w:r w:rsidR="008B6FC0">
                <w:instrText xml:space="preserve"> ADDIN EN.CITE </w:instrText>
              </w:r>
              <w:r w:rsidR="008B6FC0">
                <w:fldChar w:fldCharType="begin">
                  <w:fldData xml:space="preserve">PEVuZE5vdGU+PENpdGUgQXV0aG9yWWVhcj0iMSI+PEF1dGhvcj5MZXZpbi1FcHN0ZWluPC9BdXRo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</w:fldData>
                </w:fldChar>
              </w:r>
              <w:r w:rsidR="008B6FC0">
                <w:instrText xml:space="preserve"> ADDIN EN.CITE.DATA </w:instrText>
              </w:r>
              <w:r w:rsidR="008B6FC0">
                <w:fldChar w:fldCharType="end"/>
              </w:r>
              <w:r w:rsidR="008B6FC0">
                <w:fldChar w:fldCharType="separate"/>
              </w:r>
              <w:r w:rsidR="008B6FC0">
                <w:rPr>
                  <w:noProof/>
                </w:rPr>
                <w:t>Levin-Epstein et al. (2020)</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71718AAE" w14:textId="33A800F6" w:rsidR="0099132D" w:rsidRPr="004614A0" w:rsidRDefault="0099132D" w:rsidP="00096131">
            <w:pPr>
              <w:pStyle w:val="Tabletext1"/>
              <w:jc w:val="center"/>
            </w:pPr>
            <w:r>
              <w:t xml:space="preserve">GI or GU </w:t>
            </w:r>
            <w:r w:rsidR="00744F44">
              <w:t xml:space="preserve">toxicity </w:t>
            </w:r>
            <w:r w:rsidR="00744F44" w:rsidRPr="00B16993">
              <w:t>grade ≥3</w:t>
            </w:r>
          </w:p>
        </w:tc>
        <w:tc>
          <w:tcPr>
            <w:tcW w:w="349" w:type="pct"/>
            <w:tcBorders>
              <w:top w:val="single" w:sz="4" w:space="0" w:color="auto"/>
              <w:left w:val="single" w:sz="4" w:space="0" w:color="auto"/>
              <w:bottom w:val="single" w:sz="4" w:space="0" w:color="auto"/>
              <w:right w:val="single" w:sz="4" w:space="0" w:color="auto"/>
            </w:tcBorders>
          </w:tcPr>
          <w:p w14:paraId="2BE239FC" w14:textId="77777777" w:rsidR="0099132D" w:rsidRDefault="0099132D"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0D74D4B" w14:textId="77777777" w:rsidR="0099132D" w:rsidRDefault="0099132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EBCFA6D" w14:textId="77777777" w:rsidR="0099132D" w:rsidRDefault="0099132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2E0330A" w14:textId="2C1074E8" w:rsidR="0099132D" w:rsidRDefault="00744F44" w:rsidP="00096131">
            <w:pPr>
              <w:pStyle w:val="Tabletext1"/>
              <w:jc w:val="center"/>
            </w:pPr>
            <w:r>
              <w:t>6/</w:t>
            </w:r>
            <w:r w:rsidR="005B5FF9">
              <w:t>205</w:t>
            </w:r>
            <w:r w:rsidR="00106C5C">
              <w:t xml:space="preserve"> (3%)</w:t>
            </w:r>
          </w:p>
        </w:tc>
        <w:tc>
          <w:tcPr>
            <w:tcW w:w="349" w:type="pct"/>
            <w:tcBorders>
              <w:top w:val="single" w:sz="4" w:space="0" w:color="auto"/>
              <w:left w:val="single" w:sz="4" w:space="0" w:color="auto"/>
              <w:bottom w:val="single" w:sz="4" w:space="0" w:color="auto"/>
              <w:right w:val="single" w:sz="4" w:space="0" w:color="auto"/>
            </w:tcBorders>
          </w:tcPr>
          <w:p w14:paraId="5E12E1D2" w14:textId="77777777" w:rsidR="0099132D" w:rsidRDefault="0099132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56E114E" w14:textId="77777777" w:rsidR="0099132D" w:rsidRDefault="0099132D"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A9A92E9" w14:textId="77777777" w:rsidR="0099132D" w:rsidRDefault="0099132D"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702C99D" w14:textId="77777777" w:rsidR="0099132D" w:rsidRPr="004614A0" w:rsidRDefault="0099132D" w:rsidP="00096131">
            <w:pPr>
              <w:pStyle w:val="Tabletext1"/>
              <w:jc w:val="center"/>
              <w:rPr>
                <w:rFonts w:cs="Calibri"/>
                <w:color w:val="000000"/>
              </w:rPr>
            </w:pPr>
          </w:p>
        </w:tc>
        <w:tc>
          <w:tcPr>
            <w:tcW w:w="349" w:type="pct"/>
            <w:tcBorders>
              <w:top w:val="single" w:sz="4" w:space="0" w:color="auto"/>
              <w:left w:val="single" w:sz="4" w:space="0" w:color="auto"/>
              <w:bottom w:val="single" w:sz="4" w:space="0" w:color="auto"/>
              <w:right w:val="single" w:sz="4" w:space="0" w:color="auto"/>
            </w:tcBorders>
          </w:tcPr>
          <w:p w14:paraId="20FD6521" w14:textId="77777777" w:rsidR="0099132D" w:rsidRDefault="0099132D"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41D5557" w14:textId="77777777" w:rsidR="0099132D" w:rsidRDefault="0099132D" w:rsidP="00096131">
            <w:pPr>
              <w:pStyle w:val="Tabletext1"/>
              <w:jc w:val="center"/>
            </w:pPr>
          </w:p>
        </w:tc>
      </w:tr>
      <w:tr w:rsidR="008076AB" w:rsidRPr="00B2301A" w14:paraId="704CD34F" w14:textId="77777777" w:rsidTr="006215EE">
        <w:tc>
          <w:tcPr>
            <w:tcW w:w="669" w:type="pct"/>
            <w:tcBorders>
              <w:top w:val="single" w:sz="4" w:space="0" w:color="auto"/>
              <w:left w:val="single" w:sz="4" w:space="0" w:color="auto"/>
              <w:bottom w:val="nil"/>
              <w:right w:val="single" w:sz="4" w:space="0" w:color="auto"/>
            </w:tcBorders>
            <w:shd w:val="clear" w:color="auto" w:fill="auto"/>
          </w:tcPr>
          <w:p w14:paraId="28D0E1BE" w14:textId="51063BB6" w:rsidR="005B65E5" w:rsidRDefault="00211285" w:rsidP="00096131">
            <w:pPr>
              <w:pStyle w:val="Tabletext1"/>
              <w:keepNext/>
              <w:keepLines/>
              <w:rPr>
                <w:snapToGrid w:val="0"/>
              </w:rPr>
            </w:pPr>
            <w:hyperlink w:anchor="_ENREF_52" w:tooltip="Nakamura, 2018 #59" w:history="1">
              <w:r w:rsidR="008B6FC0">
                <w:fldChar w:fldCharType="begin"/>
              </w:r>
              <w:r w:rsidR="008B6FC0">
                <w:instrText xml:space="preserve"> ADDIN EN.CITE &lt;EndNote&gt;&lt;Cite AuthorYear="1"&gt;&lt;Author&gt;Nakamura&lt;/Author&gt;&lt;Year&gt;2018&lt;/Year&gt;&lt;RecNum&gt;59&lt;/RecNum&gt;&lt;DisplayText&gt;Nakamura et al. (2018)&lt;/DisplayText&gt;&lt;record&gt;&lt;rec-number&gt;59&lt;/rec-number&gt;&lt;foreign-keys&gt;&lt;key app="EN" db-id="sx5wsdwv795wvue959xxw0ptaewvdezxxp05" timestamp="1604876396"&gt;59&lt;/key&gt;&lt;/foreign-keys&gt;&lt;ref-type name="Journal Article"&gt;17&lt;/ref-type&gt;&lt;contributors&gt;&lt;authors&gt;&lt;author&gt;Nakamura, K.&lt;/author&gt;&lt;author&gt;Mizowaki, T.&lt;/author&gt;&lt;author&gt;Inokuchi, H.&lt;/author&gt;&lt;author&gt;Ikeda, I.&lt;/author&gt;&lt;author&gt;Inoue, T.&lt;/author&gt;&lt;author&gt;Kamba, T.&lt;/author&gt;&lt;author&gt;Ogawa, O.&lt;/author&gt;&lt;author&gt;Hiraoka, M.&lt;/author&gt;&lt;/authors&gt;&lt;/contributors&gt;&lt;titles&gt;&lt;title&gt;Decreased acute toxicities of intensity-modulated radiation therapy for localized prostate cancer with prostate-based versus bone-based image guidance&lt;/title&gt;&lt;secondary-title&gt;Int J Clin Oncol&lt;/secondary-title&gt;&lt;/titles&gt;&lt;pages&gt;158-164&lt;/pages&gt;&lt;volume&gt;23&lt;/volume&gt;&lt;number&gt;1&lt;/number&gt;&lt;dates&gt;&lt;year&gt;2018&lt;/year&gt;&lt;/dates&gt;&lt;accession-num&gt;28756594&lt;/accession-num&gt;&lt;urls&gt;&lt;related-urls&gt;&lt;url&gt;http://ezproxy.library.usyd.edu.au/login?url=http://ovidsp.ovid.com/ovidweb.cgi?T=JS&amp;amp;CSC=Y&amp;amp;NEWS=N&amp;amp;PAGE=fulltext&amp;amp;D=med15&amp;amp;AN=28756594https://sydney.alma.exlibrisgroup.com/openurl/61USYD_INST/61USYD_INST:sydney?sid=OVID:medline&amp;amp;id=pmid:28756594&amp;amp;id=doi:10.100&lt;/url&gt;&lt;url&gt;https://link.springer.com/content/pdf/10.1007/s10147-017-1174-2.pdf&lt;/url&gt;&lt;/related-urls&gt;&lt;/urls&gt;&lt;electronic-resource-num&gt;https://dx.doi.org/10.1007/s10147-017-1174-2&lt;/electronic-resource-num&gt;&lt;/record&gt;&lt;/Cite&gt;&lt;/EndNote&gt;</w:instrText>
              </w:r>
              <w:r w:rsidR="008B6FC0">
                <w:fldChar w:fldCharType="separate"/>
              </w:r>
              <w:r w:rsidR="008B6FC0">
                <w:rPr>
                  <w:noProof/>
                </w:rPr>
                <w:t>Nakamura et al. (2018)</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5D00C55D" w14:textId="3616C683" w:rsidR="005B65E5" w:rsidRDefault="008076AB" w:rsidP="00096131">
            <w:pPr>
              <w:pStyle w:val="Tabletext1"/>
              <w:keepNext/>
              <w:keepLines/>
              <w:jc w:val="center"/>
            </w:pPr>
            <w:r w:rsidRPr="00B16993">
              <w:t xml:space="preserve">Any </w:t>
            </w:r>
            <w:r w:rsidR="00B16993" w:rsidRPr="00B16993">
              <w:t>toxicity grade</w:t>
            </w:r>
            <w:r w:rsidRPr="00B16993">
              <w:t xml:space="preserve"> ≥3</w:t>
            </w:r>
          </w:p>
        </w:tc>
        <w:tc>
          <w:tcPr>
            <w:tcW w:w="349" w:type="pct"/>
            <w:tcBorders>
              <w:top w:val="single" w:sz="4" w:space="0" w:color="auto"/>
              <w:left w:val="single" w:sz="4" w:space="0" w:color="auto"/>
              <w:bottom w:val="single" w:sz="4" w:space="0" w:color="auto"/>
              <w:right w:val="single" w:sz="4" w:space="0" w:color="auto"/>
            </w:tcBorders>
          </w:tcPr>
          <w:p w14:paraId="51A90622" w14:textId="77777777" w:rsidR="005B65E5" w:rsidRDefault="005B65E5"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0498C9A1" w14:textId="19684EF0" w:rsidR="005B65E5" w:rsidRDefault="005B65E5"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6E623EC" w14:textId="5E913B32" w:rsidR="005B65E5" w:rsidRDefault="005B65E5" w:rsidP="00096131">
            <w:pPr>
              <w:pStyle w:val="Tabletext1"/>
              <w:keepNext/>
              <w:keepLines/>
              <w:jc w:val="center"/>
            </w:pPr>
          </w:p>
        </w:tc>
        <w:tc>
          <w:tcPr>
            <w:tcW w:w="349" w:type="pct"/>
            <w:tcBorders>
              <w:top w:val="single" w:sz="4" w:space="0" w:color="auto"/>
              <w:left w:val="single" w:sz="4" w:space="0" w:color="auto"/>
              <w:bottom w:val="single" w:sz="4" w:space="0" w:color="auto"/>
              <w:right w:val="nil"/>
            </w:tcBorders>
          </w:tcPr>
          <w:p w14:paraId="4584A16D" w14:textId="70AAD3CF" w:rsidR="005B65E5" w:rsidRPr="00B16993" w:rsidRDefault="008076AB" w:rsidP="00096131">
            <w:pPr>
              <w:pStyle w:val="Tabletext1"/>
              <w:keepNext/>
              <w:keepLines/>
              <w:jc w:val="center"/>
            </w:pPr>
            <w:r w:rsidRPr="00B16993">
              <w:t>0/</w:t>
            </w:r>
            <w:r w:rsidR="006215EE">
              <w:t>96</w:t>
            </w:r>
            <w:r w:rsidRPr="00B16993">
              <w:t xml:space="preserve"> (0%)</w:t>
            </w:r>
          </w:p>
        </w:tc>
        <w:tc>
          <w:tcPr>
            <w:tcW w:w="349" w:type="pct"/>
            <w:tcBorders>
              <w:top w:val="single" w:sz="4" w:space="0" w:color="auto"/>
              <w:left w:val="nil"/>
              <w:bottom w:val="single" w:sz="4" w:space="0" w:color="auto"/>
              <w:right w:val="single" w:sz="4" w:space="0" w:color="auto"/>
            </w:tcBorders>
          </w:tcPr>
          <w:p w14:paraId="4CE13CE0" w14:textId="1CD57F62" w:rsidR="005B65E5" w:rsidRPr="00B16993" w:rsidRDefault="005B65E5"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D018CED" w14:textId="4E7DD856" w:rsidR="005B65E5" w:rsidRPr="00B16993" w:rsidRDefault="005B65E5" w:rsidP="00096131">
            <w:pPr>
              <w:pStyle w:val="Tabletext1"/>
              <w:keepNext/>
              <w:keepLines/>
              <w:jc w:val="center"/>
            </w:pPr>
          </w:p>
        </w:tc>
        <w:tc>
          <w:tcPr>
            <w:tcW w:w="350" w:type="pct"/>
            <w:tcBorders>
              <w:top w:val="single" w:sz="4" w:space="0" w:color="auto"/>
              <w:left w:val="single" w:sz="4" w:space="0" w:color="auto"/>
              <w:bottom w:val="single" w:sz="4" w:space="0" w:color="auto"/>
              <w:right w:val="single" w:sz="4" w:space="0" w:color="auto"/>
            </w:tcBorders>
          </w:tcPr>
          <w:p w14:paraId="5B8E9691" w14:textId="7AD23328" w:rsidR="005B65E5" w:rsidRPr="00B16993" w:rsidRDefault="005B65E5"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070ED05" w14:textId="05384A7F" w:rsidR="005B65E5" w:rsidRPr="00B16993" w:rsidRDefault="005B65E5" w:rsidP="00096131">
            <w:pPr>
              <w:pStyle w:val="Tabletext1"/>
              <w:keepNext/>
              <w:keepLines/>
              <w:jc w:val="center"/>
            </w:pPr>
          </w:p>
        </w:tc>
        <w:tc>
          <w:tcPr>
            <w:tcW w:w="349" w:type="pct"/>
            <w:tcBorders>
              <w:top w:val="single" w:sz="4" w:space="0" w:color="auto"/>
              <w:left w:val="single" w:sz="4" w:space="0" w:color="auto"/>
              <w:bottom w:val="single" w:sz="4" w:space="0" w:color="auto"/>
              <w:right w:val="nil"/>
            </w:tcBorders>
          </w:tcPr>
          <w:p w14:paraId="1D962AF9" w14:textId="693656FB" w:rsidR="005B65E5" w:rsidRPr="00B16993" w:rsidRDefault="008076AB" w:rsidP="00096131">
            <w:pPr>
              <w:pStyle w:val="Tabletext1"/>
              <w:keepNext/>
              <w:keepLines/>
              <w:jc w:val="center"/>
            </w:pPr>
            <w:r w:rsidRPr="00B16993">
              <w:t>0/</w:t>
            </w:r>
            <w:r w:rsidR="006215EE">
              <w:t>96</w:t>
            </w:r>
            <w:r w:rsidRPr="00B16993">
              <w:t xml:space="preserve"> (0%)</w:t>
            </w:r>
          </w:p>
        </w:tc>
        <w:tc>
          <w:tcPr>
            <w:tcW w:w="341" w:type="pct"/>
            <w:tcBorders>
              <w:top w:val="single" w:sz="4" w:space="0" w:color="auto"/>
              <w:left w:val="nil"/>
              <w:bottom w:val="single" w:sz="4" w:space="0" w:color="auto"/>
              <w:right w:val="single" w:sz="4" w:space="0" w:color="auto"/>
            </w:tcBorders>
          </w:tcPr>
          <w:p w14:paraId="6DD09722" w14:textId="77777777" w:rsidR="005B65E5" w:rsidRDefault="005B65E5" w:rsidP="00096131">
            <w:pPr>
              <w:pStyle w:val="Tabletext1"/>
              <w:keepNext/>
              <w:keepLines/>
              <w:jc w:val="center"/>
            </w:pPr>
          </w:p>
        </w:tc>
      </w:tr>
      <w:tr w:rsidR="008076AB" w:rsidRPr="00B2301A" w14:paraId="0479D5F3" w14:textId="77777777" w:rsidTr="006215EE">
        <w:tc>
          <w:tcPr>
            <w:tcW w:w="669" w:type="pct"/>
            <w:tcBorders>
              <w:top w:val="nil"/>
              <w:left w:val="single" w:sz="4" w:space="0" w:color="auto"/>
              <w:bottom w:val="nil"/>
              <w:right w:val="single" w:sz="4" w:space="0" w:color="auto"/>
            </w:tcBorders>
            <w:shd w:val="clear" w:color="auto" w:fill="auto"/>
          </w:tcPr>
          <w:p w14:paraId="30CE2AFA" w14:textId="77777777" w:rsidR="008076AB" w:rsidRDefault="008076AB"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1447F769" w14:textId="7D078EB3" w:rsidR="008076AB" w:rsidRPr="00B16993" w:rsidRDefault="00B16993" w:rsidP="00096131">
            <w:pPr>
              <w:pStyle w:val="Tabletext1"/>
              <w:keepNext/>
              <w:keepLines/>
              <w:jc w:val="center"/>
            </w:pPr>
            <w:r w:rsidRPr="00B16993">
              <w:t>GI</w:t>
            </w:r>
            <w:r w:rsidR="008076AB" w:rsidRPr="00B16993">
              <w:t xml:space="preserve"> </w:t>
            </w:r>
            <w:r>
              <w:t xml:space="preserve">grade </w:t>
            </w:r>
            <w:r w:rsidRPr="00B16993">
              <w:t>≥</w:t>
            </w:r>
            <w:r w:rsidR="008076AB" w:rsidRPr="00B16993">
              <w:t>2</w:t>
            </w:r>
          </w:p>
          <w:p w14:paraId="70538792" w14:textId="77777777" w:rsidR="008076AB" w:rsidRDefault="008076AB"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4F84D935" w14:textId="77777777" w:rsidR="008076AB" w:rsidRDefault="008076AB"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368DB91F" w14:textId="71C220C7" w:rsidR="008076AB" w:rsidRPr="00B16993" w:rsidRDefault="008076AB" w:rsidP="00096131">
            <w:pPr>
              <w:pStyle w:val="Tabletext1"/>
              <w:keepNext/>
              <w:keepLines/>
              <w:jc w:val="center"/>
            </w:pPr>
            <w:r w:rsidRPr="00B16993">
              <w:t>3/96 (3%)</w:t>
            </w:r>
          </w:p>
        </w:tc>
        <w:tc>
          <w:tcPr>
            <w:tcW w:w="349" w:type="pct"/>
            <w:tcBorders>
              <w:top w:val="single" w:sz="4" w:space="0" w:color="auto"/>
              <w:left w:val="nil"/>
              <w:bottom w:val="single" w:sz="4" w:space="0" w:color="auto"/>
              <w:right w:val="single" w:sz="4" w:space="0" w:color="auto"/>
            </w:tcBorders>
          </w:tcPr>
          <w:p w14:paraId="76039F31" w14:textId="3A412F58" w:rsidR="008076AB" w:rsidRDefault="008076AB" w:rsidP="00096131">
            <w:pPr>
              <w:pStyle w:val="Tabletext1"/>
              <w:keepNext/>
              <w:keepLines/>
              <w:jc w:val="center"/>
            </w:pPr>
            <w:r>
              <w:rPr>
                <w:rFonts w:ascii="Calibri" w:hAnsi="Calibri" w:cs="Calibri"/>
                <w:color w:val="000000"/>
                <w:sz w:val="22"/>
                <w:szCs w:val="22"/>
              </w:rPr>
              <w:br/>
            </w:r>
          </w:p>
        </w:tc>
        <w:tc>
          <w:tcPr>
            <w:tcW w:w="349" w:type="pct"/>
            <w:tcBorders>
              <w:top w:val="single" w:sz="4" w:space="0" w:color="auto"/>
              <w:left w:val="single" w:sz="4" w:space="0" w:color="auto"/>
              <w:bottom w:val="single" w:sz="4" w:space="0" w:color="auto"/>
              <w:right w:val="single" w:sz="4" w:space="0" w:color="auto"/>
            </w:tcBorders>
          </w:tcPr>
          <w:p w14:paraId="03FF1F34" w14:textId="6D07A770" w:rsidR="008076AB" w:rsidRDefault="008076AB" w:rsidP="00096131">
            <w:pPr>
              <w:pStyle w:val="Tabletext1"/>
              <w:keepNext/>
              <w:keepLines/>
              <w:jc w:val="center"/>
            </w:pPr>
            <w:r>
              <w:t>0/96 (0%)</w:t>
            </w:r>
          </w:p>
        </w:tc>
        <w:tc>
          <w:tcPr>
            <w:tcW w:w="349" w:type="pct"/>
            <w:tcBorders>
              <w:top w:val="single" w:sz="4" w:space="0" w:color="auto"/>
              <w:left w:val="single" w:sz="4" w:space="0" w:color="auto"/>
              <w:bottom w:val="single" w:sz="4" w:space="0" w:color="auto"/>
              <w:right w:val="single" w:sz="4" w:space="0" w:color="auto"/>
            </w:tcBorders>
          </w:tcPr>
          <w:p w14:paraId="6D5CBFDE" w14:textId="77777777" w:rsidR="008076AB" w:rsidRDefault="008076AB"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A398769" w14:textId="77777777" w:rsidR="008076AB" w:rsidRDefault="008076AB"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2C0C8004" w14:textId="25FA5AB2" w:rsidR="008076AB" w:rsidRPr="00B16993" w:rsidRDefault="00B16993" w:rsidP="00096131">
            <w:pPr>
              <w:pStyle w:val="Tabletext1"/>
              <w:keepNext/>
              <w:keepLines/>
              <w:jc w:val="center"/>
            </w:pPr>
            <w:r w:rsidRPr="00B16993">
              <w:t>1.1%</w:t>
            </w:r>
            <w:r w:rsidRPr="00B16993">
              <w:rPr>
                <w:vertAlign w:val="superscript"/>
              </w:rPr>
              <w:t>1</w:t>
            </w:r>
          </w:p>
        </w:tc>
        <w:tc>
          <w:tcPr>
            <w:tcW w:w="349" w:type="pct"/>
            <w:tcBorders>
              <w:top w:val="single" w:sz="4" w:space="0" w:color="auto"/>
              <w:left w:val="nil"/>
              <w:bottom w:val="single" w:sz="4" w:space="0" w:color="auto"/>
              <w:right w:val="single" w:sz="4" w:space="0" w:color="auto"/>
            </w:tcBorders>
          </w:tcPr>
          <w:p w14:paraId="7697EE1E" w14:textId="77777777" w:rsidR="008076AB" w:rsidRPr="00B16993" w:rsidRDefault="008076AB"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D96FED8" w14:textId="77777777" w:rsidR="008076AB" w:rsidRDefault="008076AB"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64BB6761" w14:textId="77777777" w:rsidR="008076AB" w:rsidRDefault="008076AB" w:rsidP="00096131">
            <w:pPr>
              <w:pStyle w:val="Tabletext1"/>
              <w:keepNext/>
              <w:keepLines/>
              <w:jc w:val="center"/>
            </w:pPr>
          </w:p>
        </w:tc>
      </w:tr>
      <w:tr w:rsidR="006215EE" w:rsidRPr="00B2301A" w14:paraId="64998924" w14:textId="77777777" w:rsidTr="006215EE">
        <w:tc>
          <w:tcPr>
            <w:tcW w:w="669" w:type="pct"/>
            <w:tcBorders>
              <w:top w:val="nil"/>
              <w:left w:val="single" w:sz="4" w:space="0" w:color="auto"/>
              <w:bottom w:val="nil"/>
              <w:right w:val="single" w:sz="4" w:space="0" w:color="auto"/>
            </w:tcBorders>
            <w:shd w:val="clear" w:color="auto" w:fill="auto"/>
          </w:tcPr>
          <w:p w14:paraId="2946D8F0"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1DFD3925" w14:textId="2B82F19B" w:rsidR="006215EE" w:rsidRPr="00B16993" w:rsidRDefault="006215EE" w:rsidP="00096131">
            <w:pPr>
              <w:pStyle w:val="Tabletext1"/>
              <w:keepNext/>
              <w:keepLines/>
              <w:jc w:val="center"/>
            </w:pPr>
            <w:r>
              <w:t xml:space="preserve">Proctitis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1685FEA2"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2D865D8D" w14:textId="22EF0854" w:rsidR="006215EE" w:rsidRPr="00B16993" w:rsidRDefault="006215EE" w:rsidP="00096131">
            <w:pPr>
              <w:pStyle w:val="Tabletext1"/>
              <w:keepNext/>
              <w:keepLines/>
              <w:jc w:val="center"/>
            </w:pPr>
            <w:r w:rsidRPr="00B16993">
              <w:t>3/96 (3%)</w:t>
            </w:r>
          </w:p>
        </w:tc>
        <w:tc>
          <w:tcPr>
            <w:tcW w:w="349" w:type="pct"/>
            <w:tcBorders>
              <w:top w:val="single" w:sz="4" w:space="0" w:color="auto"/>
              <w:left w:val="nil"/>
              <w:bottom w:val="single" w:sz="4" w:space="0" w:color="auto"/>
              <w:right w:val="single" w:sz="4" w:space="0" w:color="auto"/>
            </w:tcBorders>
          </w:tcPr>
          <w:p w14:paraId="16BFB5C1" w14:textId="77777777" w:rsidR="006215EE" w:rsidRDefault="006215EE" w:rsidP="00096131">
            <w:pPr>
              <w:pStyle w:val="Tabletext1"/>
              <w:keepNext/>
              <w:keepLines/>
              <w:jc w:val="center"/>
              <w:rPr>
                <w:rFonts w:ascii="Calibri" w:hAnsi="Calibri" w:cs="Calibri"/>
                <w:color w:val="000000"/>
                <w:sz w:val="22"/>
                <w:szCs w:val="22"/>
              </w:rPr>
            </w:pPr>
          </w:p>
        </w:tc>
        <w:tc>
          <w:tcPr>
            <w:tcW w:w="349" w:type="pct"/>
            <w:tcBorders>
              <w:top w:val="single" w:sz="4" w:space="0" w:color="auto"/>
              <w:left w:val="single" w:sz="4" w:space="0" w:color="auto"/>
              <w:bottom w:val="single" w:sz="4" w:space="0" w:color="auto"/>
              <w:right w:val="single" w:sz="4" w:space="0" w:color="auto"/>
            </w:tcBorders>
          </w:tcPr>
          <w:p w14:paraId="53AC642F" w14:textId="60BF0E0C" w:rsidR="006215EE" w:rsidRDefault="006215EE" w:rsidP="00096131">
            <w:pPr>
              <w:pStyle w:val="Tabletext1"/>
              <w:keepNext/>
              <w:keepLines/>
              <w:jc w:val="center"/>
            </w:pPr>
            <w:r w:rsidRPr="00B97B94">
              <w:t>0/96 (0%)</w:t>
            </w:r>
          </w:p>
        </w:tc>
        <w:tc>
          <w:tcPr>
            <w:tcW w:w="349" w:type="pct"/>
            <w:tcBorders>
              <w:top w:val="single" w:sz="4" w:space="0" w:color="auto"/>
              <w:left w:val="single" w:sz="4" w:space="0" w:color="auto"/>
              <w:bottom w:val="single" w:sz="4" w:space="0" w:color="auto"/>
              <w:right w:val="single" w:sz="4" w:space="0" w:color="auto"/>
            </w:tcBorders>
          </w:tcPr>
          <w:p w14:paraId="178C4C53"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C58B92E"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72C52048"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0F744CB1"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BAED061"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7C7D0E46" w14:textId="77777777" w:rsidR="006215EE" w:rsidRDefault="006215EE" w:rsidP="00096131">
            <w:pPr>
              <w:pStyle w:val="Tabletext1"/>
              <w:keepNext/>
              <w:keepLines/>
              <w:jc w:val="center"/>
            </w:pPr>
          </w:p>
        </w:tc>
      </w:tr>
      <w:tr w:rsidR="006215EE" w:rsidRPr="00B2301A" w14:paraId="2BCB415F" w14:textId="77777777" w:rsidTr="006215EE">
        <w:tc>
          <w:tcPr>
            <w:tcW w:w="669" w:type="pct"/>
            <w:tcBorders>
              <w:top w:val="nil"/>
              <w:left w:val="single" w:sz="4" w:space="0" w:color="auto"/>
              <w:bottom w:val="nil"/>
              <w:right w:val="single" w:sz="4" w:space="0" w:color="auto"/>
            </w:tcBorders>
            <w:shd w:val="clear" w:color="auto" w:fill="auto"/>
          </w:tcPr>
          <w:p w14:paraId="6446FBD6"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12382F0A" w14:textId="4017B92E" w:rsidR="006215EE" w:rsidRPr="00B16993" w:rsidRDefault="006215EE" w:rsidP="00096131">
            <w:pPr>
              <w:pStyle w:val="Tabletext1"/>
              <w:keepNext/>
              <w:keepLines/>
              <w:jc w:val="center"/>
            </w:pPr>
            <w:r>
              <w:t xml:space="preserve">Rectal haemorrhage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1071547F"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66C35903" w14:textId="203DFF61" w:rsidR="006215EE" w:rsidRPr="00B16993" w:rsidRDefault="006215EE" w:rsidP="00096131">
            <w:pPr>
              <w:pStyle w:val="Tabletext1"/>
              <w:keepNext/>
              <w:keepLines/>
              <w:jc w:val="center"/>
            </w:pPr>
            <w:r w:rsidRPr="004001C7">
              <w:t>0/96 (0%)</w:t>
            </w:r>
          </w:p>
        </w:tc>
        <w:tc>
          <w:tcPr>
            <w:tcW w:w="349" w:type="pct"/>
            <w:tcBorders>
              <w:top w:val="single" w:sz="4" w:space="0" w:color="auto"/>
              <w:left w:val="nil"/>
              <w:bottom w:val="single" w:sz="4" w:space="0" w:color="auto"/>
              <w:right w:val="single" w:sz="4" w:space="0" w:color="auto"/>
            </w:tcBorders>
          </w:tcPr>
          <w:p w14:paraId="6F3AAFDD" w14:textId="77777777" w:rsidR="006215EE" w:rsidRDefault="006215EE" w:rsidP="00096131">
            <w:pPr>
              <w:pStyle w:val="Tabletext1"/>
              <w:keepNext/>
              <w:keepLines/>
              <w:jc w:val="center"/>
              <w:rPr>
                <w:rFonts w:ascii="Calibri" w:hAnsi="Calibri" w:cs="Calibri"/>
                <w:color w:val="000000"/>
                <w:sz w:val="22"/>
                <w:szCs w:val="22"/>
              </w:rPr>
            </w:pPr>
          </w:p>
        </w:tc>
        <w:tc>
          <w:tcPr>
            <w:tcW w:w="349" w:type="pct"/>
            <w:tcBorders>
              <w:top w:val="single" w:sz="4" w:space="0" w:color="auto"/>
              <w:left w:val="single" w:sz="4" w:space="0" w:color="auto"/>
              <w:bottom w:val="single" w:sz="4" w:space="0" w:color="auto"/>
              <w:right w:val="single" w:sz="4" w:space="0" w:color="auto"/>
            </w:tcBorders>
          </w:tcPr>
          <w:p w14:paraId="3979A114" w14:textId="1C8ADD78" w:rsidR="006215EE" w:rsidRDefault="006215EE" w:rsidP="00096131">
            <w:pPr>
              <w:pStyle w:val="Tabletext1"/>
              <w:keepNext/>
              <w:keepLines/>
              <w:jc w:val="center"/>
            </w:pPr>
            <w:r w:rsidRPr="00B97B94">
              <w:t>0/96 (0%)</w:t>
            </w:r>
          </w:p>
        </w:tc>
        <w:tc>
          <w:tcPr>
            <w:tcW w:w="349" w:type="pct"/>
            <w:tcBorders>
              <w:top w:val="single" w:sz="4" w:space="0" w:color="auto"/>
              <w:left w:val="single" w:sz="4" w:space="0" w:color="auto"/>
              <w:bottom w:val="single" w:sz="4" w:space="0" w:color="auto"/>
              <w:right w:val="single" w:sz="4" w:space="0" w:color="auto"/>
            </w:tcBorders>
          </w:tcPr>
          <w:p w14:paraId="0A255668"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5709AF6"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5BF5BEA2"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7D9F42EF"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1D7D537"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301B8BB4" w14:textId="77777777" w:rsidR="006215EE" w:rsidRDefault="006215EE" w:rsidP="00096131">
            <w:pPr>
              <w:pStyle w:val="Tabletext1"/>
              <w:keepNext/>
              <w:keepLines/>
              <w:jc w:val="center"/>
            </w:pPr>
          </w:p>
        </w:tc>
      </w:tr>
      <w:tr w:rsidR="006215EE" w:rsidRPr="00B2301A" w14:paraId="2D10C413" w14:textId="77777777" w:rsidTr="006215EE">
        <w:tc>
          <w:tcPr>
            <w:tcW w:w="669" w:type="pct"/>
            <w:tcBorders>
              <w:top w:val="nil"/>
              <w:left w:val="single" w:sz="4" w:space="0" w:color="auto"/>
              <w:bottom w:val="nil"/>
              <w:right w:val="single" w:sz="4" w:space="0" w:color="auto"/>
            </w:tcBorders>
            <w:shd w:val="clear" w:color="auto" w:fill="auto"/>
          </w:tcPr>
          <w:p w14:paraId="74DA7E13"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7D2391C4" w14:textId="74D7715E" w:rsidR="006215EE" w:rsidRPr="00B16993" w:rsidRDefault="006215EE" w:rsidP="00096131">
            <w:pPr>
              <w:pStyle w:val="Tabletext1"/>
              <w:keepNext/>
              <w:keepLines/>
              <w:jc w:val="center"/>
            </w:pPr>
            <w:r>
              <w:t xml:space="preserve">Diarrhoea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589BF793"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7275A77A" w14:textId="057AE7F6" w:rsidR="006215EE" w:rsidRPr="00B16993" w:rsidRDefault="006215EE" w:rsidP="00096131">
            <w:pPr>
              <w:pStyle w:val="Tabletext1"/>
              <w:keepNext/>
              <w:keepLines/>
              <w:jc w:val="center"/>
            </w:pPr>
            <w:r w:rsidRPr="004001C7">
              <w:t>0/96 (0%)</w:t>
            </w:r>
          </w:p>
        </w:tc>
        <w:tc>
          <w:tcPr>
            <w:tcW w:w="349" w:type="pct"/>
            <w:tcBorders>
              <w:top w:val="single" w:sz="4" w:space="0" w:color="auto"/>
              <w:left w:val="nil"/>
              <w:bottom w:val="single" w:sz="4" w:space="0" w:color="auto"/>
              <w:right w:val="single" w:sz="4" w:space="0" w:color="auto"/>
            </w:tcBorders>
          </w:tcPr>
          <w:p w14:paraId="26A6F4CC" w14:textId="77777777" w:rsidR="006215EE" w:rsidRDefault="006215EE" w:rsidP="00096131">
            <w:pPr>
              <w:pStyle w:val="Tabletext1"/>
              <w:keepNext/>
              <w:keepLines/>
              <w:jc w:val="center"/>
              <w:rPr>
                <w:rFonts w:ascii="Calibri" w:hAnsi="Calibri" w:cs="Calibri"/>
                <w:color w:val="000000"/>
                <w:sz w:val="22"/>
                <w:szCs w:val="22"/>
              </w:rPr>
            </w:pPr>
          </w:p>
        </w:tc>
        <w:tc>
          <w:tcPr>
            <w:tcW w:w="349" w:type="pct"/>
            <w:tcBorders>
              <w:top w:val="single" w:sz="4" w:space="0" w:color="auto"/>
              <w:left w:val="single" w:sz="4" w:space="0" w:color="auto"/>
              <w:bottom w:val="single" w:sz="4" w:space="0" w:color="auto"/>
              <w:right w:val="single" w:sz="4" w:space="0" w:color="auto"/>
            </w:tcBorders>
          </w:tcPr>
          <w:p w14:paraId="6E0A0B27" w14:textId="165F08C8" w:rsidR="006215EE" w:rsidRDefault="006215EE" w:rsidP="00096131">
            <w:pPr>
              <w:pStyle w:val="Tabletext1"/>
              <w:keepNext/>
              <w:keepLines/>
              <w:jc w:val="center"/>
            </w:pPr>
            <w:r w:rsidRPr="00B97B94">
              <w:t>0/96 (0%)</w:t>
            </w:r>
          </w:p>
        </w:tc>
        <w:tc>
          <w:tcPr>
            <w:tcW w:w="349" w:type="pct"/>
            <w:tcBorders>
              <w:top w:val="single" w:sz="4" w:space="0" w:color="auto"/>
              <w:left w:val="single" w:sz="4" w:space="0" w:color="auto"/>
              <w:bottom w:val="single" w:sz="4" w:space="0" w:color="auto"/>
              <w:right w:val="single" w:sz="4" w:space="0" w:color="auto"/>
            </w:tcBorders>
          </w:tcPr>
          <w:p w14:paraId="125AB73B"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D3400D1"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0F10161D"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772D153F"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795135E"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4D14ABD4" w14:textId="77777777" w:rsidR="006215EE" w:rsidRDefault="006215EE" w:rsidP="00096131">
            <w:pPr>
              <w:pStyle w:val="Tabletext1"/>
              <w:keepNext/>
              <w:keepLines/>
              <w:jc w:val="center"/>
            </w:pPr>
          </w:p>
        </w:tc>
      </w:tr>
      <w:tr w:rsidR="008076AB" w:rsidRPr="00B2301A" w14:paraId="147D64C9" w14:textId="77777777" w:rsidTr="006215EE">
        <w:tc>
          <w:tcPr>
            <w:tcW w:w="669" w:type="pct"/>
            <w:tcBorders>
              <w:top w:val="nil"/>
              <w:left w:val="single" w:sz="4" w:space="0" w:color="auto"/>
              <w:bottom w:val="nil"/>
              <w:right w:val="single" w:sz="4" w:space="0" w:color="auto"/>
            </w:tcBorders>
            <w:shd w:val="clear" w:color="auto" w:fill="auto"/>
          </w:tcPr>
          <w:p w14:paraId="4D2709C3" w14:textId="77777777" w:rsidR="008076AB" w:rsidRDefault="008076AB"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6DAE5368" w14:textId="10762746" w:rsidR="008076AB" w:rsidRDefault="00B16993" w:rsidP="00096131">
            <w:pPr>
              <w:pStyle w:val="Tabletext1"/>
              <w:keepNext/>
              <w:keepLines/>
              <w:jc w:val="center"/>
            </w:pPr>
            <w:r w:rsidRPr="00B16993">
              <w:t>GU</w:t>
            </w:r>
            <w:r w:rsidR="008076AB" w:rsidRPr="00B16993">
              <w:t xml:space="preserve"> </w:t>
            </w:r>
            <w:r>
              <w:t xml:space="preserve">grade </w:t>
            </w:r>
            <w:r w:rsidRPr="00B16993">
              <w:t>≥</w:t>
            </w:r>
            <w:r w:rsidR="008076AB" w:rsidRPr="00B16993">
              <w:t>2</w:t>
            </w:r>
          </w:p>
        </w:tc>
        <w:tc>
          <w:tcPr>
            <w:tcW w:w="349" w:type="pct"/>
            <w:tcBorders>
              <w:top w:val="single" w:sz="4" w:space="0" w:color="auto"/>
              <w:left w:val="single" w:sz="4" w:space="0" w:color="auto"/>
              <w:bottom w:val="single" w:sz="4" w:space="0" w:color="auto"/>
              <w:right w:val="single" w:sz="4" w:space="0" w:color="auto"/>
            </w:tcBorders>
          </w:tcPr>
          <w:p w14:paraId="53C2A741" w14:textId="77777777" w:rsidR="008076AB" w:rsidRDefault="008076AB"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6D9746CC" w14:textId="07ED2640" w:rsidR="008076AB" w:rsidRPr="00B16993" w:rsidRDefault="008076AB" w:rsidP="00096131">
            <w:pPr>
              <w:pStyle w:val="Tabletext1"/>
              <w:keepNext/>
              <w:keepLines/>
              <w:jc w:val="center"/>
            </w:pPr>
            <w:r w:rsidRPr="00B16993">
              <w:t>45/96 (47%)</w:t>
            </w:r>
          </w:p>
        </w:tc>
        <w:tc>
          <w:tcPr>
            <w:tcW w:w="349" w:type="pct"/>
            <w:tcBorders>
              <w:top w:val="single" w:sz="4" w:space="0" w:color="auto"/>
              <w:left w:val="nil"/>
              <w:bottom w:val="single" w:sz="4" w:space="0" w:color="auto"/>
              <w:right w:val="single" w:sz="4" w:space="0" w:color="auto"/>
            </w:tcBorders>
          </w:tcPr>
          <w:p w14:paraId="5F83E64F" w14:textId="7D10C89D" w:rsidR="008076AB" w:rsidRDefault="008076AB"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2275B9C" w14:textId="7174059A" w:rsidR="008076AB" w:rsidRDefault="008076AB" w:rsidP="00096131">
            <w:pPr>
              <w:pStyle w:val="Tabletext1"/>
              <w:keepNext/>
              <w:keepLines/>
              <w:jc w:val="center"/>
            </w:pPr>
            <w:r>
              <w:t>0/96 (0%)</w:t>
            </w:r>
          </w:p>
        </w:tc>
        <w:tc>
          <w:tcPr>
            <w:tcW w:w="349" w:type="pct"/>
            <w:tcBorders>
              <w:top w:val="single" w:sz="4" w:space="0" w:color="auto"/>
              <w:left w:val="single" w:sz="4" w:space="0" w:color="auto"/>
              <w:bottom w:val="single" w:sz="4" w:space="0" w:color="auto"/>
              <w:right w:val="single" w:sz="4" w:space="0" w:color="auto"/>
            </w:tcBorders>
          </w:tcPr>
          <w:p w14:paraId="1AF253A1" w14:textId="77777777" w:rsidR="008076AB" w:rsidRDefault="008076AB"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D7F06CD" w14:textId="77777777" w:rsidR="008076AB" w:rsidRDefault="008076AB"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6D34D2F7" w14:textId="07B003BA" w:rsidR="008076AB" w:rsidRPr="00B16993" w:rsidRDefault="00B16993" w:rsidP="00096131">
            <w:pPr>
              <w:pStyle w:val="Tabletext1"/>
              <w:keepNext/>
              <w:keepLines/>
              <w:jc w:val="center"/>
            </w:pPr>
            <w:r w:rsidRPr="00B16993">
              <w:t>5.1%</w:t>
            </w:r>
            <w:r w:rsidRPr="00B16993">
              <w:rPr>
                <w:vertAlign w:val="superscript"/>
              </w:rPr>
              <w:t>1</w:t>
            </w:r>
          </w:p>
        </w:tc>
        <w:tc>
          <w:tcPr>
            <w:tcW w:w="349" w:type="pct"/>
            <w:tcBorders>
              <w:top w:val="single" w:sz="4" w:space="0" w:color="auto"/>
              <w:left w:val="nil"/>
              <w:bottom w:val="single" w:sz="4" w:space="0" w:color="auto"/>
              <w:right w:val="single" w:sz="4" w:space="0" w:color="auto"/>
            </w:tcBorders>
          </w:tcPr>
          <w:p w14:paraId="1E8E4E89" w14:textId="54633AB4" w:rsidR="008076AB" w:rsidRPr="00B16993" w:rsidRDefault="008076AB"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4679A89" w14:textId="77777777" w:rsidR="008076AB" w:rsidRDefault="008076AB"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25A05F86" w14:textId="77777777" w:rsidR="008076AB" w:rsidRDefault="008076AB" w:rsidP="00096131">
            <w:pPr>
              <w:pStyle w:val="Tabletext1"/>
              <w:keepNext/>
              <w:keepLines/>
              <w:jc w:val="center"/>
            </w:pPr>
          </w:p>
        </w:tc>
      </w:tr>
      <w:tr w:rsidR="006215EE" w:rsidRPr="00B2301A" w14:paraId="0DE0425A" w14:textId="77777777" w:rsidTr="006215EE">
        <w:tc>
          <w:tcPr>
            <w:tcW w:w="669" w:type="pct"/>
            <w:tcBorders>
              <w:top w:val="nil"/>
              <w:left w:val="single" w:sz="4" w:space="0" w:color="auto"/>
              <w:bottom w:val="nil"/>
              <w:right w:val="single" w:sz="4" w:space="0" w:color="auto"/>
            </w:tcBorders>
            <w:shd w:val="clear" w:color="auto" w:fill="auto"/>
          </w:tcPr>
          <w:p w14:paraId="30EB0B80"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4424F701" w14:textId="53F1185A" w:rsidR="006215EE" w:rsidRPr="00B16993" w:rsidRDefault="006215EE" w:rsidP="00096131">
            <w:pPr>
              <w:pStyle w:val="Tabletext1"/>
              <w:keepNext/>
              <w:keepLines/>
              <w:jc w:val="center"/>
            </w:pPr>
            <w:r>
              <w:t xml:space="preserve">Haematuria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5924C278"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72455F04" w14:textId="34FA9750" w:rsidR="006215EE" w:rsidRPr="00B16993" w:rsidRDefault="006215EE" w:rsidP="00096131">
            <w:pPr>
              <w:pStyle w:val="Tabletext1"/>
              <w:keepNext/>
              <w:keepLines/>
              <w:jc w:val="center"/>
            </w:pPr>
            <w:r w:rsidRPr="000E7F97">
              <w:t>0/96 (0%)</w:t>
            </w:r>
          </w:p>
        </w:tc>
        <w:tc>
          <w:tcPr>
            <w:tcW w:w="349" w:type="pct"/>
            <w:tcBorders>
              <w:top w:val="single" w:sz="4" w:space="0" w:color="auto"/>
              <w:left w:val="nil"/>
              <w:bottom w:val="single" w:sz="4" w:space="0" w:color="auto"/>
              <w:right w:val="single" w:sz="4" w:space="0" w:color="auto"/>
            </w:tcBorders>
          </w:tcPr>
          <w:p w14:paraId="6A5B0C18" w14:textId="3E224FA3"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41EBE76F" w14:textId="625DA8D1" w:rsidR="006215EE" w:rsidRDefault="006215EE" w:rsidP="00096131">
            <w:pPr>
              <w:pStyle w:val="Tabletext1"/>
              <w:keepNext/>
              <w:keepLines/>
              <w:jc w:val="center"/>
            </w:pPr>
            <w:r w:rsidRPr="000E7F97">
              <w:t>0/96 (0%)</w:t>
            </w:r>
          </w:p>
        </w:tc>
        <w:tc>
          <w:tcPr>
            <w:tcW w:w="349" w:type="pct"/>
            <w:tcBorders>
              <w:top w:val="single" w:sz="4" w:space="0" w:color="auto"/>
              <w:left w:val="single" w:sz="4" w:space="0" w:color="auto"/>
              <w:bottom w:val="single" w:sz="4" w:space="0" w:color="auto"/>
              <w:right w:val="single" w:sz="4" w:space="0" w:color="auto"/>
            </w:tcBorders>
          </w:tcPr>
          <w:p w14:paraId="121A6AB0"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A7BA1DB"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13FCFFB7"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6BEAC8F3"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92BF855"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16E297A5" w14:textId="77777777" w:rsidR="006215EE" w:rsidRDefault="006215EE" w:rsidP="00096131">
            <w:pPr>
              <w:pStyle w:val="Tabletext1"/>
              <w:keepNext/>
              <w:keepLines/>
              <w:jc w:val="center"/>
            </w:pPr>
          </w:p>
        </w:tc>
      </w:tr>
      <w:tr w:rsidR="006215EE" w:rsidRPr="00B2301A" w14:paraId="5B42E75E" w14:textId="77777777" w:rsidTr="006215EE">
        <w:tc>
          <w:tcPr>
            <w:tcW w:w="669" w:type="pct"/>
            <w:tcBorders>
              <w:top w:val="nil"/>
              <w:left w:val="single" w:sz="4" w:space="0" w:color="auto"/>
              <w:bottom w:val="nil"/>
              <w:right w:val="single" w:sz="4" w:space="0" w:color="auto"/>
            </w:tcBorders>
            <w:shd w:val="clear" w:color="auto" w:fill="auto"/>
          </w:tcPr>
          <w:p w14:paraId="163767C9"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66954416" w14:textId="2ECD492A" w:rsidR="006215EE" w:rsidRPr="00B16993" w:rsidRDefault="006215EE" w:rsidP="00096131">
            <w:pPr>
              <w:pStyle w:val="Tabletext1"/>
              <w:keepNext/>
              <w:keepLines/>
              <w:jc w:val="center"/>
            </w:pPr>
            <w:r>
              <w:t xml:space="preserve">Urinary tract pain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0761F76F"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545DFEF7" w14:textId="1E2C9BBF" w:rsidR="006215EE" w:rsidRPr="00B16993" w:rsidRDefault="006215EE" w:rsidP="00096131">
            <w:pPr>
              <w:pStyle w:val="Tabletext1"/>
              <w:keepNext/>
              <w:keepLines/>
              <w:jc w:val="center"/>
            </w:pPr>
            <w:r>
              <w:t>2/96 (2%)</w:t>
            </w:r>
          </w:p>
        </w:tc>
        <w:tc>
          <w:tcPr>
            <w:tcW w:w="349" w:type="pct"/>
            <w:tcBorders>
              <w:top w:val="single" w:sz="4" w:space="0" w:color="auto"/>
              <w:left w:val="nil"/>
              <w:bottom w:val="single" w:sz="4" w:space="0" w:color="auto"/>
              <w:right w:val="single" w:sz="4" w:space="0" w:color="auto"/>
            </w:tcBorders>
          </w:tcPr>
          <w:p w14:paraId="350B38ED"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0A93A4DB"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D282758"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87A473D"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360BDB0F"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7FDF9780"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FC40D86"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5F47A99D" w14:textId="77777777" w:rsidR="006215EE" w:rsidRDefault="006215EE" w:rsidP="00096131">
            <w:pPr>
              <w:pStyle w:val="Tabletext1"/>
              <w:keepNext/>
              <w:keepLines/>
              <w:jc w:val="center"/>
            </w:pPr>
          </w:p>
        </w:tc>
      </w:tr>
      <w:tr w:rsidR="006215EE" w:rsidRPr="00B2301A" w14:paraId="2E31B723" w14:textId="77777777" w:rsidTr="006215EE">
        <w:tc>
          <w:tcPr>
            <w:tcW w:w="669" w:type="pct"/>
            <w:tcBorders>
              <w:top w:val="nil"/>
              <w:left w:val="single" w:sz="4" w:space="0" w:color="auto"/>
              <w:bottom w:val="nil"/>
              <w:right w:val="single" w:sz="4" w:space="0" w:color="auto"/>
            </w:tcBorders>
            <w:shd w:val="clear" w:color="auto" w:fill="auto"/>
          </w:tcPr>
          <w:p w14:paraId="778D3FBD"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00D32F33" w14:textId="08F0484C" w:rsidR="006215EE" w:rsidRPr="00B16993" w:rsidRDefault="006215EE" w:rsidP="00096131">
            <w:pPr>
              <w:pStyle w:val="Tabletext1"/>
              <w:keepNext/>
              <w:keepLines/>
              <w:jc w:val="center"/>
            </w:pPr>
            <w:r>
              <w:t xml:space="preserve">Urinary incontinence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40C65C9E"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14DBEFDF" w14:textId="06B4D033" w:rsidR="006215EE" w:rsidRPr="00B16993" w:rsidRDefault="006215EE" w:rsidP="00096131">
            <w:pPr>
              <w:pStyle w:val="Tabletext1"/>
              <w:keepNext/>
              <w:keepLines/>
              <w:jc w:val="center"/>
            </w:pPr>
            <w:r w:rsidRPr="00B9794C">
              <w:t>0/96 (0%)</w:t>
            </w:r>
          </w:p>
        </w:tc>
        <w:tc>
          <w:tcPr>
            <w:tcW w:w="349" w:type="pct"/>
            <w:tcBorders>
              <w:top w:val="single" w:sz="4" w:space="0" w:color="auto"/>
              <w:left w:val="nil"/>
              <w:bottom w:val="single" w:sz="4" w:space="0" w:color="auto"/>
              <w:right w:val="single" w:sz="4" w:space="0" w:color="auto"/>
            </w:tcBorders>
          </w:tcPr>
          <w:p w14:paraId="548DEE1D" w14:textId="44C865D6"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3F4BFE6" w14:textId="6924D33B" w:rsidR="006215EE" w:rsidRDefault="006215EE" w:rsidP="00096131">
            <w:pPr>
              <w:pStyle w:val="Tabletext1"/>
              <w:keepNext/>
              <w:keepLines/>
              <w:jc w:val="center"/>
            </w:pPr>
            <w:r w:rsidRPr="00B9794C">
              <w:t>0/96 (0%)</w:t>
            </w:r>
          </w:p>
        </w:tc>
        <w:tc>
          <w:tcPr>
            <w:tcW w:w="349" w:type="pct"/>
            <w:tcBorders>
              <w:top w:val="single" w:sz="4" w:space="0" w:color="auto"/>
              <w:left w:val="single" w:sz="4" w:space="0" w:color="auto"/>
              <w:bottom w:val="single" w:sz="4" w:space="0" w:color="auto"/>
              <w:right w:val="single" w:sz="4" w:space="0" w:color="auto"/>
            </w:tcBorders>
          </w:tcPr>
          <w:p w14:paraId="3F72D3F0"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33981EB"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4039E525"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08188EF1"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1306681"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28D92A1F" w14:textId="77777777" w:rsidR="006215EE" w:rsidRDefault="006215EE" w:rsidP="00096131">
            <w:pPr>
              <w:pStyle w:val="Tabletext1"/>
              <w:keepNext/>
              <w:keepLines/>
              <w:jc w:val="center"/>
            </w:pPr>
          </w:p>
        </w:tc>
      </w:tr>
      <w:tr w:rsidR="006215EE" w:rsidRPr="00B2301A" w14:paraId="36D86503" w14:textId="77777777" w:rsidTr="006215EE">
        <w:tc>
          <w:tcPr>
            <w:tcW w:w="669" w:type="pct"/>
            <w:tcBorders>
              <w:top w:val="nil"/>
              <w:left w:val="single" w:sz="4" w:space="0" w:color="auto"/>
              <w:bottom w:val="nil"/>
              <w:right w:val="single" w:sz="4" w:space="0" w:color="auto"/>
            </w:tcBorders>
            <w:shd w:val="clear" w:color="auto" w:fill="auto"/>
          </w:tcPr>
          <w:p w14:paraId="25DFF8EA"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1C5CFEBB" w14:textId="2AB16225" w:rsidR="006215EE" w:rsidRPr="00B16993" w:rsidRDefault="006215EE" w:rsidP="00096131">
            <w:pPr>
              <w:pStyle w:val="Tabletext1"/>
              <w:keepNext/>
              <w:keepLines/>
              <w:jc w:val="center"/>
            </w:pPr>
            <w:r>
              <w:t xml:space="preserve">Urinary urgency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36A5031F"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73757A69" w14:textId="0ADB391D" w:rsidR="006215EE" w:rsidRPr="00B16993" w:rsidRDefault="006215EE" w:rsidP="00096131">
            <w:pPr>
              <w:pStyle w:val="Tabletext1"/>
              <w:keepNext/>
              <w:keepLines/>
              <w:jc w:val="center"/>
            </w:pPr>
            <w:r>
              <w:t>6/96 (6%)</w:t>
            </w:r>
          </w:p>
        </w:tc>
        <w:tc>
          <w:tcPr>
            <w:tcW w:w="349" w:type="pct"/>
            <w:tcBorders>
              <w:top w:val="single" w:sz="4" w:space="0" w:color="auto"/>
              <w:left w:val="nil"/>
              <w:bottom w:val="single" w:sz="4" w:space="0" w:color="auto"/>
              <w:right w:val="single" w:sz="4" w:space="0" w:color="auto"/>
            </w:tcBorders>
          </w:tcPr>
          <w:p w14:paraId="7CE614DD"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1BB52E8"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2A68420F"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7CBB00A1"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2D140FC2"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75AD5546"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5AD496E"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33E6C320" w14:textId="77777777" w:rsidR="006215EE" w:rsidRDefault="006215EE" w:rsidP="00096131">
            <w:pPr>
              <w:pStyle w:val="Tabletext1"/>
              <w:keepNext/>
              <w:keepLines/>
              <w:jc w:val="center"/>
            </w:pPr>
          </w:p>
        </w:tc>
      </w:tr>
      <w:tr w:rsidR="006215EE" w:rsidRPr="00B2301A" w14:paraId="1182FB01" w14:textId="77777777" w:rsidTr="006215EE">
        <w:tc>
          <w:tcPr>
            <w:tcW w:w="669" w:type="pct"/>
            <w:tcBorders>
              <w:top w:val="nil"/>
              <w:left w:val="single" w:sz="4" w:space="0" w:color="auto"/>
              <w:bottom w:val="nil"/>
              <w:right w:val="single" w:sz="4" w:space="0" w:color="auto"/>
            </w:tcBorders>
            <w:shd w:val="clear" w:color="auto" w:fill="auto"/>
          </w:tcPr>
          <w:p w14:paraId="2562BBDC"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57CDB5F8" w14:textId="424D96E2" w:rsidR="006215EE" w:rsidRPr="00B16993" w:rsidRDefault="006215EE" w:rsidP="00096131">
            <w:pPr>
              <w:pStyle w:val="Tabletext1"/>
              <w:keepNext/>
              <w:keepLines/>
              <w:jc w:val="center"/>
            </w:pPr>
            <w:r>
              <w:t xml:space="preserve">Urinary retention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09CADD23"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46924CB9" w14:textId="027914D1" w:rsidR="006215EE" w:rsidRPr="00B16993" w:rsidRDefault="006215EE" w:rsidP="00096131">
            <w:pPr>
              <w:pStyle w:val="Tabletext1"/>
              <w:keepNext/>
              <w:keepLines/>
              <w:jc w:val="center"/>
            </w:pPr>
            <w:r>
              <w:t>29/96 (30%)</w:t>
            </w:r>
          </w:p>
        </w:tc>
        <w:tc>
          <w:tcPr>
            <w:tcW w:w="349" w:type="pct"/>
            <w:tcBorders>
              <w:top w:val="single" w:sz="4" w:space="0" w:color="auto"/>
              <w:left w:val="nil"/>
              <w:bottom w:val="single" w:sz="4" w:space="0" w:color="auto"/>
              <w:right w:val="single" w:sz="4" w:space="0" w:color="auto"/>
            </w:tcBorders>
          </w:tcPr>
          <w:p w14:paraId="75963A35"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1F43FDC4"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0E6AFB15"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92F14EB"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5E424F5D"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30EB9461"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58A80ECD"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424CA5D7" w14:textId="77777777" w:rsidR="006215EE" w:rsidRDefault="006215EE" w:rsidP="00096131">
            <w:pPr>
              <w:pStyle w:val="Tabletext1"/>
              <w:keepNext/>
              <w:keepLines/>
              <w:jc w:val="center"/>
            </w:pPr>
          </w:p>
        </w:tc>
      </w:tr>
      <w:tr w:rsidR="006215EE" w:rsidRPr="00B2301A" w14:paraId="18C0D1F7" w14:textId="77777777" w:rsidTr="006215EE">
        <w:tc>
          <w:tcPr>
            <w:tcW w:w="669" w:type="pct"/>
            <w:tcBorders>
              <w:top w:val="nil"/>
              <w:left w:val="single" w:sz="4" w:space="0" w:color="auto"/>
              <w:bottom w:val="single" w:sz="4" w:space="0" w:color="auto"/>
              <w:right w:val="single" w:sz="4" w:space="0" w:color="auto"/>
            </w:tcBorders>
            <w:shd w:val="clear" w:color="auto" w:fill="auto"/>
          </w:tcPr>
          <w:p w14:paraId="7C72320E" w14:textId="77777777" w:rsidR="006215EE" w:rsidRDefault="006215EE" w:rsidP="00096131">
            <w:pPr>
              <w:pStyle w:val="Tabletext1"/>
              <w:keepNext/>
              <w:keepLines/>
            </w:pPr>
          </w:p>
        </w:tc>
        <w:tc>
          <w:tcPr>
            <w:tcW w:w="847" w:type="pct"/>
            <w:tcBorders>
              <w:top w:val="single" w:sz="4" w:space="0" w:color="auto"/>
              <w:left w:val="single" w:sz="4" w:space="0" w:color="auto"/>
              <w:bottom w:val="single" w:sz="4" w:space="0" w:color="auto"/>
              <w:right w:val="single" w:sz="4" w:space="0" w:color="auto"/>
            </w:tcBorders>
          </w:tcPr>
          <w:p w14:paraId="43F73880" w14:textId="2ACE324B" w:rsidR="006215EE" w:rsidRPr="00B16993" w:rsidRDefault="006215EE" w:rsidP="00096131">
            <w:pPr>
              <w:pStyle w:val="Tabletext1"/>
              <w:keepNext/>
              <w:keepLines/>
              <w:jc w:val="center"/>
            </w:pPr>
            <w:r>
              <w:t xml:space="preserve">Urinary frequency grade </w:t>
            </w:r>
            <w:r w:rsidRPr="00B16993">
              <w:t>≥2</w:t>
            </w:r>
          </w:p>
        </w:tc>
        <w:tc>
          <w:tcPr>
            <w:tcW w:w="349" w:type="pct"/>
            <w:tcBorders>
              <w:top w:val="single" w:sz="4" w:space="0" w:color="auto"/>
              <w:left w:val="single" w:sz="4" w:space="0" w:color="auto"/>
              <w:bottom w:val="single" w:sz="4" w:space="0" w:color="auto"/>
              <w:right w:val="single" w:sz="4" w:space="0" w:color="auto"/>
            </w:tcBorders>
          </w:tcPr>
          <w:p w14:paraId="7E3F5240"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5E435397" w14:textId="1C5CA173" w:rsidR="006215EE" w:rsidRPr="00B16993" w:rsidRDefault="006215EE" w:rsidP="00096131">
            <w:pPr>
              <w:pStyle w:val="Tabletext1"/>
              <w:keepNext/>
              <w:keepLines/>
              <w:jc w:val="center"/>
            </w:pPr>
            <w:r>
              <w:t>30/96 (31%)</w:t>
            </w:r>
          </w:p>
        </w:tc>
        <w:tc>
          <w:tcPr>
            <w:tcW w:w="349" w:type="pct"/>
            <w:tcBorders>
              <w:top w:val="single" w:sz="4" w:space="0" w:color="auto"/>
              <w:left w:val="nil"/>
              <w:bottom w:val="single" w:sz="4" w:space="0" w:color="auto"/>
              <w:right w:val="single" w:sz="4" w:space="0" w:color="auto"/>
            </w:tcBorders>
          </w:tcPr>
          <w:p w14:paraId="57EAA8E3"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05DEEEB"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0EA3A123" w14:textId="77777777" w:rsidR="006215EE"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3669878B" w14:textId="77777777" w:rsidR="006215EE" w:rsidRDefault="006215EE" w:rsidP="00096131">
            <w:pPr>
              <w:pStyle w:val="Tabletext1"/>
              <w:keepNext/>
              <w:keepLines/>
              <w:jc w:val="center"/>
            </w:pPr>
          </w:p>
        </w:tc>
        <w:tc>
          <w:tcPr>
            <w:tcW w:w="350" w:type="pct"/>
            <w:tcBorders>
              <w:top w:val="single" w:sz="4" w:space="0" w:color="auto"/>
              <w:left w:val="single" w:sz="4" w:space="0" w:color="auto"/>
              <w:bottom w:val="single" w:sz="4" w:space="0" w:color="auto"/>
              <w:right w:val="nil"/>
            </w:tcBorders>
          </w:tcPr>
          <w:p w14:paraId="0981B272" w14:textId="77777777" w:rsidR="006215EE" w:rsidRPr="00B16993" w:rsidRDefault="006215EE" w:rsidP="00096131">
            <w:pPr>
              <w:pStyle w:val="Tabletext1"/>
              <w:keepNext/>
              <w:keepLines/>
              <w:jc w:val="center"/>
            </w:pPr>
          </w:p>
        </w:tc>
        <w:tc>
          <w:tcPr>
            <w:tcW w:w="349" w:type="pct"/>
            <w:tcBorders>
              <w:top w:val="single" w:sz="4" w:space="0" w:color="auto"/>
              <w:left w:val="nil"/>
              <w:bottom w:val="single" w:sz="4" w:space="0" w:color="auto"/>
              <w:right w:val="single" w:sz="4" w:space="0" w:color="auto"/>
            </w:tcBorders>
          </w:tcPr>
          <w:p w14:paraId="4FA775D0" w14:textId="77777777" w:rsidR="006215EE" w:rsidRPr="00B16993" w:rsidRDefault="006215EE" w:rsidP="00096131">
            <w:pPr>
              <w:pStyle w:val="Tabletext1"/>
              <w:keepNext/>
              <w:keepLines/>
              <w:jc w:val="center"/>
            </w:pPr>
          </w:p>
        </w:tc>
        <w:tc>
          <w:tcPr>
            <w:tcW w:w="349" w:type="pct"/>
            <w:tcBorders>
              <w:top w:val="single" w:sz="4" w:space="0" w:color="auto"/>
              <w:left w:val="single" w:sz="4" w:space="0" w:color="auto"/>
              <w:bottom w:val="single" w:sz="4" w:space="0" w:color="auto"/>
              <w:right w:val="single" w:sz="4" w:space="0" w:color="auto"/>
            </w:tcBorders>
          </w:tcPr>
          <w:p w14:paraId="665F8174" w14:textId="77777777" w:rsidR="006215EE" w:rsidRDefault="006215EE" w:rsidP="00096131">
            <w:pPr>
              <w:pStyle w:val="Tabletext1"/>
              <w:keepNext/>
              <w:keepLines/>
              <w:jc w:val="center"/>
            </w:pPr>
          </w:p>
        </w:tc>
        <w:tc>
          <w:tcPr>
            <w:tcW w:w="341" w:type="pct"/>
            <w:tcBorders>
              <w:top w:val="single" w:sz="4" w:space="0" w:color="auto"/>
              <w:left w:val="single" w:sz="4" w:space="0" w:color="auto"/>
              <w:bottom w:val="single" w:sz="4" w:space="0" w:color="auto"/>
              <w:right w:val="single" w:sz="4" w:space="0" w:color="auto"/>
            </w:tcBorders>
          </w:tcPr>
          <w:p w14:paraId="78F6379F" w14:textId="77777777" w:rsidR="006215EE" w:rsidRDefault="006215EE" w:rsidP="00096131">
            <w:pPr>
              <w:pStyle w:val="Tabletext1"/>
              <w:keepNext/>
              <w:keepLines/>
              <w:jc w:val="center"/>
            </w:pPr>
          </w:p>
        </w:tc>
      </w:tr>
      <w:tr w:rsidR="005B65E5" w:rsidRPr="00B2301A" w14:paraId="5381F486" w14:textId="77777777" w:rsidTr="006215EE">
        <w:tc>
          <w:tcPr>
            <w:tcW w:w="669" w:type="pct"/>
            <w:tcBorders>
              <w:top w:val="single" w:sz="4" w:space="0" w:color="auto"/>
              <w:left w:val="single" w:sz="4" w:space="0" w:color="auto"/>
              <w:bottom w:val="nil"/>
              <w:right w:val="single" w:sz="4" w:space="0" w:color="auto"/>
            </w:tcBorders>
            <w:shd w:val="clear" w:color="auto" w:fill="auto"/>
          </w:tcPr>
          <w:p w14:paraId="4E536480" w14:textId="772DA090" w:rsidR="005B65E5" w:rsidRDefault="00211285" w:rsidP="00096131">
            <w:pPr>
              <w:pStyle w:val="Tabletext1"/>
              <w:rPr>
                <w:snapToGrid w:val="0"/>
              </w:rPr>
            </w:pPr>
            <w:hyperlink w:anchor="_ENREF_53" w:tooltip="Naoi, 2019 #60" w:history="1">
              <w:r w:rsidR="008B6FC0">
                <w:fldChar w:fldCharType="begin"/>
              </w:r>
              <w:r w:rsidR="008B6FC0">
                <w:instrText xml:space="preserve"> ADDIN EN.CITE &lt;EndNote&gt;&lt;Cite AuthorYear="1"&gt;&lt;Author&gt;Naoi&lt;/Author&gt;&lt;Year&gt;2019&lt;/Year&gt;&lt;RecNum&gt;60&lt;/RecNum&gt;&lt;DisplayText&gt;Naoi et al. (2019)&lt;/DisplayText&gt;&lt;record&gt;&lt;rec-number&gt;60&lt;/rec-number&gt;&lt;foreign-keys&gt;&lt;key app="EN" db-id="sx5wsdwv795wvue959xxw0ptaewvdezxxp05" timestamp="1604876396"&gt;60&lt;/key&gt;&lt;/foreign-keys&gt;&lt;ref-type name="Journal Article"&gt;17&lt;/ref-type&gt;&lt;contributors&gt;&lt;authors&gt;&lt;author&gt;Naoi, Y.&lt;/author&gt;&lt;author&gt;Yamada, K.&lt;/author&gt;&lt;author&gt;Kurokawa, C.&lt;/author&gt;&lt;author&gt;Kunogi, H.&lt;/author&gt;&lt;author&gt;Sakamoto, Y.&lt;/author&gt;&lt;author&gt;Sasai, K.&lt;/author&gt;&lt;/authors&gt;&lt;/contributors&gt;&lt;titles&gt;&lt;title&gt;Late rectal bleeding after volumetric-modulated arc therapy for localised prostatic cancer&lt;/title&gt;&lt;secondary-title&gt;Journal of Radiotherapy in Practice&lt;/secondary-title&gt;&lt;/titles&gt;&lt;pages&gt;165-168&lt;/pages&gt;&lt;volume&gt;18&lt;/volume&gt;&lt;number&gt;2&lt;/number&gt;&lt;dates&gt;&lt;year&gt;2019&lt;/year&gt;&lt;/dates&gt;&lt;accession-num&gt;624679491&lt;/accession-num&gt;&lt;urls&gt;&lt;related-urls&gt;&lt;url&gt;http://journals.cambridge.org/action/displayJournal?jid=JRPhttp://ezproxy.library.usyd.edu.au/login?url=http://ovidsp.ovid.com/ovidweb.cgi?T=JS&amp;amp;CSC=Y&amp;amp;NEWS=N&amp;amp;PAGE=fulltext&amp;amp;D=emexa&amp;amp;AN=624679491https://sydney.alma.exlibrisgroup.com/openurl/61USYD_INST/61USYD&lt;/url&gt;&lt;url&gt;https://www.cambridge.org/core/services/aop-cambridge-core/content/view/EF7B6745EB9C45B26378E3DBF558F5D2/S1460396918000560a.pdf/div-class-title-late-rectal-bleeding-after-volumetric-modulated-arc-therapy-for-localised-prostatic-cancer-div.pdf&lt;/url&gt;&lt;/related-urls&gt;&lt;/urls&gt;&lt;electronic-resource-num&gt;http://dx.doi.org/10.1017/S1460396918000560&lt;/electronic-resource-num&gt;&lt;/record&gt;&lt;/Cite&gt;&lt;/EndNote&gt;</w:instrText>
              </w:r>
              <w:r w:rsidR="008B6FC0">
                <w:fldChar w:fldCharType="separate"/>
              </w:r>
              <w:r w:rsidR="008B6FC0">
                <w:rPr>
                  <w:noProof/>
                </w:rPr>
                <w:t>Naoi et al. (2019)</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7F5A0273" w14:textId="3B99CC44" w:rsidR="005B65E5" w:rsidRDefault="00B22F47" w:rsidP="00096131">
            <w:pPr>
              <w:pStyle w:val="Tabletext1"/>
              <w:jc w:val="center"/>
            </w:pPr>
            <w:r w:rsidRPr="00B22F47">
              <w:t>Rectal bleeding</w:t>
            </w:r>
          </w:p>
        </w:tc>
        <w:tc>
          <w:tcPr>
            <w:tcW w:w="349" w:type="pct"/>
            <w:tcBorders>
              <w:top w:val="single" w:sz="4" w:space="0" w:color="auto"/>
              <w:left w:val="single" w:sz="4" w:space="0" w:color="auto"/>
              <w:bottom w:val="single" w:sz="4" w:space="0" w:color="auto"/>
              <w:right w:val="single" w:sz="4" w:space="0" w:color="auto"/>
            </w:tcBorders>
          </w:tcPr>
          <w:p w14:paraId="7BEDC65E" w14:textId="77777777" w:rsidR="005B65E5" w:rsidRDefault="005B65E5"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F1403D5" w14:textId="5C5D21FD"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966A985" w14:textId="747BDE81"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92F90AB" w14:textId="75FD16F5"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71DBFFE" w14:textId="0C31AFBD" w:rsidR="005B65E5" w:rsidRDefault="005B65E5"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970EEEE" w14:textId="77E92AD9" w:rsidR="005B65E5" w:rsidRDefault="005B65E5"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E73546C" w14:textId="7198E858" w:rsidR="005B65E5" w:rsidRDefault="00B22F47" w:rsidP="00096131">
            <w:pPr>
              <w:pStyle w:val="Tabletext1"/>
              <w:jc w:val="center"/>
            </w:pPr>
            <w:r w:rsidRPr="00B22F47">
              <w:t>9/73 (12%)</w:t>
            </w:r>
          </w:p>
        </w:tc>
        <w:tc>
          <w:tcPr>
            <w:tcW w:w="349" w:type="pct"/>
            <w:tcBorders>
              <w:top w:val="single" w:sz="4" w:space="0" w:color="auto"/>
              <w:left w:val="single" w:sz="4" w:space="0" w:color="auto"/>
              <w:bottom w:val="single" w:sz="4" w:space="0" w:color="auto"/>
              <w:right w:val="single" w:sz="4" w:space="0" w:color="auto"/>
            </w:tcBorders>
          </w:tcPr>
          <w:p w14:paraId="7043646E" w14:textId="7F2D4E6C" w:rsidR="005B65E5" w:rsidRDefault="00B22F47" w:rsidP="00096131">
            <w:pPr>
              <w:pStyle w:val="Tabletext1"/>
              <w:jc w:val="center"/>
            </w:pPr>
            <w:r w:rsidRPr="00B22F47">
              <w:t>4/73 (5%)</w:t>
            </w:r>
          </w:p>
        </w:tc>
        <w:tc>
          <w:tcPr>
            <w:tcW w:w="349" w:type="pct"/>
            <w:tcBorders>
              <w:top w:val="single" w:sz="4" w:space="0" w:color="auto"/>
              <w:left w:val="single" w:sz="4" w:space="0" w:color="auto"/>
              <w:bottom w:val="single" w:sz="4" w:space="0" w:color="auto"/>
              <w:right w:val="single" w:sz="4" w:space="0" w:color="auto"/>
            </w:tcBorders>
          </w:tcPr>
          <w:p w14:paraId="5A71088F" w14:textId="4578B270" w:rsidR="005B65E5" w:rsidRDefault="00B22F47" w:rsidP="00096131">
            <w:pPr>
              <w:pStyle w:val="Tabletext1"/>
              <w:jc w:val="center"/>
            </w:pPr>
            <w:r w:rsidRPr="00B22F47">
              <w:t>1/73 (1%)</w:t>
            </w:r>
          </w:p>
        </w:tc>
        <w:tc>
          <w:tcPr>
            <w:tcW w:w="341" w:type="pct"/>
            <w:tcBorders>
              <w:top w:val="single" w:sz="4" w:space="0" w:color="auto"/>
              <w:left w:val="single" w:sz="4" w:space="0" w:color="auto"/>
              <w:bottom w:val="single" w:sz="4" w:space="0" w:color="auto"/>
              <w:right w:val="single" w:sz="4" w:space="0" w:color="auto"/>
            </w:tcBorders>
          </w:tcPr>
          <w:p w14:paraId="7E6D0406" w14:textId="77777777" w:rsidR="005B65E5" w:rsidRDefault="005B65E5" w:rsidP="00096131">
            <w:pPr>
              <w:pStyle w:val="Tabletext1"/>
              <w:jc w:val="center"/>
            </w:pPr>
          </w:p>
        </w:tc>
      </w:tr>
      <w:tr w:rsidR="00B22F47" w:rsidRPr="00B2301A" w14:paraId="2B3D2720" w14:textId="77777777" w:rsidTr="00B22F47">
        <w:tc>
          <w:tcPr>
            <w:tcW w:w="669" w:type="pct"/>
            <w:tcBorders>
              <w:top w:val="nil"/>
              <w:left w:val="single" w:sz="4" w:space="0" w:color="auto"/>
              <w:bottom w:val="nil"/>
              <w:right w:val="single" w:sz="4" w:space="0" w:color="auto"/>
            </w:tcBorders>
            <w:shd w:val="clear" w:color="auto" w:fill="auto"/>
          </w:tcPr>
          <w:p w14:paraId="649117DE" w14:textId="77777777" w:rsidR="00B22F47" w:rsidRDefault="00B22F47"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2D4D8A1F" w14:textId="64C6C5B6" w:rsidR="00B22F47" w:rsidRPr="00B22F47" w:rsidRDefault="00B22F47" w:rsidP="00096131">
            <w:pPr>
              <w:pStyle w:val="Tabletext1"/>
              <w:jc w:val="center"/>
            </w:pPr>
            <w:r w:rsidRPr="00B22F47">
              <w:t>Urinary frequency</w:t>
            </w:r>
          </w:p>
        </w:tc>
        <w:tc>
          <w:tcPr>
            <w:tcW w:w="349" w:type="pct"/>
            <w:tcBorders>
              <w:top w:val="single" w:sz="4" w:space="0" w:color="auto"/>
              <w:left w:val="single" w:sz="4" w:space="0" w:color="auto"/>
              <w:bottom w:val="single" w:sz="4" w:space="0" w:color="auto"/>
              <w:right w:val="single" w:sz="4" w:space="0" w:color="auto"/>
            </w:tcBorders>
          </w:tcPr>
          <w:p w14:paraId="12B8A560" w14:textId="77777777" w:rsidR="00B22F47" w:rsidRDefault="00B22F47"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0AD0CBF" w14:textId="77777777" w:rsidR="00B22F47" w:rsidRDefault="00B22F47"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9CED00F" w14:textId="77777777" w:rsidR="00B22F47" w:rsidRDefault="00B22F47"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E108CAB" w14:textId="77777777" w:rsidR="00B22F47" w:rsidRDefault="00B22F47"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BF13EF5" w14:textId="77777777" w:rsidR="00B22F47" w:rsidRDefault="00B22F47"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10917BF" w14:textId="77777777" w:rsidR="00B22F47" w:rsidRDefault="00B22F47"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4E0AC96" w14:textId="3439E3A5" w:rsidR="00B22F47" w:rsidRDefault="00B22F47" w:rsidP="00096131">
            <w:pPr>
              <w:pStyle w:val="Tabletext1"/>
              <w:jc w:val="center"/>
            </w:pPr>
            <w:r w:rsidRPr="00B22F47">
              <w:t>12/73</w:t>
            </w:r>
          </w:p>
        </w:tc>
        <w:tc>
          <w:tcPr>
            <w:tcW w:w="349" w:type="pct"/>
            <w:tcBorders>
              <w:top w:val="single" w:sz="4" w:space="0" w:color="auto"/>
              <w:left w:val="single" w:sz="4" w:space="0" w:color="auto"/>
              <w:bottom w:val="single" w:sz="4" w:space="0" w:color="auto"/>
              <w:right w:val="single" w:sz="4" w:space="0" w:color="auto"/>
            </w:tcBorders>
          </w:tcPr>
          <w:p w14:paraId="4A49EB28" w14:textId="2CF6B37B" w:rsidR="00B22F47" w:rsidRDefault="00B22F47" w:rsidP="00096131">
            <w:pPr>
              <w:pStyle w:val="Tabletext1"/>
              <w:jc w:val="center"/>
            </w:pPr>
            <w:r w:rsidRPr="00B22F47">
              <w:t>4/73</w:t>
            </w:r>
          </w:p>
        </w:tc>
        <w:tc>
          <w:tcPr>
            <w:tcW w:w="349" w:type="pct"/>
            <w:tcBorders>
              <w:top w:val="single" w:sz="4" w:space="0" w:color="auto"/>
              <w:left w:val="single" w:sz="4" w:space="0" w:color="auto"/>
              <w:bottom w:val="single" w:sz="4" w:space="0" w:color="auto"/>
              <w:right w:val="single" w:sz="4" w:space="0" w:color="auto"/>
            </w:tcBorders>
          </w:tcPr>
          <w:p w14:paraId="10CF3BB8" w14:textId="77777777" w:rsidR="00B22F47" w:rsidRDefault="00B22F47"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7932C1AE" w14:textId="77777777" w:rsidR="00B22F47" w:rsidRDefault="00B22F47" w:rsidP="00096131">
            <w:pPr>
              <w:pStyle w:val="Tabletext1"/>
              <w:jc w:val="center"/>
            </w:pPr>
          </w:p>
        </w:tc>
      </w:tr>
      <w:tr w:rsidR="00B22F47" w:rsidRPr="00B2301A" w14:paraId="24D5A499" w14:textId="77777777" w:rsidTr="00FA0052">
        <w:tc>
          <w:tcPr>
            <w:tcW w:w="669" w:type="pct"/>
            <w:tcBorders>
              <w:top w:val="nil"/>
              <w:left w:val="single" w:sz="4" w:space="0" w:color="auto"/>
              <w:bottom w:val="single" w:sz="4" w:space="0" w:color="auto"/>
              <w:right w:val="single" w:sz="4" w:space="0" w:color="auto"/>
            </w:tcBorders>
            <w:shd w:val="clear" w:color="auto" w:fill="auto"/>
          </w:tcPr>
          <w:p w14:paraId="3FCBB7B9" w14:textId="77777777" w:rsidR="00B22F47" w:rsidRDefault="00B22F47"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05541492" w14:textId="4603B21B" w:rsidR="00B22F47" w:rsidRPr="00B22F47" w:rsidRDefault="00B22F47" w:rsidP="00096131">
            <w:pPr>
              <w:pStyle w:val="Tabletext1"/>
              <w:jc w:val="center"/>
            </w:pPr>
            <w:r w:rsidRPr="00B22F47">
              <w:t>Haematuria</w:t>
            </w:r>
          </w:p>
        </w:tc>
        <w:tc>
          <w:tcPr>
            <w:tcW w:w="349" w:type="pct"/>
            <w:tcBorders>
              <w:top w:val="single" w:sz="4" w:space="0" w:color="auto"/>
              <w:left w:val="single" w:sz="4" w:space="0" w:color="auto"/>
              <w:bottom w:val="single" w:sz="4" w:space="0" w:color="auto"/>
              <w:right w:val="single" w:sz="4" w:space="0" w:color="auto"/>
            </w:tcBorders>
          </w:tcPr>
          <w:p w14:paraId="05A5C8C9" w14:textId="77777777" w:rsidR="00B22F47" w:rsidRDefault="00B22F47"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4146CC9" w14:textId="77777777" w:rsidR="00B22F47" w:rsidRDefault="00B22F47"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E9E2379" w14:textId="77777777" w:rsidR="00B22F47" w:rsidRDefault="00B22F47"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3C3CB98" w14:textId="77777777" w:rsidR="00B22F47" w:rsidRDefault="00B22F47"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96682FA" w14:textId="77777777" w:rsidR="00B22F47" w:rsidRDefault="00B22F47"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CBB74EE" w14:textId="77777777" w:rsidR="00B22F47" w:rsidRDefault="00B22F47"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E81AC92" w14:textId="3926776E" w:rsidR="00B22F47" w:rsidRDefault="00B22F47" w:rsidP="00096131">
            <w:pPr>
              <w:pStyle w:val="Tabletext1"/>
              <w:jc w:val="center"/>
            </w:pPr>
            <w:r w:rsidRPr="00B22F47">
              <w:t>5/73</w:t>
            </w:r>
          </w:p>
        </w:tc>
        <w:tc>
          <w:tcPr>
            <w:tcW w:w="349" w:type="pct"/>
            <w:tcBorders>
              <w:top w:val="single" w:sz="4" w:space="0" w:color="auto"/>
              <w:left w:val="single" w:sz="4" w:space="0" w:color="auto"/>
              <w:bottom w:val="single" w:sz="4" w:space="0" w:color="auto"/>
              <w:right w:val="single" w:sz="4" w:space="0" w:color="auto"/>
            </w:tcBorders>
          </w:tcPr>
          <w:p w14:paraId="3FC63C46" w14:textId="675F13C4" w:rsidR="00B22F47" w:rsidRDefault="00B22F47" w:rsidP="00096131">
            <w:pPr>
              <w:pStyle w:val="Tabletext1"/>
              <w:jc w:val="center"/>
            </w:pPr>
            <w:r w:rsidRPr="00B22F47">
              <w:t>1/73</w:t>
            </w:r>
          </w:p>
        </w:tc>
        <w:tc>
          <w:tcPr>
            <w:tcW w:w="349" w:type="pct"/>
            <w:tcBorders>
              <w:top w:val="single" w:sz="4" w:space="0" w:color="auto"/>
              <w:left w:val="single" w:sz="4" w:space="0" w:color="auto"/>
              <w:bottom w:val="single" w:sz="4" w:space="0" w:color="auto"/>
              <w:right w:val="single" w:sz="4" w:space="0" w:color="auto"/>
            </w:tcBorders>
          </w:tcPr>
          <w:p w14:paraId="33031E1A" w14:textId="77777777" w:rsidR="00B22F47" w:rsidRDefault="00B22F47"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19A688AA" w14:textId="77777777" w:rsidR="00B22F47" w:rsidRDefault="00B22F47" w:rsidP="00096131">
            <w:pPr>
              <w:pStyle w:val="Tabletext1"/>
              <w:jc w:val="center"/>
            </w:pPr>
          </w:p>
        </w:tc>
      </w:tr>
      <w:tr w:rsidR="00FA0052" w:rsidRPr="00B2301A" w14:paraId="24A37C2A" w14:textId="77777777" w:rsidTr="00FA0052">
        <w:tc>
          <w:tcPr>
            <w:tcW w:w="669" w:type="pct"/>
            <w:tcBorders>
              <w:top w:val="single" w:sz="4" w:space="0" w:color="auto"/>
              <w:left w:val="single" w:sz="4" w:space="0" w:color="auto"/>
              <w:bottom w:val="nil"/>
              <w:right w:val="single" w:sz="4" w:space="0" w:color="auto"/>
            </w:tcBorders>
            <w:shd w:val="clear" w:color="auto" w:fill="auto"/>
          </w:tcPr>
          <w:p w14:paraId="3B8E96F1" w14:textId="2C75A049" w:rsidR="00FA0052" w:rsidRDefault="00211285" w:rsidP="00096131">
            <w:pPr>
              <w:pStyle w:val="Tabletext1"/>
              <w:rPr>
                <w:snapToGrid w:val="0"/>
              </w:rPr>
            </w:pPr>
            <w:hyperlink w:anchor="_ENREF_54" w:tooltip="Nath, 2010 #61" w:history="1">
              <w:r w:rsidR="008B6FC0">
                <w:fldChar w:fldCharType="begin"/>
              </w:r>
              <w:r w:rsidR="008B6FC0">
                <w:instrText xml:space="preserve"> ADDIN EN.CITE &lt;EndNote&gt;&lt;Cite AuthorYear="1"&gt;&lt;Author&gt;Nath&lt;/Author&gt;&lt;Year&gt;2010&lt;/Year&gt;&lt;RecNum&gt;61&lt;/RecNum&gt;&lt;DisplayText&gt;Nath et al. (2010)&lt;/DisplayText&gt;&lt;record&gt;&lt;rec-number&gt;61&lt;/rec-number&gt;&lt;foreign-keys&gt;&lt;key app="EN" db-id="sx5wsdwv795wvue959xxw0ptaewvdezxxp05" timestamp="1604876396"&gt;61&lt;/key&gt;&lt;/foreign-keys&gt;&lt;ref-type name="Journal Article"&gt;17&lt;/ref-type&gt;&lt;contributors&gt;&lt;authors&gt;&lt;author&gt;Nath, S. K.&lt;/author&gt;&lt;author&gt;Sandhu, A. P.&lt;/author&gt;&lt;author&gt;Rose, B. S.&lt;/author&gt;&lt;author&gt;Simpson, D. R.&lt;/author&gt;&lt;author&gt;Nobiensky, P. D.&lt;/author&gt;&lt;author&gt;Wang, J. Z.&lt;/author&gt;&lt;author&gt;Millard, F.&lt;/author&gt;&lt;author&gt;Kane, C. J.&lt;/author&gt;&lt;author&gt;Parsons, J. K.&lt;/author&gt;&lt;author&gt;Mundt, A. J.&lt;/author&gt;&lt;/authors&gt;&lt;/contributors&gt;&lt;titles&gt;&lt;title&gt;Toxicity analysis of postoperative image-guided intensity-modulated radiotherapy for prostate cancer&lt;/title&gt;&lt;secondary-title&gt;Int J Radiat Oncol Biol Phys&lt;/secondary-title&gt;&lt;/titles&gt;&lt;pages&gt;435-41&lt;/pages&gt;&lt;volume&gt;78&lt;/volume&gt;&lt;number&gt;2&lt;/number&gt;&lt;dates&gt;&lt;year&gt;2010&lt;/year&gt;&lt;/dates&gt;&lt;accession-num&gt;19939580&lt;/accession-num&gt;&lt;urls&gt;&lt;related-urls&gt;&lt;url&gt;http://ezproxy.library.usyd.edu.au/login?url=http://ovidsp.ovid.com/ovidweb.cgi?T=JS&amp;amp;CSC=Y&amp;amp;NEWS=N&amp;amp;PAGE=fulltext&amp;amp;D=med8&amp;amp;AN=19939580https://sydney.alma.exlibrisgroup.com/openurl/61USYD_INST/61USYD_INST:sydney?sid=OVID:medline&amp;amp;id=pmid:19939580&amp;amp;id=doi:10.1016&lt;/url&gt;&lt;/related-urls&gt;&lt;/urls&gt;&lt;electronic-resource-num&gt;https://dx.doi.org/10.1016/j.ijrobp.2009.08.023&lt;/electronic-resource-num&gt;&lt;/record&gt;&lt;/Cite&gt;&lt;/EndNote&gt;</w:instrText>
              </w:r>
              <w:r w:rsidR="008B6FC0">
                <w:fldChar w:fldCharType="separate"/>
              </w:r>
              <w:r w:rsidR="008B6FC0">
                <w:rPr>
                  <w:noProof/>
                </w:rPr>
                <w:t>Nath et al. (2010)</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6040C50A" w14:textId="5EE85942" w:rsidR="00FA0052" w:rsidRDefault="00FA0052" w:rsidP="00096131">
            <w:pPr>
              <w:pStyle w:val="Tabletext1"/>
              <w:jc w:val="center"/>
            </w:pPr>
            <w:r w:rsidRPr="00FA0052">
              <w:t>GI</w:t>
            </w:r>
          </w:p>
        </w:tc>
        <w:tc>
          <w:tcPr>
            <w:tcW w:w="349" w:type="pct"/>
            <w:tcBorders>
              <w:top w:val="single" w:sz="4" w:space="0" w:color="auto"/>
              <w:left w:val="single" w:sz="4" w:space="0" w:color="auto"/>
              <w:bottom w:val="single" w:sz="4" w:space="0" w:color="auto"/>
              <w:right w:val="single" w:sz="4" w:space="0" w:color="auto"/>
            </w:tcBorders>
          </w:tcPr>
          <w:p w14:paraId="08AFA981"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9BD9F6E" w14:textId="12B5337D" w:rsidR="00FA0052" w:rsidRPr="00FA0052" w:rsidRDefault="00FA0052" w:rsidP="00096131">
            <w:pPr>
              <w:pStyle w:val="Tabletext1"/>
              <w:jc w:val="center"/>
            </w:pPr>
            <w:r w:rsidRPr="00FA0052">
              <w:t>30/50 (60%)</w:t>
            </w:r>
          </w:p>
        </w:tc>
        <w:tc>
          <w:tcPr>
            <w:tcW w:w="349" w:type="pct"/>
            <w:tcBorders>
              <w:top w:val="single" w:sz="4" w:space="0" w:color="auto"/>
              <w:left w:val="single" w:sz="4" w:space="0" w:color="auto"/>
              <w:bottom w:val="single" w:sz="4" w:space="0" w:color="auto"/>
              <w:right w:val="single" w:sz="4" w:space="0" w:color="auto"/>
            </w:tcBorders>
          </w:tcPr>
          <w:p w14:paraId="13E64D6B" w14:textId="4C84F536" w:rsidR="00FA0052" w:rsidRPr="00FA0052" w:rsidRDefault="00FA0052" w:rsidP="00096131">
            <w:pPr>
              <w:pStyle w:val="Tabletext1"/>
              <w:jc w:val="center"/>
            </w:pPr>
            <w:r w:rsidRPr="00FA0052">
              <w:t>4/50 (8%)</w:t>
            </w:r>
          </w:p>
        </w:tc>
        <w:tc>
          <w:tcPr>
            <w:tcW w:w="349" w:type="pct"/>
            <w:tcBorders>
              <w:top w:val="single" w:sz="4" w:space="0" w:color="auto"/>
              <w:left w:val="single" w:sz="4" w:space="0" w:color="auto"/>
              <w:bottom w:val="single" w:sz="4" w:space="0" w:color="auto"/>
              <w:right w:val="single" w:sz="4" w:space="0" w:color="auto"/>
            </w:tcBorders>
          </w:tcPr>
          <w:p w14:paraId="534AE2B5" w14:textId="4282182D"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7067616" w14:textId="60CDD400"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EC77E91" w14:textId="5B5B422C"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C3E1231" w14:textId="23BFF84D" w:rsidR="00FA0052" w:rsidRPr="00FA0052" w:rsidRDefault="00FA0052" w:rsidP="00096131">
            <w:pPr>
              <w:pStyle w:val="Tabletext1"/>
              <w:jc w:val="center"/>
            </w:pPr>
            <w:r w:rsidRPr="00FA0052">
              <w:t>4/50 (8%)</w:t>
            </w:r>
          </w:p>
        </w:tc>
        <w:tc>
          <w:tcPr>
            <w:tcW w:w="349" w:type="pct"/>
            <w:tcBorders>
              <w:top w:val="single" w:sz="4" w:space="0" w:color="auto"/>
              <w:left w:val="single" w:sz="4" w:space="0" w:color="auto"/>
              <w:bottom w:val="single" w:sz="4" w:space="0" w:color="auto"/>
              <w:right w:val="single" w:sz="4" w:space="0" w:color="auto"/>
            </w:tcBorders>
          </w:tcPr>
          <w:p w14:paraId="6841625B" w14:textId="474CD38F" w:rsidR="00FA0052" w:rsidRPr="00FA0052" w:rsidRDefault="00FA0052" w:rsidP="00096131">
            <w:pPr>
              <w:pStyle w:val="Tabletext1"/>
              <w:jc w:val="center"/>
            </w:pPr>
            <w:r w:rsidRPr="00FA0052">
              <w:t>1/50 (2%)</w:t>
            </w:r>
          </w:p>
        </w:tc>
        <w:tc>
          <w:tcPr>
            <w:tcW w:w="349" w:type="pct"/>
            <w:tcBorders>
              <w:top w:val="single" w:sz="4" w:space="0" w:color="auto"/>
              <w:left w:val="single" w:sz="4" w:space="0" w:color="auto"/>
              <w:bottom w:val="single" w:sz="4" w:space="0" w:color="auto"/>
              <w:right w:val="single" w:sz="4" w:space="0" w:color="auto"/>
            </w:tcBorders>
          </w:tcPr>
          <w:p w14:paraId="7CAD5495" w14:textId="77777777" w:rsidR="00FA0052" w:rsidRPr="00FA0052" w:rsidRDefault="00FA005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9CFBF3F" w14:textId="77777777" w:rsidR="00FA0052" w:rsidRPr="00FA0052" w:rsidRDefault="00FA0052" w:rsidP="00096131">
            <w:pPr>
              <w:pStyle w:val="Tabletext1"/>
              <w:jc w:val="center"/>
            </w:pPr>
          </w:p>
        </w:tc>
      </w:tr>
      <w:tr w:rsidR="00FA0052" w:rsidRPr="00B2301A" w14:paraId="2ECFE64A" w14:textId="77777777" w:rsidTr="00FA0052">
        <w:tc>
          <w:tcPr>
            <w:tcW w:w="669" w:type="pct"/>
            <w:tcBorders>
              <w:top w:val="nil"/>
              <w:left w:val="single" w:sz="4" w:space="0" w:color="auto"/>
              <w:bottom w:val="nil"/>
              <w:right w:val="single" w:sz="4" w:space="0" w:color="auto"/>
            </w:tcBorders>
            <w:shd w:val="clear" w:color="auto" w:fill="auto"/>
          </w:tcPr>
          <w:p w14:paraId="6F98696A" w14:textId="77777777" w:rsidR="00FA0052" w:rsidRDefault="00FA005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4510FCFF" w14:textId="42FFE671" w:rsidR="00FA0052" w:rsidRPr="00FA0052" w:rsidRDefault="00FA0052" w:rsidP="00096131">
            <w:pPr>
              <w:pStyle w:val="Tabletext1"/>
              <w:jc w:val="center"/>
            </w:pPr>
            <w:r w:rsidRPr="00FA0052">
              <w:t xml:space="preserve">GI </w:t>
            </w:r>
            <w:r w:rsidR="001A721A">
              <w:t>two year</w:t>
            </w:r>
            <w:r w:rsidRPr="00FA0052">
              <w:t xml:space="preserve"> cumulative incidence rate grade ≥2</w:t>
            </w:r>
          </w:p>
        </w:tc>
        <w:tc>
          <w:tcPr>
            <w:tcW w:w="349" w:type="pct"/>
            <w:tcBorders>
              <w:top w:val="single" w:sz="4" w:space="0" w:color="auto"/>
              <w:left w:val="single" w:sz="4" w:space="0" w:color="auto"/>
              <w:bottom w:val="single" w:sz="4" w:space="0" w:color="auto"/>
              <w:right w:val="single" w:sz="4" w:space="0" w:color="auto"/>
            </w:tcBorders>
          </w:tcPr>
          <w:p w14:paraId="37C69549"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859D268" w14:textId="5396D06C"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8E9C52A" w14:textId="3AE08D3A"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B3D8685" w14:textId="77777777"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25E60E0" w14:textId="77777777"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9B752EF"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8F56155" w14:textId="63B1E665"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8A3D0CB" w14:textId="5207CFB3" w:rsidR="00FA0052" w:rsidRPr="00FA0052" w:rsidRDefault="00FA0052" w:rsidP="00096131">
            <w:pPr>
              <w:pStyle w:val="Tabletext1"/>
              <w:jc w:val="center"/>
            </w:pPr>
            <w:r w:rsidRPr="00FA0052">
              <w:t>2% (95% CI 0.3-14%)</w:t>
            </w:r>
          </w:p>
        </w:tc>
        <w:tc>
          <w:tcPr>
            <w:tcW w:w="349" w:type="pct"/>
            <w:tcBorders>
              <w:top w:val="single" w:sz="4" w:space="0" w:color="auto"/>
              <w:left w:val="single" w:sz="4" w:space="0" w:color="auto"/>
              <w:bottom w:val="single" w:sz="4" w:space="0" w:color="auto"/>
              <w:right w:val="single" w:sz="4" w:space="0" w:color="auto"/>
            </w:tcBorders>
          </w:tcPr>
          <w:p w14:paraId="1F8DF090" w14:textId="77777777" w:rsidR="00FA0052" w:rsidRPr="00FA0052" w:rsidRDefault="00FA005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23527E9C" w14:textId="77777777" w:rsidR="00FA0052" w:rsidRPr="00FA0052" w:rsidRDefault="00FA0052" w:rsidP="00096131">
            <w:pPr>
              <w:pStyle w:val="Tabletext1"/>
              <w:jc w:val="center"/>
            </w:pPr>
          </w:p>
        </w:tc>
      </w:tr>
      <w:tr w:rsidR="00FA0052" w:rsidRPr="00B2301A" w14:paraId="79038021" w14:textId="77777777" w:rsidTr="00FA0052">
        <w:tc>
          <w:tcPr>
            <w:tcW w:w="669" w:type="pct"/>
            <w:tcBorders>
              <w:top w:val="nil"/>
              <w:left w:val="single" w:sz="4" w:space="0" w:color="auto"/>
              <w:bottom w:val="nil"/>
              <w:right w:val="single" w:sz="4" w:space="0" w:color="auto"/>
            </w:tcBorders>
            <w:shd w:val="clear" w:color="auto" w:fill="auto"/>
          </w:tcPr>
          <w:p w14:paraId="59AC238A" w14:textId="77777777" w:rsidR="00FA0052" w:rsidRDefault="00FA005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3BDC5AB2" w14:textId="68F2B579" w:rsidR="00FA0052" w:rsidRPr="00FA0052" w:rsidRDefault="00FA0052" w:rsidP="00096131">
            <w:pPr>
              <w:pStyle w:val="Tabletext1"/>
              <w:jc w:val="center"/>
            </w:pPr>
            <w:r w:rsidRPr="00FA0052">
              <w:t>GU</w:t>
            </w:r>
          </w:p>
        </w:tc>
        <w:tc>
          <w:tcPr>
            <w:tcW w:w="349" w:type="pct"/>
            <w:tcBorders>
              <w:top w:val="single" w:sz="4" w:space="0" w:color="auto"/>
              <w:left w:val="single" w:sz="4" w:space="0" w:color="auto"/>
              <w:bottom w:val="single" w:sz="4" w:space="0" w:color="auto"/>
              <w:right w:val="single" w:sz="4" w:space="0" w:color="auto"/>
            </w:tcBorders>
          </w:tcPr>
          <w:p w14:paraId="0F903848"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ACBDEED" w14:textId="7BCBBA05" w:rsidR="00FA0052" w:rsidRPr="00FA0052" w:rsidRDefault="00FA0052" w:rsidP="00096131">
            <w:pPr>
              <w:pStyle w:val="Tabletext1"/>
              <w:jc w:val="center"/>
            </w:pPr>
            <w:r w:rsidRPr="00FA0052">
              <w:t>28/50 (56%)</w:t>
            </w:r>
          </w:p>
        </w:tc>
        <w:tc>
          <w:tcPr>
            <w:tcW w:w="349" w:type="pct"/>
            <w:tcBorders>
              <w:top w:val="single" w:sz="4" w:space="0" w:color="auto"/>
              <w:left w:val="single" w:sz="4" w:space="0" w:color="auto"/>
              <w:bottom w:val="single" w:sz="4" w:space="0" w:color="auto"/>
              <w:right w:val="single" w:sz="4" w:space="0" w:color="auto"/>
            </w:tcBorders>
          </w:tcPr>
          <w:p w14:paraId="6A33E97C" w14:textId="51AC51B8" w:rsidR="00FA0052" w:rsidRPr="00FA0052" w:rsidRDefault="00FA0052" w:rsidP="00096131">
            <w:pPr>
              <w:pStyle w:val="Tabletext1"/>
              <w:jc w:val="center"/>
            </w:pPr>
            <w:r w:rsidRPr="00FA0052">
              <w:t>7/50 (14%)</w:t>
            </w:r>
          </w:p>
        </w:tc>
        <w:tc>
          <w:tcPr>
            <w:tcW w:w="349" w:type="pct"/>
            <w:tcBorders>
              <w:top w:val="single" w:sz="4" w:space="0" w:color="auto"/>
              <w:left w:val="single" w:sz="4" w:space="0" w:color="auto"/>
              <w:bottom w:val="single" w:sz="4" w:space="0" w:color="auto"/>
              <w:right w:val="single" w:sz="4" w:space="0" w:color="auto"/>
            </w:tcBorders>
          </w:tcPr>
          <w:p w14:paraId="64912D82" w14:textId="77777777"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08BD0E9" w14:textId="77777777"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EDA37B5"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4981C62" w14:textId="4228C197" w:rsidR="00FA0052" w:rsidRPr="00FA0052" w:rsidRDefault="00FA0052" w:rsidP="00096131">
            <w:pPr>
              <w:pStyle w:val="Tabletext1"/>
              <w:jc w:val="center"/>
            </w:pPr>
            <w:r w:rsidRPr="00FA0052">
              <w:t>4/50 (8%)</w:t>
            </w:r>
          </w:p>
        </w:tc>
        <w:tc>
          <w:tcPr>
            <w:tcW w:w="349" w:type="pct"/>
            <w:tcBorders>
              <w:top w:val="single" w:sz="4" w:space="0" w:color="auto"/>
              <w:left w:val="single" w:sz="4" w:space="0" w:color="auto"/>
              <w:bottom w:val="single" w:sz="4" w:space="0" w:color="auto"/>
              <w:right w:val="single" w:sz="4" w:space="0" w:color="auto"/>
            </w:tcBorders>
          </w:tcPr>
          <w:p w14:paraId="2A85985F" w14:textId="3097A781" w:rsidR="00FA0052" w:rsidRPr="00FA0052" w:rsidRDefault="00FA0052" w:rsidP="00096131">
            <w:pPr>
              <w:pStyle w:val="Tabletext1"/>
              <w:jc w:val="center"/>
            </w:pPr>
            <w:r w:rsidRPr="00FA0052">
              <w:t>8/50 (16%)</w:t>
            </w:r>
          </w:p>
        </w:tc>
        <w:tc>
          <w:tcPr>
            <w:tcW w:w="349" w:type="pct"/>
            <w:tcBorders>
              <w:top w:val="single" w:sz="4" w:space="0" w:color="auto"/>
              <w:left w:val="single" w:sz="4" w:space="0" w:color="auto"/>
              <w:bottom w:val="single" w:sz="4" w:space="0" w:color="auto"/>
              <w:right w:val="single" w:sz="4" w:space="0" w:color="auto"/>
            </w:tcBorders>
          </w:tcPr>
          <w:p w14:paraId="623333E6" w14:textId="45D2E6C7" w:rsidR="00FA0052" w:rsidRPr="00FA0052" w:rsidRDefault="00FA0052" w:rsidP="00096131">
            <w:pPr>
              <w:pStyle w:val="Tabletext1"/>
              <w:jc w:val="center"/>
            </w:pPr>
            <w:r w:rsidRPr="00FA0052">
              <w:t>1/50 (2%)</w:t>
            </w:r>
          </w:p>
        </w:tc>
        <w:tc>
          <w:tcPr>
            <w:tcW w:w="341" w:type="pct"/>
            <w:tcBorders>
              <w:top w:val="single" w:sz="4" w:space="0" w:color="auto"/>
              <w:left w:val="single" w:sz="4" w:space="0" w:color="auto"/>
              <w:bottom w:val="single" w:sz="4" w:space="0" w:color="auto"/>
              <w:right w:val="single" w:sz="4" w:space="0" w:color="auto"/>
            </w:tcBorders>
          </w:tcPr>
          <w:p w14:paraId="615AF204" w14:textId="77777777" w:rsidR="00FA0052" w:rsidRPr="00FA0052" w:rsidRDefault="00FA0052" w:rsidP="00096131">
            <w:pPr>
              <w:pStyle w:val="Tabletext1"/>
              <w:jc w:val="center"/>
            </w:pPr>
          </w:p>
        </w:tc>
      </w:tr>
      <w:tr w:rsidR="00FA0052" w:rsidRPr="00B2301A" w14:paraId="615D9899" w14:textId="77777777" w:rsidTr="00FA0052">
        <w:tc>
          <w:tcPr>
            <w:tcW w:w="669" w:type="pct"/>
            <w:tcBorders>
              <w:top w:val="nil"/>
              <w:left w:val="single" w:sz="4" w:space="0" w:color="auto"/>
              <w:bottom w:val="single" w:sz="4" w:space="0" w:color="auto"/>
              <w:right w:val="single" w:sz="4" w:space="0" w:color="auto"/>
            </w:tcBorders>
            <w:shd w:val="clear" w:color="auto" w:fill="auto"/>
          </w:tcPr>
          <w:p w14:paraId="008B1C0B" w14:textId="77777777" w:rsidR="00FA0052" w:rsidRDefault="00FA005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3BF7416" w14:textId="03D46A35" w:rsidR="00FA0052" w:rsidRPr="00FA0052" w:rsidRDefault="00FA0052" w:rsidP="00096131">
            <w:pPr>
              <w:pStyle w:val="Tabletext1"/>
              <w:jc w:val="center"/>
            </w:pPr>
            <w:r w:rsidRPr="00FA0052">
              <w:t xml:space="preserve">GU </w:t>
            </w:r>
            <w:r w:rsidR="001A721A">
              <w:t>two year</w:t>
            </w:r>
            <w:r w:rsidRPr="00FA0052">
              <w:t xml:space="preserve"> cumulative incidence rate</w:t>
            </w:r>
          </w:p>
        </w:tc>
        <w:tc>
          <w:tcPr>
            <w:tcW w:w="349" w:type="pct"/>
            <w:tcBorders>
              <w:top w:val="single" w:sz="4" w:space="0" w:color="auto"/>
              <w:left w:val="single" w:sz="4" w:space="0" w:color="auto"/>
              <w:bottom w:val="single" w:sz="4" w:space="0" w:color="auto"/>
              <w:right w:val="single" w:sz="4" w:space="0" w:color="auto"/>
            </w:tcBorders>
          </w:tcPr>
          <w:p w14:paraId="12D562A3"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F35C2C9" w14:textId="73645190"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C7E5C01" w14:textId="7BC944E0"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69C7B0A" w14:textId="77777777"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C28FF07" w14:textId="77777777"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BCCABEC"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5EC6AA8" w14:textId="01963DB0"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9C4746A" w14:textId="0E76ACBE" w:rsidR="00FA0052" w:rsidRPr="00FA0052" w:rsidRDefault="00FA0052" w:rsidP="00096131">
            <w:pPr>
              <w:pStyle w:val="Tabletext1"/>
              <w:jc w:val="center"/>
            </w:pPr>
            <w:r w:rsidRPr="00FA0052">
              <w:t>Grade</w:t>
            </w:r>
            <w:r>
              <w:t xml:space="preserve"> </w:t>
            </w:r>
            <w:r w:rsidRPr="00FA0052">
              <w:t>≥2:</w:t>
            </w:r>
            <w:r>
              <w:t xml:space="preserve"> </w:t>
            </w:r>
            <w:r w:rsidRPr="00FA0052">
              <w:t xml:space="preserve">16% (95% </w:t>
            </w:r>
            <w:r w:rsidRPr="00FA0052">
              <w:lastRenderedPageBreak/>
              <w:t>CI 9-30%)</w:t>
            </w:r>
          </w:p>
        </w:tc>
        <w:tc>
          <w:tcPr>
            <w:tcW w:w="349" w:type="pct"/>
            <w:tcBorders>
              <w:top w:val="single" w:sz="4" w:space="0" w:color="auto"/>
              <w:left w:val="single" w:sz="4" w:space="0" w:color="auto"/>
              <w:bottom w:val="single" w:sz="4" w:space="0" w:color="auto"/>
              <w:right w:val="single" w:sz="4" w:space="0" w:color="auto"/>
            </w:tcBorders>
          </w:tcPr>
          <w:p w14:paraId="60B2E7FD" w14:textId="1CF75D06" w:rsidR="00FA0052" w:rsidRPr="00FA0052" w:rsidRDefault="00FA0052" w:rsidP="00096131">
            <w:pPr>
              <w:pStyle w:val="Tabletext1"/>
              <w:jc w:val="center"/>
            </w:pPr>
            <w:r w:rsidRPr="00FA0052">
              <w:lastRenderedPageBreak/>
              <w:t xml:space="preserve">Grade ≥3: 2% (95% </w:t>
            </w:r>
            <w:r w:rsidRPr="00FA0052">
              <w:lastRenderedPageBreak/>
              <w:t>CI 0.3-14%)</w:t>
            </w:r>
          </w:p>
        </w:tc>
        <w:tc>
          <w:tcPr>
            <w:tcW w:w="341" w:type="pct"/>
            <w:tcBorders>
              <w:top w:val="single" w:sz="4" w:space="0" w:color="auto"/>
              <w:left w:val="single" w:sz="4" w:space="0" w:color="auto"/>
              <w:bottom w:val="single" w:sz="4" w:space="0" w:color="auto"/>
              <w:right w:val="single" w:sz="4" w:space="0" w:color="auto"/>
            </w:tcBorders>
          </w:tcPr>
          <w:p w14:paraId="4A7ABAD0" w14:textId="77777777" w:rsidR="00FA0052" w:rsidRPr="00FA0052" w:rsidRDefault="00FA0052" w:rsidP="00096131">
            <w:pPr>
              <w:pStyle w:val="Tabletext1"/>
              <w:jc w:val="center"/>
            </w:pPr>
          </w:p>
        </w:tc>
      </w:tr>
      <w:tr w:rsidR="00FA0052" w:rsidRPr="00B2301A" w14:paraId="711E041C" w14:textId="77777777" w:rsidTr="00FA0052">
        <w:tc>
          <w:tcPr>
            <w:tcW w:w="669" w:type="pct"/>
            <w:tcBorders>
              <w:top w:val="single" w:sz="4" w:space="0" w:color="auto"/>
              <w:left w:val="single" w:sz="4" w:space="0" w:color="auto"/>
              <w:bottom w:val="nil"/>
              <w:right w:val="single" w:sz="4" w:space="0" w:color="auto"/>
            </w:tcBorders>
            <w:shd w:val="clear" w:color="auto" w:fill="auto"/>
          </w:tcPr>
          <w:p w14:paraId="3F365315" w14:textId="3792E09E" w:rsidR="00FA0052" w:rsidRDefault="00211285" w:rsidP="00096131">
            <w:pPr>
              <w:pStyle w:val="Tabletext1"/>
              <w:rPr>
                <w:snapToGrid w:val="0"/>
              </w:rPr>
            </w:pPr>
            <w:hyperlink w:anchor="_ENREF_56" w:tooltip="Ost, 2011 #63" w:history="1">
              <w:r w:rsidR="008B6FC0">
                <w:fldChar w:fldCharType="begin"/>
              </w:r>
              <w:r w:rsidR="008B6FC0">
                <w:instrText xml:space="preserve"> ADDIN EN.CITE &lt;EndNote&gt;&lt;Cite AuthorYear="1"&gt;&lt;Author&gt;Ost&lt;/Author&gt;&lt;Year&gt;2011&lt;/Year&gt;&lt;RecNum&gt;63&lt;/RecNum&gt;&lt;DisplayText&gt;Ost et al. (2011)&lt;/DisplayText&gt;&lt;record&gt;&lt;rec-number&gt;63&lt;/rec-number&gt;&lt;foreign-keys&gt;&lt;key app="EN" db-id="sx5wsdwv795wvue959xxw0ptaewvdezxxp05" timestamp="1604876396"&gt;63&lt;/key&gt;&lt;/foreign-keys&gt;&lt;ref-type name="Journal Article"&gt;17&lt;/ref-type&gt;&lt;contributors&gt;&lt;authors&gt;&lt;author&gt;Ost, P.&lt;/author&gt;&lt;author&gt;De Gersem, W.&lt;/author&gt;&lt;author&gt;De Potter, B.&lt;/author&gt;&lt;author&gt;Fonteyne, V.&lt;/author&gt;&lt;author&gt;De Neve, W.&lt;/author&gt;&lt;author&gt;De Meerleer, G.&lt;/author&gt;&lt;/authors&gt;&lt;/contributors&gt;&lt;titles&gt;&lt;title&gt;A comparison of the acute toxicity profile between two-dimensional and three-dimensional image-guided radiotherapy for postoperative prostate cancer&lt;/title&gt;&lt;secondary-title&gt;Clin Oncol (R Coll Radiol)&lt;/secondary-title&gt;&lt;/titles&gt;&lt;pages&gt;344-9&lt;/pages&gt;&lt;volume&gt;23&lt;/volume&gt;&lt;number&gt;5&lt;/number&gt;&lt;dates&gt;&lt;year&gt;2011&lt;/year&gt;&lt;/dates&gt;&lt;accession-num&gt;21353504&lt;/accession-num&gt;&lt;urls&gt;&lt;related-urls&gt;&lt;url&gt;http://ezproxy.library.usyd.edu.au/login?url=http://ovidsp.ovid.com/ovidweb.cgi?T=JS&amp;amp;CSC=Y&amp;amp;NEWS=N&amp;amp;PAGE=fulltext&amp;amp;D=med8&amp;amp;AN=21353504https://sydney.alma.exlibrisgroup.com/openurl/61USYD_INST/61USYD_INST:sydney?sid=OVID:medline&amp;amp;id=pmid:21353504&amp;amp;id=doi:10.1016&lt;/url&gt;&lt;/related-urls&gt;&lt;/urls&gt;&lt;electronic-resource-num&gt;https://dx.doi.org/10.1016/j.clon.2011.01.505&lt;/electronic-resource-num&gt;&lt;/record&gt;&lt;/Cite&gt;&lt;/EndNote&gt;</w:instrText>
              </w:r>
              <w:r w:rsidR="008B6FC0">
                <w:fldChar w:fldCharType="separate"/>
              </w:r>
              <w:r w:rsidR="008B6FC0">
                <w:rPr>
                  <w:noProof/>
                </w:rPr>
                <w:t>Ost et al. (2011)</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47D0FB51" w14:textId="7477109C" w:rsidR="00FA0052" w:rsidRPr="00FA0052" w:rsidRDefault="00FA0052" w:rsidP="00096131">
            <w:pPr>
              <w:pStyle w:val="Tabletext1"/>
              <w:jc w:val="center"/>
            </w:pPr>
            <w:r w:rsidRPr="00FA0052">
              <w:t>GI</w:t>
            </w:r>
          </w:p>
          <w:p w14:paraId="705E0F8C" w14:textId="25A092EC" w:rsidR="00FA0052" w:rsidRP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D644DE2"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3CA8CC0" w14:textId="6BC872F9" w:rsidR="00FA0052" w:rsidRPr="00FA0052" w:rsidRDefault="00FA0052" w:rsidP="00096131">
            <w:pPr>
              <w:pStyle w:val="Tabletext1"/>
              <w:jc w:val="center"/>
            </w:pPr>
            <w:r w:rsidRPr="00FA0052">
              <w:t>45/80 (56%)</w:t>
            </w:r>
          </w:p>
        </w:tc>
        <w:tc>
          <w:tcPr>
            <w:tcW w:w="349" w:type="pct"/>
            <w:tcBorders>
              <w:top w:val="single" w:sz="4" w:space="0" w:color="auto"/>
              <w:left w:val="single" w:sz="4" w:space="0" w:color="auto"/>
              <w:bottom w:val="single" w:sz="4" w:space="0" w:color="auto"/>
              <w:right w:val="single" w:sz="4" w:space="0" w:color="auto"/>
            </w:tcBorders>
          </w:tcPr>
          <w:p w14:paraId="527FA49B" w14:textId="2B41249E" w:rsidR="00FA0052" w:rsidRPr="00FA0052" w:rsidRDefault="00FA0052" w:rsidP="00096131">
            <w:pPr>
              <w:pStyle w:val="Tabletext1"/>
              <w:jc w:val="center"/>
            </w:pPr>
            <w:r w:rsidRPr="00FA0052">
              <w:t>10/80 (14%)</w:t>
            </w:r>
          </w:p>
        </w:tc>
        <w:tc>
          <w:tcPr>
            <w:tcW w:w="349" w:type="pct"/>
            <w:tcBorders>
              <w:top w:val="single" w:sz="4" w:space="0" w:color="auto"/>
              <w:left w:val="single" w:sz="4" w:space="0" w:color="auto"/>
              <w:bottom w:val="single" w:sz="4" w:space="0" w:color="auto"/>
              <w:right w:val="single" w:sz="4" w:space="0" w:color="auto"/>
            </w:tcBorders>
          </w:tcPr>
          <w:p w14:paraId="37AE5894" w14:textId="19421F2F" w:rsidR="00FA0052" w:rsidRPr="00FA0052" w:rsidRDefault="00FA0052" w:rsidP="00096131">
            <w:pPr>
              <w:pStyle w:val="Tabletext1"/>
              <w:jc w:val="center"/>
            </w:pPr>
            <w:r w:rsidRPr="00FA0052">
              <w:t>0/80 (0%)</w:t>
            </w:r>
          </w:p>
        </w:tc>
        <w:tc>
          <w:tcPr>
            <w:tcW w:w="349" w:type="pct"/>
            <w:tcBorders>
              <w:top w:val="single" w:sz="4" w:space="0" w:color="auto"/>
              <w:left w:val="single" w:sz="4" w:space="0" w:color="auto"/>
              <w:bottom w:val="single" w:sz="4" w:space="0" w:color="auto"/>
              <w:right w:val="single" w:sz="4" w:space="0" w:color="auto"/>
            </w:tcBorders>
          </w:tcPr>
          <w:p w14:paraId="7C95A78F" w14:textId="7AE82A5E"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26950E9" w14:textId="2DED1D9C"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9C26E0F" w14:textId="264F7C89"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21E30BC" w14:textId="444C9A26"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D67FC48" w14:textId="77777777" w:rsidR="00FA0052" w:rsidRDefault="00FA005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06AB26C1" w14:textId="77777777" w:rsidR="00FA0052" w:rsidRDefault="00FA0052" w:rsidP="00096131">
            <w:pPr>
              <w:pStyle w:val="Tabletext1"/>
              <w:jc w:val="center"/>
            </w:pPr>
          </w:p>
        </w:tc>
      </w:tr>
      <w:tr w:rsidR="00FA0052" w:rsidRPr="00B2301A" w14:paraId="64905250" w14:textId="77777777" w:rsidTr="00625BDB">
        <w:tc>
          <w:tcPr>
            <w:tcW w:w="669" w:type="pct"/>
            <w:tcBorders>
              <w:top w:val="nil"/>
              <w:left w:val="single" w:sz="4" w:space="0" w:color="auto"/>
              <w:bottom w:val="single" w:sz="4" w:space="0" w:color="auto"/>
              <w:right w:val="single" w:sz="4" w:space="0" w:color="auto"/>
            </w:tcBorders>
            <w:shd w:val="clear" w:color="auto" w:fill="auto"/>
          </w:tcPr>
          <w:p w14:paraId="670DF1F8" w14:textId="77777777" w:rsidR="00FA0052" w:rsidRDefault="00FA005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D0895A8" w14:textId="359E8FE1" w:rsidR="00FA0052" w:rsidRPr="00FA0052" w:rsidRDefault="00FA0052" w:rsidP="00096131">
            <w:pPr>
              <w:pStyle w:val="Tabletext1"/>
              <w:jc w:val="center"/>
            </w:pPr>
            <w:r w:rsidRPr="00FA0052">
              <w:t>GU</w:t>
            </w:r>
          </w:p>
        </w:tc>
        <w:tc>
          <w:tcPr>
            <w:tcW w:w="349" w:type="pct"/>
            <w:tcBorders>
              <w:top w:val="single" w:sz="4" w:space="0" w:color="auto"/>
              <w:left w:val="single" w:sz="4" w:space="0" w:color="auto"/>
              <w:bottom w:val="single" w:sz="4" w:space="0" w:color="auto"/>
              <w:right w:val="single" w:sz="4" w:space="0" w:color="auto"/>
            </w:tcBorders>
          </w:tcPr>
          <w:p w14:paraId="6D620A59" w14:textId="77777777" w:rsidR="00FA0052" w:rsidRP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533DAA3" w14:textId="03CD9202" w:rsidR="00FA0052" w:rsidRPr="00FA0052" w:rsidRDefault="00FA0052" w:rsidP="00096131">
            <w:pPr>
              <w:pStyle w:val="Tabletext1"/>
              <w:jc w:val="center"/>
            </w:pPr>
            <w:r w:rsidRPr="00FA0052">
              <w:t>44/80 (55%)</w:t>
            </w:r>
          </w:p>
        </w:tc>
        <w:tc>
          <w:tcPr>
            <w:tcW w:w="349" w:type="pct"/>
            <w:tcBorders>
              <w:top w:val="single" w:sz="4" w:space="0" w:color="auto"/>
              <w:left w:val="single" w:sz="4" w:space="0" w:color="auto"/>
              <w:bottom w:val="single" w:sz="4" w:space="0" w:color="auto"/>
              <w:right w:val="single" w:sz="4" w:space="0" w:color="auto"/>
            </w:tcBorders>
          </w:tcPr>
          <w:p w14:paraId="1157850C" w14:textId="17E34FB9" w:rsidR="00FA0052" w:rsidRPr="00FA0052" w:rsidRDefault="00FA0052" w:rsidP="00096131">
            <w:pPr>
              <w:pStyle w:val="Tabletext1"/>
              <w:jc w:val="center"/>
            </w:pPr>
            <w:r w:rsidRPr="00FA0052">
              <w:t>13/80 (16%)</w:t>
            </w:r>
          </w:p>
        </w:tc>
        <w:tc>
          <w:tcPr>
            <w:tcW w:w="349" w:type="pct"/>
            <w:tcBorders>
              <w:top w:val="single" w:sz="4" w:space="0" w:color="auto"/>
              <w:left w:val="single" w:sz="4" w:space="0" w:color="auto"/>
              <w:bottom w:val="single" w:sz="4" w:space="0" w:color="auto"/>
              <w:right w:val="single" w:sz="4" w:space="0" w:color="auto"/>
            </w:tcBorders>
          </w:tcPr>
          <w:p w14:paraId="6597CB10" w14:textId="7B687E50" w:rsidR="00FA0052" w:rsidRPr="00FA0052" w:rsidRDefault="00FA0052" w:rsidP="00096131">
            <w:pPr>
              <w:pStyle w:val="Tabletext1"/>
              <w:jc w:val="center"/>
            </w:pPr>
            <w:r w:rsidRPr="00FA0052">
              <w:t>1/80 (1%)</w:t>
            </w:r>
          </w:p>
        </w:tc>
        <w:tc>
          <w:tcPr>
            <w:tcW w:w="349" w:type="pct"/>
            <w:tcBorders>
              <w:top w:val="single" w:sz="4" w:space="0" w:color="auto"/>
              <w:left w:val="single" w:sz="4" w:space="0" w:color="auto"/>
              <w:bottom w:val="single" w:sz="4" w:space="0" w:color="auto"/>
              <w:right w:val="single" w:sz="4" w:space="0" w:color="auto"/>
            </w:tcBorders>
          </w:tcPr>
          <w:p w14:paraId="0B561D60" w14:textId="77777777"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1B1A952" w14:textId="77777777"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7B9602B" w14:textId="77777777"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DAB2000" w14:textId="77777777"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8F76A54" w14:textId="77777777" w:rsidR="00FA0052" w:rsidRDefault="00FA005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76B6F98B" w14:textId="77777777" w:rsidR="00FA0052" w:rsidRDefault="00FA0052" w:rsidP="00096131">
            <w:pPr>
              <w:pStyle w:val="Tabletext1"/>
              <w:jc w:val="center"/>
            </w:pPr>
          </w:p>
        </w:tc>
      </w:tr>
      <w:tr w:rsidR="00FA0052" w:rsidRPr="00B2301A" w14:paraId="6F582992" w14:textId="77777777" w:rsidTr="00625BDB">
        <w:tc>
          <w:tcPr>
            <w:tcW w:w="669" w:type="pct"/>
            <w:tcBorders>
              <w:top w:val="single" w:sz="4" w:space="0" w:color="auto"/>
              <w:left w:val="single" w:sz="4" w:space="0" w:color="auto"/>
              <w:bottom w:val="nil"/>
              <w:right w:val="single" w:sz="4" w:space="0" w:color="auto"/>
            </w:tcBorders>
            <w:shd w:val="clear" w:color="auto" w:fill="auto"/>
          </w:tcPr>
          <w:p w14:paraId="2790A7E0" w14:textId="18BFEDE9" w:rsidR="00FA0052" w:rsidRDefault="00211285" w:rsidP="00096131">
            <w:pPr>
              <w:pStyle w:val="Tabletext1"/>
              <w:rPr>
                <w:snapToGrid w:val="0"/>
              </w:rPr>
            </w:pPr>
            <w:hyperlink w:anchor="_ENREF_59" w:tooltip="Pryor, 2019 #65" w:history="1">
              <w:r w:rsidR="008B6FC0">
                <w:fldChar w:fldCharType="begin">
                  <w:fldData xml:space="preserve">PEVuZE5vdGU+PENpdGUgQXV0aG9yWWVhcj0iMSI+PEF1dGhvcj5QcnlvcjwvQXV0aG9yPjxZZWFy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</w:fldData>
                </w:fldChar>
              </w:r>
              <w:r w:rsidR="008B6FC0">
                <w:instrText xml:space="preserve"> ADDIN EN.CITE </w:instrText>
              </w:r>
              <w:r w:rsidR="008B6FC0">
                <w:fldChar w:fldCharType="begin">
                  <w:fldData xml:space="preserve">PEVuZE5vdGU+PENpdGUgQXV0aG9yWWVhcj0iMSI+PEF1dGhvcj5QcnlvcjwvQXV0aG9yPjxZZWFy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</w:fldData>
                </w:fldChar>
              </w:r>
              <w:r w:rsidR="008B6FC0">
                <w:instrText xml:space="preserve"> ADDIN EN.CITE.DATA </w:instrText>
              </w:r>
              <w:r w:rsidR="008B6FC0">
                <w:fldChar w:fldCharType="end"/>
              </w:r>
              <w:r w:rsidR="008B6FC0">
                <w:fldChar w:fldCharType="separate"/>
              </w:r>
              <w:r w:rsidR="008B6FC0">
                <w:rPr>
                  <w:noProof/>
                </w:rPr>
                <w:t>Pryor et al. (2019)</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5D3D117E" w14:textId="587B5ECD" w:rsidR="00FA0052" w:rsidRDefault="00FA0052" w:rsidP="00096131">
            <w:pPr>
              <w:pStyle w:val="Tabletext1"/>
              <w:jc w:val="center"/>
            </w:pPr>
            <w:r>
              <w:t>GI</w:t>
            </w:r>
          </w:p>
        </w:tc>
        <w:tc>
          <w:tcPr>
            <w:tcW w:w="349" w:type="pct"/>
            <w:tcBorders>
              <w:top w:val="single" w:sz="4" w:space="0" w:color="auto"/>
              <w:left w:val="single" w:sz="4" w:space="0" w:color="auto"/>
              <w:bottom w:val="single" w:sz="4" w:space="0" w:color="auto"/>
              <w:right w:val="single" w:sz="4" w:space="0" w:color="auto"/>
            </w:tcBorders>
          </w:tcPr>
          <w:p w14:paraId="2F684E27" w14:textId="77777777"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D152EFA" w14:textId="1C0CBAD5"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25FF53C" w14:textId="73B0588F" w:rsidR="00FA0052" w:rsidRDefault="00FA0052" w:rsidP="00096131">
            <w:pPr>
              <w:pStyle w:val="Tabletext1"/>
              <w:jc w:val="center"/>
            </w:pPr>
            <w:r>
              <w:t>6/135 (4%)</w:t>
            </w:r>
          </w:p>
        </w:tc>
        <w:tc>
          <w:tcPr>
            <w:tcW w:w="349" w:type="pct"/>
            <w:tcBorders>
              <w:top w:val="single" w:sz="4" w:space="0" w:color="auto"/>
              <w:left w:val="single" w:sz="4" w:space="0" w:color="auto"/>
              <w:bottom w:val="single" w:sz="4" w:space="0" w:color="auto"/>
              <w:right w:val="single" w:sz="4" w:space="0" w:color="auto"/>
            </w:tcBorders>
          </w:tcPr>
          <w:p w14:paraId="3CF15AF4" w14:textId="3E8AF8C4" w:rsidR="00FA0052" w:rsidRDefault="00FA0052" w:rsidP="00096131">
            <w:pPr>
              <w:pStyle w:val="Tabletext1"/>
              <w:jc w:val="center"/>
            </w:pPr>
            <w:r>
              <w:t>0/135 (0%)</w:t>
            </w:r>
          </w:p>
        </w:tc>
        <w:tc>
          <w:tcPr>
            <w:tcW w:w="349" w:type="pct"/>
            <w:tcBorders>
              <w:top w:val="single" w:sz="4" w:space="0" w:color="auto"/>
              <w:left w:val="single" w:sz="4" w:space="0" w:color="auto"/>
              <w:bottom w:val="single" w:sz="4" w:space="0" w:color="auto"/>
              <w:right w:val="single" w:sz="4" w:space="0" w:color="auto"/>
            </w:tcBorders>
          </w:tcPr>
          <w:p w14:paraId="79E77C95" w14:textId="3688E621"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8935C3C" w14:textId="144A1A81"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430FB2B" w14:textId="2D51DCE1"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3850008" w14:textId="25935856" w:rsidR="00FA0052" w:rsidRDefault="00FA0052" w:rsidP="00096131">
            <w:pPr>
              <w:pStyle w:val="Tabletext1"/>
              <w:jc w:val="center"/>
            </w:pPr>
            <w:r w:rsidRPr="00FA0052">
              <w:t>Grade</w:t>
            </w:r>
            <w:r>
              <w:t xml:space="preserve"> </w:t>
            </w:r>
            <w:r w:rsidRPr="00FA0052">
              <w:t>≥2:</w:t>
            </w:r>
            <w:r>
              <w:t xml:space="preserve"> 4.5%</w:t>
            </w:r>
            <w:r w:rsidRPr="00FA0052">
              <w:rPr>
                <w:vertAlign w:val="superscript"/>
              </w:rPr>
              <w:t>2</w:t>
            </w:r>
          </w:p>
        </w:tc>
        <w:tc>
          <w:tcPr>
            <w:tcW w:w="349" w:type="pct"/>
            <w:tcBorders>
              <w:top w:val="single" w:sz="4" w:space="0" w:color="auto"/>
              <w:left w:val="single" w:sz="4" w:space="0" w:color="auto"/>
              <w:bottom w:val="single" w:sz="4" w:space="0" w:color="auto"/>
              <w:right w:val="single" w:sz="4" w:space="0" w:color="auto"/>
            </w:tcBorders>
          </w:tcPr>
          <w:p w14:paraId="723C575F" w14:textId="3F894145" w:rsidR="00FA0052" w:rsidRDefault="00FA0052" w:rsidP="00096131">
            <w:pPr>
              <w:pStyle w:val="Tabletext1"/>
              <w:jc w:val="center"/>
            </w:pPr>
            <w:r w:rsidRPr="00FA0052">
              <w:t>Grade</w:t>
            </w:r>
            <w:r>
              <w:t xml:space="preserve"> </w:t>
            </w:r>
            <w:r w:rsidRPr="00FA0052">
              <w:t>≥</w:t>
            </w:r>
            <w:r>
              <w:t>3</w:t>
            </w:r>
            <w:r w:rsidRPr="00FA0052">
              <w:t>:</w:t>
            </w:r>
            <w:r>
              <w:t xml:space="preserve"> 2%</w:t>
            </w:r>
            <w:r w:rsidRPr="00FA0052">
              <w:rPr>
                <w:vertAlign w:val="superscript"/>
              </w:rPr>
              <w:t>2</w:t>
            </w:r>
          </w:p>
        </w:tc>
        <w:tc>
          <w:tcPr>
            <w:tcW w:w="341" w:type="pct"/>
            <w:tcBorders>
              <w:top w:val="single" w:sz="4" w:space="0" w:color="auto"/>
              <w:left w:val="single" w:sz="4" w:space="0" w:color="auto"/>
              <w:bottom w:val="single" w:sz="4" w:space="0" w:color="auto"/>
              <w:right w:val="single" w:sz="4" w:space="0" w:color="auto"/>
            </w:tcBorders>
          </w:tcPr>
          <w:p w14:paraId="18CF4595" w14:textId="77777777" w:rsidR="00FA0052" w:rsidRDefault="00FA0052" w:rsidP="00096131">
            <w:pPr>
              <w:pStyle w:val="Tabletext1"/>
              <w:jc w:val="center"/>
            </w:pPr>
          </w:p>
        </w:tc>
      </w:tr>
      <w:tr w:rsidR="00FA0052" w:rsidRPr="00B2301A" w14:paraId="0F492A13" w14:textId="77777777" w:rsidTr="00625BDB">
        <w:tc>
          <w:tcPr>
            <w:tcW w:w="669" w:type="pct"/>
            <w:tcBorders>
              <w:top w:val="nil"/>
              <w:left w:val="single" w:sz="4" w:space="0" w:color="auto"/>
              <w:bottom w:val="single" w:sz="4" w:space="0" w:color="auto"/>
              <w:right w:val="single" w:sz="4" w:space="0" w:color="auto"/>
            </w:tcBorders>
            <w:shd w:val="clear" w:color="auto" w:fill="auto"/>
          </w:tcPr>
          <w:p w14:paraId="35726422" w14:textId="77777777" w:rsidR="00FA0052" w:rsidRDefault="00FA005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096559D0" w14:textId="438D2125" w:rsidR="00FA0052" w:rsidRPr="00FA0052" w:rsidRDefault="00FA0052" w:rsidP="00096131">
            <w:pPr>
              <w:pStyle w:val="Tabletext1"/>
              <w:jc w:val="center"/>
            </w:pPr>
            <w:r w:rsidRPr="00FA0052">
              <w:t>GU</w:t>
            </w:r>
          </w:p>
          <w:p w14:paraId="007849F1" w14:textId="77777777"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1B95102" w14:textId="77777777"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D6584E1" w14:textId="77777777"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AA79833" w14:textId="266221ED" w:rsidR="00FA0052" w:rsidRDefault="00FA0052" w:rsidP="00096131">
            <w:pPr>
              <w:pStyle w:val="Tabletext1"/>
              <w:jc w:val="center"/>
            </w:pPr>
            <w:r w:rsidRPr="00FA0052">
              <w:t>36/135 (</w:t>
            </w:r>
            <w:r w:rsidR="00CD657B">
              <w:t>27</w:t>
            </w:r>
            <w:r w:rsidRPr="00FA0052">
              <w:t>%)</w:t>
            </w:r>
          </w:p>
        </w:tc>
        <w:tc>
          <w:tcPr>
            <w:tcW w:w="349" w:type="pct"/>
            <w:tcBorders>
              <w:top w:val="single" w:sz="4" w:space="0" w:color="auto"/>
              <w:left w:val="single" w:sz="4" w:space="0" w:color="auto"/>
              <w:bottom w:val="single" w:sz="4" w:space="0" w:color="auto"/>
              <w:right w:val="single" w:sz="4" w:space="0" w:color="auto"/>
            </w:tcBorders>
          </w:tcPr>
          <w:p w14:paraId="2A86A044" w14:textId="469F6897" w:rsidR="00FA0052" w:rsidRDefault="00FA0052" w:rsidP="00096131">
            <w:pPr>
              <w:pStyle w:val="Tabletext1"/>
              <w:jc w:val="center"/>
            </w:pPr>
            <w:r w:rsidRPr="00FA0052">
              <w:t>0/135 (0%)</w:t>
            </w:r>
          </w:p>
        </w:tc>
        <w:tc>
          <w:tcPr>
            <w:tcW w:w="349" w:type="pct"/>
            <w:tcBorders>
              <w:top w:val="single" w:sz="4" w:space="0" w:color="auto"/>
              <w:left w:val="single" w:sz="4" w:space="0" w:color="auto"/>
              <w:bottom w:val="single" w:sz="4" w:space="0" w:color="auto"/>
              <w:right w:val="single" w:sz="4" w:space="0" w:color="auto"/>
            </w:tcBorders>
          </w:tcPr>
          <w:p w14:paraId="09BF0BFA" w14:textId="77777777"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13B1CF0" w14:textId="77777777"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3D1CF9E" w14:textId="77777777"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316D597" w14:textId="50114AC6" w:rsidR="00FA0052" w:rsidRPr="00FA0052" w:rsidRDefault="00FA0052" w:rsidP="00096131">
            <w:pPr>
              <w:pStyle w:val="Tabletext1"/>
              <w:jc w:val="center"/>
            </w:pPr>
            <w:r w:rsidRPr="00FA0052">
              <w:t>Grade</w:t>
            </w:r>
            <w:r>
              <w:t xml:space="preserve"> </w:t>
            </w:r>
            <w:r w:rsidRPr="00FA0052">
              <w:t>≥2:</w:t>
            </w:r>
            <w:r>
              <w:t xml:space="preserve"> 24.9%</w:t>
            </w:r>
            <w:r w:rsidRPr="00FA0052">
              <w:rPr>
                <w:vertAlign w:val="superscript"/>
              </w:rPr>
              <w:t>2</w:t>
            </w:r>
          </w:p>
        </w:tc>
        <w:tc>
          <w:tcPr>
            <w:tcW w:w="349" w:type="pct"/>
            <w:tcBorders>
              <w:top w:val="single" w:sz="4" w:space="0" w:color="auto"/>
              <w:left w:val="single" w:sz="4" w:space="0" w:color="auto"/>
              <w:bottom w:val="single" w:sz="4" w:space="0" w:color="auto"/>
              <w:right w:val="single" w:sz="4" w:space="0" w:color="auto"/>
            </w:tcBorders>
          </w:tcPr>
          <w:p w14:paraId="0E0CC418" w14:textId="452CEF30" w:rsidR="00FA0052" w:rsidRPr="00FA0052" w:rsidRDefault="00FA0052" w:rsidP="00096131">
            <w:pPr>
              <w:pStyle w:val="Tabletext1"/>
              <w:jc w:val="center"/>
            </w:pPr>
            <w:r w:rsidRPr="00FA0052">
              <w:t>Grade</w:t>
            </w:r>
            <w:r>
              <w:t xml:space="preserve"> </w:t>
            </w:r>
            <w:r w:rsidRPr="00FA0052">
              <w:t>≥</w:t>
            </w:r>
            <w:r>
              <w:t>3</w:t>
            </w:r>
            <w:r w:rsidRPr="00FA0052">
              <w:t>:</w:t>
            </w:r>
            <w:r>
              <w:t xml:space="preserve"> </w:t>
            </w:r>
            <w:r w:rsidR="00625BDB">
              <w:t>3/135 (</w:t>
            </w:r>
            <w:r>
              <w:t>2.2%</w:t>
            </w:r>
            <w:r w:rsidR="00625BDB">
              <w:t>)</w:t>
            </w:r>
            <w:r w:rsidRPr="00FA0052">
              <w:rPr>
                <w:vertAlign w:val="superscript"/>
              </w:rPr>
              <w:t>2</w:t>
            </w:r>
          </w:p>
        </w:tc>
        <w:tc>
          <w:tcPr>
            <w:tcW w:w="341" w:type="pct"/>
            <w:tcBorders>
              <w:top w:val="single" w:sz="4" w:space="0" w:color="auto"/>
              <w:left w:val="single" w:sz="4" w:space="0" w:color="auto"/>
              <w:bottom w:val="single" w:sz="4" w:space="0" w:color="auto"/>
              <w:right w:val="single" w:sz="4" w:space="0" w:color="auto"/>
            </w:tcBorders>
          </w:tcPr>
          <w:p w14:paraId="1ACB9613" w14:textId="77777777" w:rsidR="00FA0052" w:rsidRDefault="00FA0052" w:rsidP="00096131">
            <w:pPr>
              <w:pStyle w:val="Tabletext1"/>
              <w:jc w:val="center"/>
            </w:pPr>
          </w:p>
        </w:tc>
      </w:tr>
      <w:tr w:rsidR="00FA0052" w:rsidRPr="00B2301A" w14:paraId="6AC84EAF" w14:textId="77777777" w:rsidTr="00625BDB">
        <w:tc>
          <w:tcPr>
            <w:tcW w:w="669" w:type="pct"/>
            <w:tcBorders>
              <w:top w:val="single" w:sz="4" w:space="0" w:color="auto"/>
              <w:left w:val="single" w:sz="4" w:space="0" w:color="auto"/>
              <w:bottom w:val="nil"/>
              <w:right w:val="single" w:sz="4" w:space="0" w:color="auto"/>
            </w:tcBorders>
            <w:shd w:val="clear" w:color="auto" w:fill="auto"/>
          </w:tcPr>
          <w:p w14:paraId="1D7B2DFA" w14:textId="1616B553" w:rsidR="00FA0052" w:rsidRDefault="00211285" w:rsidP="00096131">
            <w:pPr>
              <w:pStyle w:val="Tabletext1"/>
              <w:rPr>
                <w:snapToGrid w:val="0"/>
              </w:rPr>
            </w:pPr>
            <w:hyperlink w:anchor="_ENREF_63" w:tooltip="Shelan, 2019 #67" w:history="1">
              <w:r w:rsidR="008B6FC0">
                <w:fldChar w:fldCharType="begin"/>
              </w:r>
              <w:r w:rsidR="008B6FC0">
                <w:instrText xml:space="preserve"> ADDIN EN.CITE &lt;EndNote&gt;&lt;Cite AuthorYear="1"&gt;&lt;Author&gt;Shelan&lt;/Author&gt;&lt;Year&gt;2019&lt;/Year&gt;&lt;RecNum&gt;67&lt;/RecNum&gt;&lt;DisplayText&gt;Shelan et al. (2019)&lt;/DisplayText&gt;&lt;record&gt;&lt;rec-number&gt;67&lt;/rec-number&gt;&lt;foreign-keys&gt;&lt;key app="EN" db-id="sx5wsdwv795wvue959xxw0ptaewvdezxxp05" timestamp="1604876398"&gt;67&lt;/key&gt;&lt;/foreign-keys&gt;&lt;ref-type name="Journal Article"&gt;17&lt;/ref-type&gt;&lt;contributors&gt;&lt;authors&gt;&lt;author&gt;Shelan, M.&lt;/author&gt;&lt;author&gt;Odermatt, S.&lt;/author&gt;&lt;author&gt;Bojaxhiu, B.&lt;/author&gt;&lt;author&gt;Nguyen, D. P.&lt;/author&gt;&lt;author&gt;Thalmann, G. N.&lt;/author&gt;&lt;author&gt;Aebersold, D. M.&lt;/author&gt;&lt;author&gt;Pra, A. D.&lt;/author&gt;&lt;/authors&gt;&lt;/contributors&gt;&lt;titles&gt;&lt;title&gt;Disease control with delayed salvage radiotherapy for macroscopic local recurrence following radical prostatectomy&lt;/title&gt;&lt;secondary-title&gt;Frontiers in Oncology&lt;/secondary-title&gt;&lt;/titles&gt;&lt;volume&gt;9&lt;/volume&gt;&lt;number&gt;FEB&lt;/number&gt;&lt;dates&gt;&lt;year&gt;2019&lt;/year&gt;&lt;/dates&gt;&lt;accession-num&gt;626827995&lt;/accession-num&gt;&lt;urls&gt;&lt;related-urls&gt;&lt;url&gt;http://www.frontiersin.org/Oncology/abouthttp://ezproxy.library.usyd.edu.au/login?url=http://ovidsp.ovid.com/ovidweb.cgi?T=JS&amp;amp;CSC=Y&amp;amp;NEWS=N&amp;amp;PAGE=fulltext&amp;amp;D=emexa&amp;amp;AN=626827995https://sydney.alma.exlibrisgroup.com/openurl/61USYD_INST/61USYD_INST:sydney?sid=O&lt;/url&gt;&lt;url&gt;https://fjfsdata01prod.blob.core.windows.net/articles/files/418517/pubmed-zip/.versions/1/.package-entries/fonc-09-00012/fonc-09-00012.pdf?sv=2018-03-28&amp;amp;sr=b&amp;amp;sig=BrHPBGyCkIIWJtT81pPSZj%2FVErnZEHvbBcCzIh9gjZQ%3D&amp;amp;se=2020-10-29T04%3A44%3A50Z&amp;amp;sp=r&amp;amp;rscd=attachment%3B%20filename%2A%3DUTF-8%27%27fonc-09-00012.pdf&lt;/url&gt;&lt;url&gt;https://fjfsdata01prod.blob.core.windows.net/articles/files/418517/pubmed-zip/.versions/1/.package-entries/fonc-09-00012/fonc-09-00012.pdf?sv=2018-03-28&amp;amp;sr=b&amp;amp;sig=46dTJTxSckClVuF6s0tY%2FqC1jhdDBfp0yTTU8U7fuK4%3D&amp;amp;se=2020-12-16T04%3A59%3A21Z&amp;amp;sp=r&amp;amp;rscd=attachment%3B%20filename%2A%3DUTF-8%27%27fonc-09-00012.pdf&lt;/url&gt;&lt;/related-urls&gt;&lt;/urls&gt;&lt;electronic-resource-num&gt;http://dx.doi.org/10.3389/fonc.2019.00012&lt;/electronic-resource-num&gt;&lt;/record&gt;&lt;/Cite&gt;&lt;/EndNote&gt;</w:instrText>
              </w:r>
              <w:r w:rsidR="008B6FC0">
                <w:fldChar w:fldCharType="separate"/>
              </w:r>
              <w:r w:rsidR="008B6FC0">
                <w:rPr>
                  <w:noProof/>
                </w:rPr>
                <w:t>Shelan et al. (2019)</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02822B97" w14:textId="5D3ACA26" w:rsidR="00625BDB" w:rsidRPr="00625BDB" w:rsidRDefault="00625BDB" w:rsidP="00096131">
            <w:pPr>
              <w:pStyle w:val="Tabletext1"/>
              <w:jc w:val="center"/>
            </w:pPr>
            <w:r w:rsidRPr="00625BDB">
              <w:t>GI</w:t>
            </w:r>
          </w:p>
          <w:p w14:paraId="110E7FB8" w14:textId="3FF1A1DB"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0953FC4" w14:textId="77777777" w:rsidR="00FA0052" w:rsidRPr="00625BDB"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6B6159A" w14:textId="3B70C729"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0CE7C17" w14:textId="5ECB695A" w:rsidR="00FA0052" w:rsidRPr="00625BDB" w:rsidRDefault="00625BDB" w:rsidP="00096131">
            <w:pPr>
              <w:pStyle w:val="Tabletext1"/>
              <w:jc w:val="center"/>
            </w:pPr>
            <w:r w:rsidRPr="00625BDB">
              <w:t>7/69 (10%)</w:t>
            </w:r>
          </w:p>
        </w:tc>
        <w:tc>
          <w:tcPr>
            <w:tcW w:w="349" w:type="pct"/>
            <w:tcBorders>
              <w:top w:val="single" w:sz="4" w:space="0" w:color="auto"/>
              <w:left w:val="single" w:sz="4" w:space="0" w:color="auto"/>
              <w:bottom w:val="single" w:sz="4" w:space="0" w:color="auto"/>
              <w:right w:val="single" w:sz="4" w:space="0" w:color="auto"/>
            </w:tcBorders>
          </w:tcPr>
          <w:p w14:paraId="646F8F62" w14:textId="377172D1" w:rsidR="00FA0052" w:rsidRPr="00625BDB" w:rsidRDefault="00625BDB" w:rsidP="00096131">
            <w:pPr>
              <w:pStyle w:val="Tabletext1"/>
              <w:jc w:val="center"/>
            </w:pPr>
            <w:r w:rsidRPr="00625BDB">
              <w:t>0/69 (0%)</w:t>
            </w:r>
          </w:p>
        </w:tc>
        <w:tc>
          <w:tcPr>
            <w:tcW w:w="349" w:type="pct"/>
            <w:tcBorders>
              <w:top w:val="single" w:sz="4" w:space="0" w:color="auto"/>
              <w:left w:val="single" w:sz="4" w:space="0" w:color="auto"/>
              <w:bottom w:val="single" w:sz="4" w:space="0" w:color="auto"/>
              <w:right w:val="single" w:sz="4" w:space="0" w:color="auto"/>
            </w:tcBorders>
          </w:tcPr>
          <w:p w14:paraId="2DC16DCC" w14:textId="40464FC8"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F2E0152" w14:textId="5BECFD62" w:rsidR="00FA0052" w:rsidRPr="00625BDB"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7C43D3C" w14:textId="607EE542"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99F7FC7" w14:textId="7AD68ABC" w:rsidR="00FA0052" w:rsidRPr="00625BDB" w:rsidRDefault="00625BDB" w:rsidP="00096131">
            <w:pPr>
              <w:pStyle w:val="Tabletext1"/>
              <w:jc w:val="center"/>
            </w:pPr>
            <w:r w:rsidRPr="00625BDB">
              <w:t>2/69 (3%)</w:t>
            </w:r>
          </w:p>
        </w:tc>
        <w:tc>
          <w:tcPr>
            <w:tcW w:w="349" w:type="pct"/>
            <w:tcBorders>
              <w:top w:val="single" w:sz="4" w:space="0" w:color="auto"/>
              <w:left w:val="single" w:sz="4" w:space="0" w:color="auto"/>
              <w:bottom w:val="single" w:sz="4" w:space="0" w:color="auto"/>
              <w:right w:val="single" w:sz="4" w:space="0" w:color="auto"/>
            </w:tcBorders>
          </w:tcPr>
          <w:p w14:paraId="0E38F162" w14:textId="4205E519" w:rsidR="00FA0052" w:rsidRPr="00625BDB" w:rsidRDefault="00625BDB" w:rsidP="00096131">
            <w:pPr>
              <w:pStyle w:val="Tabletext1"/>
              <w:jc w:val="center"/>
            </w:pPr>
            <w:r w:rsidRPr="00625BDB">
              <w:t>1/69 (1%)</w:t>
            </w:r>
          </w:p>
        </w:tc>
        <w:tc>
          <w:tcPr>
            <w:tcW w:w="341" w:type="pct"/>
            <w:tcBorders>
              <w:top w:val="single" w:sz="4" w:space="0" w:color="auto"/>
              <w:left w:val="single" w:sz="4" w:space="0" w:color="auto"/>
              <w:bottom w:val="single" w:sz="4" w:space="0" w:color="auto"/>
              <w:right w:val="single" w:sz="4" w:space="0" w:color="auto"/>
            </w:tcBorders>
          </w:tcPr>
          <w:p w14:paraId="59B0537E" w14:textId="77777777" w:rsidR="00FA0052" w:rsidRPr="00625BDB" w:rsidRDefault="00FA0052" w:rsidP="00096131">
            <w:pPr>
              <w:pStyle w:val="Tabletext1"/>
              <w:jc w:val="center"/>
            </w:pPr>
          </w:p>
        </w:tc>
      </w:tr>
      <w:tr w:rsidR="00625BDB" w:rsidRPr="00B2301A" w14:paraId="7FCE80BD" w14:textId="77777777" w:rsidTr="00625BDB">
        <w:tc>
          <w:tcPr>
            <w:tcW w:w="669" w:type="pct"/>
            <w:tcBorders>
              <w:top w:val="nil"/>
              <w:left w:val="single" w:sz="4" w:space="0" w:color="auto"/>
              <w:bottom w:val="single" w:sz="4" w:space="0" w:color="auto"/>
              <w:right w:val="single" w:sz="4" w:space="0" w:color="auto"/>
            </w:tcBorders>
            <w:shd w:val="clear" w:color="auto" w:fill="auto"/>
          </w:tcPr>
          <w:p w14:paraId="7BE1DAC2" w14:textId="77777777" w:rsidR="00625BDB" w:rsidRDefault="00625BDB"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98FE213" w14:textId="301A4505" w:rsidR="00625BDB" w:rsidRPr="00625BDB" w:rsidRDefault="00625BDB" w:rsidP="00096131">
            <w:pPr>
              <w:pStyle w:val="Tabletext1"/>
              <w:jc w:val="center"/>
            </w:pPr>
            <w:r w:rsidRPr="00625BDB">
              <w:t>GU</w:t>
            </w:r>
          </w:p>
          <w:p w14:paraId="22923A91"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EDD8A57" w14:textId="77777777" w:rsidR="00625BDB" w:rsidRPr="00625BDB" w:rsidRDefault="00625BDB"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4111840"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EDC37A0" w14:textId="6FAF045E" w:rsidR="00625BDB" w:rsidRPr="00625BDB" w:rsidRDefault="00625BDB" w:rsidP="00096131">
            <w:pPr>
              <w:pStyle w:val="Tabletext1"/>
              <w:jc w:val="center"/>
            </w:pPr>
            <w:r w:rsidRPr="00625BDB">
              <w:t>12/69 (17%)</w:t>
            </w:r>
          </w:p>
        </w:tc>
        <w:tc>
          <w:tcPr>
            <w:tcW w:w="349" w:type="pct"/>
            <w:tcBorders>
              <w:top w:val="single" w:sz="4" w:space="0" w:color="auto"/>
              <w:left w:val="single" w:sz="4" w:space="0" w:color="auto"/>
              <w:bottom w:val="single" w:sz="4" w:space="0" w:color="auto"/>
              <w:right w:val="single" w:sz="4" w:space="0" w:color="auto"/>
            </w:tcBorders>
          </w:tcPr>
          <w:p w14:paraId="714ED003" w14:textId="139537CD" w:rsidR="00625BDB" w:rsidRPr="00625BDB" w:rsidRDefault="00625BDB" w:rsidP="00096131">
            <w:pPr>
              <w:pStyle w:val="Tabletext1"/>
              <w:jc w:val="center"/>
            </w:pPr>
            <w:r w:rsidRPr="00625BDB">
              <w:t>6/69 (9%)</w:t>
            </w:r>
          </w:p>
        </w:tc>
        <w:tc>
          <w:tcPr>
            <w:tcW w:w="349" w:type="pct"/>
            <w:tcBorders>
              <w:top w:val="single" w:sz="4" w:space="0" w:color="auto"/>
              <w:left w:val="single" w:sz="4" w:space="0" w:color="auto"/>
              <w:bottom w:val="single" w:sz="4" w:space="0" w:color="auto"/>
              <w:right w:val="single" w:sz="4" w:space="0" w:color="auto"/>
            </w:tcBorders>
          </w:tcPr>
          <w:p w14:paraId="778EE997"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0A43247" w14:textId="77777777" w:rsidR="00625BDB" w:rsidRPr="00625BDB" w:rsidRDefault="00625BDB"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629A156"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61F4E63" w14:textId="40BA2913" w:rsidR="00625BDB" w:rsidRPr="00625BDB" w:rsidRDefault="00625BDB" w:rsidP="00096131">
            <w:pPr>
              <w:pStyle w:val="Tabletext1"/>
              <w:jc w:val="center"/>
            </w:pPr>
            <w:r w:rsidRPr="00625BDB">
              <w:t>12/69 (17%)</w:t>
            </w:r>
          </w:p>
        </w:tc>
        <w:tc>
          <w:tcPr>
            <w:tcW w:w="349" w:type="pct"/>
            <w:tcBorders>
              <w:top w:val="single" w:sz="4" w:space="0" w:color="auto"/>
              <w:left w:val="single" w:sz="4" w:space="0" w:color="auto"/>
              <w:bottom w:val="single" w:sz="4" w:space="0" w:color="auto"/>
              <w:right w:val="single" w:sz="4" w:space="0" w:color="auto"/>
            </w:tcBorders>
          </w:tcPr>
          <w:p w14:paraId="6A0F0667" w14:textId="7C7B0255" w:rsidR="00625BDB" w:rsidRPr="00625BDB" w:rsidRDefault="00625BDB" w:rsidP="00096131">
            <w:pPr>
              <w:pStyle w:val="Tabletext1"/>
              <w:jc w:val="center"/>
            </w:pPr>
            <w:r w:rsidRPr="00625BDB">
              <w:t>6/69 (9%)</w:t>
            </w:r>
          </w:p>
        </w:tc>
        <w:tc>
          <w:tcPr>
            <w:tcW w:w="341" w:type="pct"/>
            <w:tcBorders>
              <w:top w:val="single" w:sz="4" w:space="0" w:color="auto"/>
              <w:left w:val="single" w:sz="4" w:space="0" w:color="auto"/>
              <w:bottom w:val="single" w:sz="4" w:space="0" w:color="auto"/>
              <w:right w:val="single" w:sz="4" w:space="0" w:color="auto"/>
            </w:tcBorders>
          </w:tcPr>
          <w:p w14:paraId="5D758079" w14:textId="77777777" w:rsidR="00625BDB" w:rsidRPr="00625BDB" w:rsidRDefault="00625BDB" w:rsidP="00096131">
            <w:pPr>
              <w:pStyle w:val="Tabletext1"/>
              <w:jc w:val="center"/>
            </w:pPr>
          </w:p>
        </w:tc>
      </w:tr>
      <w:tr w:rsidR="00FA0052" w:rsidRPr="00B2301A" w14:paraId="6307BD4C" w14:textId="77777777" w:rsidTr="00625BDB">
        <w:tc>
          <w:tcPr>
            <w:tcW w:w="669" w:type="pct"/>
            <w:tcBorders>
              <w:top w:val="single" w:sz="4" w:space="0" w:color="auto"/>
              <w:left w:val="single" w:sz="4" w:space="0" w:color="auto"/>
              <w:bottom w:val="nil"/>
              <w:right w:val="single" w:sz="4" w:space="0" w:color="auto"/>
            </w:tcBorders>
            <w:shd w:val="clear" w:color="auto" w:fill="auto"/>
          </w:tcPr>
          <w:p w14:paraId="217F728F" w14:textId="0036F50B" w:rsidR="00FA0052" w:rsidRDefault="00211285" w:rsidP="00096131">
            <w:pPr>
              <w:pStyle w:val="Tabletext1"/>
              <w:rPr>
                <w:snapToGrid w:val="0"/>
              </w:rPr>
            </w:pPr>
            <w:hyperlink w:anchor="_ENREF_65" w:tooltip="Simpson, 2011 #69" w:history="1">
              <w:r w:rsidR="008B6FC0">
                <w:fldChar w:fldCharType="begin"/>
              </w:r>
              <w:r w:rsidR="008B6FC0">
                <w:instrText xml:space="preserve"> ADDIN EN.CITE &lt;EndNote&gt;&lt;Cite AuthorYear="1"&gt;&lt;Author&gt;Simpson&lt;/Author&gt;&lt;Year&gt;2011&lt;/Year&gt;&lt;RecNum&gt;69&lt;/RecNum&gt;&lt;DisplayText&gt;Simpson et al. (2011)&lt;/DisplayText&gt;&lt;record&gt;&lt;rec-number&gt;69&lt;/rec-number&gt;&lt;foreign-keys&gt;&lt;key app="EN" db-id="sx5wsdwv795wvue959xxw0ptaewvdezxxp05" timestamp="1604876398"&gt;69&lt;/key&gt;&lt;/foreign-keys&gt;&lt;ref-type name="Journal Article"&gt;17&lt;/ref-type&gt;&lt;contributors&gt;&lt;authors&gt;&lt;author&gt;Simpson, D. R.&lt;/author&gt;&lt;author&gt;Einck, J. P.&lt;/author&gt;&lt;author&gt;Nath, S. K.&lt;/author&gt;&lt;author&gt;Sethi, R. A.&lt;/author&gt;&lt;author&gt;Wang, J. Z.&lt;/author&gt;&lt;author&gt;Mundt, A. J.&lt;/author&gt;&lt;author&gt;Sandhu, A. P.&lt;/author&gt;&lt;/authors&gt;&lt;/contributors&gt;&lt;titles&gt;&lt;title&gt;Comparison of daily cone-beam computed tomography and kilovoltage planar imaging for target localization in prostate cancer patients following radical prostatectomy&lt;/title&gt;&lt;secondary-title&gt;Practical Radiation Oncology&lt;/secondary-title&gt;&lt;/titles&gt;&lt;pages&gt;156-162&lt;/pages&gt;&lt;volume&gt;1&lt;/volume&gt;&lt;number&gt;3&lt;/number&gt;&lt;dates&gt;&lt;year&gt;2011&lt;/year&gt;&lt;/dates&gt;&lt;accession-num&gt;51417405&lt;/accession-num&gt;&lt;urls&gt;&lt;related-urls&gt;&lt;url&gt;http://ezproxy.library.usyd.edu.au/login?url=http://ovidsp.ovid.com/ovidweb.cgi?T=JS&amp;amp;CSC=Y&amp;amp;NEWS=N&amp;amp;PAGE=fulltext&amp;amp;D=emed12&amp;amp;AN=51417405https://sydney.alma.exlibrisgroup.com/openurl/61USYD_INST/61USYD_INST:sydney?sid=OVID:embase&amp;amp;id=pmid:&amp;amp;id=doi:10.1016%2Fj.pr&lt;/url&gt;&lt;/related-urls&gt;&lt;/urls&gt;&lt;electronic-resource-num&gt;http://dx.doi.org/10.1016/j.prro.2010.12.002&lt;/electronic-resource-num&gt;&lt;/record&gt;&lt;/Cite&gt;&lt;/EndNote&gt;</w:instrText>
              </w:r>
              <w:r w:rsidR="008B6FC0">
                <w:fldChar w:fldCharType="separate"/>
              </w:r>
              <w:r w:rsidR="008B6FC0">
                <w:rPr>
                  <w:noProof/>
                </w:rPr>
                <w:t>Simpson et al. (2011)</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27F8F904" w14:textId="6D61148A" w:rsidR="00625BDB" w:rsidRPr="00625BDB" w:rsidRDefault="00625BDB" w:rsidP="00096131">
            <w:pPr>
              <w:pStyle w:val="Tabletext1"/>
              <w:jc w:val="center"/>
            </w:pPr>
            <w:r w:rsidRPr="00625BDB">
              <w:t>GI</w:t>
            </w:r>
          </w:p>
          <w:p w14:paraId="501D341A" w14:textId="33DB1345"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72A3A19" w14:textId="77777777" w:rsidR="00FA0052" w:rsidRPr="00625BDB"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B86F38E" w14:textId="743F5FF8" w:rsidR="00FA0052" w:rsidRPr="00625BDB" w:rsidRDefault="00625BDB" w:rsidP="00096131">
            <w:pPr>
              <w:pStyle w:val="Tabletext1"/>
              <w:jc w:val="center"/>
            </w:pPr>
            <w:r w:rsidRPr="00625BDB">
              <w:t>6/23 (26%)</w:t>
            </w:r>
          </w:p>
        </w:tc>
        <w:tc>
          <w:tcPr>
            <w:tcW w:w="349" w:type="pct"/>
            <w:tcBorders>
              <w:top w:val="single" w:sz="4" w:space="0" w:color="auto"/>
              <w:left w:val="single" w:sz="4" w:space="0" w:color="auto"/>
              <w:bottom w:val="single" w:sz="4" w:space="0" w:color="auto"/>
              <w:right w:val="single" w:sz="4" w:space="0" w:color="auto"/>
            </w:tcBorders>
          </w:tcPr>
          <w:p w14:paraId="6651A11C" w14:textId="76A669F1" w:rsidR="00FA0052" w:rsidRPr="00625BDB" w:rsidRDefault="00625BDB" w:rsidP="00096131">
            <w:pPr>
              <w:pStyle w:val="Tabletext1"/>
              <w:jc w:val="center"/>
            </w:pPr>
            <w:r w:rsidRPr="00625BDB">
              <w:t>3/23 (13%)</w:t>
            </w:r>
          </w:p>
        </w:tc>
        <w:tc>
          <w:tcPr>
            <w:tcW w:w="349" w:type="pct"/>
            <w:tcBorders>
              <w:top w:val="single" w:sz="4" w:space="0" w:color="auto"/>
              <w:left w:val="single" w:sz="4" w:space="0" w:color="auto"/>
              <w:bottom w:val="single" w:sz="4" w:space="0" w:color="auto"/>
              <w:right w:val="single" w:sz="4" w:space="0" w:color="auto"/>
            </w:tcBorders>
          </w:tcPr>
          <w:p w14:paraId="7802BA27" w14:textId="3C7B6EAC"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6762F5F" w14:textId="26DC99BD"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314870A" w14:textId="709DF2BD"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9442B1E" w14:textId="22F599A8"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15A897A" w14:textId="2E6DE703"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BB83A04" w14:textId="77777777" w:rsidR="00FA0052" w:rsidRDefault="00FA005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39DD642" w14:textId="77777777" w:rsidR="00FA0052" w:rsidRDefault="00FA0052" w:rsidP="00096131">
            <w:pPr>
              <w:pStyle w:val="Tabletext1"/>
              <w:jc w:val="center"/>
            </w:pPr>
          </w:p>
        </w:tc>
      </w:tr>
      <w:tr w:rsidR="00625BDB" w:rsidRPr="00B2301A" w14:paraId="6D63CF5C" w14:textId="77777777" w:rsidTr="00625BDB">
        <w:tc>
          <w:tcPr>
            <w:tcW w:w="669" w:type="pct"/>
            <w:tcBorders>
              <w:top w:val="nil"/>
              <w:left w:val="single" w:sz="4" w:space="0" w:color="auto"/>
              <w:bottom w:val="single" w:sz="4" w:space="0" w:color="auto"/>
              <w:right w:val="single" w:sz="4" w:space="0" w:color="auto"/>
            </w:tcBorders>
            <w:shd w:val="clear" w:color="auto" w:fill="auto"/>
          </w:tcPr>
          <w:p w14:paraId="245AD9C3" w14:textId="77777777" w:rsidR="00625BDB" w:rsidRDefault="00625BDB"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A6FDDC3" w14:textId="4B5B698E" w:rsidR="00625BDB" w:rsidRPr="00625BDB" w:rsidRDefault="00625BDB" w:rsidP="00096131">
            <w:pPr>
              <w:pStyle w:val="Tabletext1"/>
              <w:jc w:val="center"/>
            </w:pPr>
            <w:r w:rsidRPr="00625BDB">
              <w:t>GU</w:t>
            </w:r>
          </w:p>
          <w:p w14:paraId="4C60CA88"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846A231" w14:textId="77777777" w:rsidR="00625BDB" w:rsidRPr="00625BDB" w:rsidRDefault="00625BDB"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8C90307" w14:textId="5E890D52" w:rsidR="00625BDB" w:rsidRPr="00625BDB" w:rsidRDefault="00625BDB" w:rsidP="00096131">
            <w:pPr>
              <w:pStyle w:val="Tabletext1"/>
              <w:jc w:val="center"/>
            </w:pPr>
            <w:r w:rsidRPr="00625BDB">
              <w:t>10/23 (43%)</w:t>
            </w:r>
          </w:p>
        </w:tc>
        <w:tc>
          <w:tcPr>
            <w:tcW w:w="349" w:type="pct"/>
            <w:tcBorders>
              <w:top w:val="single" w:sz="4" w:space="0" w:color="auto"/>
              <w:left w:val="single" w:sz="4" w:space="0" w:color="auto"/>
              <w:bottom w:val="single" w:sz="4" w:space="0" w:color="auto"/>
              <w:right w:val="single" w:sz="4" w:space="0" w:color="auto"/>
            </w:tcBorders>
          </w:tcPr>
          <w:p w14:paraId="2285D320" w14:textId="715E40A3" w:rsidR="00625BDB" w:rsidRPr="00625BDB" w:rsidRDefault="00625BDB" w:rsidP="00096131">
            <w:pPr>
              <w:pStyle w:val="Tabletext1"/>
              <w:jc w:val="center"/>
            </w:pPr>
            <w:r w:rsidRPr="00625BDB">
              <w:t>2/23 (9%)</w:t>
            </w:r>
          </w:p>
        </w:tc>
        <w:tc>
          <w:tcPr>
            <w:tcW w:w="349" w:type="pct"/>
            <w:tcBorders>
              <w:top w:val="single" w:sz="4" w:space="0" w:color="auto"/>
              <w:left w:val="single" w:sz="4" w:space="0" w:color="auto"/>
              <w:bottom w:val="single" w:sz="4" w:space="0" w:color="auto"/>
              <w:right w:val="single" w:sz="4" w:space="0" w:color="auto"/>
            </w:tcBorders>
          </w:tcPr>
          <w:p w14:paraId="03013338"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0168E7C" w14:textId="77777777" w:rsid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C650C28" w14:textId="77777777" w:rsidR="00625BDB" w:rsidRDefault="00625BDB"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B903499" w14:textId="77777777" w:rsid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63E91CB" w14:textId="77777777" w:rsid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96C0C23" w14:textId="77777777" w:rsidR="00625BDB" w:rsidRDefault="00625BDB"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011A6A11" w14:textId="77777777" w:rsidR="00625BDB" w:rsidRDefault="00625BDB" w:rsidP="00096131">
            <w:pPr>
              <w:pStyle w:val="Tabletext1"/>
              <w:jc w:val="center"/>
            </w:pPr>
          </w:p>
        </w:tc>
      </w:tr>
      <w:tr w:rsidR="00FA0052" w:rsidRPr="00B2301A" w14:paraId="5DC50213" w14:textId="77777777" w:rsidTr="00625BDB">
        <w:tc>
          <w:tcPr>
            <w:tcW w:w="669" w:type="pct"/>
            <w:tcBorders>
              <w:top w:val="single" w:sz="4" w:space="0" w:color="auto"/>
              <w:left w:val="single" w:sz="4" w:space="0" w:color="auto"/>
              <w:bottom w:val="nil"/>
              <w:right w:val="single" w:sz="4" w:space="0" w:color="auto"/>
            </w:tcBorders>
            <w:shd w:val="clear" w:color="auto" w:fill="auto"/>
          </w:tcPr>
          <w:p w14:paraId="3AF5F788" w14:textId="576349D6" w:rsidR="00FA0052" w:rsidRDefault="00211285" w:rsidP="00096131">
            <w:pPr>
              <w:pStyle w:val="Tabletext1"/>
              <w:rPr>
                <w:snapToGrid w:val="0"/>
              </w:rPr>
            </w:pPr>
            <w:hyperlink w:anchor="_ENREF_68" w:tooltip="Swamy, 2009 #71" w:history="1">
              <w:r w:rsidR="008B6FC0">
                <w:fldChar w:fldCharType="begin"/>
              </w:r>
              <w:r w:rsidR="008B6FC0">
                <w:instrText xml:space="preserve"> ADDIN EN.CITE &lt;EndNote&gt;&lt;Cite AuthorYear="1"&gt;&lt;Author&gt;Swamy&lt;/Author&gt;&lt;Year&gt;2009&lt;/Year&gt;&lt;RecNum&gt;71&lt;/RecNum&gt;&lt;DisplayText&gt;Swamy et al. (2009)&lt;/DisplayText&gt;&lt;record&gt;&lt;rec-number&gt;71&lt;/rec-number&gt;&lt;foreign-keys&gt;&lt;key app="EN" db-id="sx5wsdwv795wvue959xxw0ptaewvdezxxp05" timestamp="1604876398"&gt;71&lt;/key&gt;&lt;/foreign-keys&gt;&lt;ref-type name="Journal Article"&gt;17&lt;/ref-type&gt;&lt;contributors&gt;&lt;authors&gt;&lt;author&gt;Swamy, K.&lt;/author&gt;&lt;author&gt;Narayanan, V. K. S.&lt;/author&gt;&lt;author&gt;Basu, S.&lt;/author&gt;&lt;author&gt;Maiya, V.&lt;/author&gt;&lt;author&gt;Achari, R.&lt;/author&gt;&lt;author&gt;Deshpande, S.&lt;/author&gt;&lt;author&gt;Bhangle, J.&lt;/author&gt;&lt;author&gt;Gupta, K.&lt;/author&gt;&lt;author&gt;Babu, N.&lt;/author&gt;&lt;author&gt;Pawar, S.&lt;/author&gt;&lt;author&gt;Atre, A.&lt;/author&gt;&lt;author&gt;Balachandra, K.&lt;/author&gt;&lt;author&gt;Koppiker, C. B.&lt;/author&gt;&lt;/authors&gt;&lt;/contributors&gt;&lt;titles&gt;&lt;title&gt;Dose escalation in image-guided, intensity-modulated radiotherapy of carcinoma prostate: Initial experience in India&lt;/title&gt;&lt;secondary-title&gt;Journal of Cancer Research and Therapeutics&lt;/secondary-title&gt;&lt;/titles&gt;&lt;pages&gt;277-283&lt;/pages&gt;&lt;volume&gt;5&lt;/volume&gt;&lt;number&gt;4&lt;/number&gt;&lt;dates&gt;&lt;year&gt;2009&lt;/year&gt;&lt;/dates&gt;&lt;accession-num&gt;358409149&lt;/accession-num&gt;&lt;urls&gt;&lt;related-urls&gt;&lt;url&gt;http://ezproxy.library.usyd.edu.au/login?url=http://ovidsp.ovid.com/ovidweb.cgi?T=JS&amp;amp;CSC=Y&amp;amp;NEWS=N&amp;amp;PAGE=fulltext&amp;amp;D=emed11&amp;amp;AN=358409149https://sydney.alma.exlibrisgroup.com/openurl/61USYD_INST/61USYD_INST:sydney?sid=OVID:embase&amp;amp;id=pmid:20160362&amp;amp;id=doi:10.41&lt;/url&gt;&lt;url&gt;https://www.cancerjournal.net/article.asp?issn=0973-1482;year=2009;volume=5;issue=4;spage=277;epage=283;aulast=Swamy&lt;/url&gt;&lt;/related-urls&gt;&lt;/urls&gt;&lt;electronic-resource-num&gt;http://dx.doi.org/10.4103/0973-1482.59909&lt;/electronic-resource-num&gt;&lt;/record&gt;&lt;/Cite&gt;&lt;/EndNote&gt;</w:instrText>
              </w:r>
              <w:r w:rsidR="008B6FC0">
                <w:fldChar w:fldCharType="separate"/>
              </w:r>
              <w:r w:rsidR="008B6FC0">
                <w:rPr>
                  <w:noProof/>
                </w:rPr>
                <w:t>Swamy et al. (2009)</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2FADAF9F" w14:textId="679763B5" w:rsidR="00FA0052" w:rsidRDefault="00625BDB" w:rsidP="00096131">
            <w:pPr>
              <w:pStyle w:val="Tabletext1"/>
              <w:jc w:val="center"/>
            </w:pPr>
            <w:r>
              <w:t>GI: Proctitis 12 months</w:t>
            </w:r>
          </w:p>
        </w:tc>
        <w:tc>
          <w:tcPr>
            <w:tcW w:w="349" w:type="pct"/>
            <w:tcBorders>
              <w:top w:val="single" w:sz="4" w:space="0" w:color="auto"/>
              <w:left w:val="single" w:sz="4" w:space="0" w:color="auto"/>
              <w:bottom w:val="single" w:sz="4" w:space="0" w:color="auto"/>
              <w:right w:val="single" w:sz="4" w:space="0" w:color="auto"/>
            </w:tcBorders>
          </w:tcPr>
          <w:p w14:paraId="4D16AAFF" w14:textId="77777777"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D8F2B46" w14:textId="0A03C12E"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6676B4C" w14:textId="533A45A8"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0657117" w14:textId="649EAD33"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3FCEB05" w14:textId="1BAC69D9"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E00945D" w14:textId="2F045350" w:rsidR="00FA0052"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138716F" w14:textId="69924231" w:rsidR="00FA0052" w:rsidRDefault="00625BDB" w:rsidP="00096131">
            <w:pPr>
              <w:pStyle w:val="Tabletext1"/>
              <w:jc w:val="center"/>
            </w:pPr>
            <w:r>
              <w:t>1/12 (8%)</w:t>
            </w:r>
          </w:p>
        </w:tc>
        <w:tc>
          <w:tcPr>
            <w:tcW w:w="349" w:type="pct"/>
            <w:tcBorders>
              <w:top w:val="single" w:sz="4" w:space="0" w:color="auto"/>
              <w:left w:val="single" w:sz="4" w:space="0" w:color="auto"/>
              <w:bottom w:val="single" w:sz="4" w:space="0" w:color="auto"/>
              <w:right w:val="single" w:sz="4" w:space="0" w:color="auto"/>
            </w:tcBorders>
          </w:tcPr>
          <w:p w14:paraId="0925FDF7" w14:textId="5736ED3F"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2C7D906" w14:textId="77777777" w:rsidR="00FA0052" w:rsidRDefault="00FA005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06B33D47" w14:textId="77777777" w:rsidR="00FA0052" w:rsidRDefault="00FA0052" w:rsidP="00096131">
            <w:pPr>
              <w:pStyle w:val="Tabletext1"/>
              <w:jc w:val="center"/>
            </w:pPr>
          </w:p>
        </w:tc>
      </w:tr>
      <w:tr w:rsidR="00625BDB" w:rsidRPr="00B2301A" w14:paraId="03BCCC60" w14:textId="77777777" w:rsidTr="00C16EC2">
        <w:tc>
          <w:tcPr>
            <w:tcW w:w="669" w:type="pct"/>
            <w:tcBorders>
              <w:top w:val="nil"/>
              <w:left w:val="single" w:sz="4" w:space="0" w:color="auto"/>
              <w:bottom w:val="single" w:sz="4" w:space="0" w:color="auto"/>
              <w:right w:val="single" w:sz="4" w:space="0" w:color="auto"/>
            </w:tcBorders>
            <w:shd w:val="clear" w:color="auto" w:fill="auto"/>
          </w:tcPr>
          <w:p w14:paraId="44A49799" w14:textId="77777777" w:rsidR="00625BDB" w:rsidRDefault="00625BDB"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9589BE7" w14:textId="7CC312BF" w:rsidR="00625BDB" w:rsidRDefault="00625BDB" w:rsidP="00096131">
            <w:pPr>
              <w:pStyle w:val="Tabletext1"/>
              <w:jc w:val="center"/>
            </w:pPr>
            <w:r>
              <w:t>GU</w:t>
            </w:r>
          </w:p>
        </w:tc>
        <w:tc>
          <w:tcPr>
            <w:tcW w:w="349" w:type="pct"/>
            <w:tcBorders>
              <w:top w:val="single" w:sz="4" w:space="0" w:color="auto"/>
              <w:left w:val="single" w:sz="4" w:space="0" w:color="auto"/>
              <w:bottom w:val="single" w:sz="4" w:space="0" w:color="auto"/>
              <w:right w:val="single" w:sz="4" w:space="0" w:color="auto"/>
            </w:tcBorders>
          </w:tcPr>
          <w:p w14:paraId="5761D48B" w14:textId="77777777" w:rsidR="00625BDB" w:rsidRDefault="00625BDB"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F23BA6D" w14:textId="77777777" w:rsid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8B3D0F2" w14:textId="77777777" w:rsid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563BC97" w14:textId="77777777" w:rsid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E46BD40" w14:textId="77777777" w:rsid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AD73CA1" w14:textId="77777777" w:rsidR="00625BDB" w:rsidRDefault="00625BDB"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2E3DDA69" w14:textId="5EDAA5A8" w:rsidR="00625BDB" w:rsidRDefault="00625BDB" w:rsidP="00096131">
            <w:pPr>
              <w:pStyle w:val="Tabletext1"/>
              <w:jc w:val="center"/>
            </w:pPr>
            <w:r>
              <w:t>0%</w:t>
            </w:r>
          </w:p>
        </w:tc>
        <w:tc>
          <w:tcPr>
            <w:tcW w:w="349" w:type="pct"/>
            <w:tcBorders>
              <w:top w:val="single" w:sz="4" w:space="0" w:color="auto"/>
              <w:left w:val="nil"/>
              <w:bottom w:val="single" w:sz="4" w:space="0" w:color="auto"/>
              <w:right w:val="nil"/>
            </w:tcBorders>
          </w:tcPr>
          <w:p w14:paraId="15F0B39B" w14:textId="77777777" w:rsidR="00625BDB" w:rsidRDefault="00625BDB" w:rsidP="00096131">
            <w:pPr>
              <w:pStyle w:val="Tabletext1"/>
              <w:jc w:val="center"/>
            </w:pPr>
          </w:p>
        </w:tc>
        <w:tc>
          <w:tcPr>
            <w:tcW w:w="349" w:type="pct"/>
            <w:tcBorders>
              <w:top w:val="single" w:sz="4" w:space="0" w:color="auto"/>
              <w:left w:val="nil"/>
              <w:bottom w:val="single" w:sz="4" w:space="0" w:color="auto"/>
              <w:right w:val="nil"/>
            </w:tcBorders>
          </w:tcPr>
          <w:p w14:paraId="4E270365" w14:textId="77777777" w:rsidR="00625BDB" w:rsidRDefault="00625BDB" w:rsidP="00096131">
            <w:pPr>
              <w:pStyle w:val="Tabletext1"/>
              <w:jc w:val="center"/>
            </w:pPr>
          </w:p>
        </w:tc>
        <w:tc>
          <w:tcPr>
            <w:tcW w:w="341" w:type="pct"/>
            <w:tcBorders>
              <w:top w:val="single" w:sz="4" w:space="0" w:color="auto"/>
              <w:left w:val="nil"/>
              <w:bottom w:val="single" w:sz="4" w:space="0" w:color="auto"/>
              <w:right w:val="single" w:sz="4" w:space="0" w:color="auto"/>
            </w:tcBorders>
          </w:tcPr>
          <w:p w14:paraId="49BA1B79" w14:textId="77777777" w:rsidR="00625BDB" w:rsidRDefault="00625BDB" w:rsidP="00096131">
            <w:pPr>
              <w:pStyle w:val="Tabletext1"/>
              <w:jc w:val="center"/>
            </w:pPr>
          </w:p>
        </w:tc>
      </w:tr>
      <w:tr w:rsidR="00FA0052" w:rsidRPr="00B2301A" w14:paraId="328C4007" w14:textId="77777777" w:rsidTr="00C16EC2">
        <w:tc>
          <w:tcPr>
            <w:tcW w:w="669" w:type="pct"/>
            <w:tcBorders>
              <w:top w:val="single" w:sz="4" w:space="0" w:color="auto"/>
              <w:left w:val="single" w:sz="4" w:space="0" w:color="auto"/>
              <w:bottom w:val="nil"/>
              <w:right w:val="single" w:sz="4" w:space="0" w:color="auto"/>
            </w:tcBorders>
            <w:shd w:val="clear" w:color="auto" w:fill="auto"/>
          </w:tcPr>
          <w:p w14:paraId="734BD8C2" w14:textId="17148258" w:rsidR="00FA0052" w:rsidRPr="00625BDB" w:rsidRDefault="00211285" w:rsidP="00096131">
            <w:pPr>
              <w:pStyle w:val="Tabletext1"/>
            </w:pPr>
            <w:hyperlink w:anchor="_ENREF_69" w:tooltip="Tamihardja, 2020 #72" w:history="1">
              <w:r w:rsidR="008B6FC0">
                <w:fldChar w:fldCharType="begin"/>
              </w:r>
              <w:r w:rsidR="008B6FC0">
                <w:instrText xml:space="preserve"> ADDIN EN.CITE &lt;EndNote&gt;&lt;Cite AuthorYear="1"&gt;&lt;Author&gt;Tamihardja&lt;/Author&gt;&lt;Year&gt;2020&lt;/Year&gt;&lt;RecNum&gt;72&lt;/RecNum&gt;&lt;DisplayText&gt;Tamihardja et al. (2020)&lt;/DisplayText&gt;&lt;record&gt;&lt;rec-number&gt;72&lt;/rec-number&gt;&lt;foreign-keys&gt;&lt;key app="EN" db-id="sx5wsdwv795wvue959xxw0ptaewvdezxxp05" timestamp="1604876398"&gt;72&lt;/key&gt;&lt;/foreign-keys&gt;&lt;ref-type name="Journal Article"&gt;17&lt;/ref-type&gt;&lt;contributors&gt;&lt;authors&gt;&lt;author&gt;Tamihardja, J.&lt;/author&gt;&lt;author&gt;Schortmann, M.&lt;/author&gt;&lt;author&gt;Lawrenz, I.&lt;/author&gt;&lt;author&gt;Weick, S.&lt;/author&gt;&lt;author&gt;Bratengeier, K.&lt;/author&gt;&lt;author&gt;Flentje, M.&lt;/author&gt;&lt;author&gt;Guckenberger, M.&lt;/author&gt;&lt;author&gt;Polat, B.&lt;/author&gt;&lt;/authors&gt;&lt;/contributors&gt;&lt;titles&gt;&lt;title&gt;Moderately hypofractionated radiotherapy for localized prostate cancer: updated long-term outcome and toxicity analysis&lt;/title&gt;&lt;secondary-title&gt;Strahlentherapie und Onkologie.&lt;/secondary-title&gt;&lt;/titles&gt;&lt;dates&gt;&lt;year&gt;2020&lt;/year&gt;&lt;/dates&gt;&lt;accession-num&gt;2005947820&lt;/accession-num&gt;&lt;urls&gt;&lt;related-urls&gt;&lt;url&gt;http://www.springerlink.com/content/103711/http://ezproxy.library.usyd.edu.au/login?url=http://ovidsp.ovid.com/ovidweb.cgi?T=JS&amp;amp;CSC=Y&amp;amp;NEWS=N&amp;amp;PAGE=fulltext&amp;amp;D=emexb&amp;amp;AN=2005947820https://sydney.alma.exlibrisgroup.com/openurl/61USYD_INST/61USYD_INST:sydney?si&lt;/url&gt;&lt;url&gt;https://link.springer.com/content/pdf/10.1007/s00066-020-01678-w.pdf&lt;/url&gt;&lt;/related-urls&gt;&lt;/urls&gt;&lt;electronic-resource-num&gt;http://dx.doi.org/10.1007/s00066-020-01678-w&lt;/electronic-resource-num&gt;&lt;/record&gt;&lt;/Cite&gt;&lt;/EndNote&gt;</w:instrText>
              </w:r>
              <w:r w:rsidR="008B6FC0">
                <w:fldChar w:fldCharType="separate"/>
              </w:r>
              <w:r w:rsidR="008B6FC0">
                <w:rPr>
                  <w:noProof/>
                </w:rPr>
                <w:t>Tamihardja et al. (2020)</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7A66E020" w14:textId="5370DE93" w:rsidR="00625BDB" w:rsidRPr="00625BDB" w:rsidRDefault="00625BDB" w:rsidP="00096131">
            <w:pPr>
              <w:spacing w:before="40" w:line="240" w:lineRule="auto"/>
              <w:jc w:val="center"/>
              <w:rPr>
                <w:rFonts w:ascii="Arial Narrow" w:hAnsi="Arial Narrow"/>
                <w:sz w:val="20"/>
                <w:szCs w:val="20"/>
              </w:rPr>
            </w:pPr>
            <w:r w:rsidRPr="00625BDB">
              <w:rPr>
                <w:rFonts w:ascii="Arial Narrow" w:hAnsi="Arial Narrow"/>
                <w:sz w:val="20"/>
                <w:szCs w:val="20"/>
              </w:rPr>
              <w:t>GI</w:t>
            </w:r>
          </w:p>
          <w:p w14:paraId="23EFA308" w14:textId="0243EDCC" w:rsidR="00FA0052"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9D4FE6F" w14:textId="77777777" w:rsidR="00FA0052" w:rsidRPr="00625BDB"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B6C0FB8" w14:textId="79AAD5B2"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2C49298" w14:textId="67EB9E6F" w:rsidR="00FA0052" w:rsidRPr="00625BDB" w:rsidRDefault="00625BDB" w:rsidP="00096131">
            <w:pPr>
              <w:pStyle w:val="Tabletext1"/>
              <w:jc w:val="center"/>
            </w:pPr>
            <w:r w:rsidRPr="00625BDB">
              <w:t>Grade ≥2: 13.0%</w:t>
            </w:r>
          </w:p>
        </w:tc>
        <w:tc>
          <w:tcPr>
            <w:tcW w:w="349" w:type="pct"/>
            <w:tcBorders>
              <w:top w:val="single" w:sz="4" w:space="0" w:color="auto"/>
              <w:left w:val="single" w:sz="4" w:space="0" w:color="auto"/>
              <w:bottom w:val="single" w:sz="4" w:space="0" w:color="auto"/>
              <w:right w:val="single" w:sz="4" w:space="0" w:color="auto"/>
            </w:tcBorders>
          </w:tcPr>
          <w:p w14:paraId="1CDC560A" w14:textId="388C206C"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3F435CC" w14:textId="0EB04F3B"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F94682D" w14:textId="28D0F92F" w:rsidR="00FA0052" w:rsidRPr="00625BDB" w:rsidRDefault="00FA005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AD6DDFB" w14:textId="17486697" w:rsidR="00FA0052" w:rsidRPr="00625BDB" w:rsidRDefault="00FA005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FC781EA" w14:textId="56DC6B5E" w:rsidR="00FA0052" w:rsidRPr="00625BDB" w:rsidRDefault="00625BDB" w:rsidP="00096131">
            <w:pPr>
              <w:pStyle w:val="Tabletext1"/>
              <w:jc w:val="center"/>
            </w:pPr>
            <w:r w:rsidRPr="00625BDB">
              <w:t>Grade ≥2: 12.1%</w:t>
            </w:r>
            <w:r w:rsidRPr="00625BDB">
              <w:rPr>
                <w:vertAlign w:val="superscript"/>
              </w:rPr>
              <w:t>3</w:t>
            </w:r>
          </w:p>
        </w:tc>
        <w:tc>
          <w:tcPr>
            <w:tcW w:w="349" w:type="pct"/>
            <w:tcBorders>
              <w:top w:val="single" w:sz="4" w:space="0" w:color="auto"/>
              <w:left w:val="single" w:sz="4" w:space="0" w:color="auto"/>
              <w:bottom w:val="single" w:sz="4" w:space="0" w:color="auto"/>
              <w:right w:val="single" w:sz="4" w:space="0" w:color="auto"/>
            </w:tcBorders>
          </w:tcPr>
          <w:p w14:paraId="7AAD925B" w14:textId="542ABA8A" w:rsidR="00FA0052" w:rsidRPr="00625BDB" w:rsidRDefault="00625BDB" w:rsidP="00096131">
            <w:pPr>
              <w:pStyle w:val="Tabletext1"/>
              <w:jc w:val="center"/>
            </w:pPr>
            <w:r w:rsidRPr="00625BDB">
              <w:t>4/346 (1%)</w:t>
            </w:r>
            <w:r w:rsidRPr="00625BDB">
              <w:br/>
            </w:r>
          </w:p>
        </w:tc>
        <w:tc>
          <w:tcPr>
            <w:tcW w:w="341" w:type="pct"/>
            <w:tcBorders>
              <w:top w:val="single" w:sz="4" w:space="0" w:color="auto"/>
              <w:left w:val="single" w:sz="4" w:space="0" w:color="auto"/>
              <w:bottom w:val="single" w:sz="4" w:space="0" w:color="auto"/>
              <w:right w:val="single" w:sz="4" w:space="0" w:color="auto"/>
            </w:tcBorders>
          </w:tcPr>
          <w:p w14:paraId="05C38BC6" w14:textId="64BDB23B" w:rsidR="00FA0052" w:rsidRPr="00625BDB" w:rsidRDefault="00625BDB" w:rsidP="00096131">
            <w:pPr>
              <w:pStyle w:val="Tabletext1"/>
              <w:jc w:val="center"/>
            </w:pPr>
            <w:r w:rsidRPr="00625BDB">
              <w:t>0/346 (0%)</w:t>
            </w:r>
          </w:p>
        </w:tc>
      </w:tr>
      <w:tr w:rsidR="00625BDB" w:rsidRPr="00B2301A" w14:paraId="240F4969" w14:textId="77777777" w:rsidTr="00D82E22">
        <w:tc>
          <w:tcPr>
            <w:tcW w:w="669" w:type="pct"/>
            <w:tcBorders>
              <w:top w:val="nil"/>
              <w:left w:val="single" w:sz="4" w:space="0" w:color="auto"/>
              <w:bottom w:val="single" w:sz="4" w:space="0" w:color="auto"/>
              <w:right w:val="single" w:sz="4" w:space="0" w:color="auto"/>
            </w:tcBorders>
            <w:shd w:val="clear" w:color="auto" w:fill="auto"/>
          </w:tcPr>
          <w:p w14:paraId="68D211B9" w14:textId="77777777" w:rsidR="00625BDB" w:rsidRDefault="00625BDB"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547F1FF8" w14:textId="1C3A48B3" w:rsidR="00625BDB" w:rsidRPr="00C16EC2" w:rsidRDefault="00C16EC2" w:rsidP="00096131">
            <w:pPr>
              <w:spacing w:before="40" w:line="240" w:lineRule="auto"/>
              <w:jc w:val="center"/>
              <w:rPr>
                <w:rFonts w:ascii="Arial Narrow" w:hAnsi="Arial Narrow"/>
                <w:sz w:val="20"/>
                <w:szCs w:val="20"/>
              </w:rPr>
            </w:pPr>
            <w:r w:rsidRPr="00C16EC2">
              <w:rPr>
                <w:rFonts w:ascii="Arial Narrow" w:hAnsi="Arial Narrow"/>
                <w:sz w:val="20"/>
                <w:szCs w:val="20"/>
              </w:rPr>
              <w:t>GU</w:t>
            </w:r>
          </w:p>
          <w:p w14:paraId="5DFEDC71" w14:textId="77777777" w:rsidR="00625BDB" w:rsidRPr="00625BDB" w:rsidRDefault="00625BDB" w:rsidP="00096131">
            <w:pPr>
              <w:spacing w:before="40" w:line="240" w:lineRule="auto"/>
              <w:jc w:val="center"/>
              <w:rPr>
                <w:rFonts w:ascii="Arial Narrow" w:hAnsi="Arial Narrow"/>
                <w:sz w:val="20"/>
                <w:szCs w:val="20"/>
              </w:rPr>
            </w:pPr>
          </w:p>
        </w:tc>
        <w:tc>
          <w:tcPr>
            <w:tcW w:w="349" w:type="pct"/>
            <w:tcBorders>
              <w:top w:val="single" w:sz="4" w:space="0" w:color="auto"/>
              <w:left w:val="single" w:sz="4" w:space="0" w:color="auto"/>
              <w:bottom w:val="single" w:sz="4" w:space="0" w:color="auto"/>
              <w:right w:val="single" w:sz="4" w:space="0" w:color="auto"/>
            </w:tcBorders>
          </w:tcPr>
          <w:p w14:paraId="155BCD05" w14:textId="77777777" w:rsidR="00625BDB" w:rsidRPr="00625BDB" w:rsidRDefault="00625BDB"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DD4F6DB"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E0F18AE" w14:textId="1CCC7805" w:rsidR="00625BDB" w:rsidRPr="00625BDB" w:rsidRDefault="00625BDB" w:rsidP="00096131">
            <w:pPr>
              <w:pStyle w:val="Tabletext1"/>
              <w:jc w:val="center"/>
            </w:pPr>
            <w:r w:rsidRPr="00625BDB">
              <w:t>Grade ≥2: 30</w:t>
            </w:r>
            <w:r>
              <w:t>.1</w:t>
            </w:r>
            <w:r w:rsidRPr="00625BDB">
              <w:t>%</w:t>
            </w:r>
          </w:p>
        </w:tc>
        <w:tc>
          <w:tcPr>
            <w:tcW w:w="349" w:type="pct"/>
            <w:tcBorders>
              <w:top w:val="single" w:sz="4" w:space="0" w:color="auto"/>
              <w:left w:val="single" w:sz="4" w:space="0" w:color="auto"/>
              <w:bottom w:val="single" w:sz="4" w:space="0" w:color="auto"/>
              <w:right w:val="single" w:sz="4" w:space="0" w:color="auto"/>
            </w:tcBorders>
          </w:tcPr>
          <w:p w14:paraId="5432C56B"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ACC7D9A"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1FB4DB8" w14:textId="77777777" w:rsidR="00625BDB" w:rsidRPr="00625BDB" w:rsidRDefault="00625BDB"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0E15E57" w14:textId="77777777" w:rsidR="00625BDB" w:rsidRPr="00625BDB" w:rsidRDefault="00625BDB"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0ED08EB" w14:textId="62E9C93C" w:rsidR="00625BDB" w:rsidRPr="00625BDB" w:rsidRDefault="00625BDB" w:rsidP="00096131">
            <w:pPr>
              <w:pStyle w:val="Tabletext1"/>
              <w:jc w:val="center"/>
            </w:pPr>
            <w:r w:rsidRPr="00625BDB">
              <w:t xml:space="preserve">Grade ≥2: </w:t>
            </w:r>
            <w:r>
              <w:t>26.3</w:t>
            </w:r>
            <w:r w:rsidRPr="00625BDB">
              <w:t>%</w:t>
            </w:r>
            <w:r w:rsidRPr="00625BDB">
              <w:rPr>
                <w:vertAlign w:val="superscript"/>
              </w:rPr>
              <w:t>3</w:t>
            </w:r>
          </w:p>
        </w:tc>
        <w:tc>
          <w:tcPr>
            <w:tcW w:w="349" w:type="pct"/>
            <w:tcBorders>
              <w:top w:val="single" w:sz="4" w:space="0" w:color="auto"/>
              <w:left w:val="single" w:sz="4" w:space="0" w:color="auto"/>
              <w:bottom w:val="single" w:sz="4" w:space="0" w:color="auto"/>
              <w:right w:val="single" w:sz="4" w:space="0" w:color="auto"/>
            </w:tcBorders>
          </w:tcPr>
          <w:p w14:paraId="307C0CFE" w14:textId="4B75E999" w:rsidR="00625BDB" w:rsidRPr="00C16EC2" w:rsidRDefault="00C16EC2" w:rsidP="00096131">
            <w:pPr>
              <w:pStyle w:val="Tabletext1"/>
              <w:jc w:val="center"/>
            </w:pPr>
            <w:r w:rsidRPr="00C16EC2">
              <w:t>14/346 (4%)</w:t>
            </w:r>
          </w:p>
        </w:tc>
        <w:tc>
          <w:tcPr>
            <w:tcW w:w="341" w:type="pct"/>
            <w:tcBorders>
              <w:top w:val="single" w:sz="4" w:space="0" w:color="auto"/>
              <w:left w:val="single" w:sz="4" w:space="0" w:color="auto"/>
              <w:bottom w:val="single" w:sz="4" w:space="0" w:color="auto"/>
              <w:right w:val="single" w:sz="4" w:space="0" w:color="auto"/>
            </w:tcBorders>
          </w:tcPr>
          <w:p w14:paraId="220B3C26" w14:textId="77777777" w:rsidR="00625BDB" w:rsidRPr="00C16EC2" w:rsidRDefault="00625BDB" w:rsidP="00096131">
            <w:pPr>
              <w:pStyle w:val="Tabletext1"/>
              <w:jc w:val="center"/>
            </w:pPr>
          </w:p>
        </w:tc>
      </w:tr>
      <w:tr w:rsidR="00C16EC2" w:rsidRPr="00B2301A" w14:paraId="45657974" w14:textId="77777777" w:rsidTr="00D82E22">
        <w:tc>
          <w:tcPr>
            <w:tcW w:w="669" w:type="pct"/>
            <w:tcBorders>
              <w:top w:val="single" w:sz="4" w:space="0" w:color="auto"/>
              <w:left w:val="single" w:sz="4" w:space="0" w:color="auto"/>
              <w:bottom w:val="nil"/>
              <w:right w:val="single" w:sz="4" w:space="0" w:color="auto"/>
            </w:tcBorders>
            <w:shd w:val="clear" w:color="auto" w:fill="auto"/>
          </w:tcPr>
          <w:p w14:paraId="67A69678" w14:textId="08D9258A" w:rsidR="00C16EC2" w:rsidRDefault="00211285" w:rsidP="00096131">
            <w:pPr>
              <w:pStyle w:val="Tabletext1"/>
            </w:pPr>
            <w:hyperlink w:anchor="_ENREF_75" w:tooltip="Valeriani, 2013 #76" w:history="1">
              <w:r w:rsidR="001F781A">
                <w:fldChar w:fldCharType="begin"/>
              </w:r>
              <w:r w:rsidR="001F781A">
                <w:instrText xml:space="preserve"> ADDIN EN.CITE &lt;EndNote&gt;&lt;Cite AuthorYear="1"&gt;&lt;Author&gt;Valeriani&lt;/Author&gt;&lt;Year&gt;2013&lt;/Year&gt;&lt;RecNum&gt;76&lt;/RecNum&gt;&lt;DisplayText&gt;Valeriani, Bracci, et al. (2013)&lt;/DisplayText&gt;&lt;record&gt;&lt;rec-number&gt;76&lt;/rec-number&gt;&lt;foreign-keys&gt;&lt;key app="EN" db-id="sx5wsdwv795wvue959xxw0ptaewvdezxxp05" timestamp="1604876399"&gt;76&lt;/key&gt;&lt;/foreign-keys&gt;&lt;ref-type name="Journal Article"&gt;17&lt;/ref-type&gt;&lt;contributors&gt;&lt;authors&gt;&lt;author&gt;Valeriani, M.&lt;/author&gt;&lt;author&gt;Bracci, S.&lt;/author&gt;&lt;author&gt;Osti, M. F.&lt;/author&gt;&lt;author&gt;Falco, T.&lt;/author&gt;&lt;author&gt;Agolli, L.&lt;/author&gt;&lt;author&gt;De Sanctis, V.&lt;/author&gt;&lt;author&gt;Enrici, R. M.&lt;/author&gt;&lt;/authors&gt;&lt;/contributors&gt;&lt;titles&gt;&lt;title&gt;Intermediate-risk prostate cancer patients treated with androgen deprivation therapy and a hypofractionated radiation regimen with or without image guided radiotherapy&lt;/title&gt;&lt;secondary-title&gt;Radiat&lt;/secondary-title&gt;&lt;/titles&gt;&lt;pages&gt;137&lt;/pages&gt;&lt;volume&gt;8&lt;/volume&gt;&lt;dates&gt;&lt;year&gt;2013&lt;/year&gt;&lt;/dates&gt;&lt;accession-num&gt;23759081&lt;/accession-num&gt;&lt;urls&gt;&lt;related-urls&gt;&lt;url&gt;http://ezproxy.library.usyd.edu.au/login?url=http://ovidsp.ovid.com/ovidweb.cgi?T=JS&amp;amp;CSC=Y&amp;amp;NEWS=N&amp;amp;PAGE=fulltext&amp;amp;D=med10&amp;amp;AN=23759081https://sydney.alma.exlibrisgroup.com/openurl/61USYD_INST/61USYD_INST:sydney?sid=OVID:medline&amp;amp;id=pmid:23759081&amp;amp;id=doi:10.118&lt;/url&gt;&lt;url&gt;https://ro-journal.biomedcentral.com/track/pdf/10.1186/1748-717X-8-137&lt;/url&gt;&lt;url&gt;https://ro-journal.biomedcentral.com/track/pdf/10.1186/1748-717X-8-137.pdf&lt;/url&gt;&lt;/related-urls&gt;&lt;/urls&gt;&lt;electronic-resource-num&gt;https://dx.doi.org/10.1186/1748-717X-8-137&lt;/electronic-resource-num&gt;&lt;/record&gt;&lt;/Cite&gt;&lt;/EndNote&gt;</w:instrText>
              </w:r>
              <w:r w:rsidR="001F781A">
                <w:fldChar w:fldCharType="separate"/>
              </w:r>
              <w:r w:rsidR="001F781A">
                <w:rPr>
                  <w:noProof/>
                </w:rPr>
                <w:t>Valeriani, Bracci, et al. (2013)</w:t>
              </w:r>
              <w:r w:rsidR="001F781A">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7CE76350" w14:textId="31DB68D0" w:rsidR="00C16EC2" w:rsidRPr="00C16EC2" w:rsidRDefault="00D82E22" w:rsidP="00096131">
            <w:pPr>
              <w:pStyle w:val="Tabletext1"/>
              <w:jc w:val="center"/>
            </w:pPr>
            <w:r>
              <w:t>GI d</w:t>
            </w:r>
            <w:r w:rsidR="00C16EC2">
              <w:t>uring RT</w:t>
            </w:r>
          </w:p>
        </w:tc>
        <w:tc>
          <w:tcPr>
            <w:tcW w:w="349" w:type="pct"/>
            <w:tcBorders>
              <w:top w:val="single" w:sz="4" w:space="0" w:color="auto"/>
              <w:left w:val="single" w:sz="4" w:space="0" w:color="auto"/>
              <w:bottom w:val="single" w:sz="4" w:space="0" w:color="auto"/>
              <w:right w:val="single" w:sz="4" w:space="0" w:color="auto"/>
            </w:tcBorders>
          </w:tcPr>
          <w:p w14:paraId="53D9FF94" w14:textId="77777777" w:rsidR="00C16EC2" w:rsidRPr="00C16EC2" w:rsidRDefault="00C16EC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D2EB2FF" w14:textId="0ECE1338" w:rsidR="00C16EC2" w:rsidRPr="00C16EC2" w:rsidRDefault="00D82E22" w:rsidP="00096131">
            <w:pPr>
              <w:pStyle w:val="Tabletext1"/>
              <w:jc w:val="center"/>
            </w:pPr>
            <w:r>
              <w:t>8/69 (</w:t>
            </w:r>
            <w:r w:rsidR="00FE1DA5">
              <w:t>12</w:t>
            </w:r>
            <w:r>
              <w:t>%)</w:t>
            </w:r>
          </w:p>
        </w:tc>
        <w:tc>
          <w:tcPr>
            <w:tcW w:w="349" w:type="pct"/>
            <w:tcBorders>
              <w:top w:val="single" w:sz="4" w:space="0" w:color="auto"/>
              <w:left w:val="single" w:sz="4" w:space="0" w:color="auto"/>
              <w:bottom w:val="single" w:sz="4" w:space="0" w:color="auto"/>
              <w:right w:val="single" w:sz="4" w:space="0" w:color="auto"/>
            </w:tcBorders>
          </w:tcPr>
          <w:p w14:paraId="3395BF7F" w14:textId="0FD1F6FA" w:rsidR="00C16EC2" w:rsidRPr="00C16EC2" w:rsidRDefault="00D82E22" w:rsidP="00096131">
            <w:pPr>
              <w:pStyle w:val="Tabletext1"/>
              <w:jc w:val="center"/>
            </w:pPr>
            <w:r>
              <w:t>9/69 (13%)</w:t>
            </w:r>
          </w:p>
        </w:tc>
        <w:tc>
          <w:tcPr>
            <w:tcW w:w="349" w:type="pct"/>
            <w:tcBorders>
              <w:top w:val="single" w:sz="4" w:space="0" w:color="auto"/>
              <w:left w:val="single" w:sz="4" w:space="0" w:color="auto"/>
              <w:bottom w:val="single" w:sz="4" w:space="0" w:color="auto"/>
              <w:right w:val="single" w:sz="4" w:space="0" w:color="auto"/>
            </w:tcBorders>
          </w:tcPr>
          <w:p w14:paraId="12E0437B" w14:textId="77777777" w:rsidR="00C16EC2" w:rsidRPr="00C16EC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0897F14" w14:textId="77777777" w:rsidR="00C16EC2" w:rsidRPr="00C16EC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5DD0159" w14:textId="77777777" w:rsidR="00C16EC2" w:rsidRPr="00C16EC2" w:rsidRDefault="00C16EC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A89A06E" w14:textId="77777777" w:rsidR="00C16EC2" w:rsidRPr="00C16EC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CDC616B" w14:textId="77777777" w:rsidR="00C16EC2" w:rsidRPr="00C16EC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D922E52" w14:textId="77777777" w:rsidR="00C16EC2" w:rsidRPr="00C16EC2" w:rsidRDefault="00C16EC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2C07E192" w14:textId="77777777" w:rsidR="00C16EC2" w:rsidRPr="00C16EC2" w:rsidRDefault="00C16EC2" w:rsidP="00096131">
            <w:pPr>
              <w:pStyle w:val="Tabletext1"/>
              <w:jc w:val="center"/>
            </w:pPr>
          </w:p>
        </w:tc>
      </w:tr>
      <w:tr w:rsidR="00C16EC2" w:rsidRPr="00B2301A" w14:paraId="694AE6B9" w14:textId="77777777" w:rsidTr="00D82E22">
        <w:tc>
          <w:tcPr>
            <w:tcW w:w="669" w:type="pct"/>
            <w:tcBorders>
              <w:top w:val="nil"/>
              <w:left w:val="single" w:sz="4" w:space="0" w:color="auto"/>
              <w:bottom w:val="nil"/>
              <w:right w:val="single" w:sz="4" w:space="0" w:color="auto"/>
            </w:tcBorders>
            <w:shd w:val="clear" w:color="auto" w:fill="auto"/>
          </w:tcPr>
          <w:p w14:paraId="47865874" w14:textId="77777777" w:rsidR="00C16EC2" w:rsidRDefault="00C16EC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07FC42BF" w14:textId="5A5F06D9" w:rsidR="00C16EC2" w:rsidRPr="00C16EC2" w:rsidRDefault="00C16EC2" w:rsidP="00096131">
            <w:pPr>
              <w:pStyle w:val="Tabletext1"/>
              <w:jc w:val="center"/>
            </w:pPr>
            <w:r>
              <w:t>GI 3-month FU</w:t>
            </w:r>
          </w:p>
        </w:tc>
        <w:tc>
          <w:tcPr>
            <w:tcW w:w="349" w:type="pct"/>
            <w:tcBorders>
              <w:top w:val="single" w:sz="4" w:space="0" w:color="auto"/>
              <w:left w:val="single" w:sz="4" w:space="0" w:color="auto"/>
              <w:bottom w:val="single" w:sz="4" w:space="0" w:color="auto"/>
              <w:right w:val="single" w:sz="4" w:space="0" w:color="auto"/>
            </w:tcBorders>
          </w:tcPr>
          <w:p w14:paraId="73993C60" w14:textId="77777777" w:rsidR="00C16EC2" w:rsidRPr="00C16EC2" w:rsidRDefault="00C16EC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8AE2868" w14:textId="6830CCBE" w:rsidR="00C16EC2" w:rsidRPr="00C16EC2" w:rsidRDefault="00C16EC2" w:rsidP="00096131">
            <w:pPr>
              <w:pStyle w:val="Tabletext1"/>
              <w:jc w:val="center"/>
            </w:pPr>
            <w:r>
              <w:t>2/69 (</w:t>
            </w:r>
            <w:r w:rsidR="00FE1DA5">
              <w:t>3</w:t>
            </w:r>
            <w:r>
              <w:t>%)</w:t>
            </w:r>
          </w:p>
        </w:tc>
        <w:tc>
          <w:tcPr>
            <w:tcW w:w="349" w:type="pct"/>
            <w:tcBorders>
              <w:top w:val="single" w:sz="4" w:space="0" w:color="auto"/>
              <w:left w:val="single" w:sz="4" w:space="0" w:color="auto"/>
              <w:bottom w:val="single" w:sz="4" w:space="0" w:color="auto"/>
              <w:right w:val="single" w:sz="4" w:space="0" w:color="auto"/>
            </w:tcBorders>
          </w:tcPr>
          <w:p w14:paraId="2C510F99" w14:textId="56CC9CB0" w:rsidR="00C16EC2" w:rsidRPr="00C16EC2" w:rsidRDefault="00D82E22" w:rsidP="00096131">
            <w:pPr>
              <w:pStyle w:val="Tabletext1"/>
              <w:jc w:val="center"/>
            </w:pPr>
            <w:r>
              <w:t>1/69 (1%)</w:t>
            </w:r>
          </w:p>
        </w:tc>
        <w:tc>
          <w:tcPr>
            <w:tcW w:w="349" w:type="pct"/>
            <w:tcBorders>
              <w:top w:val="single" w:sz="4" w:space="0" w:color="auto"/>
              <w:left w:val="single" w:sz="4" w:space="0" w:color="auto"/>
              <w:bottom w:val="single" w:sz="4" w:space="0" w:color="auto"/>
              <w:right w:val="single" w:sz="4" w:space="0" w:color="auto"/>
            </w:tcBorders>
          </w:tcPr>
          <w:p w14:paraId="3CD0370D" w14:textId="4B200D3B" w:rsidR="00C16EC2" w:rsidRPr="00C16EC2" w:rsidRDefault="00D82E22" w:rsidP="00096131">
            <w:pPr>
              <w:pStyle w:val="Tabletext1"/>
              <w:jc w:val="center"/>
            </w:pPr>
            <w:r>
              <w:br/>
            </w:r>
          </w:p>
        </w:tc>
        <w:tc>
          <w:tcPr>
            <w:tcW w:w="349" w:type="pct"/>
            <w:tcBorders>
              <w:top w:val="single" w:sz="4" w:space="0" w:color="auto"/>
              <w:left w:val="single" w:sz="4" w:space="0" w:color="auto"/>
              <w:bottom w:val="single" w:sz="4" w:space="0" w:color="auto"/>
              <w:right w:val="single" w:sz="4" w:space="0" w:color="auto"/>
            </w:tcBorders>
          </w:tcPr>
          <w:p w14:paraId="1ADCB8BA" w14:textId="77777777" w:rsidR="00C16EC2" w:rsidRPr="00C16EC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0A78A98" w14:textId="77777777" w:rsidR="00C16EC2" w:rsidRPr="00C16EC2" w:rsidRDefault="00C16EC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67CA695" w14:textId="77777777" w:rsidR="00C16EC2" w:rsidRPr="00C16EC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70F9945" w14:textId="77777777" w:rsidR="00C16EC2" w:rsidRPr="00C16EC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C779832" w14:textId="77777777" w:rsidR="00C16EC2" w:rsidRPr="00C16EC2" w:rsidRDefault="00C16EC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1316B5D8" w14:textId="77777777" w:rsidR="00C16EC2" w:rsidRPr="00C16EC2" w:rsidRDefault="00C16EC2" w:rsidP="00096131">
            <w:pPr>
              <w:pStyle w:val="Tabletext1"/>
              <w:jc w:val="center"/>
            </w:pPr>
          </w:p>
        </w:tc>
      </w:tr>
      <w:tr w:rsidR="00C16EC2" w:rsidRPr="00B2301A" w14:paraId="127ABC75" w14:textId="77777777" w:rsidTr="00D82E22">
        <w:tc>
          <w:tcPr>
            <w:tcW w:w="669" w:type="pct"/>
            <w:tcBorders>
              <w:top w:val="nil"/>
              <w:left w:val="single" w:sz="4" w:space="0" w:color="auto"/>
              <w:bottom w:val="nil"/>
              <w:right w:val="single" w:sz="4" w:space="0" w:color="auto"/>
            </w:tcBorders>
            <w:shd w:val="clear" w:color="auto" w:fill="auto"/>
          </w:tcPr>
          <w:p w14:paraId="6D4899E1" w14:textId="77777777" w:rsidR="00C16EC2" w:rsidRDefault="00C16EC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5442FB9" w14:textId="64B8CC57" w:rsidR="00C16EC2" w:rsidRPr="00D82E22" w:rsidRDefault="00D82E22" w:rsidP="00096131">
            <w:pPr>
              <w:pStyle w:val="Tabletext1"/>
              <w:jc w:val="center"/>
            </w:pPr>
            <w:r w:rsidRPr="00D82E22">
              <w:t>GI late cumulative rate grade ≥2</w:t>
            </w:r>
          </w:p>
        </w:tc>
        <w:tc>
          <w:tcPr>
            <w:tcW w:w="349" w:type="pct"/>
            <w:tcBorders>
              <w:top w:val="single" w:sz="4" w:space="0" w:color="auto"/>
              <w:left w:val="single" w:sz="4" w:space="0" w:color="auto"/>
              <w:bottom w:val="single" w:sz="4" w:space="0" w:color="auto"/>
              <w:right w:val="single" w:sz="4" w:space="0" w:color="auto"/>
            </w:tcBorders>
          </w:tcPr>
          <w:p w14:paraId="73E77DBB" w14:textId="77777777" w:rsidR="00C16EC2" w:rsidRPr="00D82E22" w:rsidRDefault="00C16EC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2CF719D"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B463F1F"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0F04CC0"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DBD15F9"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A00E274" w14:textId="77777777" w:rsidR="00C16EC2" w:rsidRPr="00D82E22" w:rsidRDefault="00C16EC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EFC2C51"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B3D17C4" w14:textId="077BABD4" w:rsidR="00C16EC2" w:rsidRPr="00D82E22" w:rsidRDefault="00D82E22" w:rsidP="00096131">
            <w:pPr>
              <w:pStyle w:val="Tabletext1"/>
              <w:jc w:val="center"/>
            </w:pPr>
            <w:r w:rsidRPr="00D82E22">
              <w:t>Grade ≥2: 1.6%</w:t>
            </w:r>
          </w:p>
        </w:tc>
        <w:tc>
          <w:tcPr>
            <w:tcW w:w="349" w:type="pct"/>
            <w:tcBorders>
              <w:top w:val="single" w:sz="4" w:space="0" w:color="auto"/>
              <w:left w:val="single" w:sz="4" w:space="0" w:color="auto"/>
              <w:bottom w:val="single" w:sz="4" w:space="0" w:color="auto"/>
              <w:right w:val="single" w:sz="4" w:space="0" w:color="auto"/>
            </w:tcBorders>
          </w:tcPr>
          <w:p w14:paraId="41C562BD" w14:textId="77777777" w:rsidR="00C16EC2" w:rsidRPr="00C16EC2" w:rsidRDefault="00C16EC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4C69D0C4" w14:textId="77777777" w:rsidR="00C16EC2" w:rsidRPr="00C16EC2" w:rsidRDefault="00C16EC2" w:rsidP="00096131">
            <w:pPr>
              <w:pStyle w:val="Tabletext1"/>
              <w:jc w:val="center"/>
            </w:pPr>
          </w:p>
        </w:tc>
      </w:tr>
      <w:tr w:rsidR="00C16EC2" w:rsidRPr="00B2301A" w14:paraId="1D8C8689" w14:textId="77777777" w:rsidTr="00D82E22">
        <w:tc>
          <w:tcPr>
            <w:tcW w:w="669" w:type="pct"/>
            <w:tcBorders>
              <w:top w:val="nil"/>
              <w:left w:val="single" w:sz="4" w:space="0" w:color="auto"/>
              <w:bottom w:val="nil"/>
              <w:right w:val="single" w:sz="4" w:space="0" w:color="auto"/>
            </w:tcBorders>
            <w:shd w:val="clear" w:color="auto" w:fill="auto"/>
          </w:tcPr>
          <w:p w14:paraId="296F0923" w14:textId="77777777" w:rsidR="00C16EC2" w:rsidRDefault="00C16EC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23BE3C70" w14:textId="37A90AD9" w:rsidR="00C16EC2" w:rsidRPr="00D82E22" w:rsidRDefault="00D82E22" w:rsidP="00096131">
            <w:pPr>
              <w:pStyle w:val="Tabletext1"/>
              <w:jc w:val="center"/>
            </w:pPr>
            <w:r w:rsidRPr="00D82E22">
              <w:t>GU during RT</w:t>
            </w:r>
            <w:r w:rsidRPr="00D82E22">
              <w:br/>
            </w:r>
          </w:p>
        </w:tc>
        <w:tc>
          <w:tcPr>
            <w:tcW w:w="349" w:type="pct"/>
            <w:tcBorders>
              <w:top w:val="single" w:sz="4" w:space="0" w:color="auto"/>
              <w:left w:val="single" w:sz="4" w:space="0" w:color="auto"/>
              <w:bottom w:val="single" w:sz="4" w:space="0" w:color="auto"/>
              <w:right w:val="single" w:sz="4" w:space="0" w:color="auto"/>
            </w:tcBorders>
          </w:tcPr>
          <w:p w14:paraId="54215B6B" w14:textId="77777777" w:rsidR="00C16EC2" w:rsidRPr="00D82E22" w:rsidRDefault="00C16EC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EBD03B2" w14:textId="07A2C6F8" w:rsidR="00C16EC2" w:rsidRPr="00D82E22" w:rsidRDefault="00D82E22" w:rsidP="00096131">
            <w:pPr>
              <w:pStyle w:val="Tabletext1"/>
              <w:jc w:val="center"/>
            </w:pPr>
            <w:r w:rsidRPr="00D82E22">
              <w:t>32/69 (46%)</w:t>
            </w:r>
          </w:p>
        </w:tc>
        <w:tc>
          <w:tcPr>
            <w:tcW w:w="349" w:type="pct"/>
            <w:tcBorders>
              <w:top w:val="single" w:sz="4" w:space="0" w:color="auto"/>
              <w:left w:val="single" w:sz="4" w:space="0" w:color="auto"/>
              <w:bottom w:val="single" w:sz="4" w:space="0" w:color="auto"/>
              <w:right w:val="single" w:sz="4" w:space="0" w:color="auto"/>
            </w:tcBorders>
          </w:tcPr>
          <w:p w14:paraId="544385C0" w14:textId="47AA95FA" w:rsidR="00C16EC2" w:rsidRPr="00D82E22" w:rsidRDefault="00D82E22" w:rsidP="00096131">
            <w:pPr>
              <w:pStyle w:val="Tabletext1"/>
              <w:jc w:val="center"/>
            </w:pPr>
            <w:r w:rsidRPr="00D82E22">
              <w:t>5/69 (7%)</w:t>
            </w:r>
          </w:p>
        </w:tc>
        <w:tc>
          <w:tcPr>
            <w:tcW w:w="349" w:type="pct"/>
            <w:tcBorders>
              <w:top w:val="single" w:sz="4" w:space="0" w:color="auto"/>
              <w:left w:val="single" w:sz="4" w:space="0" w:color="auto"/>
              <w:bottom w:val="single" w:sz="4" w:space="0" w:color="auto"/>
              <w:right w:val="single" w:sz="4" w:space="0" w:color="auto"/>
            </w:tcBorders>
          </w:tcPr>
          <w:p w14:paraId="3D6EF888"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54154D1"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65FC6D8" w14:textId="77777777" w:rsidR="00C16EC2" w:rsidRPr="00D82E22" w:rsidRDefault="00C16EC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35C1C0A"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FACA817" w14:textId="77777777" w:rsidR="00C16EC2" w:rsidRPr="00D82E22" w:rsidRDefault="00C16EC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DB948F5" w14:textId="77777777" w:rsidR="00C16EC2" w:rsidRPr="00C16EC2" w:rsidRDefault="00C16EC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1830A73D" w14:textId="77777777" w:rsidR="00C16EC2" w:rsidRPr="00C16EC2" w:rsidRDefault="00C16EC2" w:rsidP="00096131">
            <w:pPr>
              <w:pStyle w:val="Tabletext1"/>
              <w:jc w:val="center"/>
            </w:pPr>
          </w:p>
        </w:tc>
      </w:tr>
      <w:tr w:rsidR="00D82E22" w:rsidRPr="00B2301A" w14:paraId="1C95A18E" w14:textId="77777777" w:rsidTr="00D82E22">
        <w:tc>
          <w:tcPr>
            <w:tcW w:w="669" w:type="pct"/>
            <w:tcBorders>
              <w:top w:val="nil"/>
              <w:left w:val="single" w:sz="4" w:space="0" w:color="auto"/>
              <w:bottom w:val="nil"/>
              <w:right w:val="single" w:sz="4" w:space="0" w:color="auto"/>
            </w:tcBorders>
            <w:shd w:val="clear" w:color="auto" w:fill="auto"/>
          </w:tcPr>
          <w:p w14:paraId="222868A8"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0343C0B6" w14:textId="3E2319E8" w:rsidR="00D82E22" w:rsidRPr="00D82E22" w:rsidRDefault="00D82E22" w:rsidP="00096131">
            <w:pPr>
              <w:pStyle w:val="Tabletext1"/>
              <w:jc w:val="center"/>
            </w:pPr>
            <w:r w:rsidRPr="00D82E22">
              <w:t>GU 3-month FU</w:t>
            </w:r>
          </w:p>
        </w:tc>
        <w:tc>
          <w:tcPr>
            <w:tcW w:w="349" w:type="pct"/>
            <w:tcBorders>
              <w:top w:val="single" w:sz="4" w:space="0" w:color="auto"/>
              <w:left w:val="single" w:sz="4" w:space="0" w:color="auto"/>
              <w:bottom w:val="single" w:sz="4" w:space="0" w:color="auto"/>
              <w:right w:val="single" w:sz="4" w:space="0" w:color="auto"/>
            </w:tcBorders>
          </w:tcPr>
          <w:p w14:paraId="5944CB20" w14:textId="77777777" w:rsidR="00D82E22" w:rsidRPr="00D82E2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F316FA2" w14:textId="51E03BB2" w:rsidR="00D82E22" w:rsidRPr="00D82E22" w:rsidRDefault="00D82E22" w:rsidP="00096131">
            <w:pPr>
              <w:pStyle w:val="Tabletext1"/>
              <w:jc w:val="center"/>
            </w:pPr>
            <w:r w:rsidRPr="00D82E22">
              <w:t>20/69 (29%)</w:t>
            </w:r>
          </w:p>
        </w:tc>
        <w:tc>
          <w:tcPr>
            <w:tcW w:w="349" w:type="pct"/>
            <w:tcBorders>
              <w:top w:val="single" w:sz="4" w:space="0" w:color="auto"/>
              <w:left w:val="single" w:sz="4" w:space="0" w:color="auto"/>
              <w:bottom w:val="single" w:sz="4" w:space="0" w:color="auto"/>
              <w:right w:val="single" w:sz="4" w:space="0" w:color="auto"/>
            </w:tcBorders>
          </w:tcPr>
          <w:p w14:paraId="66945EA2" w14:textId="4DAFF752" w:rsidR="00D82E22" w:rsidRPr="00D82E22" w:rsidRDefault="00D82E22" w:rsidP="00096131">
            <w:pPr>
              <w:pStyle w:val="Tabletext1"/>
              <w:jc w:val="center"/>
            </w:pPr>
            <w:r w:rsidRPr="00D82E22">
              <w:t>2/69 (</w:t>
            </w:r>
            <w:r w:rsidR="00242BF7">
              <w:t>3</w:t>
            </w:r>
            <w:r w:rsidRPr="00D82E22">
              <w:t>%)</w:t>
            </w:r>
            <w:r w:rsidRPr="00D82E22">
              <w:br/>
            </w:r>
          </w:p>
        </w:tc>
        <w:tc>
          <w:tcPr>
            <w:tcW w:w="349" w:type="pct"/>
            <w:tcBorders>
              <w:top w:val="single" w:sz="4" w:space="0" w:color="auto"/>
              <w:left w:val="single" w:sz="4" w:space="0" w:color="auto"/>
              <w:bottom w:val="single" w:sz="4" w:space="0" w:color="auto"/>
              <w:right w:val="single" w:sz="4" w:space="0" w:color="auto"/>
            </w:tcBorders>
          </w:tcPr>
          <w:p w14:paraId="64FF6350"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491D492"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994BD14" w14:textId="77777777" w:rsidR="00D82E22" w:rsidRPr="00D82E2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A269284"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4CF9B28"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B803920"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611C7A88" w14:textId="77777777" w:rsidR="00D82E22" w:rsidRPr="00C16EC2" w:rsidRDefault="00D82E22" w:rsidP="00096131">
            <w:pPr>
              <w:pStyle w:val="Tabletext1"/>
              <w:jc w:val="center"/>
            </w:pPr>
          </w:p>
        </w:tc>
      </w:tr>
      <w:tr w:rsidR="00D82E22" w:rsidRPr="00B2301A" w14:paraId="4621D75E" w14:textId="77777777" w:rsidTr="00D82E22">
        <w:tc>
          <w:tcPr>
            <w:tcW w:w="669" w:type="pct"/>
            <w:tcBorders>
              <w:top w:val="nil"/>
              <w:left w:val="single" w:sz="4" w:space="0" w:color="auto"/>
              <w:bottom w:val="single" w:sz="4" w:space="0" w:color="auto"/>
              <w:right w:val="single" w:sz="4" w:space="0" w:color="auto"/>
            </w:tcBorders>
            <w:shd w:val="clear" w:color="auto" w:fill="auto"/>
          </w:tcPr>
          <w:p w14:paraId="7D6B203E"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1C0DD18" w14:textId="665CC35D" w:rsidR="00D82E22" w:rsidRPr="00D82E22" w:rsidRDefault="00D82E22" w:rsidP="00096131">
            <w:pPr>
              <w:pStyle w:val="Tabletext1"/>
              <w:jc w:val="center"/>
            </w:pPr>
            <w:r w:rsidRPr="00D82E22">
              <w:t>GU late cumulative rate grade ≥2</w:t>
            </w:r>
          </w:p>
        </w:tc>
        <w:tc>
          <w:tcPr>
            <w:tcW w:w="349" w:type="pct"/>
            <w:tcBorders>
              <w:top w:val="single" w:sz="4" w:space="0" w:color="auto"/>
              <w:left w:val="single" w:sz="4" w:space="0" w:color="auto"/>
              <w:bottom w:val="single" w:sz="4" w:space="0" w:color="auto"/>
              <w:right w:val="single" w:sz="4" w:space="0" w:color="auto"/>
            </w:tcBorders>
          </w:tcPr>
          <w:p w14:paraId="2EEE8ADB" w14:textId="77777777" w:rsidR="00D82E22" w:rsidRPr="00D82E2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051C2B0"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BA68639"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E77F999"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BAF2199"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8A8BB35" w14:textId="77777777" w:rsidR="00D82E22" w:rsidRPr="00D82E2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C22A4D1"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819A11E" w14:textId="7EAB29E8" w:rsidR="00D82E22" w:rsidRPr="00D82E22" w:rsidRDefault="00D82E22" w:rsidP="00096131">
            <w:pPr>
              <w:pStyle w:val="Tabletext1"/>
              <w:jc w:val="center"/>
            </w:pPr>
            <w:r w:rsidRPr="00D82E22">
              <w:t>Grade ≥2: 6.5%</w:t>
            </w:r>
          </w:p>
        </w:tc>
        <w:tc>
          <w:tcPr>
            <w:tcW w:w="349" w:type="pct"/>
            <w:tcBorders>
              <w:top w:val="single" w:sz="4" w:space="0" w:color="auto"/>
              <w:left w:val="single" w:sz="4" w:space="0" w:color="auto"/>
              <w:bottom w:val="single" w:sz="4" w:space="0" w:color="auto"/>
              <w:right w:val="single" w:sz="4" w:space="0" w:color="auto"/>
            </w:tcBorders>
          </w:tcPr>
          <w:p w14:paraId="0A46E8C6"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5D5CA48F" w14:textId="77777777" w:rsidR="00D82E22" w:rsidRPr="00C16EC2" w:rsidRDefault="00D82E22" w:rsidP="00096131">
            <w:pPr>
              <w:pStyle w:val="Tabletext1"/>
              <w:jc w:val="center"/>
            </w:pPr>
          </w:p>
        </w:tc>
      </w:tr>
      <w:tr w:rsidR="00D82E22" w:rsidRPr="00B2301A" w14:paraId="68CF383D" w14:textId="77777777" w:rsidTr="00D82E22">
        <w:tc>
          <w:tcPr>
            <w:tcW w:w="669" w:type="pct"/>
            <w:tcBorders>
              <w:top w:val="single" w:sz="4" w:space="0" w:color="auto"/>
              <w:left w:val="single" w:sz="4" w:space="0" w:color="auto"/>
              <w:bottom w:val="nil"/>
              <w:right w:val="single" w:sz="4" w:space="0" w:color="auto"/>
            </w:tcBorders>
            <w:shd w:val="clear" w:color="auto" w:fill="auto"/>
          </w:tcPr>
          <w:p w14:paraId="39FD6816" w14:textId="0D81E21F" w:rsidR="00D82E22" w:rsidRDefault="00211285" w:rsidP="00C6168E">
            <w:pPr>
              <w:pStyle w:val="Tabletext1"/>
              <w:keepNext/>
            </w:pPr>
            <w:hyperlink w:anchor="_ENREF_76" w:tooltip="Valeriani, 2013 #77" w:history="1">
              <w:r w:rsidR="001F781A">
                <w:fldChar w:fldCharType="begin"/>
              </w:r>
              <w:r w:rsidR="001F781A">
                <w:instrText xml:space="preserve"> ADDIN EN.CITE &lt;EndNote&gt;&lt;Cite AuthorYear="1"&gt;&lt;Author&gt;Valeriani&lt;/Author&gt;&lt;Year&gt;2013&lt;/Year&gt;&lt;RecNum&gt;77&lt;/RecNum&gt;&lt;DisplayText&gt;Valeriani, Carnevale, et al. (2013)&lt;/DisplayText&gt;&lt;record&gt;&lt;rec-number&gt;77&lt;/rec-number&gt;&lt;foreign-keys&gt;&lt;key app="EN" db-id="sx5wsdwv795wvue959xxw0ptaewvdezxxp05" timestamp="1604876399"&gt;77&lt;/key&gt;&lt;/foreign-keys&gt;&lt;ref-type name="Journal Article"&gt;17&lt;/ref-type&gt;&lt;contributors&gt;&lt;authors&gt;&lt;author&gt;Valeriani, M.&lt;/author&gt;&lt;author&gt;Carnevale, A.&lt;/author&gt;&lt;author&gt;Osti, M. F.&lt;/author&gt;&lt;author&gt;Minniti, G.&lt;/author&gt;&lt;author&gt;De Sanctis, V.&lt;/author&gt;&lt;author&gt;Agolli, L.&lt;/author&gt;&lt;author&gt;Bracci, S.&lt;/author&gt;&lt;author&gt;Enrici, R. M.&lt;/author&gt;&lt;/authors&gt;&lt;/contributors&gt;&lt;titles&gt;&lt;title&gt;Hypofractionated intensity-modulated simultaneous integrated boost and image-guided radiotherapy in the treatment of high-risk prostate cancer patients: a preliminary report on acute toxicity&lt;/title&gt;&lt;secondary-title&gt;Tumori&lt;/secondary-title&gt;&lt;/titles&gt;&lt;pages&gt;474-9&lt;/pages&gt;&lt;volume&gt;99&lt;/volume&gt;&lt;number&gt;4&lt;/number&gt;&lt;dates&gt;&lt;year&gt;2013&lt;/year&gt;&lt;/dates&gt;&lt;accession-num&gt;24326835&lt;/accession-num&gt;&lt;urls&gt;&lt;related-urls&gt;&lt;url&gt;http://ezproxy.library.usyd.edu.au/login?url=http://ovidsp.ovid.com/ovidweb.cgi?T=JS&amp;amp;CSC=Y&amp;amp;NEWS=N&amp;amp;PAGE=fulltext&amp;amp;D=med10&amp;amp;AN=24326835https://sydney.alma.exlibrisgroup.com/openurl/61USYD_INST/61USYD_INST:sydney?sid=OVID:medline&amp;amp;id=pmid:24326835&amp;amp;id=doi:10.170&lt;/url&gt;&lt;/related-urls&gt;&lt;/urls&gt;&lt;electronic-resource-num&gt;https://dx.doi.org/10.1700/1361.15097&lt;/electronic-resource-num&gt;&lt;/record&gt;&lt;/Cite&gt;&lt;/EndNote&gt;</w:instrText>
              </w:r>
              <w:r w:rsidR="001F781A">
                <w:fldChar w:fldCharType="separate"/>
              </w:r>
              <w:r w:rsidR="001F781A">
                <w:rPr>
                  <w:noProof/>
                </w:rPr>
                <w:t>Valeriani, Carnevale, et al. (2013)</w:t>
              </w:r>
              <w:r w:rsidR="001F781A">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498EDDCC" w14:textId="372FC971" w:rsidR="00D82E22" w:rsidRPr="00C16EC2" w:rsidRDefault="00D82E22" w:rsidP="00C6168E">
            <w:pPr>
              <w:pStyle w:val="Tabletext1"/>
              <w:keepNext/>
              <w:jc w:val="center"/>
            </w:pPr>
            <w:r>
              <w:t>GI during RT</w:t>
            </w:r>
          </w:p>
        </w:tc>
        <w:tc>
          <w:tcPr>
            <w:tcW w:w="349" w:type="pct"/>
            <w:tcBorders>
              <w:top w:val="single" w:sz="4" w:space="0" w:color="auto"/>
              <w:left w:val="single" w:sz="4" w:space="0" w:color="auto"/>
              <w:bottom w:val="single" w:sz="4" w:space="0" w:color="auto"/>
              <w:right w:val="single" w:sz="4" w:space="0" w:color="auto"/>
            </w:tcBorders>
          </w:tcPr>
          <w:p w14:paraId="08DFB1BB"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08B20584" w14:textId="574DEEC2" w:rsidR="00D82E22" w:rsidRPr="00C16EC2" w:rsidRDefault="00D82E22" w:rsidP="00C6168E">
            <w:pPr>
              <w:pStyle w:val="Tabletext1"/>
              <w:keepNext/>
              <w:jc w:val="center"/>
            </w:pPr>
            <w:r>
              <w:t>3/59 (5%)</w:t>
            </w:r>
          </w:p>
        </w:tc>
        <w:tc>
          <w:tcPr>
            <w:tcW w:w="349" w:type="pct"/>
            <w:tcBorders>
              <w:top w:val="single" w:sz="4" w:space="0" w:color="auto"/>
              <w:left w:val="single" w:sz="4" w:space="0" w:color="auto"/>
              <w:bottom w:val="single" w:sz="4" w:space="0" w:color="auto"/>
              <w:right w:val="single" w:sz="4" w:space="0" w:color="auto"/>
            </w:tcBorders>
          </w:tcPr>
          <w:p w14:paraId="308A3D5F" w14:textId="5D12E320" w:rsidR="00D82E22" w:rsidRPr="00C16EC2" w:rsidRDefault="00D82E22" w:rsidP="00C6168E">
            <w:pPr>
              <w:pStyle w:val="Tabletext1"/>
              <w:keepNext/>
              <w:jc w:val="center"/>
            </w:pPr>
            <w:r>
              <w:t>4/59 (</w:t>
            </w:r>
            <w:r w:rsidR="00FE1DA5">
              <w:t>7</w:t>
            </w:r>
            <w:r>
              <w:t>%)</w:t>
            </w:r>
          </w:p>
        </w:tc>
        <w:tc>
          <w:tcPr>
            <w:tcW w:w="349" w:type="pct"/>
            <w:tcBorders>
              <w:top w:val="single" w:sz="4" w:space="0" w:color="auto"/>
              <w:left w:val="single" w:sz="4" w:space="0" w:color="auto"/>
              <w:bottom w:val="single" w:sz="4" w:space="0" w:color="auto"/>
              <w:right w:val="single" w:sz="4" w:space="0" w:color="auto"/>
            </w:tcBorders>
          </w:tcPr>
          <w:p w14:paraId="426123A1"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23A0A138"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455B0FE"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4673DD56"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5FEF6A5"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148FFF2" w14:textId="77777777" w:rsidR="00D82E22" w:rsidRPr="00C16EC2" w:rsidRDefault="00D82E22" w:rsidP="00C6168E">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688F9EE2" w14:textId="77777777" w:rsidR="00D82E22" w:rsidRPr="00C16EC2" w:rsidRDefault="00D82E22" w:rsidP="00C6168E">
            <w:pPr>
              <w:pStyle w:val="Tabletext1"/>
              <w:keepNext/>
              <w:jc w:val="center"/>
            </w:pPr>
          </w:p>
        </w:tc>
      </w:tr>
      <w:tr w:rsidR="00D82E22" w:rsidRPr="00B2301A" w14:paraId="244FBF04" w14:textId="77777777" w:rsidTr="00D82E22">
        <w:tc>
          <w:tcPr>
            <w:tcW w:w="669" w:type="pct"/>
            <w:tcBorders>
              <w:top w:val="nil"/>
              <w:left w:val="single" w:sz="4" w:space="0" w:color="auto"/>
              <w:bottom w:val="nil"/>
              <w:right w:val="single" w:sz="4" w:space="0" w:color="auto"/>
            </w:tcBorders>
            <w:shd w:val="clear" w:color="auto" w:fill="auto"/>
          </w:tcPr>
          <w:p w14:paraId="7664603B" w14:textId="77777777" w:rsidR="00D82E22" w:rsidRDefault="00D82E22" w:rsidP="00C6168E">
            <w:pPr>
              <w:pStyle w:val="Tabletext1"/>
              <w:keepNext/>
            </w:pPr>
          </w:p>
        </w:tc>
        <w:tc>
          <w:tcPr>
            <w:tcW w:w="847" w:type="pct"/>
            <w:tcBorders>
              <w:top w:val="single" w:sz="4" w:space="0" w:color="auto"/>
              <w:left w:val="single" w:sz="4" w:space="0" w:color="auto"/>
              <w:bottom w:val="single" w:sz="4" w:space="0" w:color="auto"/>
              <w:right w:val="single" w:sz="4" w:space="0" w:color="auto"/>
            </w:tcBorders>
          </w:tcPr>
          <w:p w14:paraId="03CCBB3D" w14:textId="3B590A20" w:rsidR="00D82E22" w:rsidRPr="00C16EC2" w:rsidRDefault="00D82E22" w:rsidP="00C6168E">
            <w:pPr>
              <w:pStyle w:val="Tabletext1"/>
              <w:keepNext/>
              <w:jc w:val="center"/>
            </w:pPr>
            <w:r>
              <w:t>GI 1-month FU</w:t>
            </w:r>
          </w:p>
        </w:tc>
        <w:tc>
          <w:tcPr>
            <w:tcW w:w="349" w:type="pct"/>
            <w:tcBorders>
              <w:top w:val="single" w:sz="4" w:space="0" w:color="auto"/>
              <w:left w:val="single" w:sz="4" w:space="0" w:color="auto"/>
              <w:bottom w:val="single" w:sz="4" w:space="0" w:color="auto"/>
              <w:right w:val="single" w:sz="4" w:space="0" w:color="auto"/>
            </w:tcBorders>
          </w:tcPr>
          <w:p w14:paraId="6037B3C1"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53F7CD7A" w14:textId="741CF41F" w:rsidR="00D82E22" w:rsidRPr="00C16EC2" w:rsidRDefault="00D82E22" w:rsidP="00C6168E">
            <w:pPr>
              <w:pStyle w:val="Tabletext1"/>
              <w:keepNext/>
              <w:jc w:val="center"/>
            </w:pPr>
            <w:r>
              <w:t>1/59 (</w:t>
            </w:r>
            <w:r w:rsidR="00FE1DA5">
              <w:t>2</w:t>
            </w:r>
            <w:r>
              <w:t>%)</w:t>
            </w:r>
          </w:p>
        </w:tc>
        <w:tc>
          <w:tcPr>
            <w:tcW w:w="349" w:type="pct"/>
            <w:tcBorders>
              <w:top w:val="single" w:sz="4" w:space="0" w:color="auto"/>
              <w:left w:val="single" w:sz="4" w:space="0" w:color="auto"/>
              <w:bottom w:val="single" w:sz="4" w:space="0" w:color="auto"/>
              <w:right w:val="single" w:sz="4" w:space="0" w:color="auto"/>
            </w:tcBorders>
          </w:tcPr>
          <w:p w14:paraId="64929D68"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7AD81AF"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6550DCA"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7FEB17D"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50EBB73D"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DE18D27"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50F103E2" w14:textId="77777777" w:rsidR="00D82E22" w:rsidRPr="00C16EC2" w:rsidRDefault="00D82E22" w:rsidP="00C6168E">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492ED289" w14:textId="77777777" w:rsidR="00D82E22" w:rsidRPr="00C16EC2" w:rsidRDefault="00D82E22" w:rsidP="00C6168E">
            <w:pPr>
              <w:pStyle w:val="Tabletext1"/>
              <w:keepNext/>
              <w:jc w:val="center"/>
            </w:pPr>
          </w:p>
        </w:tc>
      </w:tr>
      <w:tr w:rsidR="00D82E22" w:rsidRPr="00B2301A" w14:paraId="3D306F05" w14:textId="77777777" w:rsidTr="00D82E22">
        <w:tc>
          <w:tcPr>
            <w:tcW w:w="669" w:type="pct"/>
            <w:tcBorders>
              <w:top w:val="nil"/>
              <w:left w:val="single" w:sz="4" w:space="0" w:color="auto"/>
              <w:bottom w:val="nil"/>
              <w:right w:val="single" w:sz="4" w:space="0" w:color="auto"/>
            </w:tcBorders>
            <w:shd w:val="clear" w:color="auto" w:fill="auto"/>
          </w:tcPr>
          <w:p w14:paraId="6C0D90BF" w14:textId="77777777" w:rsidR="00D82E22" w:rsidRDefault="00D82E22" w:rsidP="00C6168E">
            <w:pPr>
              <w:pStyle w:val="Tabletext1"/>
              <w:keepNext/>
            </w:pPr>
          </w:p>
        </w:tc>
        <w:tc>
          <w:tcPr>
            <w:tcW w:w="847" w:type="pct"/>
            <w:tcBorders>
              <w:top w:val="single" w:sz="4" w:space="0" w:color="auto"/>
              <w:left w:val="single" w:sz="4" w:space="0" w:color="auto"/>
              <w:bottom w:val="single" w:sz="4" w:space="0" w:color="auto"/>
              <w:right w:val="single" w:sz="4" w:space="0" w:color="auto"/>
            </w:tcBorders>
          </w:tcPr>
          <w:p w14:paraId="5F76DEE1" w14:textId="68AC76DE" w:rsidR="00D82E22" w:rsidRPr="00C16EC2" w:rsidRDefault="00D82E22" w:rsidP="00C6168E">
            <w:pPr>
              <w:pStyle w:val="Tabletext1"/>
              <w:keepNext/>
              <w:jc w:val="center"/>
            </w:pPr>
            <w:r>
              <w:t>GI 3-month FU</w:t>
            </w:r>
            <w:r>
              <w:br/>
            </w:r>
          </w:p>
        </w:tc>
        <w:tc>
          <w:tcPr>
            <w:tcW w:w="349" w:type="pct"/>
            <w:tcBorders>
              <w:top w:val="single" w:sz="4" w:space="0" w:color="auto"/>
              <w:left w:val="single" w:sz="4" w:space="0" w:color="auto"/>
              <w:bottom w:val="single" w:sz="4" w:space="0" w:color="auto"/>
              <w:right w:val="single" w:sz="4" w:space="0" w:color="auto"/>
            </w:tcBorders>
          </w:tcPr>
          <w:p w14:paraId="6E51425D"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3E6BE7D1" w14:textId="22925243" w:rsidR="00D82E22" w:rsidRPr="00C16EC2" w:rsidRDefault="00D82E22" w:rsidP="00C6168E">
            <w:pPr>
              <w:pStyle w:val="Tabletext1"/>
              <w:keepNext/>
              <w:jc w:val="center"/>
            </w:pPr>
            <w:r>
              <w:t>1/59 (</w:t>
            </w:r>
            <w:r w:rsidR="00FE1DA5">
              <w:t>2</w:t>
            </w:r>
            <w:r>
              <w:t>%)</w:t>
            </w:r>
          </w:p>
        </w:tc>
        <w:tc>
          <w:tcPr>
            <w:tcW w:w="349" w:type="pct"/>
            <w:tcBorders>
              <w:top w:val="single" w:sz="4" w:space="0" w:color="auto"/>
              <w:left w:val="single" w:sz="4" w:space="0" w:color="auto"/>
              <w:bottom w:val="single" w:sz="4" w:space="0" w:color="auto"/>
              <w:right w:val="single" w:sz="4" w:space="0" w:color="auto"/>
            </w:tcBorders>
          </w:tcPr>
          <w:p w14:paraId="4CA9047B"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B1DCE6F"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11853372"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E135BF4"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07BB7AAF"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E5E3349"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EE25BB3" w14:textId="77777777" w:rsidR="00D82E22" w:rsidRPr="00C16EC2" w:rsidRDefault="00D82E22" w:rsidP="00C6168E">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0CE4B640" w14:textId="77777777" w:rsidR="00D82E22" w:rsidRPr="00C16EC2" w:rsidRDefault="00D82E22" w:rsidP="00C6168E">
            <w:pPr>
              <w:pStyle w:val="Tabletext1"/>
              <w:keepNext/>
              <w:jc w:val="center"/>
            </w:pPr>
          </w:p>
        </w:tc>
      </w:tr>
      <w:tr w:rsidR="00D82E22" w:rsidRPr="00B2301A" w14:paraId="27C0B1D9" w14:textId="77777777" w:rsidTr="00D82E22">
        <w:tc>
          <w:tcPr>
            <w:tcW w:w="669" w:type="pct"/>
            <w:tcBorders>
              <w:top w:val="nil"/>
              <w:left w:val="single" w:sz="4" w:space="0" w:color="auto"/>
              <w:bottom w:val="nil"/>
              <w:right w:val="single" w:sz="4" w:space="0" w:color="auto"/>
            </w:tcBorders>
            <w:shd w:val="clear" w:color="auto" w:fill="auto"/>
          </w:tcPr>
          <w:p w14:paraId="16E8A001" w14:textId="77777777" w:rsidR="00D82E22" w:rsidRDefault="00D82E22" w:rsidP="00C6168E">
            <w:pPr>
              <w:keepNext/>
              <w:spacing w:before="40" w:line="240" w:lineRule="auto"/>
            </w:pPr>
          </w:p>
        </w:tc>
        <w:tc>
          <w:tcPr>
            <w:tcW w:w="847" w:type="pct"/>
            <w:tcBorders>
              <w:top w:val="single" w:sz="4" w:space="0" w:color="auto"/>
              <w:left w:val="single" w:sz="4" w:space="0" w:color="auto"/>
              <w:bottom w:val="single" w:sz="4" w:space="0" w:color="auto"/>
              <w:right w:val="single" w:sz="4" w:space="0" w:color="auto"/>
            </w:tcBorders>
          </w:tcPr>
          <w:p w14:paraId="754F16AF" w14:textId="3FAE795D" w:rsidR="00D82E22" w:rsidRDefault="00D82E22" w:rsidP="00C6168E">
            <w:pPr>
              <w:pStyle w:val="Tabletext1"/>
              <w:keepNext/>
              <w:jc w:val="center"/>
              <w:rPr>
                <w:rFonts w:ascii="Calibri" w:hAnsi="Calibri" w:cs="Calibri"/>
                <w:color w:val="000000"/>
                <w:sz w:val="22"/>
                <w:szCs w:val="22"/>
              </w:rPr>
            </w:pPr>
            <w:r>
              <w:t>GU during RT</w:t>
            </w:r>
          </w:p>
        </w:tc>
        <w:tc>
          <w:tcPr>
            <w:tcW w:w="349" w:type="pct"/>
            <w:tcBorders>
              <w:top w:val="single" w:sz="4" w:space="0" w:color="auto"/>
              <w:left w:val="single" w:sz="4" w:space="0" w:color="auto"/>
              <w:bottom w:val="single" w:sz="4" w:space="0" w:color="auto"/>
              <w:right w:val="single" w:sz="4" w:space="0" w:color="auto"/>
            </w:tcBorders>
          </w:tcPr>
          <w:p w14:paraId="76262CFC"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3198B1AA" w14:textId="2BB850CC" w:rsidR="00D82E22" w:rsidRPr="00D82E22" w:rsidRDefault="00D82E22" w:rsidP="00C6168E">
            <w:pPr>
              <w:pStyle w:val="Tabletext1"/>
              <w:keepNext/>
              <w:jc w:val="center"/>
            </w:pPr>
            <w:r w:rsidRPr="00D82E22">
              <w:t>14/59 (2</w:t>
            </w:r>
            <w:r w:rsidR="00FE1DA5">
              <w:t>4</w:t>
            </w:r>
            <w:r w:rsidRPr="00D82E22">
              <w:t>%)</w:t>
            </w:r>
          </w:p>
        </w:tc>
        <w:tc>
          <w:tcPr>
            <w:tcW w:w="349" w:type="pct"/>
            <w:tcBorders>
              <w:top w:val="single" w:sz="4" w:space="0" w:color="auto"/>
              <w:left w:val="single" w:sz="4" w:space="0" w:color="auto"/>
              <w:bottom w:val="single" w:sz="4" w:space="0" w:color="auto"/>
              <w:right w:val="single" w:sz="4" w:space="0" w:color="auto"/>
            </w:tcBorders>
          </w:tcPr>
          <w:p w14:paraId="49E492CF" w14:textId="018ED73D" w:rsidR="00D82E22" w:rsidRPr="00D82E22" w:rsidRDefault="00D82E22" w:rsidP="00C6168E">
            <w:pPr>
              <w:pStyle w:val="Tabletext1"/>
              <w:keepNext/>
              <w:jc w:val="center"/>
            </w:pPr>
            <w:r w:rsidRPr="00D82E22">
              <w:t>1/59 (</w:t>
            </w:r>
            <w:r w:rsidR="00FE1DA5">
              <w:t>2</w:t>
            </w:r>
            <w:r w:rsidRPr="00D82E22">
              <w:t>%</w:t>
            </w:r>
            <w:r>
              <w:t>)</w:t>
            </w:r>
          </w:p>
        </w:tc>
        <w:tc>
          <w:tcPr>
            <w:tcW w:w="349" w:type="pct"/>
            <w:tcBorders>
              <w:top w:val="single" w:sz="4" w:space="0" w:color="auto"/>
              <w:left w:val="single" w:sz="4" w:space="0" w:color="auto"/>
              <w:bottom w:val="single" w:sz="4" w:space="0" w:color="auto"/>
              <w:right w:val="single" w:sz="4" w:space="0" w:color="auto"/>
            </w:tcBorders>
          </w:tcPr>
          <w:p w14:paraId="60E0F70C" w14:textId="47FCBC16" w:rsidR="00D82E22" w:rsidRPr="00D82E22" w:rsidRDefault="00D82E22" w:rsidP="00C6168E">
            <w:pPr>
              <w:pStyle w:val="Tabletext1"/>
              <w:keepNext/>
              <w:jc w:val="center"/>
            </w:pPr>
            <w:r w:rsidRPr="00D82E22">
              <w:t>1/59 (</w:t>
            </w:r>
            <w:r w:rsidR="00FE1DA5">
              <w:t>2</w:t>
            </w:r>
            <w:r w:rsidRPr="00D82E22">
              <w:t>%)</w:t>
            </w:r>
          </w:p>
        </w:tc>
        <w:tc>
          <w:tcPr>
            <w:tcW w:w="349" w:type="pct"/>
            <w:tcBorders>
              <w:top w:val="single" w:sz="4" w:space="0" w:color="auto"/>
              <w:left w:val="single" w:sz="4" w:space="0" w:color="auto"/>
              <w:bottom w:val="single" w:sz="4" w:space="0" w:color="auto"/>
              <w:right w:val="single" w:sz="4" w:space="0" w:color="auto"/>
            </w:tcBorders>
          </w:tcPr>
          <w:p w14:paraId="31727E1F"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105D4148"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649E2EB6"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2372E7DE"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A35EAC5" w14:textId="77777777" w:rsidR="00D82E22" w:rsidRPr="00C16EC2" w:rsidRDefault="00D82E22" w:rsidP="00C6168E">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517C471B" w14:textId="77777777" w:rsidR="00D82E22" w:rsidRPr="00C16EC2" w:rsidRDefault="00D82E22" w:rsidP="00C6168E">
            <w:pPr>
              <w:pStyle w:val="Tabletext1"/>
              <w:keepNext/>
              <w:jc w:val="center"/>
            </w:pPr>
          </w:p>
        </w:tc>
      </w:tr>
      <w:tr w:rsidR="00D82E22" w:rsidRPr="00B2301A" w14:paraId="7D78348D" w14:textId="77777777" w:rsidTr="00D82E22">
        <w:tc>
          <w:tcPr>
            <w:tcW w:w="669" w:type="pct"/>
            <w:tcBorders>
              <w:top w:val="nil"/>
              <w:left w:val="single" w:sz="4" w:space="0" w:color="auto"/>
              <w:bottom w:val="nil"/>
              <w:right w:val="single" w:sz="4" w:space="0" w:color="auto"/>
            </w:tcBorders>
            <w:shd w:val="clear" w:color="auto" w:fill="auto"/>
          </w:tcPr>
          <w:p w14:paraId="2EFBE976" w14:textId="77777777" w:rsidR="00D82E22" w:rsidRDefault="00D82E22" w:rsidP="00C6168E">
            <w:pPr>
              <w:pStyle w:val="Tabletext1"/>
              <w:keepNext/>
            </w:pPr>
          </w:p>
        </w:tc>
        <w:tc>
          <w:tcPr>
            <w:tcW w:w="847" w:type="pct"/>
            <w:tcBorders>
              <w:top w:val="single" w:sz="4" w:space="0" w:color="auto"/>
              <w:left w:val="single" w:sz="4" w:space="0" w:color="auto"/>
              <w:bottom w:val="single" w:sz="4" w:space="0" w:color="auto"/>
              <w:right w:val="single" w:sz="4" w:space="0" w:color="auto"/>
            </w:tcBorders>
          </w:tcPr>
          <w:p w14:paraId="11382851" w14:textId="012AD2C7" w:rsidR="00D82E22" w:rsidRDefault="00D82E22" w:rsidP="00C6168E">
            <w:pPr>
              <w:pStyle w:val="Tabletext1"/>
              <w:keepNext/>
              <w:jc w:val="center"/>
              <w:rPr>
                <w:rFonts w:ascii="Calibri" w:hAnsi="Calibri" w:cs="Calibri"/>
                <w:color w:val="000000"/>
                <w:sz w:val="22"/>
                <w:szCs w:val="22"/>
              </w:rPr>
            </w:pPr>
            <w:r>
              <w:t>GU 1-month FU</w:t>
            </w:r>
          </w:p>
        </w:tc>
        <w:tc>
          <w:tcPr>
            <w:tcW w:w="349" w:type="pct"/>
            <w:tcBorders>
              <w:top w:val="single" w:sz="4" w:space="0" w:color="auto"/>
              <w:left w:val="single" w:sz="4" w:space="0" w:color="auto"/>
              <w:bottom w:val="single" w:sz="4" w:space="0" w:color="auto"/>
              <w:right w:val="single" w:sz="4" w:space="0" w:color="auto"/>
            </w:tcBorders>
          </w:tcPr>
          <w:p w14:paraId="326F53BD"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73EC48DB" w14:textId="401030E9" w:rsidR="00D82E22" w:rsidRPr="00D82E22" w:rsidRDefault="00D82E22" w:rsidP="00C6168E">
            <w:pPr>
              <w:pStyle w:val="Tabletext1"/>
              <w:keepNext/>
              <w:jc w:val="center"/>
            </w:pPr>
            <w:r w:rsidRPr="00D82E22">
              <w:t>7/59 (</w:t>
            </w:r>
            <w:r w:rsidR="00FE1DA5">
              <w:t>12</w:t>
            </w:r>
            <w:r w:rsidRPr="00D82E22">
              <w:t>%)</w:t>
            </w:r>
          </w:p>
        </w:tc>
        <w:tc>
          <w:tcPr>
            <w:tcW w:w="349" w:type="pct"/>
            <w:tcBorders>
              <w:top w:val="single" w:sz="4" w:space="0" w:color="auto"/>
              <w:left w:val="single" w:sz="4" w:space="0" w:color="auto"/>
              <w:bottom w:val="single" w:sz="4" w:space="0" w:color="auto"/>
              <w:right w:val="single" w:sz="4" w:space="0" w:color="auto"/>
            </w:tcBorders>
          </w:tcPr>
          <w:p w14:paraId="4AB3F989" w14:textId="33C42112" w:rsidR="00D82E22" w:rsidRPr="00D82E22" w:rsidRDefault="00D82E22" w:rsidP="00C6168E">
            <w:pPr>
              <w:pStyle w:val="Tabletext1"/>
              <w:keepNext/>
              <w:jc w:val="center"/>
            </w:pPr>
            <w:r w:rsidRPr="00D82E22">
              <w:t>1/59 (</w:t>
            </w:r>
            <w:r w:rsidR="00FE1DA5">
              <w:t>2</w:t>
            </w:r>
            <w:r w:rsidRPr="00D82E22">
              <w:t>%)</w:t>
            </w:r>
          </w:p>
        </w:tc>
        <w:tc>
          <w:tcPr>
            <w:tcW w:w="349" w:type="pct"/>
            <w:tcBorders>
              <w:top w:val="single" w:sz="4" w:space="0" w:color="auto"/>
              <w:left w:val="single" w:sz="4" w:space="0" w:color="auto"/>
              <w:bottom w:val="single" w:sz="4" w:space="0" w:color="auto"/>
              <w:right w:val="single" w:sz="4" w:space="0" w:color="auto"/>
            </w:tcBorders>
          </w:tcPr>
          <w:p w14:paraId="7578DFE6" w14:textId="77777777" w:rsidR="00D82E22" w:rsidRPr="00D82E2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932604F"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5CA583F3" w14:textId="77777777" w:rsidR="00D82E22" w:rsidRPr="00C16EC2" w:rsidRDefault="00D82E22" w:rsidP="00C6168E">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54C3E588"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A496D97" w14:textId="77777777" w:rsidR="00D82E22" w:rsidRPr="00C16EC2" w:rsidRDefault="00D82E22" w:rsidP="00C6168E">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DFE3C3A" w14:textId="77777777" w:rsidR="00D82E22" w:rsidRPr="00C16EC2" w:rsidRDefault="00D82E22" w:rsidP="00C6168E">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4D597F5F" w14:textId="77777777" w:rsidR="00D82E22" w:rsidRPr="00C16EC2" w:rsidRDefault="00D82E22" w:rsidP="00C6168E">
            <w:pPr>
              <w:pStyle w:val="Tabletext1"/>
              <w:keepNext/>
              <w:jc w:val="center"/>
            </w:pPr>
          </w:p>
        </w:tc>
      </w:tr>
      <w:tr w:rsidR="00D82E22" w:rsidRPr="00B2301A" w14:paraId="1ACB1414" w14:textId="77777777" w:rsidTr="00D82E22">
        <w:tc>
          <w:tcPr>
            <w:tcW w:w="669" w:type="pct"/>
            <w:tcBorders>
              <w:top w:val="nil"/>
              <w:left w:val="single" w:sz="4" w:space="0" w:color="auto"/>
              <w:bottom w:val="single" w:sz="4" w:space="0" w:color="auto"/>
              <w:right w:val="single" w:sz="4" w:space="0" w:color="auto"/>
            </w:tcBorders>
            <w:shd w:val="clear" w:color="auto" w:fill="auto"/>
          </w:tcPr>
          <w:p w14:paraId="09D03294"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33102A1" w14:textId="01341106" w:rsidR="00D82E22" w:rsidRDefault="00D82E22" w:rsidP="00096131">
            <w:pPr>
              <w:pStyle w:val="Tabletext1"/>
              <w:jc w:val="center"/>
              <w:rPr>
                <w:rFonts w:ascii="Calibri" w:hAnsi="Calibri" w:cs="Calibri"/>
                <w:color w:val="000000"/>
                <w:sz w:val="22"/>
                <w:szCs w:val="22"/>
              </w:rPr>
            </w:pPr>
            <w:r>
              <w:t>GU 3-month FU</w:t>
            </w:r>
            <w:r>
              <w:br/>
            </w:r>
          </w:p>
        </w:tc>
        <w:tc>
          <w:tcPr>
            <w:tcW w:w="349" w:type="pct"/>
            <w:tcBorders>
              <w:top w:val="single" w:sz="4" w:space="0" w:color="auto"/>
              <w:left w:val="single" w:sz="4" w:space="0" w:color="auto"/>
              <w:bottom w:val="single" w:sz="4" w:space="0" w:color="auto"/>
              <w:right w:val="single" w:sz="4" w:space="0" w:color="auto"/>
            </w:tcBorders>
          </w:tcPr>
          <w:p w14:paraId="5A3E8A11"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C439521" w14:textId="241E9A8E" w:rsidR="00D82E22" w:rsidRPr="00D82E22" w:rsidRDefault="00D82E22" w:rsidP="00096131">
            <w:pPr>
              <w:pStyle w:val="Tabletext1"/>
              <w:jc w:val="center"/>
            </w:pPr>
            <w:r w:rsidRPr="00D82E22">
              <w:t>4/59 (</w:t>
            </w:r>
            <w:r w:rsidR="00FE1DA5">
              <w:t>7</w:t>
            </w:r>
            <w:r w:rsidRPr="00D82E22">
              <w:t>%)</w:t>
            </w:r>
          </w:p>
        </w:tc>
        <w:tc>
          <w:tcPr>
            <w:tcW w:w="349" w:type="pct"/>
            <w:tcBorders>
              <w:top w:val="single" w:sz="4" w:space="0" w:color="auto"/>
              <w:left w:val="single" w:sz="4" w:space="0" w:color="auto"/>
              <w:bottom w:val="single" w:sz="4" w:space="0" w:color="auto"/>
              <w:right w:val="single" w:sz="4" w:space="0" w:color="auto"/>
            </w:tcBorders>
          </w:tcPr>
          <w:p w14:paraId="37BCDC7E"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363AEE1" w14:textId="77777777" w:rsidR="00D82E22" w:rsidRPr="00D82E2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238D72B"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9A32F89"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4638D56"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A3202AB"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B9D3F93"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6A9CC1FE" w14:textId="77777777" w:rsidR="00D82E22" w:rsidRPr="00C16EC2" w:rsidRDefault="00D82E22" w:rsidP="00096131">
            <w:pPr>
              <w:pStyle w:val="Tabletext1"/>
              <w:jc w:val="center"/>
            </w:pPr>
          </w:p>
        </w:tc>
      </w:tr>
      <w:tr w:rsidR="00D82E22" w:rsidRPr="00B2301A" w14:paraId="0BB3A70F" w14:textId="77777777" w:rsidTr="00D82E22">
        <w:tc>
          <w:tcPr>
            <w:tcW w:w="669" w:type="pct"/>
            <w:tcBorders>
              <w:top w:val="single" w:sz="4" w:space="0" w:color="auto"/>
              <w:left w:val="single" w:sz="4" w:space="0" w:color="auto"/>
              <w:bottom w:val="nil"/>
              <w:right w:val="single" w:sz="4" w:space="0" w:color="auto"/>
            </w:tcBorders>
            <w:shd w:val="clear" w:color="auto" w:fill="auto"/>
          </w:tcPr>
          <w:p w14:paraId="49810D0E" w14:textId="4ACC8193" w:rsidR="00D82E22" w:rsidRDefault="00211285" w:rsidP="00096131">
            <w:pPr>
              <w:pStyle w:val="Tabletext1"/>
              <w:rPr>
                <w:snapToGrid w:val="0"/>
              </w:rPr>
            </w:pPr>
            <w:hyperlink w:anchor="_ENREF_74" w:tooltip="Valeriani, 2018 #75" w:history="1">
              <w:r w:rsidR="008B6FC0">
                <w:fldChar w:fldCharType="begin"/>
              </w:r>
              <w:r w:rsidR="008B6FC0">
                <w:instrText xml:space="preserve"> ADDIN EN.CITE &lt;EndNote&gt;&lt;Cite AuthorYear="1"&gt;&lt;Author&gt;Valeriani&lt;/Author&gt;&lt;Year&gt;2018&lt;/Year&gt;&lt;RecNum&gt;75&lt;/RecNum&gt;&lt;DisplayText&gt;Valeriani et al. (2018)&lt;/DisplayText&gt;&lt;record&gt;&lt;rec-number&gt;75&lt;/rec-number&gt;&lt;foreign-keys&gt;&lt;key app="EN" db-id="sx5wsdwv795wvue959xxw0ptaewvdezxxp05" timestamp="1604876398"&gt;75&lt;/key&gt;&lt;/foreign-keys&gt;&lt;ref-type name="Journal Article"&gt;17&lt;/ref-type&gt;&lt;contributors&gt;&lt;authors&gt;&lt;author&gt;Valeriani, M.&lt;/author&gt;&lt;author&gt;Bonfili, P.&lt;/author&gt;&lt;author&gt;Reverberi, C.&lt;/author&gt;&lt;author&gt;Marinelli, L.&lt;/author&gt;&lt;author&gt;Ferella, L.&lt;/author&gt;&lt;author&gt;Minniti, G.&lt;/author&gt;&lt;author&gt;Sanctis, V. D. E.&lt;/author&gt;&lt;author&gt;Osti, M. F.&lt;/author&gt;&lt;author&gt;Bonome, P.&lt;/author&gt;&lt;author&gt;Tronnolone, L.&lt;/author&gt;&lt;author&gt;Varrassi, E.&lt;/author&gt;&lt;author&gt;Gravina, G. L.&lt;/author&gt;&lt;author&gt;Franzese, P.&lt;/author&gt;&lt;author&gt;Tombolini, V.&lt;/author&gt;&lt;author&gt;Staso, M. D. I.&lt;/author&gt;&lt;/authors&gt;&lt;/contributors&gt;&lt;titles&gt;&lt;title&gt;Moderate hypofractionation in patients with low-risk prostate cancer: Long-term outcomes&lt;/title&gt;&lt;secondary-title&gt;Anticancer Research&lt;/secondary-title&gt;&lt;/titles&gt;&lt;pages&gt;1671-1676&lt;/pages&gt;&lt;volume&gt;38&lt;/volume&gt;&lt;number&gt;3&lt;/number&gt;&lt;dates&gt;&lt;year&gt;2018&lt;/year&gt;&lt;/dates&gt;&lt;accession-num&gt;621166411&lt;/accession-num&gt;&lt;urls&gt;&lt;related-urls&gt;&lt;url&gt;http://ar.iiarjournals.org/content/38/3/1671.full.pdfhttp://ezproxy.library.usyd.edu.au/login?url=http://ovidsp.ovid.com/ovidweb.cgi?T=JS&amp;amp;CSC=Y&amp;amp;NEWS=N&amp;amp;PAGE=fulltext&amp;amp;D=emed19&amp;amp;AN=621166411https://sydney.alma.exlibrisgroup.com/openurl/61USYD_INST/61USYD_INST&lt;/url&gt;&lt;url&gt;http://ar.iiarjournals.org/content/38/3/1671.full.pdf&lt;/url&gt;&lt;/related-urls&gt;&lt;/urls&gt;&lt;electronic-resource-num&gt;http://dx.doi.org/10.21873/anticanres.12400&lt;/electronic-resource-num&gt;&lt;/record&gt;&lt;/Cite&gt;&lt;/EndNote&gt;</w:instrText>
              </w:r>
              <w:r w:rsidR="008B6FC0">
                <w:fldChar w:fldCharType="separate"/>
              </w:r>
              <w:r w:rsidR="008B6FC0">
                <w:rPr>
                  <w:noProof/>
                </w:rPr>
                <w:t>Valeriani et al. (2018)</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439E12AA" w14:textId="3FD7859D" w:rsidR="00D82E22" w:rsidRPr="00C16EC2" w:rsidRDefault="00D82E22" w:rsidP="00096131">
            <w:pPr>
              <w:pStyle w:val="Tabletext1"/>
              <w:jc w:val="center"/>
            </w:pPr>
            <w:r w:rsidRPr="00C16EC2">
              <w:t>GI during RT (grade 1-2)</w:t>
            </w:r>
          </w:p>
        </w:tc>
        <w:tc>
          <w:tcPr>
            <w:tcW w:w="349" w:type="pct"/>
            <w:tcBorders>
              <w:top w:val="single" w:sz="4" w:space="0" w:color="auto"/>
              <w:left w:val="single" w:sz="4" w:space="0" w:color="auto"/>
              <w:bottom w:val="single" w:sz="4" w:space="0" w:color="auto"/>
              <w:right w:val="single" w:sz="4" w:space="0" w:color="auto"/>
            </w:tcBorders>
          </w:tcPr>
          <w:p w14:paraId="6B550092"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2B24B317" w14:textId="5E9B4B5E" w:rsidR="00D82E22" w:rsidRPr="00C16EC2" w:rsidRDefault="00D82E22" w:rsidP="00096131">
            <w:pPr>
              <w:pStyle w:val="Tabletext1"/>
              <w:jc w:val="center"/>
            </w:pPr>
            <w:r w:rsidRPr="00C16EC2">
              <w:t>13/85 (15%)</w:t>
            </w:r>
          </w:p>
        </w:tc>
        <w:tc>
          <w:tcPr>
            <w:tcW w:w="349" w:type="pct"/>
            <w:tcBorders>
              <w:top w:val="single" w:sz="4" w:space="0" w:color="auto"/>
              <w:left w:val="nil"/>
              <w:bottom w:val="single" w:sz="4" w:space="0" w:color="auto"/>
              <w:right w:val="single" w:sz="4" w:space="0" w:color="auto"/>
            </w:tcBorders>
          </w:tcPr>
          <w:p w14:paraId="6CB93CBE" w14:textId="0BA3EF6C"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ADE5E9D" w14:textId="7A38B65E"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E13884D" w14:textId="4BDD7BAC"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DCDC615" w14:textId="7AC0B603"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EFDEDF8" w14:textId="0B6D5E78"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6DEBAFC" w14:textId="600EB335"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C585D0D"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5C54D25E" w14:textId="77777777" w:rsidR="00D82E22" w:rsidRPr="00C16EC2" w:rsidRDefault="00D82E22" w:rsidP="00096131">
            <w:pPr>
              <w:pStyle w:val="Tabletext1"/>
              <w:jc w:val="center"/>
            </w:pPr>
          </w:p>
        </w:tc>
      </w:tr>
      <w:tr w:rsidR="00D82E22" w:rsidRPr="00B2301A" w14:paraId="1DA48447" w14:textId="77777777" w:rsidTr="00C16EC2">
        <w:tc>
          <w:tcPr>
            <w:tcW w:w="669" w:type="pct"/>
            <w:tcBorders>
              <w:top w:val="nil"/>
              <w:left w:val="single" w:sz="4" w:space="0" w:color="auto"/>
              <w:bottom w:val="nil"/>
              <w:right w:val="single" w:sz="4" w:space="0" w:color="auto"/>
            </w:tcBorders>
            <w:shd w:val="clear" w:color="auto" w:fill="auto"/>
          </w:tcPr>
          <w:p w14:paraId="485EC54F"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6C451DF" w14:textId="718460C4" w:rsidR="00D82E22" w:rsidRPr="00C16EC2" w:rsidRDefault="00D82E22" w:rsidP="00096131">
            <w:pPr>
              <w:pStyle w:val="Tabletext1"/>
              <w:jc w:val="center"/>
            </w:pPr>
            <w:r>
              <w:t xml:space="preserve">GI </w:t>
            </w:r>
            <w:r w:rsidRPr="00C16EC2">
              <w:t>2-month F</w:t>
            </w:r>
            <w:r>
              <w:t>U</w:t>
            </w:r>
            <w:r w:rsidRPr="00C16EC2">
              <w:t xml:space="preserve"> (Grade 1-2)</w:t>
            </w:r>
          </w:p>
        </w:tc>
        <w:tc>
          <w:tcPr>
            <w:tcW w:w="349" w:type="pct"/>
            <w:tcBorders>
              <w:top w:val="single" w:sz="4" w:space="0" w:color="auto"/>
              <w:left w:val="single" w:sz="4" w:space="0" w:color="auto"/>
              <w:bottom w:val="single" w:sz="4" w:space="0" w:color="auto"/>
              <w:right w:val="single" w:sz="4" w:space="0" w:color="auto"/>
            </w:tcBorders>
          </w:tcPr>
          <w:p w14:paraId="6485C09C"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7A3B1063" w14:textId="35D32EF7" w:rsidR="00D82E22" w:rsidRPr="00C16EC2" w:rsidRDefault="00D82E22" w:rsidP="00096131">
            <w:pPr>
              <w:pStyle w:val="Tabletext1"/>
              <w:jc w:val="center"/>
            </w:pPr>
            <w:r w:rsidRPr="00C16EC2">
              <w:t>4/85 (</w:t>
            </w:r>
            <w:r w:rsidR="00FE1DA5">
              <w:t>5</w:t>
            </w:r>
            <w:r w:rsidRPr="00C16EC2">
              <w:t>%)</w:t>
            </w:r>
          </w:p>
        </w:tc>
        <w:tc>
          <w:tcPr>
            <w:tcW w:w="349" w:type="pct"/>
            <w:tcBorders>
              <w:top w:val="single" w:sz="4" w:space="0" w:color="auto"/>
              <w:left w:val="nil"/>
              <w:bottom w:val="single" w:sz="4" w:space="0" w:color="auto"/>
              <w:right w:val="single" w:sz="4" w:space="0" w:color="auto"/>
            </w:tcBorders>
          </w:tcPr>
          <w:p w14:paraId="46F09F80"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823BCF5"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E14B31C"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B28042C"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935055D" w14:textId="11C7B9C9"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21BCAE2"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F42EA95"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452E55F5" w14:textId="77777777" w:rsidR="00D82E22" w:rsidRPr="00C16EC2" w:rsidRDefault="00D82E22" w:rsidP="00096131">
            <w:pPr>
              <w:pStyle w:val="Tabletext1"/>
              <w:jc w:val="center"/>
            </w:pPr>
          </w:p>
        </w:tc>
      </w:tr>
      <w:tr w:rsidR="00D82E22" w:rsidRPr="00B2301A" w14:paraId="18A12C96" w14:textId="77777777" w:rsidTr="00C16EC2">
        <w:tc>
          <w:tcPr>
            <w:tcW w:w="669" w:type="pct"/>
            <w:tcBorders>
              <w:top w:val="nil"/>
              <w:left w:val="single" w:sz="4" w:space="0" w:color="auto"/>
              <w:bottom w:val="nil"/>
              <w:right w:val="single" w:sz="4" w:space="0" w:color="auto"/>
            </w:tcBorders>
            <w:shd w:val="clear" w:color="auto" w:fill="auto"/>
          </w:tcPr>
          <w:p w14:paraId="0658F753"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1E14ECCB" w14:textId="2D61B74E" w:rsidR="00D82E22" w:rsidRPr="00C16EC2" w:rsidRDefault="00D82E22" w:rsidP="00096131">
            <w:pPr>
              <w:pStyle w:val="Tabletext1"/>
              <w:jc w:val="center"/>
            </w:pPr>
            <w:r>
              <w:t xml:space="preserve">GI </w:t>
            </w:r>
            <w:r w:rsidRPr="00C16EC2">
              <w:t>6-month FU (Grade 1-2)</w:t>
            </w:r>
          </w:p>
        </w:tc>
        <w:tc>
          <w:tcPr>
            <w:tcW w:w="349" w:type="pct"/>
            <w:tcBorders>
              <w:top w:val="single" w:sz="4" w:space="0" w:color="auto"/>
              <w:left w:val="single" w:sz="4" w:space="0" w:color="auto"/>
              <w:bottom w:val="single" w:sz="4" w:space="0" w:color="auto"/>
              <w:right w:val="single" w:sz="4" w:space="0" w:color="auto"/>
            </w:tcBorders>
          </w:tcPr>
          <w:p w14:paraId="23CCDFB8"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5AF63A0"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48D9312"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64FD7E1"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019B160"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4B67329"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466CCA14" w14:textId="61F56CA6" w:rsidR="00D82E22" w:rsidRPr="00C16EC2" w:rsidRDefault="00D82E22" w:rsidP="00096131">
            <w:pPr>
              <w:pStyle w:val="Tabletext1"/>
              <w:jc w:val="center"/>
            </w:pPr>
            <w:r w:rsidRPr="00C16EC2">
              <w:t>6/85 (7%)</w:t>
            </w:r>
          </w:p>
        </w:tc>
        <w:tc>
          <w:tcPr>
            <w:tcW w:w="349" w:type="pct"/>
            <w:tcBorders>
              <w:top w:val="single" w:sz="4" w:space="0" w:color="auto"/>
              <w:left w:val="nil"/>
              <w:bottom w:val="single" w:sz="4" w:space="0" w:color="auto"/>
              <w:right w:val="single" w:sz="4" w:space="0" w:color="auto"/>
            </w:tcBorders>
          </w:tcPr>
          <w:p w14:paraId="56914777"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E6F9725"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A062408" w14:textId="77777777" w:rsidR="00D82E22" w:rsidRPr="00C16EC2" w:rsidRDefault="00D82E22" w:rsidP="00096131">
            <w:pPr>
              <w:pStyle w:val="Tabletext1"/>
              <w:jc w:val="center"/>
            </w:pPr>
          </w:p>
        </w:tc>
      </w:tr>
      <w:tr w:rsidR="00D82E22" w:rsidRPr="00B2301A" w14:paraId="04AEBC9B" w14:textId="77777777" w:rsidTr="00C16EC2">
        <w:tc>
          <w:tcPr>
            <w:tcW w:w="669" w:type="pct"/>
            <w:tcBorders>
              <w:top w:val="nil"/>
              <w:left w:val="single" w:sz="4" w:space="0" w:color="auto"/>
              <w:bottom w:val="nil"/>
              <w:right w:val="single" w:sz="4" w:space="0" w:color="auto"/>
            </w:tcBorders>
            <w:shd w:val="clear" w:color="auto" w:fill="auto"/>
          </w:tcPr>
          <w:p w14:paraId="34F1BA98"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38903754" w14:textId="0C121950" w:rsidR="00D82E22" w:rsidRPr="00C16EC2" w:rsidRDefault="00D82E22" w:rsidP="00096131">
            <w:pPr>
              <w:pStyle w:val="Tabletext1"/>
              <w:jc w:val="center"/>
            </w:pPr>
            <w:r>
              <w:t>GI l</w:t>
            </w:r>
            <w:r w:rsidRPr="00C16EC2">
              <w:t>ast FU</w:t>
            </w:r>
          </w:p>
        </w:tc>
        <w:tc>
          <w:tcPr>
            <w:tcW w:w="349" w:type="pct"/>
            <w:tcBorders>
              <w:top w:val="single" w:sz="4" w:space="0" w:color="auto"/>
              <w:left w:val="single" w:sz="4" w:space="0" w:color="auto"/>
              <w:bottom w:val="single" w:sz="4" w:space="0" w:color="auto"/>
              <w:right w:val="single" w:sz="4" w:space="0" w:color="auto"/>
            </w:tcBorders>
          </w:tcPr>
          <w:p w14:paraId="0FA770C1"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59D4A6C"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E3CCE74"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DC8FAFB"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251238F"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DCDFD84"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2837F41" w14:textId="60422D27" w:rsidR="00D82E22" w:rsidRPr="00C16EC2" w:rsidRDefault="00D82E22" w:rsidP="00096131">
            <w:pPr>
              <w:pStyle w:val="Tabletext1"/>
              <w:jc w:val="center"/>
            </w:pPr>
            <w:r w:rsidRPr="00C16EC2">
              <w:t>4/85 (</w:t>
            </w:r>
            <w:r w:rsidR="00FE1DA5">
              <w:t>5</w:t>
            </w:r>
            <w:r w:rsidRPr="00C16EC2">
              <w:t>%)</w:t>
            </w:r>
          </w:p>
        </w:tc>
        <w:tc>
          <w:tcPr>
            <w:tcW w:w="349" w:type="pct"/>
            <w:tcBorders>
              <w:top w:val="single" w:sz="4" w:space="0" w:color="auto"/>
              <w:left w:val="single" w:sz="4" w:space="0" w:color="auto"/>
              <w:bottom w:val="single" w:sz="4" w:space="0" w:color="auto"/>
              <w:right w:val="single" w:sz="4" w:space="0" w:color="auto"/>
            </w:tcBorders>
          </w:tcPr>
          <w:p w14:paraId="29B5B356" w14:textId="7BB38FE8" w:rsidR="00D82E22" w:rsidRPr="00C16EC2" w:rsidRDefault="00D82E22" w:rsidP="00096131">
            <w:pPr>
              <w:pStyle w:val="Tabletext1"/>
              <w:jc w:val="center"/>
            </w:pPr>
            <w:r w:rsidRPr="00C16EC2">
              <w:t>0/85 (0%)</w:t>
            </w:r>
          </w:p>
        </w:tc>
        <w:tc>
          <w:tcPr>
            <w:tcW w:w="349" w:type="pct"/>
            <w:tcBorders>
              <w:top w:val="single" w:sz="4" w:space="0" w:color="auto"/>
              <w:left w:val="single" w:sz="4" w:space="0" w:color="auto"/>
              <w:bottom w:val="single" w:sz="4" w:space="0" w:color="auto"/>
              <w:right w:val="single" w:sz="4" w:space="0" w:color="auto"/>
            </w:tcBorders>
          </w:tcPr>
          <w:p w14:paraId="3AADB219" w14:textId="3A18D5E6" w:rsidR="00D82E22" w:rsidRPr="00C16EC2" w:rsidRDefault="00D82E22" w:rsidP="00096131">
            <w:pPr>
              <w:pStyle w:val="Tabletext1"/>
              <w:jc w:val="center"/>
            </w:pPr>
            <w:r w:rsidRPr="00C16EC2">
              <w:t>1/85 (1%)</w:t>
            </w:r>
          </w:p>
        </w:tc>
        <w:tc>
          <w:tcPr>
            <w:tcW w:w="341" w:type="pct"/>
            <w:tcBorders>
              <w:top w:val="single" w:sz="4" w:space="0" w:color="auto"/>
              <w:left w:val="single" w:sz="4" w:space="0" w:color="auto"/>
              <w:bottom w:val="single" w:sz="4" w:space="0" w:color="auto"/>
              <w:right w:val="single" w:sz="4" w:space="0" w:color="auto"/>
            </w:tcBorders>
          </w:tcPr>
          <w:p w14:paraId="34964A57" w14:textId="77777777" w:rsidR="00D82E22" w:rsidRPr="00C16EC2" w:rsidRDefault="00D82E22" w:rsidP="00096131">
            <w:pPr>
              <w:pStyle w:val="Tabletext1"/>
              <w:jc w:val="center"/>
            </w:pPr>
          </w:p>
        </w:tc>
      </w:tr>
      <w:tr w:rsidR="00D82E22" w:rsidRPr="00B2301A" w14:paraId="5C38AB6E" w14:textId="77777777" w:rsidTr="00C16EC2">
        <w:tc>
          <w:tcPr>
            <w:tcW w:w="669" w:type="pct"/>
            <w:tcBorders>
              <w:top w:val="nil"/>
              <w:left w:val="single" w:sz="4" w:space="0" w:color="auto"/>
              <w:bottom w:val="nil"/>
              <w:right w:val="single" w:sz="4" w:space="0" w:color="auto"/>
            </w:tcBorders>
            <w:shd w:val="clear" w:color="auto" w:fill="auto"/>
          </w:tcPr>
          <w:p w14:paraId="174914DA"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69B1B5DA" w14:textId="1C41A638" w:rsidR="00D82E22" w:rsidRPr="00C16EC2" w:rsidRDefault="00D82E22" w:rsidP="00096131">
            <w:pPr>
              <w:pStyle w:val="Tabletext1"/>
              <w:jc w:val="center"/>
            </w:pPr>
            <w:r w:rsidRPr="00C16EC2">
              <w:t>GU during RT (</w:t>
            </w:r>
            <w:r>
              <w:t>G</w:t>
            </w:r>
            <w:r w:rsidRPr="00C16EC2">
              <w:t>rade 1-2)</w:t>
            </w:r>
          </w:p>
        </w:tc>
        <w:tc>
          <w:tcPr>
            <w:tcW w:w="349" w:type="pct"/>
            <w:tcBorders>
              <w:top w:val="single" w:sz="4" w:space="0" w:color="auto"/>
              <w:left w:val="single" w:sz="4" w:space="0" w:color="auto"/>
              <w:bottom w:val="single" w:sz="4" w:space="0" w:color="auto"/>
              <w:right w:val="single" w:sz="4" w:space="0" w:color="auto"/>
            </w:tcBorders>
          </w:tcPr>
          <w:p w14:paraId="619A510C"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782425ED" w14:textId="1654030F" w:rsidR="00D82E22" w:rsidRPr="00C16EC2" w:rsidRDefault="00D82E22" w:rsidP="00096131">
            <w:pPr>
              <w:pStyle w:val="Tabletext1"/>
              <w:jc w:val="center"/>
            </w:pPr>
            <w:r w:rsidRPr="00C16EC2">
              <w:t>31/85 (36%)</w:t>
            </w:r>
          </w:p>
        </w:tc>
        <w:tc>
          <w:tcPr>
            <w:tcW w:w="349" w:type="pct"/>
            <w:tcBorders>
              <w:top w:val="single" w:sz="4" w:space="0" w:color="auto"/>
              <w:left w:val="nil"/>
              <w:bottom w:val="single" w:sz="4" w:space="0" w:color="auto"/>
              <w:right w:val="single" w:sz="4" w:space="0" w:color="auto"/>
            </w:tcBorders>
          </w:tcPr>
          <w:p w14:paraId="1DCFFCDF"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F24AF95"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D70C64A"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A73D295"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86285D4"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6B4FED8"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8A15C5D"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116148F5" w14:textId="77777777" w:rsidR="00D82E22" w:rsidRPr="00C16EC2" w:rsidRDefault="00D82E22" w:rsidP="00096131">
            <w:pPr>
              <w:pStyle w:val="Tabletext1"/>
              <w:jc w:val="center"/>
            </w:pPr>
          </w:p>
        </w:tc>
      </w:tr>
      <w:tr w:rsidR="00D82E22" w:rsidRPr="00B2301A" w14:paraId="321E6F51" w14:textId="77777777" w:rsidTr="00C16EC2">
        <w:tc>
          <w:tcPr>
            <w:tcW w:w="669" w:type="pct"/>
            <w:tcBorders>
              <w:top w:val="nil"/>
              <w:left w:val="single" w:sz="4" w:space="0" w:color="auto"/>
              <w:bottom w:val="nil"/>
              <w:right w:val="single" w:sz="4" w:space="0" w:color="auto"/>
            </w:tcBorders>
            <w:shd w:val="clear" w:color="auto" w:fill="auto"/>
          </w:tcPr>
          <w:p w14:paraId="1FDEAE17"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3CC966FF" w14:textId="2010E588" w:rsidR="00D82E22" w:rsidRPr="00C16EC2" w:rsidRDefault="00D82E22" w:rsidP="00096131">
            <w:pPr>
              <w:pStyle w:val="Tabletext1"/>
              <w:jc w:val="center"/>
            </w:pPr>
            <w:r w:rsidRPr="00C16EC2">
              <w:t>GU 2-month FU (Grade 1-2)</w:t>
            </w:r>
          </w:p>
        </w:tc>
        <w:tc>
          <w:tcPr>
            <w:tcW w:w="349" w:type="pct"/>
            <w:tcBorders>
              <w:top w:val="single" w:sz="4" w:space="0" w:color="auto"/>
              <w:left w:val="single" w:sz="4" w:space="0" w:color="auto"/>
              <w:bottom w:val="single" w:sz="4" w:space="0" w:color="auto"/>
              <w:right w:val="single" w:sz="4" w:space="0" w:color="auto"/>
            </w:tcBorders>
          </w:tcPr>
          <w:p w14:paraId="158118C9"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14A089D3" w14:textId="7424AA58" w:rsidR="00D82E22" w:rsidRPr="00C16EC2" w:rsidRDefault="00D82E22" w:rsidP="00096131">
            <w:pPr>
              <w:pStyle w:val="Tabletext1"/>
              <w:jc w:val="center"/>
            </w:pPr>
            <w:r w:rsidRPr="00C16EC2">
              <w:t>6/85 (7%)</w:t>
            </w:r>
          </w:p>
        </w:tc>
        <w:tc>
          <w:tcPr>
            <w:tcW w:w="349" w:type="pct"/>
            <w:tcBorders>
              <w:top w:val="single" w:sz="4" w:space="0" w:color="auto"/>
              <w:left w:val="nil"/>
              <w:bottom w:val="single" w:sz="4" w:space="0" w:color="auto"/>
              <w:right w:val="single" w:sz="4" w:space="0" w:color="auto"/>
            </w:tcBorders>
          </w:tcPr>
          <w:p w14:paraId="6DD41CF8"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D685492"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6815642"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AD6E723"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316DF64B"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28E6726"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C17F6B9"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0E60C97D" w14:textId="77777777" w:rsidR="00D82E22" w:rsidRPr="00C16EC2" w:rsidRDefault="00D82E22" w:rsidP="00096131">
            <w:pPr>
              <w:pStyle w:val="Tabletext1"/>
              <w:jc w:val="center"/>
            </w:pPr>
          </w:p>
        </w:tc>
      </w:tr>
      <w:tr w:rsidR="00D82E22" w:rsidRPr="00B2301A" w14:paraId="5C51B852" w14:textId="77777777" w:rsidTr="00C16EC2">
        <w:tc>
          <w:tcPr>
            <w:tcW w:w="669" w:type="pct"/>
            <w:tcBorders>
              <w:top w:val="nil"/>
              <w:left w:val="single" w:sz="4" w:space="0" w:color="auto"/>
              <w:bottom w:val="nil"/>
              <w:right w:val="single" w:sz="4" w:space="0" w:color="auto"/>
            </w:tcBorders>
            <w:shd w:val="clear" w:color="auto" w:fill="auto"/>
          </w:tcPr>
          <w:p w14:paraId="1D92CD7A"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23E19012" w14:textId="2CC7E7FD" w:rsidR="00D82E22" w:rsidRPr="00C16EC2" w:rsidRDefault="00D82E22" w:rsidP="00096131">
            <w:pPr>
              <w:pStyle w:val="Tabletext1"/>
              <w:jc w:val="center"/>
            </w:pPr>
            <w:r w:rsidRPr="00C16EC2">
              <w:t>GU 6-month FU</w:t>
            </w:r>
          </w:p>
        </w:tc>
        <w:tc>
          <w:tcPr>
            <w:tcW w:w="349" w:type="pct"/>
            <w:tcBorders>
              <w:top w:val="single" w:sz="4" w:space="0" w:color="auto"/>
              <w:left w:val="single" w:sz="4" w:space="0" w:color="auto"/>
              <w:bottom w:val="single" w:sz="4" w:space="0" w:color="auto"/>
              <w:right w:val="single" w:sz="4" w:space="0" w:color="auto"/>
            </w:tcBorders>
          </w:tcPr>
          <w:p w14:paraId="1F60D8B5"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61666D3F" w14:textId="77777777" w:rsidR="00D82E22" w:rsidRPr="00C16EC2" w:rsidRDefault="00D82E22" w:rsidP="00096131">
            <w:pPr>
              <w:pStyle w:val="Tabletext1"/>
              <w:jc w:val="center"/>
            </w:pPr>
          </w:p>
        </w:tc>
        <w:tc>
          <w:tcPr>
            <w:tcW w:w="349" w:type="pct"/>
            <w:tcBorders>
              <w:top w:val="single" w:sz="4" w:space="0" w:color="auto"/>
              <w:left w:val="nil"/>
              <w:bottom w:val="single" w:sz="4" w:space="0" w:color="auto"/>
              <w:right w:val="single" w:sz="4" w:space="0" w:color="auto"/>
            </w:tcBorders>
          </w:tcPr>
          <w:p w14:paraId="3179ED65"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D94F790"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6EA07CF"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B3A6864"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2AC39627" w14:textId="792B9C0C" w:rsidR="00D82E22" w:rsidRPr="00C16EC2" w:rsidRDefault="00D82E22" w:rsidP="00096131">
            <w:pPr>
              <w:pStyle w:val="Tabletext1"/>
              <w:jc w:val="center"/>
            </w:pPr>
            <w:r w:rsidRPr="00C16EC2">
              <w:t>16/85 (</w:t>
            </w:r>
            <w:r w:rsidR="00D47A5C">
              <w:t>19</w:t>
            </w:r>
            <w:r w:rsidRPr="00C16EC2">
              <w:t>%)</w:t>
            </w:r>
          </w:p>
        </w:tc>
        <w:tc>
          <w:tcPr>
            <w:tcW w:w="349" w:type="pct"/>
            <w:tcBorders>
              <w:top w:val="single" w:sz="4" w:space="0" w:color="auto"/>
              <w:left w:val="single" w:sz="4" w:space="0" w:color="auto"/>
              <w:bottom w:val="single" w:sz="4" w:space="0" w:color="auto"/>
              <w:right w:val="single" w:sz="4" w:space="0" w:color="auto"/>
            </w:tcBorders>
          </w:tcPr>
          <w:p w14:paraId="2C641722" w14:textId="7F73C66D" w:rsidR="00D82E22" w:rsidRPr="00C16EC2" w:rsidRDefault="00D82E22" w:rsidP="00096131">
            <w:pPr>
              <w:pStyle w:val="Tabletext1"/>
              <w:jc w:val="center"/>
            </w:pPr>
            <w:r w:rsidRPr="00C16EC2">
              <w:t>0/85 (0%)</w:t>
            </w:r>
          </w:p>
        </w:tc>
        <w:tc>
          <w:tcPr>
            <w:tcW w:w="349" w:type="pct"/>
            <w:tcBorders>
              <w:top w:val="single" w:sz="4" w:space="0" w:color="auto"/>
              <w:left w:val="single" w:sz="4" w:space="0" w:color="auto"/>
              <w:bottom w:val="single" w:sz="4" w:space="0" w:color="auto"/>
              <w:right w:val="single" w:sz="4" w:space="0" w:color="auto"/>
            </w:tcBorders>
          </w:tcPr>
          <w:p w14:paraId="16D83956" w14:textId="57ECA3D2" w:rsidR="00D82E22" w:rsidRPr="00C16EC2" w:rsidRDefault="00D82E22" w:rsidP="00096131">
            <w:pPr>
              <w:pStyle w:val="Tabletext1"/>
              <w:jc w:val="center"/>
            </w:pPr>
            <w:r w:rsidRPr="00C16EC2">
              <w:t>1/85 (1%)</w:t>
            </w:r>
          </w:p>
        </w:tc>
        <w:tc>
          <w:tcPr>
            <w:tcW w:w="341" w:type="pct"/>
            <w:tcBorders>
              <w:top w:val="single" w:sz="4" w:space="0" w:color="auto"/>
              <w:left w:val="single" w:sz="4" w:space="0" w:color="auto"/>
              <w:bottom w:val="single" w:sz="4" w:space="0" w:color="auto"/>
              <w:right w:val="single" w:sz="4" w:space="0" w:color="auto"/>
            </w:tcBorders>
          </w:tcPr>
          <w:p w14:paraId="001C64C0" w14:textId="77777777" w:rsidR="00D82E22" w:rsidRPr="00C16EC2" w:rsidRDefault="00D82E22" w:rsidP="00096131">
            <w:pPr>
              <w:pStyle w:val="Tabletext1"/>
              <w:jc w:val="center"/>
            </w:pPr>
          </w:p>
        </w:tc>
      </w:tr>
      <w:tr w:rsidR="00D82E22" w:rsidRPr="00B2301A" w14:paraId="6FD9B0B9" w14:textId="77777777" w:rsidTr="00181CE6">
        <w:tc>
          <w:tcPr>
            <w:tcW w:w="669" w:type="pct"/>
            <w:tcBorders>
              <w:top w:val="nil"/>
              <w:left w:val="single" w:sz="4" w:space="0" w:color="auto"/>
              <w:bottom w:val="single" w:sz="4" w:space="0" w:color="auto"/>
              <w:right w:val="single" w:sz="4" w:space="0" w:color="auto"/>
            </w:tcBorders>
            <w:shd w:val="clear" w:color="auto" w:fill="auto"/>
          </w:tcPr>
          <w:p w14:paraId="165457D1" w14:textId="77777777" w:rsidR="00D82E22" w:rsidRDefault="00D82E22"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3CB9B41C" w14:textId="361376B8" w:rsidR="00D82E22" w:rsidRPr="00C16EC2" w:rsidRDefault="00D82E22" w:rsidP="00096131">
            <w:pPr>
              <w:pStyle w:val="Tabletext1"/>
              <w:jc w:val="center"/>
            </w:pPr>
            <w:r w:rsidRPr="00C16EC2">
              <w:t>GU last FU (Grade 1-2)</w:t>
            </w:r>
          </w:p>
        </w:tc>
        <w:tc>
          <w:tcPr>
            <w:tcW w:w="349" w:type="pct"/>
            <w:tcBorders>
              <w:top w:val="single" w:sz="4" w:space="0" w:color="auto"/>
              <w:left w:val="single" w:sz="4" w:space="0" w:color="auto"/>
              <w:bottom w:val="single" w:sz="4" w:space="0" w:color="auto"/>
              <w:right w:val="single" w:sz="4" w:space="0" w:color="auto"/>
            </w:tcBorders>
          </w:tcPr>
          <w:p w14:paraId="3B3F5F14"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nil"/>
            </w:tcBorders>
          </w:tcPr>
          <w:p w14:paraId="092F51FE" w14:textId="77777777" w:rsidR="00D82E22" w:rsidRPr="00C16EC2" w:rsidRDefault="00D82E22" w:rsidP="00096131">
            <w:pPr>
              <w:pStyle w:val="Tabletext1"/>
              <w:jc w:val="center"/>
            </w:pPr>
          </w:p>
        </w:tc>
        <w:tc>
          <w:tcPr>
            <w:tcW w:w="349" w:type="pct"/>
            <w:tcBorders>
              <w:top w:val="single" w:sz="4" w:space="0" w:color="auto"/>
              <w:left w:val="nil"/>
              <w:bottom w:val="single" w:sz="4" w:space="0" w:color="auto"/>
              <w:right w:val="single" w:sz="4" w:space="0" w:color="auto"/>
            </w:tcBorders>
          </w:tcPr>
          <w:p w14:paraId="77693AF0"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B06F5D6"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511D4E7"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8218AAB" w14:textId="77777777" w:rsidR="00D82E22" w:rsidRPr="00C16EC2"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9D19990" w14:textId="357D54B8" w:rsidR="00D82E22" w:rsidRPr="00C16EC2" w:rsidRDefault="00D82E22" w:rsidP="00096131">
            <w:pPr>
              <w:pStyle w:val="Tabletext1"/>
              <w:jc w:val="center"/>
            </w:pPr>
            <w:r w:rsidRPr="00C16EC2">
              <w:t>25/85 (</w:t>
            </w:r>
            <w:r w:rsidR="00D47A5C">
              <w:t>30</w:t>
            </w:r>
            <w:r w:rsidRPr="00C16EC2">
              <w:t>%)</w:t>
            </w:r>
          </w:p>
        </w:tc>
        <w:tc>
          <w:tcPr>
            <w:tcW w:w="349" w:type="pct"/>
            <w:tcBorders>
              <w:top w:val="single" w:sz="4" w:space="0" w:color="auto"/>
              <w:left w:val="single" w:sz="4" w:space="0" w:color="auto"/>
              <w:bottom w:val="single" w:sz="4" w:space="0" w:color="auto"/>
              <w:right w:val="single" w:sz="4" w:space="0" w:color="auto"/>
            </w:tcBorders>
          </w:tcPr>
          <w:p w14:paraId="08FD022E" w14:textId="77777777" w:rsidR="00D82E22" w:rsidRPr="00C16EC2"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D496285" w14:textId="77777777" w:rsidR="00D82E22" w:rsidRPr="00C16EC2"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35570EB" w14:textId="77777777" w:rsidR="00D82E22" w:rsidRPr="00C16EC2" w:rsidRDefault="00D82E22" w:rsidP="00096131">
            <w:pPr>
              <w:pStyle w:val="Tabletext1"/>
              <w:jc w:val="center"/>
            </w:pPr>
          </w:p>
        </w:tc>
      </w:tr>
      <w:tr w:rsidR="00D82E22" w:rsidRPr="00B2301A" w14:paraId="0B4F18CF" w14:textId="77777777" w:rsidTr="00181CE6">
        <w:tc>
          <w:tcPr>
            <w:tcW w:w="669" w:type="pct"/>
            <w:tcBorders>
              <w:top w:val="single" w:sz="4" w:space="0" w:color="auto"/>
              <w:left w:val="single" w:sz="4" w:space="0" w:color="auto"/>
              <w:bottom w:val="nil"/>
              <w:right w:val="single" w:sz="4" w:space="0" w:color="auto"/>
            </w:tcBorders>
            <w:shd w:val="clear" w:color="auto" w:fill="auto"/>
          </w:tcPr>
          <w:p w14:paraId="061C97DC" w14:textId="2293B4BA" w:rsidR="00D82E22" w:rsidRDefault="00211285" w:rsidP="00096131">
            <w:pPr>
              <w:pStyle w:val="Tabletext1"/>
              <w:rPr>
                <w:snapToGrid w:val="0"/>
              </w:rPr>
            </w:pPr>
            <w:hyperlink w:anchor="_ENREF_78" w:tooltip="Vargas, 2019 #78" w:history="1">
              <w:r w:rsidR="008B6FC0">
                <w:fldChar w:fldCharType="begin"/>
              </w:r>
              <w:r w:rsidR="008B6FC0">
                <w:instrText xml:space="preserve"> ADDIN EN.CITE &lt;EndNote&gt;&lt;Cite AuthorYear="1"&gt;&lt;Author&gt;Vargas&lt;/Author&gt;&lt;Year&gt;2019&lt;/Year&gt;&lt;RecNum&gt;78&lt;/RecNum&gt;&lt;DisplayText&gt;Vargas et al. (2019)&lt;/DisplayText&gt;&lt;record&gt;&lt;rec-number&gt;78&lt;/rec-number&gt;&lt;foreign-keys&gt;&lt;key app="EN" db-id="sx5wsdwv795wvue959xxw0ptaewvdezxxp05" timestamp="1604876399"&gt;78&lt;/key&gt;&lt;/foreign-keys&gt;&lt;ref-type name="Journal Article"&gt;17&lt;/ref-type&gt;&lt;contributors&gt;&lt;authors&gt;&lt;author&gt;Vargas, C. E.&lt;/author&gt;&lt;author&gt;Alam, N. B.&lt;/author&gt;&lt;author&gt;Terk, M.&lt;/author&gt;&lt;author&gt;Niska, J. R.&lt;/author&gt;&lt;author&gt;Cesareti, J.&lt;/author&gt;&lt;author&gt;Swartz, D.&lt;/author&gt;&lt;author&gt;Vashi, A.&lt;/author&gt;&lt;author&gt;Kasraeian, A.&lt;/author&gt;&lt;author&gt;West, C. S.&lt;/author&gt;&lt;author&gt;Blasser, M.&lt;/author&gt;&lt;author&gt;Moore, C.&lt;/author&gt;&lt;/authors&gt;&lt;/contributors&gt;&lt;titles&gt;&lt;title&gt;Initial results of a randomized phase III trial of high dose image guided radiation with or without androgen deprivation therapy for intermediate-risk prostate cancer&lt;/title&gt;&lt;secondary-title&gt;Cancer treatment and research communications&lt;/secondary-title&gt;&lt;/titles&gt;&lt;volume&gt;19&lt;/volume&gt;&lt;dates&gt;&lt;year&gt;2019&lt;/year&gt;&lt;/dates&gt;&lt;accession-num&gt;CN-01788812 NEW&lt;/accession-num&gt;&lt;urls&gt;&lt;related-urls&gt;&lt;url&gt;http://ezproxy.library.usyd.edu.au/login?url=http://ovidsp.ovid.com/ovidweb.cgi?T=JS&amp;amp;CSC=Y&amp;amp;NEWS=N&amp;amp;PAGE=fulltext&amp;amp;D=cctr&amp;amp;AN=CN-01788812https://sydney.alma.exlibrisgroup.com/openurl/61USYD_INST/61USYD_INST:sydney?sid=OVID:cctrdb&amp;amp;id=pmid:10.1016%2Fj.ctarc.201&lt;/url&gt;&lt;/related-urls&gt;&lt;/urls&gt;&lt;/record&gt;&lt;/Cite&gt;&lt;/EndNote&gt;</w:instrText>
              </w:r>
              <w:r w:rsidR="008B6FC0">
                <w:fldChar w:fldCharType="separate"/>
              </w:r>
              <w:r w:rsidR="008B6FC0">
                <w:rPr>
                  <w:noProof/>
                </w:rPr>
                <w:t>Vargas et al. (2019)</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11CA31C4" w14:textId="189C5400" w:rsidR="00D82E22" w:rsidRPr="00181CE6" w:rsidRDefault="00181CE6" w:rsidP="00096131">
            <w:pPr>
              <w:pStyle w:val="Tabletext1"/>
              <w:jc w:val="center"/>
            </w:pPr>
            <w:r w:rsidRPr="00181CE6">
              <w:t>GI</w:t>
            </w:r>
          </w:p>
          <w:p w14:paraId="5F9D15B4" w14:textId="2616F5CA" w:rsidR="00D82E22" w:rsidRPr="00181CE6"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877F535" w14:textId="77777777" w:rsidR="00D82E22" w:rsidRPr="00181CE6"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CF81C99" w14:textId="3703D10F" w:rsidR="00D82E22" w:rsidRPr="00181CE6"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EDC4D3C" w14:textId="4107A6F2" w:rsidR="00D82E22" w:rsidRPr="00181CE6" w:rsidRDefault="00181CE6" w:rsidP="00096131">
            <w:pPr>
              <w:pStyle w:val="Tabletext1"/>
              <w:jc w:val="center"/>
            </w:pPr>
            <w:r w:rsidRPr="00181CE6">
              <w:t>1/79 (1%)</w:t>
            </w:r>
          </w:p>
        </w:tc>
        <w:tc>
          <w:tcPr>
            <w:tcW w:w="349" w:type="pct"/>
            <w:tcBorders>
              <w:top w:val="single" w:sz="4" w:space="0" w:color="auto"/>
              <w:left w:val="single" w:sz="4" w:space="0" w:color="auto"/>
              <w:bottom w:val="single" w:sz="4" w:space="0" w:color="auto"/>
              <w:right w:val="single" w:sz="4" w:space="0" w:color="auto"/>
            </w:tcBorders>
          </w:tcPr>
          <w:p w14:paraId="2CFA7DBD" w14:textId="195C23F6" w:rsidR="00D82E22" w:rsidRPr="00181CE6"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26C3CC0" w14:textId="0FE05A72" w:rsidR="00D82E22" w:rsidRPr="00181CE6"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E2A6806" w14:textId="5E60CB83" w:rsidR="00D82E22" w:rsidRPr="00181CE6" w:rsidRDefault="00D82E22"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1574190C" w14:textId="6A7EAA95" w:rsidR="00D82E22" w:rsidRPr="00181CE6" w:rsidRDefault="00D82E22"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1FA893F" w14:textId="27BCE41D" w:rsidR="00D82E22" w:rsidRPr="00181CE6" w:rsidRDefault="00181CE6" w:rsidP="00096131">
            <w:pPr>
              <w:pStyle w:val="Tabletext1"/>
              <w:jc w:val="center"/>
            </w:pPr>
            <w:r w:rsidRPr="00181CE6">
              <w:t>1/79 (1%)</w:t>
            </w:r>
          </w:p>
        </w:tc>
        <w:tc>
          <w:tcPr>
            <w:tcW w:w="349" w:type="pct"/>
            <w:tcBorders>
              <w:top w:val="single" w:sz="4" w:space="0" w:color="auto"/>
              <w:left w:val="single" w:sz="4" w:space="0" w:color="auto"/>
              <w:bottom w:val="single" w:sz="4" w:space="0" w:color="auto"/>
              <w:right w:val="single" w:sz="4" w:space="0" w:color="auto"/>
            </w:tcBorders>
          </w:tcPr>
          <w:p w14:paraId="324A8D31" w14:textId="77777777" w:rsidR="00D82E22" w:rsidRPr="00181CE6" w:rsidRDefault="00D82E22"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3F7FEBED" w14:textId="77777777" w:rsidR="00D82E22" w:rsidRDefault="00D82E22" w:rsidP="00096131">
            <w:pPr>
              <w:pStyle w:val="Tabletext1"/>
              <w:jc w:val="center"/>
            </w:pPr>
          </w:p>
        </w:tc>
      </w:tr>
      <w:tr w:rsidR="00181CE6" w:rsidRPr="00B2301A" w14:paraId="5A926DF2" w14:textId="77777777" w:rsidTr="00181CE6">
        <w:tc>
          <w:tcPr>
            <w:tcW w:w="669" w:type="pct"/>
            <w:tcBorders>
              <w:top w:val="nil"/>
              <w:left w:val="single" w:sz="4" w:space="0" w:color="auto"/>
              <w:bottom w:val="single" w:sz="4" w:space="0" w:color="auto"/>
              <w:right w:val="single" w:sz="4" w:space="0" w:color="auto"/>
            </w:tcBorders>
            <w:shd w:val="clear" w:color="auto" w:fill="auto"/>
          </w:tcPr>
          <w:p w14:paraId="7477734B" w14:textId="2C546890" w:rsidR="00181CE6" w:rsidRDefault="00181CE6" w:rsidP="00096131">
            <w:pPr>
              <w:pStyle w:val="Tabletext1"/>
              <w:rPr>
                <w:snapToGrid w:val="0"/>
              </w:rPr>
            </w:pPr>
          </w:p>
        </w:tc>
        <w:tc>
          <w:tcPr>
            <w:tcW w:w="847" w:type="pct"/>
            <w:tcBorders>
              <w:top w:val="single" w:sz="4" w:space="0" w:color="auto"/>
              <w:left w:val="single" w:sz="4" w:space="0" w:color="auto"/>
              <w:bottom w:val="single" w:sz="4" w:space="0" w:color="auto"/>
              <w:right w:val="single" w:sz="4" w:space="0" w:color="auto"/>
            </w:tcBorders>
          </w:tcPr>
          <w:p w14:paraId="18A18281" w14:textId="3BA282E3" w:rsidR="00181CE6" w:rsidRPr="00181CE6" w:rsidRDefault="00181CE6" w:rsidP="00096131">
            <w:pPr>
              <w:pStyle w:val="Tabletext1"/>
              <w:jc w:val="center"/>
            </w:pPr>
            <w:r w:rsidRPr="00181CE6">
              <w:t>GU</w:t>
            </w:r>
          </w:p>
        </w:tc>
        <w:tc>
          <w:tcPr>
            <w:tcW w:w="349" w:type="pct"/>
            <w:tcBorders>
              <w:top w:val="single" w:sz="4" w:space="0" w:color="auto"/>
              <w:left w:val="single" w:sz="4" w:space="0" w:color="auto"/>
              <w:bottom w:val="single" w:sz="4" w:space="0" w:color="auto"/>
              <w:right w:val="single" w:sz="4" w:space="0" w:color="auto"/>
            </w:tcBorders>
          </w:tcPr>
          <w:p w14:paraId="2535CFE8" w14:textId="77777777" w:rsidR="00181CE6" w:rsidRPr="00181CE6" w:rsidRDefault="00181CE6"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582B705E" w14:textId="1D06B40B" w:rsidR="00181CE6" w:rsidRPr="00181CE6"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7C935BE" w14:textId="0BD42A37" w:rsidR="00181CE6" w:rsidRPr="00181CE6" w:rsidRDefault="00181CE6" w:rsidP="00096131">
            <w:pPr>
              <w:pStyle w:val="Tabletext1"/>
              <w:jc w:val="center"/>
            </w:pPr>
            <w:r w:rsidRPr="00181CE6">
              <w:t>39/79 (49%)</w:t>
            </w:r>
          </w:p>
        </w:tc>
        <w:tc>
          <w:tcPr>
            <w:tcW w:w="349" w:type="pct"/>
            <w:tcBorders>
              <w:top w:val="single" w:sz="4" w:space="0" w:color="auto"/>
              <w:left w:val="single" w:sz="4" w:space="0" w:color="auto"/>
              <w:bottom w:val="single" w:sz="4" w:space="0" w:color="auto"/>
              <w:right w:val="single" w:sz="4" w:space="0" w:color="auto"/>
            </w:tcBorders>
          </w:tcPr>
          <w:p w14:paraId="15C915BD" w14:textId="648BF1D4" w:rsidR="00181CE6" w:rsidRPr="00181CE6"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C8A75D9" w14:textId="20B68996" w:rsidR="00181CE6" w:rsidRPr="00181CE6"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03E1260" w14:textId="4D637BA0" w:rsidR="00181CE6" w:rsidRPr="00181CE6" w:rsidRDefault="00181CE6"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4DCD718F" w14:textId="7BE58C23" w:rsidR="00181CE6" w:rsidRPr="00181CE6"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258F09FF" w14:textId="6564286E" w:rsidR="00181CE6" w:rsidRPr="00181CE6" w:rsidRDefault="00181CE6" w:rsidP="00096131">
            <w:pPr>
              <w:pStyle w:val="Tabletext1"/>
              <w:jc w:val="center"/>
            </w:pPr>
            <w:r w:rsidRPr="00181CE6">
              <w:t>23/79 (29%)</w:t>
            </w:r>
          </w:p>
        </w:tc>
        <w:tc>
          <w:tcPr>
            <w:tcW w:w="349" w:type="pct"/>
            <w:tcBorders>
              <w:top w:val="single" w:sz="4" w:space="0" w:color="auto"/>
              <w:left w:val="single" w:sz="4" w:space="0" w:color="auto"/>
              <w:bottom w:val="single" w:sz="4" w:space="0" w:color="auto"/>
              <w:right w:val="single" w:sz="4" w:space="0" w:color="auto"/>
            </w:tcBorders>
          </w:tcPr>
          <w:p w14:paraId="2B3D5D6C" w14:textId="77777777" w:rsidR="00181CE6" w:rsidRPr="00181CE6" w:rsidRDefault="00181CE6" w:rsidP="00096131">
            <w:pPr>
              <w:pStyle w:val="Tabletext1"/>
              <w:jc w:val="center"/>
            </w:pPr>
          </w:p>
        </w:tc>
        <w:tc>
          <w:tcPr>
            <w:tcW w:w="341" w:type="pct"/>
            <w:tcBorders>
              <w:top w:val="single" w:sz="4" w:space="0" w:color="auto"/>
              <w:left w:val="single" w:sz="4" w:space="0" w:color="auto"/>
              <w:bottom w:val="single" w:sz="4" w:space="0" w:color="auto"/>
              <w:right w:val="single" w:sz="4" w:space="0" w:color="auto"/>
            </w:tcBorders>
          </w:tcPr>
          <w:p w14:paraId="4B314CD7" w14:textId="77777777" w:rsidR="00181CE6" w:rsidRDefault="00181CE6" w:rsidP="00096131">
            <w:pPr>
              <w:pStyle w:val="Tabletext1"/>
              <w:jc w:val="center"/>
            </w:pPr>
          </w:p>
        </w:tc>
      </w:tr>
      <w:tr w:rsidR="00181CE6" w:rsidRPr="00B2301A" w14:paraId="5A8CB5D0" w14:textId="77777777" w:rsidTr="00181CE6">
        <w:tc>
          <w:tcPr>
            <w:tcW w:w="669" w:type="pct"/>
            <w:tcBorders>
              <w:top w:val="single" w:sz="4" w:space="0" w:color="auto"/>
              <w:left w:val="single" w:sz="4" w:space="0" w:color="auto"/>
              <w:bottom w:val="nil"/>
              <w:right w:val="single" w:sz="4" w:space="0" w:color="auto"/>
            </w:tcBorders>
            <w:shd w:val="clear" w:color="auto" w:fill="auto"/>
          </w:tcPr>
          <w:p w14:paraId="3E90C2BE" w14:textId="1789129F" w:rsidR="00181CE6" w:rsidRDefault="00211285" w:rsidP="00096131">
            <w:pPr>
              <w:pStyle w:val="Tabletext1"/>
              <w:keepNext/>
              <w:rPr>
                <w:snapToGrid w:val="0"/>
              </w:rPr>
            </w:pPr>
            <w:hyperlink w:anchor="_ENREF_79" w:tooltip="Vassis, 2020 #79" w:history="1">
              <w:r w:rsidR="008B6FC0">
                <w:fldChar w:fldCharType="begin"/>
              </w:r>
              <w:r w:rsidR="008B6FC0">
                <w:instrText xml:space="preserve"> ADDIN EN.CITE &lt;EndNote&gt;&lt;Cite AuthorYear="1"&gt;&lt;Author&gt;Vassis&lt;/Author&gt;&lt;Year&gt;2020&lt;/Year&gt;&lt;RecNum&gt;79&lt;/RecNum&gt;&lt;DisplayText&gt;Vassis et al. (2020)&lt;/DisplayText&gt;&lt;record&gt;&lt;rec-number&gt;79&lt;/rec-number&gt;&lt;foreign-keys&gt;&lt;key app="EN" db-id="sx5wsdwv795wvue959xxw0ptaewvdezxxp05" timestamp="1604876399"&gt;79&lt;/key&gt;&lt;/foreign-keys&gt;&lt;ref-type name="Journal Article"&gt;17&lt;/ref-type&gt;&lt;contributors&gt;&lt;authors&gt;&lt;author&gt;Vassis, S.&lt;/author&gt;&lt;author&gt;Noldeke, B.&lt;/author&gt;&lt;author&gt;Christiansen, H.&lt;/author&gt;&lt;author&gt;von Klot, C. A.&lt;/author&gt;&lt;author&gt;Merten, R.&lt;/author&gt;&lt;/authors&gt;&lt;/contributors&gt;&lt;titles&gt;&lt;title&gt;Moderately HRT vs. CRT for localized prostate cancer using image-guided VMAT with SIB: evaluation of acute and late toxicities&lt;/title&gt;&lt;secondary-title&gt;Strahlentherapie und Onkologie&lt;/secondary-title&gt;&lt;/titles&gt;&lt;pages&gt;598-607&lt;/pages&gt;&lt;volume&gt;196&lt;/volume&gt;&lt;number&gt;7&lt;/number&gt;&lt;dates&gt;&lt;year&gt;2020&lt;/year&gt;&lt;/dates&gt;&lt;accession-num&gt;2004241359&lt;/accession-num&gt;&lt;urls&gt;&lt;related-urls&gt;&lt;url&gt;http://www.springerlink.com/content/103711/http://ezproxy.library.usyd.edu.au/login?url=http://ovidsp.ovid.com/ovidweb.cgi?T=JS&amp;amp;CSC=Y&amp;amp;NEWS=N&amp;amp;PAGE=fulltext&amp;amp;D=emexb&amp;amp;AN=2004241359https://sydney.alma.exlibrisgroup.com/openurl/61USYD_INST/61USYD_INST:sydney?si&lt;/url&gt;&lt;url&gt;https://www.ncbi.nlm.nih.gov/pmc/articles/PMC7305256/pdf/66_2020_Article_1589.pdf&lt;/url&gt;&lt;url&gt;https://link.springer.com/content/pdf/10.1007/s00066-020-01589-w.pdf&lt;/url&gt;&lt;/related-urls&gt;&lt;/urls&gt;&lt;electronic-resource-num&gt;http://dx.doi.org/10.1007/s00066-020-01589-w&lt;/electronic-resource-num&gt;&lt;/record&gt;&lt;/Cite&gt;&lt;/EndNote&gt;</w:instrText>
              </w:r>
              <w:r w:rsidR="008B6FC0">
                <w:fldChar w:fldCharType="separate"/>
              </w:r>
              <w:r w:rsidR="008B6FC0">
                <w:rPr>
                  <w:noProof/>
                </w:rPr>
                <w:t>Vassis et al. (2020)</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49BE4961" w14:textId="4790CD22" w:rsidR="00181CE6" w:rsidRDefault="00181CE6" w:rsidP="00096131">
            <w:pPr>
              <w:pStyle w:val="Tabletext1"/>
              <w:keepNext/>
              <w:jc w:val="center"/>
            </w:pPr>
            <w:r>
              <w:t>Proctitis</w:t>
            </w:r>
          </w:p>
        </w:tc>
        <w:tc>
          <w:tcPr>
            <w:tcW w:w="349" w:type="pct"/>
            <w:tcBorders>
              <w:top w:val="single" w:sz="4" w:space="0" w:color="auto"/>
              <w:left w:val="single" w:sz="4" w:space="0" w:color="auto"/>
              <w:bottom w:val="single" w:sz="4" w:space="0" w:color="auto"/>
              <w:right w:val="single" w:sz="4" w:space="0" w:color="auto"/>
            </w:tcBorders>
          </w:tcPr>
          <w:p w14:paraId="6BD966FB"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51C4619D" w14:textId="52CDB495" w:rsidR="00181CE6" w:rsidRDefault="00181CE6" w:rsidP="00096131">
            <w:pPr>
              <w:pStyle w:val="Tabletext1"/>
              <w:keepNext/>
              <w:jc w:val="center"/>
            </w:pPr>
            <w:r>
              <w:t>5/55 (9%)</w:t>
            </w:r>
          </w:p>
        </w:tc>
        <w:tc>
          <w:tcPr>
            <w:tcW w:w="349" w:type="pct"/>
            <w:tcBorders>
              <w:top w:val="single" w:sz="4" w:space="0" w:color="auto"/>
              <w:left w:val="single" w:sz="4" w:space="0" w:color="auto"/>
              <w:bottom w:val="single" w:sz="4" w:space="0" w:color="auto"/>
              <w:right w:val="single" w:sz="4" w:space="0" w:color="auto"/>
            </w:tcBorders>
          </w:tcPr>
          <w:p w14:paraId="33DC4464" w14:textId="585D9D73"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AA456DC" w14:textId="2D1FB129"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86C5905" w14:textId="5E53A9C2"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2173E6B9" w14:textId="66D80608"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1DEF460D" w14:textId="5853C9DC"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528BC718" w14:textId="16A1CDB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6CBFFF4"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4FC9D8DC" w14:textId="77777777" w:rsidR="00181CE6" w:rsidRDefault="00181CE6" w:rsidP="00096131">
            <w:pPr>
              <w:pStyle w:val="Tabletext1"/>
              <w:keepNext/>
              <w:jc w:val="center"/>
            </w:pPr>
          </w:p>
        </w:tc>
      </w:tr>
      <w:tr w:rsidR="00181CE6" w:rsidRPr="00B2301A" w14:paraId="13DD6729" w14:textId="77777777" w:rsidTr="00181CE6">
        <w:tc>
          <w:tcPr>
            <w:tcW w:w="669" w:type="pct"/>
            <w:tcBorders>
              <w:top w:val="nil"/>
              <w:left w:val="single" w:sz="4" w:space="0" w:color="auto"/>
              <w:bottom w:val="nil"/>
              <w:right w:val="single" w:sz="4" w:space="0" w:color="auto"/>
            </w:tcBorders>
            <w:shd w:val="clear" w:color="auto" w:fill="auto"/>
          </w:tcPr>
          <w:p w14:paraId="741DD0C5"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36DF0E80" w14:textId="311CB8BB" w:rsidR="00181CE6" w:rsidRDefault="00181CE6" w:rsidP="00096131">
            <w:pPr>
              <w:pStyle w:val="Tabletext1"/>
              <w:keepNext/>
              <w:jc w:val="center"/>
            </w:pPr>
            <w:r>
              <w:t>Diarrhea</w:t>
            </w:r>
          </w:p>
        </w:tc>
        <w:tc>
          <w:tcPr>
            <w:tcW w:w="349" w:type="pct"/>
            <w:tcBorders>
              <w:top w:val="single" w:sz="4" w:space="0" w:color="auto"/>
              <w:left w:val="single" w:sz="4" w:space="0" w:color="auto"/>
              <w:bottom w:val="single" w:sz="4" w:space="0" w:color="auto"/>
              <w:right w:val="single" w:sz="4" w:space="0" w:color="auto"/>
            </w:tcBorders>
          </w:tcPr>
          <w:p w14:paraId="263C24EF"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6C61B5E5" w14:textId="5BA3790F" w:rsidR="00181CE6" w:rsidRDefault="00181CE6" w:rsidP="00096131">
            <w:pPr>
              <w:pStyle w:val="Tabletext1"/>
              <w:keepNext/>
              <w:jc w:val="center"/>
            </w:pPr>
            <w:r>
              <w:t>2/55 (</w:t>
            </w:r>
            <w:r w:rsidR="00D47A5C">
              <w:t>4</w:t>
            </w:r>
            <w:r>
              <w:t>%)</w:t>
            </w:r>
          </w:p>
        </w:tc>
        <w:tc>
          <w:tcPr>
            <w:tcW w:w="349" w:type="pct"/>
            <w:tcBorders>
              <w:top w:val="single" w:sz="4" w:space="0" w:color="auto"/>
              <w:left w:val="single" w:sz="4" w:space="0" w:color="auto"/>
              <w:bottom w:val="single" w:sz="4" w:space="0" w:color="auto"/>
              <w:right w:val="single" w:sz="4" w:space="0" w:color="auto"/>
            </w:tcBorders>
          </w:tcPr>
          <w:p w14:paraId="7B8C008F" w14:textId="1AFB5BE6" w:rsidR="00181CE6" w:rsidRDefault="00181CE6" w:rsidP="00096131">
            <w:pPr>
              <w:pStyle w:val="Tabletext1"/>
              <w:keepNext/>
              <w:jc w:val="center"/>
            </w:pPr>
            <w:r>
              <w:t>1/55 (</w:t>
            </w:r>
            <w:r w:rsidR="00D47A5C">
              <w:t>2</w:t>
            </w:r>
            <w:r>
              <w:t>%)</w:t>
            </w:r>
          </w:p>
        </w:tc>
        <w:tc>
          <w:tcPr>
            <w:tcW w:w="349" w:type="pct"/>
            <w:tcBorders>
              <w:top w:val="single" w:sz="4" w:space="0" w:color="auto"/>
              <w:left w:val="single" w:sz="4" w:space="0" w:color="auto"/>
              <w:bottom w:val="single" w:sz="4" w:space="0" w:color="auto"/>
              <w:right w:val="single" w:sz="4" w:space="0" w:color="auto"/>
            </w:tcBorders>
          </w:tcPr>
          <w:p w14:paraId="44FE5D38"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D4AFD24"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0DE3913"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1840766E"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C0C1C6B"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7AB397E"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7EC98417" w14:textId="77777777" w:rsidR="00181CE6" w:rsidRDefault="00181CE6" w:rsidP="00096131">
            <w:pPr>
              <w:pStyle w:val="Tabletext1"/>
              <w:keepNext/>
              <w:jc w:val="center"/>
            </w:pPr>
          </w:p>
        </w:tc>
      </w:tr>
      <w:tr w:rsidR="00181CE6" w:rsidRPr="00B2301A" w14:paraId="6E20BBE9" w14:textId="77777777" w:rsidTr="00181CE6">
        <w:tc>
          <w:tcPr>
            <w:tcW w:w="669" w:type="pct"/>
            <w:tcBorders>
              <w:top w:val="nil"/>
              <w:left w:val="single" w:sz="4" w:space="0" w:color="auto"/>
              <w:bottom w:val="nil"/>
              <w:right w:val="single" w:sz="4" w:space="0" w:color="auto"/>
            </w:tcBorders>
            <w:shd w:val="clear" w:color="auto" w:fill="auto"/>
          </w:tcPr>
          <w:p w14:paraId="3EB0DE78"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22537657" w14:textId="7FBC73A6" w:rsidR="00181CE6" w:rsidRDefault="00181CE6" w:rsidP="00096131">
            <w:pPr>
              <w:pStyle w:val="Tabletext1"/>
              <w:keepNext/>
              <w:jc w:val="center"/>
            </w:pPr>
            <w:r>
              <w:t>Colitis</w:t>
            </w:r>
          </w:p>
        </w:tc>
        <w:tc>
          <w:tcPr>
            <w:tcW w:w="349" w:type="pct"/>
            <w:tcBorders>
              <w:top w:val="single" w:sz="4" w:space="0" w:color="auto"/>
              <w:left w:val="single" w:sz="4" w:space="0" w:color="auto"/>
              <w:bottom w:val="single" w:sz="4" w:space="0" w:color="auto"/>
              <w:right w:val="single" w:sz="4" w:space="0" w:color="auto"/>
            </w:tcBorders>
          </w:tcPr>
          <w:p w14:paraId="76EFABCA"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639E4976" w14:textId="68899270" w:rsidR="00181CE6" w:rsidRDefault="00181CE6" w:rsidP="00096131">
            <w:pPr>
              <w:pStyle w:val="Tabletext1"/>
              <w:keepNext/>
              <w:jc w:val="center"/>
            </w:pPr>
            <w:r>
              <w:t>2/55 (</w:t>
            </w:r>
            <w:r w:rsidR="00D47A5C">
              <w:t>4</w:t>
            </w:r>
            <w:r>
              <w:t>%)</w:t>
            </w:r>
          </w:p>
        </w:tc>
        <w:tc>
          <w:tcPr>
            <w:tcW w:w="349" w:type="pct"/>
            <w:tcBorders>
              <w:top w:val="single" w:sz="4" w:space="0" w:color="auto"/>
              <w:left w:val="single" w:sz="4" w:space="0" w:color="auto"/>
              <w:bottom w:val="single" w:sz="4" w:space="0" w:color="auto"/>
              <w:right w:val="single" w:sz="4" w:space="0" w:color="auto"/>
            </w:tcBorders>
          </w:tcPr>
          <w:p w14:paraId="4A750F0E" w14:textId="23414964" w:rsidR="00181CE6" w:rsidRDefault="00181CE6" w:rsidP="00096131">
            <w:pPr>
              <w:pStyle w:val="Tabletext1"/>
              <w:keepNext/>
              <w:jc w:val="center"/>
            </w:pPr>
            <w:r>
              <w:t>1/55 (</w:t>
            </w:r>
            <w:r w:rsidR="00D47A5C">
              <w:t>2</w:t>
            </w:r>
            <w:r>
              <w:t>%)</w:t>
            </w:r>
          </w:p>
        </w:tc>
        <w:tc>
          <w:tcPr>
            <w:tcW w:w="349" w:type="pct"/>
            <w:tcBorders>
              <w:top w:val="single" w:sz="4" w:space="0" w:color="auto"/>
              <w:left w:val="single" w:sz="4" w:space="0" w:color="auto"/>
              <w:bottom w:val="single" w:sz="4" w:space="0" w:color="auto"/>
              <w:right w:val="single" w:sz="4" w:space="0" w:color="auto"/>
            </w:tcBorders>
          </w:tcPr>
          <w:p w14:paraId="07CF681A"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AD96305"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0B88BC9"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02D7771D"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1F0145E4"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EE2F1B5"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335F67E0" w14:textId="77777777" w:rsidR="00181CE6" w:rsidRDefault="00181CE6" w:rsidP="00096131">
            <w:pPr>
              <w:pStyle w:val="Tabletext1"/>
              <w:keepNext/>
              <w:jc w:val="center"/>
            </w:pPr>
          </w:p>
        </w:tc>
      </w:tr>
      <w:tr w:rsidR="00181CE6" w:rsidRPr="00B2301A" w14:paraId="449F8C04" w14:textId="77777777" w:rsidTr="00181CE6">
        <w:tc>
          <w:tcPr>
            <w:tcW w:w="669" w:type="pct"/>
            <w:tcBorders>
              <w:top w:val="nil"/>
              <w:left w:val="single" w:sz="4" w:space="0" w:color="auto"/>
              <w:bottom w:val="nil"/>
              <w:right w:val="single" w:sz="4" w:space="0" w:color="auto"/>
            </w:tcBorders>
            <w:shd w:val="clear" w:color="auto" w:fill="auto"/>
          </w:tcPr>
          <w:p w14:paraId="3A0E2E84"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4D1B58B1" w14:textId="768A4F55" w:rsidR="00181CE6" w:rsidRDefault="00181CE6" w:rsidP="00096131">
            <w:pPr>
              <w:pStyle w:val="Tabletext1"/>
              <w:keepNext/>
              <w:jc w:val="center"/>
            </w:pPr>
            <w:r>
              <w:t>Colonic obstruction</w:t>
            </w:r>
          </w:p>
        </w:tc>
        <w:tc>
          <w:tcPr>
            <w:tcW w:w="349" w:type="pct"/>
            <w:tcBorders>
              <w:top w:val="single" w:sz="4" w:space="0" w:color="auto"/>
              <w:left w:val="single" w:sz="4" w:space="0" w:color="auto"/>
              <w:bottom w:val="single" w:sz="4" w:space="0" w:color="auto"/>
              <w:right w:val="single" w:sz="4" w:space="0" w:color="auto"/>
            </w:tcBorders>
          </w:tcPr>
          <w:p w14:paraId="2D2656DE"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32DF50F3" w14:textId="6F4B36DE" w:rsidR="00181CE6" w:rsidRDefault="00181CE6" w:rsidP="00096131">
            <w:pPr>
              <w:pStyle w:val="Tabletext1"/>
              <w:keepNext/>
              <w:jc w:val="center"/>
            </w:pPr>
            <w:r>
              <w:t>1/55 (</w:t>
            </w:r>
            <w:r w:rsidR="00D47A5C">
              <w:t>2</w:t>
            </w:r>
            <w:r>
              <w:t>%)</w:t>
            </w:r>
          </w:p>
        </w:tc>
        <w:tc>
          <w:tcPr>
            <w:tcW w:w="349" w:type="pct"/>
            <w:tcBorders>
              <w:top w:val="single" w:sz="4" w:space="0" w:color="auto"/>
              <w:left w:val="single" w:sz="4" w:space="0" w:color="auto"/>
              <w:bottom w:val="single" w:sz="4" w:space="0" w:color="auto"/>
              <w:right w:val="single" w:sz="4" w:space="0" w:color="auto"/>
            </w:tcBorders>
          </w:tcPr>
          <w:p w14:paraId="3C314D00"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A63C0DB"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FEA72D0"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10438CED"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0A822137"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D40E88A"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E25BA64"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086C7A61" w14:textId="77777777" w:rsidR="00181CE6" w:rsidRDefault="00181CE6" w:rsidP="00096131">
            <w:pPr>
              <w:pStyle w:val="Tabletext1"/>
              <w:keepNext/>
              <w:jc w:val="center"/>
            </w:pPr>
          </w:p>
        </w:tc>
      </w:tr>
      <w:tr w:rsidR="00181CE6" w:rsidRPr="00B2301A" w14:paraId="57ACE876" w14:textId="77777777" w:rsidTr="00181CE6">
        <w:tc>
          <w:tcPr>
            <w:tcW w:w="669" w:type="pct"/>
            <w:tcBorders>
              <w:top w:val="nil"/>
              <w:left w:val="single" w:sz="4" w:space="0" w:color="auto"/>
              <w:bottom w:val="nil"/>
              <w:right w:val="single" w:sz="4" w:space="0" w:color="auto"/>
            </w:tcBorders>
            <w:shd w:val="clear" w:color="auto" w:fill="auto"/>
          </w:tcPr>
          <w:p w14:paraId="27C90FC9"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676F4E69" w14:textId="09410C35" w:rsidR="00181CE6" w:rsidRDefault="00181CE6" w:rsidP="00096131">
            <w:pPr>
              <w:pStyle w:val="Tabletext1"/>
              <w:keepNext/>
              <w:jc w:val="center"/>
            </w:pPr>
            <w:r>
              <w:t>Defecation frequency</w:t>
            </w:r>
          </w:p>
        </w:tc>
        <w:tc>
          <w:tcPr>
            <w:tcW w:w="349" w:type="pct"/>
            <w:tcBorders>
              <w:top w:val="single" w:sz="4" w:space="0" w:color="auto"/>
              <w:left w:val="single" w:sz="4" w:space="0" w:color="auto"/>
              <w:bottom w:val="single" w:sz="4" w:space="0" w:color="auto"/>
              <w:right w:val="single" w:sz="4" w:space="0" w:color="auto"/>
            </w:tcBorders>
          </w:tcPr>
          <w:p w14:paraId="341FFB6B"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49FD1994" w14:textId="073159D6" w:rsidR="00181CE6" w:rsidRDefault="00181CE6" w:rsidP="00096131">
            <w:pPr>
              <w:pStyle w:val="Tabletext1"/>
              <w:keepNext/>
              <w:jc w:val="center"/>
            </w:pPr>
            <w:r>
              <w:t>1/55 (</w:t>
            </w:r>
            <w:r w:rsidR="00D47A5C">
              <w:t>2</w:t>
            </w:r>
            <w:r>
              <w:t>%)</w:t>
            </w:r>
          </w:p>
        </w:tc>
        <w:tc>
          <w:tcPr>
            <w:tcW w:w="349" w:type="pct"/>
            <w:tcBorders>
              <w:top w:val="single" w:sz="4" w:space="0" w:color="auto"/>
              <w:left w:val="single" w:sz="4" w:space="0" w:color="auto"/>
              <w:bottom w:val="single" w:sz="4" w:space="0" w:color="auto"/>
              <w:right w:val="single" w:sz="4" w:space="0" w:color="auto"/>
            </w:tcBorders>
          </w:tcPr>
          <w:p w14:paraId="0DCB1737"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346414B"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943A971"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3C85408"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274C73AD"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AFE733D"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E97B843"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2D84B8A9" w14:textId="77777777" w:rsidR="00181CE6" w:rsidRDefault="00181CE6" w:rsidP="00096131">
            <w:pPr>
              <w:pStyle w:val="Tabletext1"/>
              <w:keepNext/>
              <w:jc w:val="center"/>
            </w:pPr>
          </w:p>
        </w:tc>
      </w:tr>
      <w:tr w:rsidR="00181CE6" w:rsidRPr="00B2301A" w14:paraId="266FA1CE" w14:textId="77777777" w:rsidTr="00181CE6">
        <w:tc>
          <w:tcPr>
            <w:tcW w:w="669" w:type="pct"/>
            <w:tcBorders>
              <w:top w:val="nil"/>
              <w:left w:val="single" w:sz="4" w:space="0" w:color="auto"/>
              <w:bottom w:val="nil"/>
              <w:right w:val="single" w:sz="4" w:space="0" w:color="auto"/>
            </w:tcBorders>
            <w:shd w:val="clear" w:color="auto" w:fill="auto"/>
          </w:tcPr>
          <w:p w14:paraId="3D752197"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51966C88" w14:textId="2AE617D3" w:rsidR="00181CE6" w:rsidRDefault="00181CE6" w:rsidP="00096131">
            <w:pPr>
              <w:pStyle w:val="Tabletext1"/>
              <w:keepNext/>
              <w:jc w:val="center"/>
            </w:pPr>
            <w:r>
              <w:t>Small intestine toxicity</w:t>
            </w:r>
          </w:p>
        </w:tc>
        <w:tc>
          <w:tcPr>
            <w:tcW w:w="349" w:type="pct"/>
            <w:tcBorders>
              <w:top w:val="single" w:sz="4" w:space="0" w:color="auto"/>
              <w:left w:val="single" w:sz="4" w:space="0" w:color="auto"/>
              <w:bottom w:val="single" w:sz="4" w:space="0" w:color="auto"/>
              <w:right w:val="single" w:sz="4" w:space="0" w:color="auto"/>
            </w:tcBorders>
          </w:tcPr>
          <w:p w14:paraId="12CE6C9C"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14294FED"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FEBF3DE"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9F74B09"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F068BBC"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92B819D"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25184778" w14:textId="1BBA0021" w:rsidR="00181CE6" w:rsidRDefault="00181CE6" w:rsidP="00096131">
            <w:pPr>
              <w:pStyle w:val="Tabletext1"/>
              <w:keepNext/>
              <w:jc w:val="center"/>
            </w:pPr>
            <w:r>
              <w:t>1/55 (</w:t>
            </w:r>
            <w:r w:rsidR="00D47A5C">
              <w:t>2</w:t>
            </w:r>
            <w:r>
              <w:t>%)</w:t>
            </w:r>
          </w:p>
        </w:tc>
        <w:tc>
          <w:tcPr>
            <w:tcW w:w="349" w:type="pct"/>
            <w:tcBorders>
              <w:top w:val="single" w:sz="4" w:space="0" w:color="auto"/>
              <w:left w:val="single" w:sz="4" w:space="0" w:color="auto"/>
              <w:bottom w:val="single" w:sz="4" w:space="0" w:color="auto"/>
              <w:right w:val="single" w:sz="4" w:space="0" w:color="auto"/>
            </w:tcBorders>
          </w:tcPr>
          <w:p w14:paraId="2F7A7B7F"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8E073C2"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25C58AEE" w14:textId="77777777" w:rsidR="00181CE6" w:rsidRDefault="00181CE6" w:rsidP="00096131">
            <w:pPr>
              <w:pStyle w:val="Tabletext1"/>
              <w:keepNext/>
              <w:jc w:val="center"/>
            </w:pPr>
          </w:p>
        </w:tc>
      </w:tr>
      <w:tr w:rsidR="00181CE6" w:rsidRPr="00B2301A" w14:paraId="369D73C7" w14:textId="77777777" w:rsidTr="00181CE6">
        <w:tc>
          <w:tcPr>
            <w:tcW w:w="669" w:type="pct"/>
            <w:tcBorders>
              <w:top w:val="nil"/>
              <w:left w:val="single" w:sz="4" w:space="0" w:color="auto"/>
              <w:bottom w:val="nil"/>
              <w:right w:val="single" w:sz="4" w:space="0" w:color="auto"/>
            </w:tcBorders>
            <w:shd w:val="clear" w:color="auto" w:fill="auto"/>
          </w:tcPr>
          <w:p w14:paraId="7BBBD552"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6FF3A226" w14:textId="7E3E6327" w:rsidR="00181CE6" w:rsidRDefault="00181CE6" w:rsidP="00096131">
            <w:pPr>
              <w:pStyle w:val="Tabletext1"/>
              <w:keepNext/>
              <w:jc w:val="center"/>
            </w:pPr>
            <w:r>
              <w:t>Colon toxicity</w:t>
            </w:r>
          </w:p>
        </w:tc>
        <w:tc>
          <w:tcPr>
            <w:tcW w:w="349" w:type="pct"/>
            <w:tcBorders>
              <w:top w:val="single" w:sz="4" w:space="0" w:color="auto"/>
              <w:left w:val="single" w:sz="4" w:space="0" w:color="auto"/>
              <w:bottom w:val="single" w:sz="4" w:space="0" w:color="auto"/>
              <w:right w:val="single" w:sz="4" w:space="0" w:color="auto"/>
            </w:tcBorders>
          </w:tcPr>
          <w:p w14:paraId="70A07347"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56736526"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23FC5479"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22416E7D"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33884A8"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A45F34D"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1893BBC0" w14:textId="4695F0DF" w:rsidR="00181CE6" w:rsidRDefault="00181CE6" w:rsidP="00096131">
            <w:pPr>
              <w:pStyle w:val="Tabletext1"/>
              <w:keepNext/>
              <w:jc w:val="center"/>
            </w:pPr>
            <w:r>
              <w:t>8/55 (15%)</w:t>
            </w:r>
          </w:p>
        </w:tc>
        <w:tc>
          <w:tcPr>
            <w:tcW w:w="349" w:type="pct"/>
            <w:tcBorders>
              <w:top w:val="single" w:sz="4" w:space="0" w:color="auto"/>
              <w:left w:val="single" w:sz="4" w:space="0" w:color="auto"/>
              <w:bottom w:val="single" w:sz="4" w:space="0" w:color="auto"/>
              <w:right w:val="single" w:sz="4" w:space="0" w:color="auto"/>
            </w:tcBorders>
          </w:tcPr>
          <w:p w14:paraId="76966201"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23AB57B"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2150DF91" w14:textId="77777777" w:rsidR="00181CE6" w:rsidRDefault="00181CE6" w:rsidP="00096131">
            <w:pPr>
              <w:pStyle w:val="Tabletext1"/>
              <w:keepNext/>
              <w:jc w:val="center"/>
            </w:pPr>
          </w:p>
        </w:tc>
      </w:tr>
      <w:tr w:rsidR="00181CE6" w:rsidRPr="00B2301A" w14:paraId="1DB22C9F" w14:textId="77777777" w:rsidTr="00181CE6">
        <w:tc>
          <w:tcPr>
            <w:tcW w:w="669" w:type="pct"/>
            <w:tcBorders>
              <w:top w:val="nil"/>
              <w:left w:val="single" w:sz="4" w:space="0" w:color="auto"/>
              <w:bottom w:val="nil"/>
              <w:right w:val="single" w:sz="4" w:space="0" w:color="auto"/>
            </w:tcBorders>
            <w:shd w:val="clear" w:color="auto" w:fill="auto"/>
          </w:tcPr>
          <w:p w14:paraId="7D1E49A6"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0DFC509B" w14:textId="1E9CCB15" w:rsidR="00181CE6" w:rsidRDefault="00181CE6" w:rsidP="00096131">
            <w:pPr>
              <w:pStyle w:val="Tabletext1"/>
              <w:keepNext/>
              <w:jc w:val="center"/>
            </w:pPr>
            <w:r>
              <w:t>Urinary frequency</w:t>
            </w:r>
          </w:p>
        </w:tc>
        <w:tc>
          <w:tcPr>
            <w:tcW w:w="349" w:type="pct"/>
            <w:tcBorders>
              <w:top w:val="single" w:sz="4" w:space="0" w:color="auto"/>
              <w:left w:val="single" w:sz="4" w:space="0" w:color="auto"/>
              <w:bottom w:val="single" w:sz="4" w:space="0" w:color="auto"/>
              <w:right w:val="single" w:sz="4" w:space="0" w:color="auto"/>
            </w:tcBorders>
          </w:tcPr>
          <w:p w14:paraId="23AD01FB"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3F31D273" w14:textId="061D6AF5" w:rsidR="00181CE6" w:rsidRDefault="00181CE6" w:rsidP="00096131">
            <w:pPr>
              <w:pStyle w:val="Tabletext1"/>
              <w:keepNext/>
              <w:jc w:val="center"/>
            </w:pPr>
            <w:r>
              <w:t>20/55 (36%)</w:t>
            </w:r>
          </w:p>
        </w:tc>
        <w:tc>
          <w:tcPr>
            <w:tcW w:w="349" w:type="pct"/>
            <w:tcBorders>
              <w:top w:val="single" w:sz="4" w:space="0" w:color="auto"/>
              <w:left w:val="single" w:sz="4" w:space="0" w:color="auto"/>
              <w:bottom w:val="single" w:sz="4" w:space="0" w:color="auto"/>
              <w:right w:val="single" w:sz="4" w:space="0" w:color="auto"/>
            </w:tcBorders>
          </w:tcPr>
          <w:p w14:paraId="75635E90" w14:textId="6E456F89" w:rsidR="00181CE6" w:rsidRDefault="00181CE6" w:rsidP="00096131">
            <w:pPr>
              <w:pStyle w:val="Tabletext1"/>
              <w:keepNext/>
              <w:jc w:val="center"/>
            </w:pPr>
            <w:r>
              <w:t>2/55 (</w:t>
            </w:r>
            <w:r w:rsidR="004E4A6E">
              <w:t>4</w:t>
            </w:r>
            <w:r>
              <w:t>%)</w:t>
            </w:r>
          </w:p>
        </w:tc>
        <w:tc>
          <w:tcPr>
            <w:tcW w:w="349" w:type="pct"/>
            <w:tcBorders>
              <w:top w:val="single" w:sz="4" w:space="0" w:color="auto"/>
              <w:left w:val="single" w:sz="4" w:space="0" w:color="auto"/>
              <w:bottom w:val="single" w:sz="4" w:space="0" w:color="auto"/>
              <w:right w:val="single" w:sz="4" w:space="0" w:color="auto"/>
            </w:tcBorders>
          </w:tcPr>
          <w:p w14:paraId="002FC3E3"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37A7B76"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4CDF26D9"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27E237E9"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2C87C0C2"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EFAA785"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20F97960" w14:textId="77777777" w:rsidR="00181CE6" w:rsidRDefault="00181CE6" w:rsidP="00096131">
            <w:pPr>
              <w:pStyle w:val="Tabletext1"/>
              <w:keepNext/>
              <w:jc w:val="center"/>
            </w:pPr>
          </w:p>
        </w:tc>
      </w:tr>
      <w:tr w:rsidR="00181CE6" w:rsidRPr="00B2301A" w14:paraId="396AA3EE" w14:textId="77777777" w:rsidTr="00181CE6">
        <w:tc>
          <w:tcPr>
            <w:tcW w:w="669" w:type="pct"/>
            <w:tcBorders>
              <w:top w:val="nil"/>
              <w:left w:val="single" w:sz="4" w:space="0" w:color="auto"/>
              <w:bottom w:val="nil"/>
              <w:right w:val="single" w:sz="4" w:space="0" w:color="auto"/>
            </w:tcBorders>
            <w:shd w:val="clear" w:color="auto" w:fill="auto"/>
          </w:tcPr>
          <w:p w14:paraId="7E993C8A"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57B47F47" w14:textId="0A8F423A" w:rsidR="00181CE6" w:rsidRDefault="00181CE6" w:rsidP="00096131">
            <w:pPr>
              <w:pStyle w:val="Tabletext1"/>
              <w:keepNext/>
              <w:jc w:val="center"/>
            </w:pPr>
            <w:r>
              <w:t>Cystitis non-infective</w:t>
            </w:r>
          </w:p>
        </w:tc>
        <w:tc>
          <w:tcPr>
            <w:tcW w:w="349" w:type="pct"/>
            <w:tcBorders>
              <w:top w:val="single" w:sz="4" w:space="0" w:color="auto"/>
              <w:left w:val="single" w:sz="4" w:space="0" w:color="auto"/>
              <w:bottom w:val="single" w:sz="4" w:space="0" w:color="auto"/>
              <w:right w:val="single" w:sz="4" w:space="0" w:color="auto"/>
            </w:tcBorders>
          </w:tcPr>
          <w:p w14:paraId="4283BE74"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532E450D" w14:textId="1DB6D874" w:rsidR="00181CE6" w:rsidRDefault="00181CE6" w:rsidP="00096131">
            <w:pPr>
              <w:pStyle w:val="Tabletext1"/>
              <w:keepNext/>
              <w:jc w:val="center"/>
            </w:pPr>
            <w:r>
              <w:t>3/55 (5%)</w:t>
            </w:r>
          </w:p>
        </w:tc>
        <w:tc>
          <w:tcPr>
            <w:tcW w:w="349" w:type="pct"/>
            <w:tcBorders>
              <w:top w:val="single" w:sz="4" w:space="0" w:color="auto"/>
              <w:left w:val="single" w:sz="4" w:space="0" w:color="auto"/>
              <w:bottom w:val="single" w:sz="4" w:space="0" w:color="auto"/>
              <w:right w:val="single" w:sz="4" w:space="0" w:color="auto"/>
            </w:tcBorders>
          </w:tcPr>
          <w:p w14:paraId="311BE68E" w14:textId="18BD65DC" w:rsidR="00181CE6" w:rsidRDefault="00181CE6" w:rsidP="00096131">
            <w:pPr>
              <w:pStyle w:val="Tabletext1"/>
              <w:keepNext/>
              <w:jc w:val="center"/>
            </w:pPr>
            <w:r>
              <w:t>2/55 (</w:t>
            </w:r>
            <w:r w:rsidR="004E4A6E">
              <w:t>4</w:t>
            </w:r>
            <w:r>
              <w:t>%)</w:t>
            </w:r>
          </w:p>
        </w:tc>
        <w:tc>
          <w:tcPr>
            <w:tcW w:w="349" w:type="pct"/>
            <w:tcBorders>
              <w:top w:val="single" w:sz="4" w:space="0" w:color="auto"/>
              <w:left w:val="single" w:sz="4" w:space="0" w:color="auto"/>
              <w:bottom w:val="single" w:sz="4" w:space="0" w:color="auto"/>
              <w:right w:val="single" w:sz="4" w:space="0" w:color="auto"/>
            </w:tcBorders>
          </w:tcPr>
          <w:p w14:paraId="16689F78" w14:textId="60D59EA2" w:rsidR="00181CE6" w:rsidRDefault="00181CE6" w:rsidP="00096131">
            <w:pPr>
              <w:pStyle w:val="Tabletext1"/>
              <w:keepNext/>
              <w:jc w:val="center"/>
            </w:pPr>
            <w:r>
              <w:t>1/55 (</w:t>
            </w:r>
            <w:r w:rsidR="004E4A6E">
              <w:t>2</w:t>
            </w:r>
            <w:r>
              <w:t>%)</w:t>
            </w:r>
          </w:p>
        </w:tc>
        <w:tc>
          <w:tcPr>
            <w:tcW w:w="349" w:type="pct"/>
            <w:tcBorders>
              <w:top w:val="single" w:sz="4" w:space="0" w:color="auto"/>
              <w:left w:val="single" w:sz="4" w:space="0" w:color="auto"/>
              <w:bottom w:val="single" w:sz="4" w:space="0" w:color="auto"/>
              <w:right w:val="single" w:sz="4" w:space="0" w:color="auto"/>
            </w:tcBorders>
          </w:tcPr>
          <w:p w14:paraId="46BA75D1"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A46A7BE"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039E158B"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2AD302A"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291D9DB7"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703842E1" w14:textId="77777777" w:rsidR="00181CE6" w:rsidRDefault="00181CE6" w:rsidP="00096131">
            <w:pPr>
              <w:pStyle w:val="Tabletext1"/>
              <w:keepNext/>
              <w:jc w:val="center"/>
            </w:pPr>
          </w:p>
        </w:tc>
      </w:tr>
      <w:tr w:rsidR="00181CE6" w:rsidRPr="00B2301A" w14:paraId="17002B1D" w14:textId="77777777" w:rsidTr="00181CE6">
        <w:tc>
          <w:tcPr>
            <w:tcW w:w="669" w:type="pct"/>
            <w:tcBorders>
              <w:top w:val="nil"/>
              <w:left w:val="single" w:sz="4" w:space="0" w:color="auto"/>
              <w:bottom w:val="nil"/>
              <w:right w:val="single" w:sz="4" w:space="0" w:color="auto"/>
            </w:tcBorders>
            <w:shd w:val="clear" w:color="auto" w:fill="auto"/>
          </w:tcPr>
          <w:p w14:paraId="10E8F87D"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54919113" w14:textId="38B43DFD" w:rsidR="00181CE6" w:rsidRDefault="00181CE6" w:rsidP="00096131">
            <w:pPr>
              <w:pStyle w:val="Tabletext1"/>
              <w:keepNext/>
              <w:jc w:val="center"/>
            </w:pPr>
            <w:r>
              <w:t>Dysuria</w:t>
            </w:r>
          </w:p>
        </w:tc>
        <w:tc>
          <w:tcPr>
            <w:tcW w:w="349" w:type="pct"/>
            <w:tcBorders>
              <w:top w:val="single" w:sz="4" w:space="0" w:color="auto"/>
              <w:left w:val="single" w:sz="4" w:space="0" w:color="auto"/>
              <w:bottom w:val="single" w:sz="4" w:space="0" w:color="auto"/>
              <w:right w:val="single" w:sz="4" w:space="0" w:color="auto"/>
            </w:tcBorders>
          </w:tcPr>
          <w:p w14:paraId="6F77728C"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54724D3C" w14:textId="404A8225" w:rsidR="00181CE6" w:rsidRDefault="00181CE6" w:rsidP="00096131">
            <w:pPr>
              <w:pStyle w:val="Tabletext1"/>
              <w:keepNext/>
              <w:jc w:val="center"/>
            </w:pPr>
            <w:r>
              <w:t>8/55 (15%)</w:t>
            </w:r>
          </w:p>
        </w:tc>
        <w:tc>
          <w:tcPr>
            <w:tcW w:w="349" w:type="pct"/>
            <w:tcBorders>
              <w:top w:val="single" w:sz="4" w:space="0" w:color="auto"/>
              <w:left w:val="single" w:sz="4" w:space="0" w:color="auto"/>
              <w:bottom w:val="single" w:sz="4" w:space="0" w:color="auto"/>
              <w:right w:val="single" w:sz="4" w:space="0" w:color="auto"/>
            </w:tcBorders>
          </w:tcPr>
          <w:p w14:paraId="4009D1AF"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53BE0D13"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D087E53"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9E309A0"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65F4FFF0"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30B789A"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A1E5A53"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297C0CB4" w14:textId="77777777" w:rsidR="00181CE6" w:rsidRDefault="00181CE6" w:rsidP="00096131">
            <w:pPr>
              <w:pStyle w:val="Tabletext1"/>
              <w:keepNext/>
              <w:jc w:val="center"/>
            </w:pPr>
          </w:p>
        </w:tc>
      </w:tr>
      <w:tr w:rsidR="00181CE6" w:rsidRPr="00B2301A" w14:paraId="7F608E20" w14:textId="77777777" w:rsidTr="00181CE6">
        <w:tc>
          <w:tcPr>
            <w:tcW w:w="669" w:type="pct"/>
            <w:tcBorders>
              <w:top w:val="nil"/>
              <w:left w:val="single" w:sz="4" w:space="0" w:color="auto"/>
              <w:bottom w:val="nil"/>
              <w:right w:val="single" w:sz="4" w:space="0" w:color="auto"/>
            </w:tcBorders>
            <w:shd w:val="clear" w:color="auto" w:fill="auto"/>
          </w:tcPr>
          <w:p w14:paraId="2B406FED"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6212A492" w14:textId="4FF6EFCB" w:rsidR="00181CE6" w:rsidRDefault="00181CE6" w:rsidP="00096131">
            <w:pPr>
              <w:pStyle w:val="Tabletext1"/>
              <w:keepNext/>
              <w:jc w:val="center"/>
            </w:pPr>
            <w:r>
              <w:t>Bladder/uretheral toxicity</w:t>
            </w:r>
          </w:p>
        </w:tc>
        <w:tc>
          <w:tcPr>
            <w:tcW w:w="349" w:type="pct"/>
            <w:tcBorders>
              <w:top w:val="single" w:sz="4" w:space="0" w:color="auto"/>
              <w:left w:val="single" w:sz="4" w:space="0" w:color="auto"/>
              <w:bottom w:val="single" w:sz="4" w:space="0" w:color="auto"/>
              <w:right w:val="single" w:sz="4" w:space="0" w:color="auto"/>
            </w:tcBorders>
          </w:tcPr>
          <w:p w14:paraId="00406E34"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42D0695A"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50667ED5"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71C9124"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DF8CACC"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C88E134"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2A3473B7" w14:textId="245B748F" w:rsidR="00181CE6" w:rsidRDefault="00181CE6" w:rsidP="00096131">
            <w:pPr>
              <w:pStyle w:val="Tabletext1"/>
              <w:keepNext/>
              <w:jc w:val="center"/>
            </w:pPr>
            <w:r>
              <w:t>9/55 (16%)</w:t>
            </w:r>
          </w:p>
        </w:tc>
        <w:tc>
          <w:tcPr>
            <w:tcW w:w="349" w:type="pct"/>
            <w:tcBorders>
              <w:top w:val="single" w:sz="4" w:space="0" w:color="auto"/>
              <w:left w:val="single" w:sz="4" w:space="0" w:color="auto"/>
              <w:bottom w:val="single" w:sz="4" w:space="0" w:color="auto"/>
              <w:right w:val="single" w:sz="4" w:space="0" w:color="auto"/>
            </w:tcBorders>
          </w:tcPr>
          <w:p w14:paraId="3947F5A5" w14:textId="240EF5F2" w:rsidR="00181CE6" w:rsidRDefault="00181CE6" w:rsidP="00096131">
            <w:pPr>
              <w:pStyle w:val="Tabletext1"/>
              <w:keepNext/>
              <w:jc w:val="center"/>
            </w:pPr>
            <w:r w:rsidRPr="007C0C6B">
              <w:t>2/55 (</w:t>
            </w:r>
            <w:r w:rsidR="00595ECF">
              <w:t>4</w:t>
            </w:r>
            <w:r w:rsidRPr="007C0C6B">
              <w:t>%)</w:t>
            </w:r>
          </w:p>
        </w:tc>
        <w:tc>
          <w:tcPr>
            <w:tcW w:w="349" w:type="pct"/>
            <w:tcBorders>
              <w:top w:val="single" w:sz="4" w:space="0" w:color="auto"/>
              <w:left w:val="single" w:sz="4" w:space="0" w:color="auto"/>
              <w:bottom w:val="single" w:sz="4" w:space="0" w:color="auto"/>
              <w:right w:val="single" w:sz="4" w:space="0" w:color="auto"/>
            </w:tcBorders>
          </w:tcPr>
          <w:p w14:paraId="18A77D55" w14:textId="667F6260" w:rsidR="00181CE6" w:rsidRDefault="00181CE6" w:rsidP="00096131">
            <w:pPr>
              <w:pStyle w:val="Tabletext1"/>
              <w:keepNext/>
              <w:jc w:val="center"/>
            </w:pPr>
            <w:r w:rsidRPr="007C0C6B">
              <w:t>2/55 (</w:t>
            </w:r>
            <w:r w:rsidR="00595ECF">
              <w:t>4</w:t>
            </w:r>
            <w:r w:rsidRPr="007C0C6B">
              <w:t>%)</w:t>
            </w:r>
          </w:p>
        </w:tc>
        <w:tc>
          <w:tcPr>
            <w:tcW w:w="341" w:type="pct"/>
            <w:tcBorders>
              <w:top w:val="single" w:sz="4" w:space="0" w:color="auto"/>
              <w:left w:val="single" w:sz="4" w:space="0" w:color="auto"/>
              <w:bottom w:val="single" w:sz="4" w:space="0" w:color="auto"/>
              <w:right w:val="single" w:sz="4" w:space="0" w:color="auto"/>
            </w:tcBorders>
          </w:tcPr>
          <w:p w14:paraId="6C7FD6CE" w14:textId="77777777" w:rsidR="00181CE6" w:rsidRDefault="00181CE6" w:rsidP="00096131">
            <w:pPr>
              <w:pStyle w:val="Tabletext1"/>
              <w:keepNext/>
              <w:jc w:val="center"/>
            </w:pPr>
          </w:p>
        </w:tc>
      </w:tr>
      <w:tr w:rsidR="00181CE6" w:rsidRPr="00B2301A" w14:paraId="02C64D08" w14:textId="77777777" w:rsidTr="00181CE6">
        <w:tc>
          <w:tcPr>
            <w:tcW w:w="669" w:type="pct"/>
            <w:tcBorders>
              <w:top w:val="nil"/>
              <w:left w:val="single" w:sz="4" w:space="0" w:color="auto"/>
              <w:bottom w:val="nil"/>
              <w:right w:val="single" w:sz="4" w:space="0" w:color="auto"/>
            </w:tcBorders>
            <w:shd w:val="clear" w:color="auto" w:fill="auto"/>
          </w:tcPr>
          <w:p w14:paraId="684CD3B8"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66633998" w14:textId="215A48B1" w:rsidR="00181CE6" w:rsidRDefault="00181CE6" w:rsidP="00096131">
            <w:pPr>
              <w:pStyle w:val="Tabletext1"/>
              <w:keepNext/>
              <w:jc w:val="center"/>
            </w:pPr>
            <w:r>
              <w:t>Fatigue</w:t>
            </w:r>
          </w:p>
        </w:tc>
        <w:tc>
          <w:tcPr>
            <w:tcW w:w="349" w:type="pct"/>
            <w:tcBorders>
              <w:top w:val="single" w:sz="4" w:space="0" w:color="auto"/>
              <w:left w:val="single" w:sz="4" w:space="0" w:color="auto"/>
              <w:bottom w:val="single" w:sz="4" w:space="0" w:color="auto"/>
              <w:right w:val="single" w:sz="4" w:space="0" w:color="auto"/>
            </w:tcBorders>
          </w:tcPr>
          <w:p w14:paraId="07A570D0"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70E580F3" w14:textId="4FFFE1A7" w:rsidR="00181CE6" w:rsidRDefault="00181CE6" w:rsidP="00096131">
            <w:pPr>
              <w:pStyle w:val="Tabletext1"/>
              <w:keepNext/>
              <w:jc w:val="center"/>
            </w:pPr>
            <w:r>
              <w:t>3/55 (5%)</w:t>
            </w:r>
          </w:p>
        </w:tc>
        <w:tc>
          <w:tcPr>
            <w:tcW w:w="349" w:type="pct"/>
            <w:tcBorders>
              <w:top w:val="single" w:sz="4" w:space="0" w:color="auto"/>
              <w:left w:val="single" w:sz="4" w:space="0" w:color="auto"/>
              <w:bottom w:val="single" w:sz="4" w:space="0" w:color="auto"/>
              <w:right w:val="single" w:sz="4" w:space="0" w:color="auto"/>
            </w:tcBorders>
          </w:tcPr>
          <w:p w14:paraId="2F90DC9F"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36C7A6E"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53A1B06A"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7CF9C645"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15383743"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28ACB1ED"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4328780"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2184E808" w14:textId="77777777" w:rsidR="00181CE6" w:rsidRDefault="00181CE6" w:rsidP="00096131">
            <w:pPr>
              <w:pStyle w:val="Tabletext1"/>
              <w:keepNext/>
              <w:jc w:val="center"/>
            </w:pPr>
          </w:p>
        </w:tc>
      </w:tr>
      <w:tr w:rsidR="00181CE6" w:rsidRPr="00B2301A" w14:paraId="5CB8CB94" w14:textId="77777777" w:rsidTr="00164A44">
        <w:tc>
          <w:tcPr>
            <w:tcW w:w="669" w:type="pct"/>
            <w:tcBorders>
              <w:top w:val="nil"/>
              <w:left w:val="single" w:sz="4" w:space="0" w:color="auto"/>
              <w:bottom w:val="single" w:sz="4" w:space="0" w:color="auto"/>
              <w:right w:val="single" w:sz="4" w:space="0" w:color="auto"/>
            </w:tcBorders>
            <w:shd w:val="clear" w:color="auto" w:fill="auto"/>
          </w:tcPr>
          <w:p w14:paraId="711BA832" w14:textId="77777777" w:rsidR="00181CE6" w:rsidRDefault="00181CE6" w:rsidP="00096131">
            <w:pPr>
              <w:pStyle w:val="Tabletext1"/>
              <w:keepNext/>
              <w:rPr>
                <w:snapToGrid w:val="0"/>
              </w:rPr>
            </w:pPr>
          </w:p>
        </w:tc>
        <w:tc>
          <w:tcPr>
            <w:tcW w:w="847" w:type="pct"/>
            <w:tcBorders>
              <w:top w:val="single" w:sz="4" w:space="0" w:color="auto"/>
              <w:left w:val="single" w:sz="4" w:space="0" w:color="auto"/>
              <w:bottom w:val="single" w:sz="4" w:space="0" w:color="auto"/>
              <w:right w:val="single" w:sz="4" w:space="0" w:color="auto"/>
            </w:tcBorders>
          </w:tcPr>
          <w:p w14:paraId="4D107EB9" w14:textId="51CE7647" w:rsidR="00181CE6" w:rsidRDefault="00181CE6" w:rsidP="00096131">
            <w:pPr>
              <w:pStyle w:val="Tabletext1"/>
              <w:keepNext/>
              <w:jc w:val="center"/>
            </w:pPr>
            <w:r>
              <w:t>Dermatitis</w:t>
            </w:r>
          </w:p>
        </w:tc>
        <w:tc>
          <w:tcPr>
            <w:tcW w:w="349" w:type="pct"/>
            <w:tcBorders>
              <w:top w:val="single" w:sz="4" w:space="0" w:color="auto"/>
              <w:left w:val="single" w:sz="4" w:space="0" w:color="auto"/>
              <w:bottom w:val="single" w:sz="4" w:space="0" w:color="auto"/>
              <w:right w:val="single" w:sz="4" w:space="0" w:color="auto"/>
            </w:tcBorders>
          </w:tcPr>
          <w:p w14:paraId="0CDA6317"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311821B4" w14:textId="2E751DEB" w:rsidR="00181CE6" w:rsidRDefault="00181CE6" w:rsidP="00096131">
            <w:pPr>
              <w:pStyle w:val="Tabletext1"/>
              <w:keepNext/>
              <w:jc w:val="center"/>
            </w:pPr>
            <w:r>
              <w:t>3/55 (5%)</w:t>
            </w:r>
          </w:p>
        </w:tc>
        <w:tc>
          <w:tcPr>
            <w:tcW w:w="349" w:type="pct"/>
            <w:tcBorders>
              <w:top w:val="single" w:sz="4" w:space="0" w:color="auto"/>
              <w:left w:val="single" w:sz="4" w:space="0" w:color="auto"/>
              <w:bottom w:val="single" w:sz="4" w:space="0" w:color="auto"/>
              <w:right w:val="single" w:sz="4" w:space="0" w:color="auto"/>
            </w:tcBorders>
          </w:tcPr>
          <w:p w14:paraId="05D1C0A6"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5AD85401"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381B90F1"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14943A94" w14:textId="77777777" w:rsidR="00181CE6" w:rsidRDefault="00181CE6" w:rsidP="00096131">
            <w:pPr>
              <w:pStyle w:val="Tabletext1"/>
              <w:keepNext/>
              <w:jc w:val="center"/>
            </w:pPr>
          </w:p>
        </w:tc>
        <w:tc>
          <w:tcPr>
            <w:tcW w:w="350" w:type="pct"/>
            <w:tcBorders>
              <w:top w:val="single" w:sz="4" w:space="0" w:color="auto"/>
              <w:left w:val="single" w:sz="4" w:space="0" w:color="auto"/>
              <w:bottom w:val="single" w:sz="4" w:space="0" w:color="auto"/>
              <w:right w:val="single" w:sz="4" w:space="0" w:color="auto"/>
            </w:tcBorders>
          </w:tcPr>
          <w:p w14:paraId="15980F1E"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0588B317" w14:textId="77777777" w:rsidR="00181CE6" w:rsidRDefault="00181CE6" w:rsidP="00096131">
            <w:pPr>
              <w:pStyle w:val="Tabletext1"/>
              <w:keepNext/>
              <w:jc w:val="center"/>
            </w:pPr>
          </w:p>
        </w:tc>
        <w:tc>
          <w:tcPr>
            <w:tcW w:w="349" w:type="pct"/>
            <w:tcBorders>
              <w:top w:val="single" w:sz="4" w:space="0" w:color="auto"/>
              <w:left w:val="single" w:sz="4" w:space="0" w:color="auto"/>
              <w:bottom w:val="single" w:sz="4" w:space="0" w:color="auto"/>
              <w:right w:val="single" w:sz="4" w:space="0" w:color="auto"/>
            </w:tcBorders>
          </w:tcPr>
          <w:p w14:paraId="684B2DE1" w14:textId="77777777" w:rsidR="00181CE6" w:rsidRDefault="00181CE6" w:rsidP="00096131">
            <w:pPr>
              <w:pStyle w:val="Tabletext1"/>
              <w:keepNext/>
              <w:jc w:val="center"/>
            </w:pPr>
          </w:p>
        </w:tc>
        <w:tc>
          <w:tcPr>
            <w:tcW w:w="341" w:type="pct"/>
            <w:tcBorders>
              <w:top w:val="single" w:sz="4" w:space="0" w:color="auto"/>
              <w:left w:val="single" w:sz="4" w:space="0" w:color="auto"/>
              <w:bottom w:val="single" w:sz="4" w:space="0" w:color="auto"/>
              <w:right w:val="single" w:sz="4" w:space="0" w:color="auto"/>
            </w:tcBorders>
          </w:tcPr>
          <w:p w14:paraId="272BF73E" w14:textId="77777777" w:rsidR="00181CE6" w:rsidRDefault="00181CE6" w:rsidP="00096131">
            <w:pPr>
              <w:pStyle w:val="Tabletext1"/>
              <w:keepNext/>
              <w:jc w:val="center"/>
            </w:pPr>
          </w:p>
        </w:tc>
      </w:tr>
      <w:tr w:rsidR="00181CE6" w:rsidRPr="00B2301A" w14:paraId="711FA567" w14:textId="77777777" w:rsidTr="00164A44">
        <w:tc>
          <w:tcPr>
            <w:tcW w:w="669" w:type="pct"/>
            <w:tcBorders>
              <w:top w:val="single" w:sz="4" w:space="0" w:color="auto"/>
              <w:left w:val="single" w:sz="4" w:space="0" w:color="auto"/>
              <w:bottom w:val="nil"/>
              <w:right w:val="single" w:sz="4" w:space="0" w:color="auto"/>
            </w:tcBorders>
            <w:shd w:val="clear" w:color="auto" w:fill="auto"/>
          </w:tcPr>
          <w:p w14:paraId="68F38FBB" w14:textId="009C2972" w:rsidR="00181CE6" w:rsidRDefault="00211285" w:rsidP="00096131">
            <w:pPr>
              <w:pStyle w:val="Tabletext1"/>
              <w:rPr>
                <w:snapToGrid w:val="0"/>
              </w:rPr>
            </w:pPr>
            <w:hyperlink w:anchor="_ENREF_81" w:tooltip="Wang, 2018 #81" w:history="1">
              <w:r w:rsidR="008B6FC0">
                <w:fldChar w:fldCharType="begin"/>
              </w:r>
              <w:r w:rsidR="008B6FC0">
                <w:instrText xml:space="preserve"> ADDIN EN.CITE &lt;EndNote&gt;&lt;Cite AuthorYear="1"&gt;&lt;Author&gt;Wang&lt;/Author&gt;&lt;Year&gt;2018&lt;/Year&gt;&lt;RecNum&gt;81&lt;/RecNum&gt;&lt;DisplayText&gt;Wang et al. (2018)&lt;/DisplayText&gt;&lt;record&gt;&lt;rec-number&gt;81&lt;/rec-number&gt;&lt;foreign-keys&gt;&lt;key app="EN" db-id="sx5wsdwv795wvue959xxw0ptaewvdezxxp05" timestamp="1604876399"&gt;81&lt;/key&gt;&lt;/foreign-keys&gt;&lt;ref-type name="Journal Article"&gt;17&lt;/ref-type&gt;&lt;contributors&gt;&lt;authors&gt;&lt;author&gt;Wang, W. G.&lt;/author&gt;&lt;author&gt;Yan, D.&lt;/author&gt;&lt;author&gt;Ye, H.&lt;/author&gt;&lt;author&gt;Gustafson, G.&lt;/author&gt;&lt;author&gt;Ghilezan, M.&lt;/author&gt;&lt;author&gt;Martinez, A.&lt;/author&gt;&lt;author&gt;Krauss, D.&lt;/author&gt;&lt;/authors&gt;&lt;/contributors&gt;&lt;titles&gt;&lt;title&gt;Outcomes and toxicity from a prospective study of moderately hypofractionated radiation therapy for prostate cancer&lt;/title&gt;&lt;secondary-title&gt;Advances in Radiation Oncology&lt;/secondary-title&gt;&lt;/titles&gt;&lt;pages&gt;163-169&lt;/pages&gt;&lt;volume&gt;3&lt;/volume&gt;&lt;number&gt;2&lt;/number&gt;&lt;dates&gt;&lt;year&gt;2018&lt;/year&gt;&lt;/dates&gt;&lt;accession-num&gt;2000636373&lt;/accession-num&gt;&lt;urls&gt;&lt;related-urls&gt;&lt;url&gt;http://www.journals.elsevier.com/advances-in-radiation-oncology/http://ezproxy.library.usyd.edu.au/login?url=http://ovidsp.ovid.com/ovidweb.cgi?T=JS&amp;amp;CSC=Y&amp;amp;NEWS=N&amp;amp;PAGE=fulltext&amp;amp;D=emed19&amp;amp;AN=2000636373https://sydney.alma.exlibrisgroup.com/openurl/61USYD_INST&lt;/url&gt;&lt;url&gt;https://www.ncbi.nlm.nih.gov/pmc/articles/PMC6000067/pdf/main.pdf&lt;/url&gt;&lt;/related-urls&gt;&lt;/urls&gt;&lt;electronic-resource-num&gt;http://dx.doi.org/10.1016/j.adro.2017.12.006&lt;/electronic-resource-num&gt;&lt;/record&gt;&lt;/Cite&gt;&lt;/EndNote&gt;</w:instrText>
              </w:r>
              <w:r w:rsidR="008B6FC0">
                <w:fldChar w:fldCharType="separate"/>
              </w:r>
              <w:r w:rsidR="008B6FC0">
                <w:rPr>
                  <w:noProof/>
                </w:rPr>
                <w:t>Wang et al. (2018)</w:t>
              </w:r>
              <w:r w:rsidR="008B6FC0">
                <w:fldChar w:fldCharType="end"/>
              </w:r>
            </w:hyperlink>
          </w:p>
        </w:tc>
        <w:tc>
          <w:tcPr>
            <w:tcW w:w="847" w:type="pct"/>
            <w:tcBorders>
              <w:top w:val="single" w:sz="4" w:space="0" w:color="auto"/>
              <w:left w:val="single" w:sz="4" w:space="0" w:color="auto"/>
              <w:bottom w:val="single" w:sz="4" w:space="0" w:color="auto"/>
              <w:right w:val="single" w:sz="4" w:space="0" w:color="auto"/>
            </w:tcBorders>
          </w:tcPr>
          <w:p w14:paraId="7F4B46E5" w14:textId="05BB9469" w:rsidR="00181CE6" w:rsidRPr="00164A44" w:rsidRDefault="00181CE6" w:rsidP="00096131">
            <w:pPr>
              <w:pStyle w:val="Tabletext1"/>
              <w:jc w:val="center"/>
            </w:pPr>
            <w:r w:rsidRPr="00164A44">
              <w:t>GI</w:t>
            </w:r>
          </w:p>
          <w:p w14:paraId="726B4EF0" w14:textId="280BDBD9"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765F52D6" w14:textId="77777777" w:rsidR="00181CE6" w:rsidRPr="00164A44" w:rsidRDefault="00181CE6"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09386959" w14:textId="5AC944C0"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05945506" w14:textId="1FCD5C48" w:rsidR="00181CE6" w:rsidRPr="00164A44" w:rsidRDefault="00181CE6" w:rsidP="00096131">
            <w:pPr>
              <w:pStyle w:val="Tabletext1"/>
              <w:jc w:val="center"/>
            </w:pPr>
            <w:r w:rsidRPr="00164A44">
              <w:t>Grade ≥2: 13/40 (</w:t>
            </w:r>
            <w:r w:rsidR="00102210">
              <w:t>33</w:t>
            </w:r>
            <w:r w:rsidRPr="00164A44">
              <w:t>%)</w:t>
            </w:r>
          </w:p>
        </w:tc>
        <w:tc>
          <w:tcPr>
            <w:tcW w:w="349" w:type="pct"/>
            <w:tcBorders>
              <w:top w:val="single" w:sz="4" w:space="0" w:color="auto"/>
              <w:left w:val="single" w:sz="4" w:space="0" w:color="auto"/>
              <w:bottom w:val="single" w:sz="4" w:space="0" w:color="auto"/>
              <w:right w:val="single" w:sz="4" w:space="0" w:color="auto"/>
            </w:tcBorders>
          </w:tcPr>
          <w:p w14:paraId="02508A23" w14:textId="29E70B28" w:rsidR="00181CE6" w:rsidRPr="00164A44" w:rsidRDefault="00181CE6" w:rsidP="00096131">
            <w:pPr>
              <w:pStyle w:val="Tabletext1"/>
              <w:jc w:val="center"/>
            </w:pPr>
            <w:r w:rsidRPr="00164A44">
              <w:t>3/40 (</w:t>
            </w:r>
            <w:r w:rsidR="00B273B0">
              <w:t>8</w:t>
            </w:r>
            <w:r w:rsidRPr="00164A44">
              <w:t>%)</w:t>
            </w:r>
            <w:r w:rsidRPr="00164A44">
              <w:br/>
            </w:r>
          </w:p>
        </w:tc>
        <w:tc>
          <w:tcPr>
            <w:tcW w:w="349" w:type="pct"/>
            <w:tcBorders>
              <w:top w:val="single" w:sz="4" w:space="0" w:color="auto"/>
              <w:left w:val="single" w:sz="4" w:space="0" w:color="auto"/>
              <w:bottom w:val="single" w:sz="4" w:space="0" w:color="auto"/>
              <w:right w:val="single" w:sz="4" w:space="0" w:color="auto"/>
            </w:tcBorders>
          </w:tcPr>
          <w:p w14:paraId="2186FEB5" w14:textId="70BC492F"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1080A3D" w14:textId="220B2B40" w:rsidR="00181CE6" w:rsidRPr="00164A44" w:rsidRDefault="00181CE6"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E0B74E8" w14:textId="627080BF"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2DDD6F6" w14:textId="539F05DE" w:rsidR="00181CE6" w:rsidRPr="00164A44" w:rsidRDefault="00181CE6" w:rsidP="00096131">
            <w:pPr>
              <w:pStyle w:val="Tabletext1"/>
              <w:jc w:val="center"/>
            </w:pPr>
            <w:r w:rsidRPr="00164A44">
              <w:t>Grade ≥2: 2/40 (5%)</w:t>
            </w:r>
          </w:p>
        </w:tc>
        <w:tc>
          <w:tcPr>
            <w:tcW w:w="349" w:type="pct"/>
            <w:tcBorders>
              <w:top w:val="single" w:sz="4" w:space="0" w:color="auto"/>
              <w:left w:val="single" w:sz="4" w:space="0" w:color="auto"/>
              <w:bottom w:val="single" w:sz="4" w:space="0" w:color="auto"/>
              <w:right w:val="single" w:sz="4" w:space="0" w:color="auto"/>
            </w:tcBorders>
          </w:tcPr>
          <w:p w14:paraId="50D1053C" w14:textId="1C59462A" w:rsidR="00181CE6" w:rsidRPr="00164A44" w:rsidRDefault="00181CE6" w:rsidP="00096131">
            <w:pPr>
              <w:pStyle w:val="Tabletext1"/>
              <w:jc w:val="center"/>
            </w:pPr>
            <w:r w:rsidRPr="00164A44">
              <w:t>0/40 (0%)</w:t>
            </w:r>
          </w:p>
        </w:tc>
        <w:tc>
          <w:tcPr>
            <w:tcW w:w="341" w:type="pct"/>
            <w:tcBorders>
              <w:top w:val="single" w:sz="4" w:space="0" w:color="auto"/>
              <w:left w:val="single" w:sz="4" w:space="0" w:color="auto"/>
              <w:bottom w:val="single" w:sz="4" w:space="0" w:color="auto"/>
              <w:right w:val="single" w:sz="4" w:space="0" w:color="auto"/>
            </w:tcBorders>
          </w:tcPr>
          <w:p w14:paraId="286B9E54" w14:textId="62222B45" w:rsidR="00181CE6" w:rsidRPr="00164A44" w:rsidRDefault="00181CE6" w:rsidP="00096131">
            <w:pPr>
              <w:pStyle w:val="Tabletext1"/>
              <w:jc w:val="center"/>
            </w:pPr>
            <w:r w:rsidRPr="00164A44">
              <w:t>1/40 (</w:t>
            </w:r>
            <w:r w:rsidR="00846054">
              <w:t>3</w:t>
            </w:r>
            <w:r w:rsidRPr="00164A44">
              <w:t>%)</w:t>
            </w:r>
          </w:p>
        </w:tc>
      </w:tr>
      <w:tr w:rsidR="00181CE6" w:rsidRPr="00B2301A" w14:paraId="299F290F" w14:textId="77777777" w:rsidTr="00164A44">
        <w:tc>
          <w:tcPr>
            <w:tcW w:w="669" w:type="pct"/>
            <w:tcBorders>
              <w:top w:val="nil"/>
              <w:left w:val="single" w:sz="4" w:space="0" w:color="auto"/>
              <w:bottom w:val="nil"/>
              <w:right w:val="single" w:sz="4" w:space="0" w:color="auto"/>
            </w:tcBorders>
            <w:shd w:val="clear" w:color="auto" w:fill="auto"/>
          </w:tcPr>
          <w:p w14:paraId="449FD84C" w14:textId="77777777" w:rsidR="00181CE6" w:rsidRDefault="00181CE6"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7879F25D" w14:textId="77777777" w:rsidR="00181CE6" w:rsidRPr="00164A44" w:rsidRDefault="00181CE6" w:rsidP="00096131">
            <w:pPr>
              <w:pStyle w:val="Tabletext1"/>
              <w:jc w:val="center"/>
            </w:pPr>
            <w:r w:rsidRPr="00164A44">
              <w:t>GU</w:t>
            </w:r>
          </w:p>
          <w:p w14:paraId="4339A9FC" w14:textId="69C9A98A"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163B023D" w14:textId="77777777" w:rsidR="00181CE6" w:rsidRPr="00164A44" w:rsidRDefault="00181CE6"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0D1A1E5" w14:textId="77777777"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53CAFD3" w14:textId="5CD94591" w:rsidR="00181CE6" w:rsidRPr="00164A44" w:rsidRDefault="00181CE6" w:rsidP="00096131">
            <w:pPr>
              <w:pStyle w:val="Tabletext1"/>
              <w:jc w:val="center"/>
            </w:pPr>
            <w:r w:rsidRPr="00164A44">
              <w:t>Grade ≥2: 17/40 (</w:t>
            </w:r>
            <w:r w:rsidR="00846054">
              <w:t>43</w:t>
            </w:r>
            <w:r w:rsidRPr="00164A44">
              <w:t>%)</w:t>
            </w:r>
          </w:p>
        </w:tc>
        <w:tc>
          <w:tcPr>
            <w:tcW w:w="349" w:type="pct"/>
            <w:tcBorders>
              <w:top w:val="single" w:sz="4" w:space="0" w:color="auto"/>
              <w:left w:val="single" w:sz="4" w:space="0" w:color="auto"/>
              <w:bottom w:val="single" w:sz="4" w:space="0" w:color="auto"/>
              <w:right w:val="single" w:sz="4" w:space="0" w:color="auto"/>
            </w:tcBorders>
          </w:tcPr>
          <w:p w14:paraId="7431FF33" w14:textId="668B02BB" w:rsidR="00181CE6" w:rsidRPr="00164A44" w:rsidRDefault="00181CE6" w:rsidP="00096131">
            <w:pPr>
              <w:pStyle w:val="Tabletext1"/>
              <w:jc w:val="center"/>
            </w:pPr>
            <w:r w:rsidRPr="00164A44">
              <w:t>1/40 (</w:t>
            </w:r>
            <w:r w:rsidR="00B273B0">
              <w:t>3</w:t>
            </w:r>
            <w:r w:rsidRPr="00164A44">
              <w:t>%)</w:t>
            </w:r>
            <w:r w:rsidRPr="00164A44">
              <w:br/>
            </w:r>
          </w:p>
        </w:tc>
        <w:tc>
          <w:tcPr>
            <w:tcW w:w="349" w:type="pct"/>
            <w:tcBorders>
              <w:top w:val="single" w:sz="4" w:space="0" w:color="auto"/>
              <w:left w:val="single" w:sz="4" w:space="0" w:color="auto"/>
              <w:bottom w:val="single" w:sz="4" w:space="0" w:color="auto"/>
              <w:right w:val="single" w:sz="4" w:space="0" w:color="auto"/>
            </w:tcBorders>
          </w:tcPr>
          <w:p w14:paraId="3D1847A8" w14:textId="77777777"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6781C2E2" w14:textId="77777777" w:rsidR="00181CE6" w:rsidRPr="00164A44" w:rsidRDefault="00181CE6"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781E438C" w14:textId="77777777"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C123DD5" w14:textId="245A044F" w:rsidR="00181CE6" w:rsidRPr="00164A44" w:rsidRDefault="00181CE6" w:rsidP="00096131">
            <w:pPr>
              <w:pStyle w:val="Tabletext1"/>
              <w:jc w:val="center"/>
            </w:pPr>
            <w:r w:rsidRPr="00164A44">
              <w:t>Grade ≥2: 7/40 (</w:t>
            </w:r>
            <w:r w:rsidR="009B3AA5">
              <w:t>18</w:t>
            </w:r>
            <w:r w:rsidRPr="00164A44">
              <w:t>%)</w:t>
            </w:r>
          </w:p>
        </w:tc>
        <w:tc>
          <w:tcPr>
            <w:tcW w:w="349" w:type="pct"/>
            <w:tcBorders>
              <w:top w:val="single" w:sz="4" w:space="0" w:color="auto"/>
              <w:left w:val="single" w:sz="4" w:space="0" w:color="auto"/>
              <w:bottom w:val="single" w:sz="4" w:space="0" w:color="auto"/>
              <w:right w:val="single" w:sz="4" w:space="0" w:color="auto"/>
            </w:tcBorders>
          </w:tcPr>
          <w:p w14:paraId="22DAE47B" w14:textId="02A829D9" w:rsidR="00181CE6" w:rsidRPr="00164A44" w:rsidRDefault="00181CE6" w:rsidP="00096131">
            <w:pPr>
              <w:pStyle w:val="Tabletext1"/>
              <w:jc w:val="center"/>
            </w:pPr>
            <w:r w:rsidRPr="00164A44">
              <w:t>2/40 (5%)</w:t>
            </w:r>
          </w:p>
        </w:tc>
        <w:tc>
          <w:tcPr>
            <w:tcW w:w="341" w:type="pct"/>
            <w:tcBorders>
              <w:top w:val="single" w:sz="4" w:space="0" w:color="auto"/>
              <w:left w:val="single" w:sz="4" w:space="0" w:color="auto"/>
              <w:bottom w:val="single" w:sz="4" w:space="0" w:color="auto"/>
              <w:right w:val="single" w:sz="4" w:space="0" w:color="auto"/>
            </w:tcBorders>
          </w:tcPr>
          <w:p w14:paraId="427BFCD4" w14:textId="04D51C3F" w:rsidR="00181CE6" w:rsidRPr="00164A44" w:rsidRDefault="00181CE6" w:rsidP="00096131">
            <w:pPr>
              <w:pStyle w:val="Tabletext1"/>
              <w:jc w:val="center"/>
            </w:pPr>
            <w:r w:rsidRPr="00164A44">
              <w:t>0/40 (0%)</w:t>
            </w:r>
          </w:p>
        </w:tc>
      </w:tr>
      <w:tr w:rsidR="00181CE6" w:rsidRPr="00B2301A" w14:paraId="14E0AA0D" w14:textId="77777777" w:rsidTr="00164A44">
        <w:tc>
          <w:tcPr>
            <w:tcW w:w="669" w:type="pct"/>
            <w:tcBorders>
              <w:top w:val="nil"/>
              <w:left w:val="single" w:sz="4" w:space="0" w:color="auto"/>
              <w:bottom w:val="single" w:sz="4" w:space="0" w:color="auto"/>
              <w:right w:val="single" w:sz="4" w:space="0" w:color="auto"/>
            </w:tcBorders>
            <w:shd w:val="clear" w:color="auto" w:fill="auto"/>
          </w:tcPr>
          <w:p w14:paraId="378C1A19" w14:textId="77777777" w:rsidR="00181CE6" w:rsidRDefault="00181CE6" w:rsidP="00096131">
            <w:pPr>
              <w:pStyle w:val="Tabletext1"/>
            </w:pPr>
          </w:p>
        </w:tc>
        <w:tc>
          <w:tcPr>
            <w:tcW w:w="847" w:type="pct"/>
            <w:tcBorders>
              <w:top w:val="single" w:sz="4" w:space="0" w:color="auto"/>
              <w:left w:val="single" w:sz="4" w:space="0" w:color="auto"/>
              <w:bottom w:val="single" w:sz="4" w:space="0" w:color="auto"/>
              <w:right w:val="single" w:sz="4" w:space="0" w:color="auto"/>
            </w:tcBorders>
          </w:tcPr>
          <w:p w14:paraId="42B6093F" w14:textId="77777777" w:rsidR="00181CE6" w:rsidRPr="00164A44" w:rsidRDefault="00181CE6" w:rsidP="00096131">
            <w:pPr>
              <w:pStyle w:val="Tabletext1"/>
              <w:jc w:val="center"/>
            </w:pPr>
            <w:r w:rsidRPr="00164A44">
              <w:t>Sexual toxicity</w:t>
            </w:r>
          </w:p>
          <w:p w14:paraId="14D1F8A4" w14:textId="202EE93A"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563C70F6" w14:textId="77777777" w:rsidR="00181CE6" w:rsidRPr="00164A44" w:rsidRDefault="00181CE6" w:rsidP="00096131">
            <w:pPr>
              <w:pStyle w:val="Tabletext1"/>
              <w:jc w:val="center"/>
            </w:pPr>
          </w:p>
        </w:tc>
        <w:tc>
          <w:tcPr>
            <w:tcW w:w="350" w:type="pct"/>
            <w:tcBorders>
              <w:top w:val="single" w:sz="4" w:space="0" w:color="auto"/>
              <w:left w:val="single" w:sz="4" w:space="0" w:color="auto"/>
              <w:bottom w:val="single" w:sz="4" w:space="0" w:color="auto"/>
              <w:right w:val="single" w:sz="4" w:space="0" w:color="auto"/>
            </w:tcBorders>
          </w:tcPr>
          <w:p w14:paraId="67C66ED9" w14:textId="77777777"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29760BC" w14:textId="77777777"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466E756" w14:textId="77777777"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3AC59C51" w14:textId="77777777" w:rsidR="00181CE6" w:rsidRPr="00164A44" w:rsidRDefault="00181CE6" w:rsidP="00096131">
            <w:pPr>
              <w:pStyle w:val="Tabletext1"/>
              <w:jc w:val="center"/>
            </w:pPr>
          </w:p>
        </w:tc>
        <w:tc>
          <w:tcPr>
            <w:tcW w:w="349" w:type="pct"/>
            <w:tcBorders>
              <w:top w:val="single" w:sz="4" w:space="0" w:color="auto"/>
              <w:left w:val="single" w:sz="4" w:space="0" w:color="auto"/>
              <w:bottom w:val="single" w:sz="4" w:space="0" w:color="auto"/>
              <w:right w:val="single" w:sz="4" w:space="0" w:color="auto"/>
            </w:tcBorders>
          </w:tcPr>
          <w:p w14:paraId="4A0AB39B" w14:textId="5245AD7B" w:rsidR="00181CE6" w:rsidRPr="00164A44" w:rsidRDefault="00164A44" w:rsidP="00096131">
            <w:pPr>
              <w:pStyle w:val="Tabletext1"/>
              <w:jc w:val="center"/>
            </w:pPr>
            <w:r w:rsidRPr="00164A44">
              <w:t>9/40 (</w:t>
            </w:r>
            <w:r w:rsidR="00B90BD7">
              <w:t>23</w:t>
            </w:r>
            <w:r w:rsidRPr="00164A44">
              <w:t>%)</w:t>
            </w:r>
          </w:p>
        </w:tc>
        <w:tc>
          <w:tcPr>
            <w:tcW w:w="350" w:type="pct"/>
            <w:tcBorders>
              <w:top w:val="single" w:sz="4" w:space="0" w:color="auto"/>
              <w:left w:val="single" w:sz="4" w:space="0" w:color="auto"/>
              <w:bottom w:val="single" w:sz="4" w:space="0" w:color="auto"/>
              <w:right w:val="single" w:sz="4" w:space="0" w:color="auto"/>
            </w:tcBorders>
          </w:tcPr>
          <w:p w14:paraId="17991588" w14:textId="460D28C3" w:rsidR="00181CE6" w:rsidRPr="00164A44" w:rsidRDefault="00164A44" w:rsidP="00096131">
            <w:pPr>
              <w:pStyle w:val="Tabletext1"/>
              <w:jc w:val="center"/>
            </w:pPr>
            <w:r w:rsidRPr="00164A44">
              <w:t>10/40 (</w:t>
            </w:r>
            <w:r w:rsidR="00942AF3">
              <w:t>40</w:t>
            </w:r>
            <w:r w:rsidRPr="00164A44">
              <w:t>%)</w:t>
            </w:r>
          </w:p>
        </w:tc>
        <w:tc>
          <w:tcPr>
            <w:tcW w:w="349" w:type="pct"/>
            <w:tcBorders>
              <w:top w:val="single" w:sz="4" w:space="0" w:color="auto"/>
              <w:left w:val="single" w:sz="4" w:space="0" w:color="auto"/>
              <w:bottom w:val="single" w:sz="4" w:space="0" w:color="auto"/>
              <w:right w:val="single" w:sz="4" w:space="0" w:color="auto"/>
            </w:tcBorders>
          </w:tcPr>
          <w:p w14:paraId="66DBBC2D" w14:textId="4254062A" w:rsidR="00181CE6" w:rsidRPr="00164A44" w:rsidRDefault="00164A44" w:rsidP="00096131">
            <w:pPr>
              <w:pStyle w:val="Tabletext1"/>
              <w:jc w:val="center"/>
            </w:pPr>
            <w:r w:rsidRPr="00164A44">
              <w:t>6/40 (23%)</w:t>
            </w:r>
          </w:p>
        </w:tc>
        <w:tc>
          <w:tcPr>
            <w:tcW w:w="349" w:type="pct"/>
            <w:tcBorders>
              <w:top w:val="single" w:sz="4" w:space="0" w:color="auto"/>
              <w:left w:val="single" w:sz="4" w:space="0" w:color="auto"/>
              <w:bottom w:val="single" w:sz="4" w:space="0" w:color="auto"/>
              <w:right w:val="single" w:sz="4" w:space="0" w:color="auto"/>
            </w:tcBorders>
          </w:tcPr>
          <w:p w14:paraId="16CEE5EA" w14:textId="62291C9E" w:rsidR="00181CE6" w:rsidRPr="00164A44" w:rsidRDefault="00164A44" w:rsidP="00096131">
            <w:pPr>
              <w:pStyle w:val="Tabletext1"/>
              <w:jc w:val="center"/>
            </w:pPr>
            <w:r w:rsidRPr="00164A44">
              <w:t>1/40 (</w:t>
            </w:r>
            <w:r w:rsidR="00846054">
              <w:t>3</w:t>
            </w:r>
            <w:r w:rsidRPr="00164A44">
              <w:t>%)</w:t>
            </w:r>
          </w:p>
        </w:tc>
        <w:tc>
          <w:tcPr>
            <w:tcW w:w="341" w:type="pct"/>
            <w:tcBorders>
              <w:top w:val="single" w:sz="4" w:space="0" w:color="auto"/>
              <w:left w:val="single" w:sz="4" w:space="0" w:color="auto"/>
              <w:bottom w:val="single" w:sz="4" w:space="0" w:color="auto"/>
              <w:right w:val="single" w:sz="4" w:space="0" w:color="auto"/>
            </w:tcBorders>
          </w:tcPr>
          <w:p w14:paraId="1A56F423" w14:textId="77777777" w:rsidR="00181CE6" w:rsidRPr="00164A44" w:rsidRDefault="00181CE6" w:rsidP="00096131">
            <w:pPr>
              <w:pStyle w:val="Tabletext1"/>
              <w:jc w:val="center"/>
            </w:pPr>
          </w:p>
        </w:tc>
      </w:tr>
    </w:tbl>
    <w:p w14:paraId="410B6BFD" w14:textId="15E51837" w:rsidR="00891073" w:rsidRDefault="00FA0052" w:rsidP="00096131">
      <w:pPr>
        <w:pStyle w:val="Tablenotes0"/>
        <w:jc w:val="left"/>
      </w:pPr>
      <w:r>
        <w:t>CI</w:t>
      </w:r>
      <w:r w:rsidR="0077492B">
        <w:t>=</w:t>
      </w:r>
      <w:r>
        <w:t xml:space="preserve">confidence interval; </w:t>
      </w:r>
      <w:r w:rsidR="00D82E22">
        <w:t>FU</w:t>
      </w:r>
      <w:r w:rsidR="0077492B">
        <w:t>=</w:t>
      </w:r>
      <w:r w:rsidR="00D82E22">
        <w:t xml:space="preserve">follow-up; </w:t>
      </w:r>
      <w:r w:rsidR="00113519">
        <w:t>GI</w:t>
      </w:r>
      <w:r w:rsidR="0077492B">
        <w:t>=</w:t>
      </w:r>
      <w:r w:rsidR="00113519">
        <w:t>gastrointestinal; GU</w:t>
      </w:r>
      <w:r w:rsidR="0077492B">
        <w:t>=</w:t>
      </w:r>
      <w:r w:rsidR="00113519">
        <w:t>genitourinary; MR-IGRT</w:t>
      </w:r>
      <w:r w:rsidR="0077492B">
        <w:t>=</w:t>
      </w:r>
      <w:r w:rsidR="00113519">
        <w:t>magnetic resonance image-guided radiation therapy</w:t>
      </w:r>
      <w:r w:rsidR="004614A0">
        <w:t xml:space="preserve">; </w:t>
      </w:r>
      <w:r w:rsidR="00D82E22">
        <w:t>RT</w:t>
      </w:r>
      <w:r w:rsidR="0077492B">
        <w:t>=</w:t>
      </w:r>
      <w:r w:rsidR="00D82E22">
        <w:t xml:space="preserve">radiation therapy; </w:t>
      </w:r>
      <w:r w:rsidR="004614A0">
        <w:t>PORT</w:t>
      </w:r>
      <w:r w:rsidR="0077492B">
        <w:t>=</w:t>
      </w:r>
      <w:r w:rsidR="004614A0">
        <w:t>prostate-only radiotherapy; WPRT</w:t>
      </w:r>
      <w:r w:rsidR="0077492B">
        <w:t>=</w:t>
      </w:r>
      <w:r w:rsidR="004614A0">
        <w:t>whole-pelvic radiotherapy</w:t>
      </w:r>
      <w:r w:rsidR="00096131">
        <w:br/>
      </w:r>
      <w:r w:rsidR="00B16993" w:rsidRPr="00B16993">
        <w:rPr>
          <w:vertAlign w:val="superscript"/>
        </w:rPr>
        <w:t>1</w:t>
      </w:r>
      <w:r w:rsidR="00B16993">
        <w:t xml:space="preserve"> 3-year incidence rate</w:t>
      </w:r>
      <w:r>
        <w:t xml:space="preserve">; </w:t>
      </w:r>
      <w:r w:rsidRPr="00FA0052">
        <w:rPr>
          <w:vertAlign w:val="superscript"/>
        </w:rPr>
        <w:t>2</w:t>
      </w:r>
      <w:r>
        <w:rPr>
          <w:vertAlign w:val="superscript"/>
        </w:rPr>
        <w:t xml:space="preserve"> </w:t>
      </w:r>
      <w:r>
        <w:t>Late cumulative incidence rate</w:t>
      </w:r>
      <w:r w:rsidR="00625BDB">
        <w:t xml:space="preserve">; </w:t>
      </w:r>
      <w:r w:rsidR="00625BDB" w:rsidRPr="00625BDB">
        <w:rPr>
          <w:vertAlign w:val="superscript"/>
        </w:rPr>
        <w:t>3</w:t>
      </w:r>
      <w:r w:rsidR="00625BDB">
        <w:rPr>
          <w:vertAlign w:val="superscript"/>
        </w:rPr>
        <w:t xml:space="preserve"> </w:t>
      </w:r>
      <w:r w:rsidR="00625BDB" w:rsidRPr="00625BDB">
        <w:t>3-year</w:t>
      </w:r>
      <w:r w:rsidR="00625BDB">
        <w:rPr>
          <w:vertAlign w:val="superscript"/>
        </w:rPr>
        <w:t xml:space="preserve"> </w:t>
      </w:r>
      <w:r w:rsidR="00625BDB">
        <w:t xml:space="preserve">cumulative rate </w:t>
      </w:r>
    </w:p>
    <w:p w14:paraId="00A0F035" w14:textId="2DCA32CB" w:rsidR="00A479E1" w:rsidRDefault="00C4588B" w:rsidP="00A479E1">
      <w:pPr>
        <w:pStyle w:val="Heading4"/>
      </w:pPr>
      <w:r>
        <w:t xml:space="preserve">Abdominal malignancies </w:t>
      </w:r>
    </w:p>
    <w:p w14:paraId="5E0FD042" w14:textId="0FCEAE7D" w:rsidR="00A479E1" w:rsidRDefault="004C0282" w:rsidP="00166FC9">
      <w:r>
        <w:t>A total of 1/</w:t>
      </w:r>
      <w:r w:rsidR="00A479E1">
        <w:t xml:space="preserve">29 patients with </w:t>
      </w:r>
      <w:r w:rsidR="003E0260">
        <w:t xml:space="preserve">primary or metastatic </w:t>
      </w:r>
      <w:r w:rsidR="00A479E1">
        <w:t>unresectable liver tumours who underwent MRI</w:t>
      </w:r>
      <w:r w:rsidR="00164A44">
        <w:t>-</w:t>
      </w:r>
      <w:r w:rsidR="00A479E1">
        <w:t>guided SBRT experienced nausea and vomiting</w:t>
      </w:r>
      <w:r w:rsidR="00F32274">
        <w:t>,</w:t>
      </w:r>
      <w:r w:rsidR="00A479E1">
        <w:t xml:space="preserve"> and one case </w:t>
      </w:r>
      <w:r w:rsidR="007B2A1C">
        <w:t xml:space="preserve">reported </w:t>
      </w:r>
      <w:r w:rsidR="00A479E1">
        <w:t xml:space="preserve">abdominal pain with bloody </w:t>
      </w:r>
      <w:r w:rsidR="00B66802">
        <w:t>diarrhoea</w:t>
      </w:r>
      <w:r w:rsidR="00A479E1">
        <w:t xml:space="preserve"> </w:t>
      </w:r>
      <w:r w:rsidR="000C77B0">
        <w:fldChar w:fldCharType="begin"/>
      </w:r>
      <w:r w:rsidR="000C77B0">
        <w:instrText xml:space="preserve"> ADDIN EN.CITE &lt;EndNote&gt;&lt;Cite&gt;&lt;Author&gt;Feldman&lt;/Author&gt;&lt;Year&gt;2019&lt;/Year&gt;&lt;RecNum&gt;15&lt;/RecNum&gt;&lt;DisplayText&gt;(Feldman et al., 2019)&lt;/DisplayText&gt;&lt;record&gt;&lt;rec-number&gt;15&lt;/rec-number&gt;&lt;foreign-keys&gt;&lt;key app="EN" db-id="sx5wsdwv795wvue959xxw0ptaewvdezxxp05" timestamp="1604454185"&gt;15&lt;/key&gt;&lt;/foreign-keys&gt;&lt;ref-type name="Journal Article"&gt;17&lt;/ref-type&gt;&lt;contributors&gt;&lt;authors&gt;&lt;author&gt;Feldman, A. M.&lt;/author&gt;&lt;author&gt;Modh, A.&lt;/author&gt;&lt;author&gt;Glide-Hurst, C.&lt;/author&gt;&lt;author&gt;Chetty, I. J.&lt;/author&gt;&lt;author&gt;Movsas, B.&lt;/author&gt;&lt;/authors&gt;&lt;/contributors&gt;&lt;titles&gt;&lt;title&gt;Real-time Magnetic Resonance-guided Liver Stereotactic Body Radiation Therapy: An Institutional Report Using a Magnetic Resonance-Linac System&lt;/title&gt;&lt;secondary-title&gt;Cureus&lt;/secondary-title&gt;&lt;/titles&gt;&lt;pages&gt;e5774&lt;/pages&gt;&lt;volume&gt;11&lt;/volume&gt;&lt;number&gt;9&lt;/number&gt;&lt;dates&gt;&lt;year&gt;2019&lt;/year&gt;&lt;/dates&gt;&lt;accession-num&gt;31723533&lt;/accession-num&gt;&lt;urls&gt;&lt;related-urls&gt;&lt;url&gt;http://ezproxy.library.usyd.edu.au/login?url=http://ovidsp.ovid.com/ovidweb.cgi?T=JS&amp;amp;CSC=Y&amp;amp;NEWS=N&amp;amp;PAGE=fulltext&amp;amp;D=prem3&amp;amp;AN=31723533https://sydney.alma.exlibrisgroup.com/openurl/61USYD_INST/61USYD_INST:sydney?sid=OVID:medline&amp;amp;id=pmid:31723533&amp;amp;id=doi:10.775&lt;/url&gt;&lt;url&gt;https://www.ncbi.nlm.nih.gov/pmc/articles/PMC6825488/pdf/cureus-0011-00000005774.pdf&lt;/url&gt;&lt;/related-urls&gt;&lt;/urls&gt;&lt;custom2&gt;single arm safety SBRT&lt;/custom2&gt;&lt;electronic-resource-num&gt;https://dx.doi.org/10.7759/cureus.5774&lt;/electronic-resource-num&gt;&lt;/record&gt;&lt;/Cite&gt;&lt;/EndNote&gt;</w:instrText>
      </w:r>
      <w:r w:rsidR="000C77B0">
        <w:fldChar w:fldCharType="separate"/>
      </w:r>
      <w:r w:rsidR="000C77B0">
        <w:rPr>
          <w:noProof/>
        </w:rPr>
        <w:t>(</w:t>
      </w:r>
      <w:hyperlink w:anchor="_ENREF_27" w:tooltip="Feldman, 2019 #15" w:history="1">
        <w:r w:rsidR="008B6FC0">
          <w:rPr>
            <w:noProof/>
          </w:rPr>
          <w:t>Feldman et al., 2019</w:t>
        </w:r>
      </w:hyperlink>
      <w:r w:rsidR="000C77B0">
        <w:rPr>
          <w:noProof/>
        </w:rPr>
        <w:t>)</w:t>
      </w:r>
      <w:r w:rsidR="000C77B0">
        <w:fldChar w:fldCharType="end"/>
      </w:r>
      <w:r w:rsidR="00A479E1">
        <w:t>.</w:t>
      </w:r>
      <w:r w:rsidR="00C4588B">
        <w:t xml:space="preserve"> </w:t>
      </w:r>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r w:rsidR="00C4588B">
        <w:t xml:space="preserve"> noted no grade 3 or higher acute or late toxicities in a case series of 20 patients with oligometastatic or unresectable liver or non-liver abdominal malignancies. One patient developed </w:t>
      </w:r>
      <w:r w:rsidR="00166FC9" w:rsidRPr="00166FC9">
        <w:t>an asymptomatic</w:t>
      </w:r>
      <w:r w:rsidR="00C4588B">
        <w:t xml:space="preserve"> grade 2 </w:t>
      </w:r>
      <w:r w:rsidR="00166FC9">
        <w:t xml:space="preserve">ulcer </w:t>
      </w:r>
      <w:r w:rsidR="00F325FE">
        <w:t xml:space="preserve">of the </w:t>
      </w:r>
      <w:r w:rsidR="00166FC9" w:rsidRPr="00166FC9">
        <w:t>gastric</w:t>
      </w:r>
      <w:r w:rsidR="00F325FE">
        <w:t xml:space="preserve"> </w:t>
      </w:r>
      <w:r w:rsidR="00166FC9" w:rsidRPr="00166FC9">
        <w:lastRenderedPageBreak/>
        <w:t>antrum</w:t>
      </w:r>
      <w:r w:rsidR="00166FC9">
        <w:t xml:space="preserve"> discovered</w:t>
      </w:r>
      <w:r w:rsidR="00166FC9" w:rsidRPr="00166FC9">
        <w:t xml:space="preserve"> on follow-up imaging </w:t>
      </w:r>
      <w:r w:rsidR="00166FC9">
        <w:t>four</w:t>
      </w:r>
      <w:r w:rsidR="00166FC9" w:rsidRPr="00166FC9">
        <w:t xml:space="preserve"> mo</w:t>
      </w:r>
      <w:r w:rsidR="00166FC9">
        <w:t xml:space="preserve">nths </w:t>
      </w:r>
      <w:r w:rsidR="00166FC9" w:rsidRPr="00166FC9">
        <w:t xml:space="preserve">after </w:t>
      </w:r>
      <w:r w:rsidR="00166FC9">
        <w:t>therapy completion</w:t>
      </w:r>
      <w:r w:rsidR="00166FC9" w:rsidRPr="00166FC9">
        <w:t>.</w:t>
      </w:r>
      <w:r w:rsidR="00164A44">
        <w:t xml:space="preserve"> </w:t>
      </w:r>
      <w:hyperlink w:anchor="_ENREF_61" w:tooltip="Rudra, 2019 #22" w:history="1">
        <w:r w:rsidR="008B6FC0">
          <w:fldChar w:fldCharType="begin"/>
        </w:r>
        <w:r w:rsidR="008B6FC0">
          <w:instrText xml:space="preserve"> ADDIN EN.CITE &lt;EndNote&gt;&lt;Cite AuthorYear="1"&gt;&lt;Author&gt;Rudra&lt;/Author&gt;&lt;Year&gt;2019&lt;/Year&gt;&lt;RecNum&gt;22&lt;/RecNum&gt;&lt;DisplayText&gt;Rudra et al. (2019)&lt;/DisplayText&gt;&lt;record&gt;&lt;rec-number&gt;22&lt;/rec-number&gt;&lt;foreign-keys&gt;&lt;key app="EN" db-id="sx5wsdwv795wvue959xxw0ptaewvdezxxp05" timestamp="1604454187"&gt;22&lt;/key&gt;&lt;/foreign-keys&gt;&lt;ref-type name="Journal Article"&gt;17&lt;/ref-type&gt;&lt;contributors&gt;&lt;authors&gt;&lt;author&gt;Rudra, S.&lt;/author&gt;&lt;author&gt;Jiang, N.&lt;/author&gt;&lt;author&gt;Rosenberg, S. A.&lt;/author&gt;&lt;author&gt;Olsen, J. R.&lt;/author&gt;&lt;author&gt;Roach, M. C.&lt;/author&gt;&lt;author&gt;Wan, L.&lt;/author&gt;&lt;author&gt;Portelance, L.&lt;/author&gt;&lt;author&gt;Mellon, E. A.&lt;/author&gt;&lt;author&gt;Bruynzeel, A.&lt;/author&gt;&lt;author&gt;Lagerwaard, F.&lt;/author&gt;&lt;author&gt;Bassetti, M. F.&lt;/author&gt;&lt;author&gt;Parikh, P. J.&lt;/author&gt;&lt;author&gt;Lee, P. P.&lt;/author&gt;&lt;/authors&gt;&lt;/contributors&gt;&lt;titles&gt;&lt;title&gt;Using adaptive magnetic resonance image-guided radiation therapy for treatment of inoperable pancreatic cancer&lt;/title&gt;&lt;secondary-title&gt;Cancer Med&lt;/secondary-title&gt;&lt;/titles&gt;&lt;pages&gt;2123-2132&lt;/pages&gt;&lt;volume&gt;8&lt;/volume&gt;&lt;number&gt;5&lt;/number&gt;&lt;dates&gt;&lt;year&gt;2019&lt;/year&gt;&lt;/dates&gt;&lt;accession-num&gt;30932367&lt;/accession-num&gt;&lt;urls&gt;&lt;related-urls&gt;&lt;url&gt;http://ezproxy.library.usyd.edu.au/login?url=http://ovidsp.ovid.com/ovidweb.cgi?T=JS&amp;amp;CSC=Y&amp;amp;NEWS=N&amp;amp;PAGE=fulltext&amp;amp;D=medl&amp;amp;AN=30932367https://sydney.alma.exlibrisgroup.com/openurl/61USYD_INST/61USYD_INST:sydney?sid=OVID:medline&amp;amp;id=pmid:30932367&amp;amp;id=doi:10.1002&lt;/url&gt;&lt;url&gt;https://www.ncbi.nlm.nih.gov/pmc/articles/PMC6536981/pdf/CAM4-8-2123.pdf&lt;/url&gt;&lt;/related-urls&gt;&lt;/urls&gt;&lt;custom2&gt;Include- Single Arm, Safety&lt;/custom2&gt;&lt;electronic-resource-num&gt;https://dx.doi.org/10.1002/cam4.2100&lt;/electronic-resource-num&gt;&lt;/record&gt;&lt;/Cite&gt;&lt;/EndNote&gt;</w:instrText>
        </w:r>
        <w:r w:rsidR="008B6FC0">
          <w:fldChar w:fldCharType="separate"/>
        </w:r>
        <w:r w:rsidR="008B6FC0">
          <w:rPr>
            <w:noProof/>
          </w:rPr>
          <w:t>Rudra et al. (2019)</w:t>
        </w:r>
        <w:r w:rsidR="008B6FC0">
          <w:fldChar w:fldCharType="end"/>
        </w:r>
      </w:hyperlink>
      <w:r w:rsidR="00D4423A">
        <w:t xml:space="preserve"> </w:t>
      </w:r>
      <w:r w:rsidR="00DF5B1B">
        <w:t xml:space="preserve">reported 3/44 </w:t>
      </w:r>
      <w:r w:rsidR="003B60FB">
        <w:t xml:space="preserve">(7%) </w:t>
      </w:r>
      <w:r w:rsidR="003E2815">
        <w:t xml:space="preserve">patients </w:t>
      </w:r>
      <w:r w:rsidR="003E0260">
        <w:t xml:space="preserve">with inoperable pancreatic cancer treated with MR-IGRT </w:t>
      </w:r>
      <w:r w:rsidR="00DF5B1B">
        <w:t>experienc</w:t>
      </w:r>
      <w:r w:rsidR="003B60FB">
        <w:t>ed</w:t>
      </w:r>
      <w:r w:rsidR="00DF5B1B">
        <w:t xml:space="preserve"> acute GI toxicity</w:t>
      </w:r>
      <w:r w:rsidR="003B60FB" w:rsidRPr="003B60FB">
        <w:t xml:space="preserve"> </w:t>
      </w:r>
      <w:r w:rsidR="003B60FB">
        <w:t xml:space="preserve">grade </w:t>
      </w:r>
      <w:r w:rsidR="003B60FB">
        <w:rPr>
          <w:rFonts w:cs="Calibri"/>
        </w:rPr>
        <w:t>≥</w:t>
      </w:r>
      <w:r w:rsidR="003B60FB">
        <w:t>3</w:t>
      </w:r>
      <w:r w:rsidR="00DF5B1B">
        <w:t xml:space="preserve">. </w:t>
      </w:r>
      <w:r w:rsidR="003E0260">
        <w:t xml:space="preserve">Two patients developed abdominal infections requiring hospitalisation and once patient developed a grade 4 duodenal ulcer requiring admission into an intensive care unit. </w:t>
      </w:r>
      <w:r w:rsidR="00164A44">
        <w:t xml:space="preserve">Results are summarised in </w:t>
      </w:r>
      <w:r w:rsidR="00164A44">
        <w:fldChar w:fldCharType="begin"/>
      </w:r>
      <w:r w:rsidR="00164A44">
        <w:instrText xml:space="preserve"> REF _Ref55824074 \h </w:instrText>
      </w:r>
      <w:r w:rsidR="00164A44">
        <w:fldChar w:fldCharType="separate"/>
      </w:r>
      <w:r w:rsidR="00451350" w:rsidRPr="00E86441">
        <w:t xml:space="preserve">Table </w:t>
      </w:r>
      <w:r w:rsidR="00451350">
        <w:rPr>
          <w:noProof/>
        </w:rPr>
        <w:t>22</w:t>
      </w:r>
      <w:r w:rsidR="00164A44">
        <w:fldChar w:fldCharType="end"/>
      </w:r>
      <w:r w:rsidR="00164A44">
        <w:t>.</w:t>
      </w:r>
    </w:p>
    <w:p w14:paraId="12926118" w14:textId="70A181C7" w:rsidR="00164A44" w:rsidRPr="00183E4D" w:rsidRDefault="00164A44" w:rsidP="00164A44">
      <w:pPr>
        <w:pStyle w:val="Caption"/>
        <w:keepNext/>
        <w:rPr>
          <w:snapToGrid w:val="0"/>
          <w:lang w:eastAsia="en-US"/>
        </w:rPr>
      </w:pPr>
      <w:bookmarkStart w:id="363" w:name="_Ref55824074"/>
      <w:bookmarkStart w:id="364" w:name="_Toc89857893"/>
      <w:r w:rsidRPr="00E86441">
        <w:t xml:space="preserve">Table </w:t>
      </w:r>
      <w:r w:rsidR="00211285">
        <w:fldChar w:fldCharType="begin"/>
      </w:r>
      <w:r w:rsidR="00211285">
        <w:instrText xml:space="preserve"> SEQ Table \* ARABIC </w:instrText>
      </w:r>
      <w:r w:rsidR="00211285">
        <w:fldChar w:fldCharType="separate"/>
      </w:r>
      <w:r w:rsidR="00451350">
        <w:rPr>
          <w:noProof/>
        </w:rPr>
        <w:t>22</w:t>
      </w:r>
      <w:r w:rsidR="00211285">
        <w:rPr>
          <w:noProof/>
        </w:rPr>
        <w:fldChar w:fldCharType="end"/>
      </w:r>
      <w:bookmarkEnd w:id="363"/>
      <w:r w:rsidRPr="00E86441">
        <w:tab/>
        <w:t>Results</w:t>
      </w:r>
      <w:r w:rsidRPr="00183E4D">
        <w:rPr>
          <w:snapToGrid w:val="0"/>
          <w:lang w:eastAsia="en-US"/>
        </w:rPr>
        <w:t xml:space="preserve"> of </w:t>
      </w:r>
      <w:r>
        <w:rPr>
          <w:snapToGrid w:val="0"/>
          <w:lang w:eastAsia="en-US"/>
        </w:rPr>
        <w:t>toxicity</w:t>
      </w:r>
      <w:r w:rsidRPr="00183E4D">
        <w:rPr>
          <w:snapToGrid w:val="0"/>
          <w:lang w:eastAsia="en-US"/>
        </w:rPr>
        <w:t xml:space="preserve"> across th</w:t>
      </w:r>
      <w:r w:rsidRPr="00846B88">
        <w:rPr>
          <w:snapToGrid w:val="0"/>
          <w:lang w:eastAsia="en-US"/>
        </w:rPr>
        <w:t>e studies</w:t>
      </w:r>
      <w:r>
        <w:rPr>
          <w:snapToGrid w:val="0"/>
          <w:lang w:eastAsia="en-US"/>
        </w:rPr>
        <w:t>, hepatocellular carcinoma and hepatic metastases, MR-IGRT</w:t>
      </w:r>
      <w:bookmarkEnd w:id="364"/>
      <w:r w:rsidRPr="00183E4D">
        <w:rPr>
          <w:snapToGrid w:val="0"/>
          <w:lang w:eastAsia="en-US"/>
        </w:rPr>
        <w:t xml:space="preserve"> </w:t>
      </w:r>
    </w:p>
    <w:tbl>
      <w:tblPr>
        <w:tblStyle w:val="TableGrid1"/>
        <w:tblW w:w="5000" w:type="pct"/>
        <w:tblCellMar>
          <w:left w:w="28" w:type="dxa"/>
          <w:right w:w="28" w:type="dxa"/>
        </w:tblCellMar>
        <w:tblLook w:val="04A0" w:firstRow="1" w:lastRow="0" w:firstColumn="1" w:lastColumn="0" w:noHBand="0" w:noVBand="1"/>
        <w:tblCaption w:val="Table 22 Results of toxicity across the studies, hepatocellular carcinoma and hepatic metastases, MR-IGRT "/>
        <w:tblDescription w:val="This table provides results of toxicity across studies in hepatocellular carcinoma and hepatic metastases for MR-IGRT."/>
      </w:tblPr>
      <w:tblGrid>
        <w:gridCol w:w="1469"/>
        <w:gridCol w:w="2499"/>
        <w:gridCol w:w="1010"/>
        <w:gridCol w:w="1010"/>
        <w:gridCol w:w="1010"/>
        <w:gridCol w:w="1010"/>
        <w:gridCol w:w="1008"/>
      </w:tblGrid>
      <w:tr w:rsidR="000A603A" w:rsidRPr="00B2301A" w14:paraId="0861934B" w14:textId="6E491993" w:rsidTr="000A603A">
        <w:trPr>
          <w:cnfStyle w:val="100000000000" w:firstRow="1" w:lastRow="0" w:firstColumn="0" w:lastColumn="0" w:oddVBand="0" w:evenVBand="0" w:oddHBand="0" w:evenHBand="0" w:firstRowFirstColumn="0" w:firstRowLastColumn="0" w:lastRowFirstColumn="0" w:lastRowLastColumn="0"/>
          <w:tblHeader/>
        </w:trPr>
        <w:tc>
          <w:tcPr>
            <w:tcW w:w="815" w:type="pct"/>
            <w:tcBorders>
              <w:top w:val="single" w:sz="4" w:space="0" w:color="auto"/>
              <w:left w:val="single" w:sz="4" w:space="0" w:color="auto"/>
              <w:bottom w:val="nil"/>
              <w:right w:val="single" w:sz="4" w:space="0" w:color="auto"/>
            </w:tcBorders>
            <w:shd w:val="clear" w:color="auto" w:fill="auto"/>
          </w:tcPr>
          <w:p w14:paraId="5FB0C1E5" w14:textId="77777777" w:rsidR="000A603A" w:rsidRPr="00B2301A" w:rsidRDefault="000A603A" w:rsidP="000A603A">
            <w:pPr>
              <w:pStyle w:val="TableHeading"/>
              <w:rPr>
                <w:snapToGrid w:val="0"/>
                <w:lang w:eastAsia="en-US"/>
              </w:rPr>
            </w:pPr>
            <w:r w:rsidRPr="00B2301A">
              <w:rPr>
                <w:snapToGrid w:val="0"/>
                <w:lang w:eastAsia="en-US"/>
              </w:rPr>
              <w:t>Study ID</w:t>
            </w:r>
          </w:p>
        </w:tc>
        <w:tc>
          <w:tcPr>
            <w:tcW w:w="1386" w:type="pct"/>
            <w:tcBorders>
              <w:left w:val="single" w:sz="4" w:space="0" w:color="auto"/>
              <w:bottom w:val="single" w:sz="4" w:space="0" w:color="auto"/>
              <w:right w:val="single" w:sz="4" w:space="0" w:color="auto"/>
            </w:tcBorders>
          </w:tcPr>
          <w:p w14:paraId="1B0B682D" w14:textId="34D7E14F" w:rsidR="000A603A" w:rsidRPr="00B2301A" w:rsidRDefault="000A603A" w:rsidP="000A603A">
            <w:pPr>
              <w:pStyle w:val="TableHeading"/>
              <w:jc w:val="center"/>
              <w:rPr>
                <w:snapToGrid w:val="0"/>
                <w:lang w:eastAsia="en-US"/>
              </w:rPr>
            </w:pPr>
            <w:r>
              <w:rPr>
                <w:snapToGrid w:val="0"/>
                <w:lang w:eastAsia="en-US"/>
              </w:rPr>
              <w:t>Toxicity</w:t>
            </w:r>
          </w:p>
        </w:tc>
        <w:tc>
          <w:tcPr>
            <w:tcW w:w="2240" w:type="pct"/>
            <w:gridSpan w:val="4"/>
            <w:tcBorders>
              <w:top w:val="single" w:sz="4" w:space="0" w:color="auto"/>
              <w:left w:val="single" w:sz="4" w:space="0" w:color="auto"/>
              <w:bottom w:val="single" w:sz="4" w:space="0" w:color="auto"/>
              <w:right w:val="nil"/>
            </w:tcBorders>
            <w:shd w:val="clear" w:color="auto" w:fill="auto"/>
          </w:tcPr>
          <w:p w14:paraId="74F0BD2A" w14:textId="5B0DD367" w:rsidR="000A603A" w:rsidRDefault="000A603A" w:rsidP="000A603A">
            <w:pPr>
              <w:pStyle w:val="TableHeading"/>
              <w:jc w:val="center"/>
              <w:rPr>
                <w:snapToGrid w:val="0"/>
                <w:lang w:eastAsia="en-US"/>
              </w:rPr>
            </w:pPr>
            <w:r>
              <w:rPr>
                <w:snapToGrid w:val="0"/>
                <w:lang w:eastAsia="en-US"/>
              </w:rPr>
              <w:t>Acute</w:t>
            </w:r>
          </w:p>
        </w:tc>
        <w:tc>
          <w:tcPr>
            <w:tcW w:w="559" w:type="pct"/>
            <w:tcBorders>
              <w:left w:val="single" w:sz="4" w:space="0" w:color="auto"/>
              <w:bottom w:val="single" w:sz="4" w:space="0" w:color="auto"/>
            </w:tcBorders>
          </w:tcPr>
          <w:p w14:paraId="05670801" w14:textId="6639F389" w:rsidR="000A603A" w:rsidRDefault="000A603A" w:rsidP="000A603A">
            <w:pPr>
              <w:pStyle w:val="TableHeading"/>
              <w:jc w:val="center"/>
              <w:rPr>
                <w:snapToGrid w:val="0"/>
                <w:lang w:eastAsia="en-US"/>
              </w:rPr>
            </w:pPr>
            <w:r>
              <w:rPr>
                <w:snapToGrid w:val="0"/>
                <w:lang w:eastAsia="en-US"/>
              </w:rPr>
              <w:t>Late</w:t>
            </w:r>
          </w:p>
        </w:tc>
      </w:tr>
      <w:tr w:rsidR="00A73F1A" w:rsidRPr="00B2301A" w14:paraId="12D3AD38" w14:textId="77777777" w:rsidTr="00EF1479">
        <w:trPr>
          <w:cnfStyle w:val="100000000000" w:firstRow="1" w:lastRow="0" w:firstColumn="0" w:lastColumn="0" w:oddVBand="0" w:evenVBand="0" w:oddHBand="0" w:evenHBand="0" w:firstRowFirstColumn="0" w:firstRowLastColumn="0" w:lastRowFirstColumn="0" w:lastRowLastColumn="0"/>
          <w:tblHeader/>
        </w:trPr>
        <w:tc>
          <w:tcPr>
            <w:tcW w:w="815" w:type="pct"/>
            <w:tcBorders>
              <w:top w:val="nil"/>
              <w:left w:val="single" w:sz="4" w:space="0" w:color="auto"/>
              <w:bottom w:val="single" w:sz="4" w:space="0" w:color="auto"/>
              <w:right w:val="single" w:sz="4" w:space="0" w:color="auto"/>
            </w:tcBorders>
            <w:shd w:val="clear" w:color="auto" w:fill="auto"/>
          </w:tcPr>
          <w:p w14:paraId="5CB94FDA" w14:textId="77777777" w:rsidR="00A73F1A" w:rsidRPr="00B2301A" w:rsidRDefault="00A73F1A" w:rsidP="000A603A">
            <w:pPr>
              <w:pStyle w:val="TableHeading"/>
              <w:jc w:val="center"/>
              <w:rPr>
                <w:snapToGrid w:val="0"/>
                <w:lang w:eastAsia="en-US"/>
              </w:rPr>
            </w:pPr>
          </w:p>
        </w:tc>
        <w:tc>
          <w:tcPr>
            <w:tcW w:w="1386" w:type="pct"/>
            <w:tcBorders>
              <w:left w:val="single" w:sz="4" w:space="0" w:color="auto"/>
              <w:bottom w:val="single" w:sz="4" w:space="0" w:color="auto"/>
            </w:tcBorders>
          </w:tcPr>
          <w:p w14:paraId="4C395182" w14:textId="4A9993A0" w:rsidR="00A73F1A" w:rsidRDefault="00A73F1A" w:rsidP="000A603A">
            <w:pPr>
              <w:pStyle w:val="TableHeading"/>
              <w:jc w:val="center"/>
              <w:rPr>
                <w:snapToGrid w:val="0"/>
                <w:lang w:eastAsia="en-US"/>
              </w:rPr>
            </w:pPr>
            <w:r>
              <w:rPr>
                <w:snapToGrid w:val="0"/>
                <w:lang w:eastAsia="en-US"/>
              </w:rPr>
              <w:t>Grade</w:t>
            </w:r>
          </w:p>
        </w:tc>
        <w:tc>
          <w:tcPr>
            <w:tcW w:w="560" w:type="pct"/>
            <w:tcBorders>
              <w:top w:val="single" w:sz="4" w:space="0" w:color="auto"/>
              <w:bottom w:val="single" w:sz="4" w:space="0" w:color="auto"/>
            </w:tcBorders>
            <w:shd w:val="clear" w:color="auto" w:fill="auto"/>
          </w:tcPr>
          <w:p w14:paraId="4DF8D6F8" w14:textId="5DA90499" w:rsidR="00A73F1A" w:rsidRDefault="00A73F1A" w:rsidP="000A603A">
            <w:pPr>
              <w:pStyle w:val="TableHeading"/>
              <w:jc w:val="center"/>
              <w:rPr>
                <w:snapToGrid w:val="0"/>
                <w:lang w:eastAsia="en-US"/>
              </w:rPr>
            </w:pPr>
            <w:r>
              <w:rPr>
                <w:snapToGrid w:val="0"/>
                <w:lang w:eastAsia="en-US"/>
              </w:rPr>
              <w:t>0</w:t>
            </w:r>
          </w:p>
        </w:tc>
        <w:tc>
          <w:tcPr>
            <w:tcW w:w="560" w:type="pct"/>
            <w:tcBorders>
              <w:top w:val="single" w:sz="4" w:space="0" w:color="auto"/>
              <w:bottom w:val="single" w:sz="4" w:space="0" w:color="auto"/>
            </w:tcBorders>
          </w:tcPr>
          <w:p w14:paraId="5E5BD3C4" w14:textId="650A2400" w:rsidR="00A73F1A" w:rsidRDefault="00A73F1A" w:rsidP="000A603A">
            <w:pPr>
              <w:pStyle w:val="TableHeading"/>
              <w:jc w:val="center"/>
              <w:rPr>
                <w:snapToGrid w:val="0"/>
                <w:lang w:eastAsia="en-US"/>
              </w:rPr>
            </w:pPr>
            <w:r>
              <w:rPr>
                <w:snapToGrid w:val="0"/>
                <w:lang w:eastAsia="en-US"/>
              </w:rPr>
              <w:t>1</w:t>
            </w:r>
          </w:p>
        </w:tc>
        <w:tc>
          <w:tcPr>
            <w:tcW w:w="560" w:type="pct"/>
            <w:tcBorders>
              <w:top w:val="single" w:sz="4" w:space="0" w:color="auto"/>
              <w:bottom w:val="single" w:sz="4" w:space="0" w:color="auto"/>
            </w:tcBorders>
          </w:tcPr>
          <w:p w14:paraId="03D7E0B8" w14:textId="188FDEE5" w:rsidR="00A73F1A" w:rsidRDefault="00A73F1A" w:rsidP="000A603A">
            <w:pPr>
              <w:pStyle w:val="TableHeading"/>
              <w:jc w:val="center"/>
              <w:rPr>
                <w:snapToGrid w:val="0"/>
                <w:lang w:eastAsia="en-US"/>
              </w:rPr>
            </w:pPr>
            <w:r>
              <w:rPr>
                <w:snapToGrid w:val="0"/>
                <w:lang w:eastAsia="en-US"/>
              </w:rPr>
              <w:t>2</w:t>
            </w:r>
          </w:p>
        </w:tc>
        <w:tc>
          <w:tcPr>
            <w:tcW w:w="560" w:type="pct"/>
            <w:tcBorders>
              <w:top w:val="single" w:sz="4" w:space="0" w:color="auto"/>
              <w:bottom w:val="single" w:sz="4" w:space="0" w:color="auto"/>
            </w:tcBorders>
          </w:tcPr>
          <w:p w14:paraId="0BD4B682" w14:textId="4DCE1EB8" w:rsidR="00A73F1A" w:rsidRDefault="00A73F1A" w:rsidP="000A603A">
            <w:pPr>
              <w:pStyle w:val="TableHeading"/>
              <w:jc w:val="center"/>
              <w:rPr>
                <w:snapToGrid w:val="0"/>
                <w:lang w:eastAsia="en-US"/>
              </w:rPr>
            </w:pPr>
            <w:r>
              <w:rPr>
                <w:snapToGrid w:val="0"/>
                <w:lang w:eastAsia="en-US"/>
              </w:rPr>
              <w:t>3</w:t>
            </w:r>
          </w:p>
        </w:tc>
        <w:tc>
          <w:tcPr>
            <w:tcW w:w="559" w:type="pct"/>
            <w:tcBorders>
              <w:bottom w:val="single" w:sz="4" w:space="0" w:color="auto"/>
            </w:tcBorders>
          </w:tcPr>
          <w:p w14:paraId="693E3712" w14:textId="77777777" w:rsidR="00A73F1A" w:rsidRDefault="00A73F1A" w:rsidP="000A603A">
            <w:pPr>
              <w:pStyle w:val="TableHeading"/>
              <w:jc w:val="center"/>
              <w:rPr>
                <w:snapToGrid w:val="0"/>
                <w:lang w:eastAsia="en-US"/>
              </w:rPr>
            </w:pPr>
          </w:p>
        </w:tc>
      </w:tr>
      <w:tr w:rsidR="00A73F1A" w:rsidRPr="00B2301A" w14:paraId="4A8917FF" w14:textId="5CAABB8B" w:rsidTr="00EF1479">
        <w:tc>
          <w:tcPr>
            <w:tcW w:w="815" w:type="pct"/>
            <w:tcBorders>
              <w:top w:val="single" w:sz="4" w:space="0" w:color="auto"/>
              <w:bottom w:val="nil"/>
            </w:tcBorders>
            <w:shd w:val="clear" w:color="auto" w:fill="auto"/>
          </w:tcPr>
          <w:p w14:paraId="495BBCEE" w14:textId="0708B4C6" w:rsidR="00A73F1A" w:rsidRPr="00A479E1" w:rsidRDefault="00211285" w:rsidP="000A603A">
            <w:pPr>
              <w:pStyle w:val="Tabletext1"/>
              <w:rPr>
                <w:snapToGrid w:val="0"/>
              </w:rPr>
            </w:pPr>
            <w:hyperlink w:anchor="_ENREF_27" w:tooltip="Feldman, 2019 #15" w:history="1">
              <w:r w:rsidR="008B6FC0">
                <w:rPr>
                  <w:snapToGrid w:val="0"/>
                </w:rPr>
                <w:fldChar w:fldCharType="begin"/>
              </w:r>
              <w:r w:rsidR="008B6FC0">
                <w:rPr>
                  <w:snapToGrid w:val="0"/>
                </w:rPr>
                <w:instrText xml:space="preserve"> ADDIN EN.CITE &lt;EndNote&gt;&lt;Cite AuthorYear="1"&gt;&lt;Author&gt;Feldman&lt;/Author&gt;&lt;Year&gt;2019&lt;/Year&gt;&lt;RecNum&gt;15&lt;/RecNum&gt;&lt;DisplayText&gt;Feldman et al. (2019)&lt;/DisplayText&gt;&lt;record&gt;&lt;rec-number&gt;15&lt;/rec-number&gt;&lt;foreign-keys&gt;&lt;key app="EN" db-id="sx5wsdwv795wvue959xxw0ptaewvdezxxp05" timestamp="1604454185"&gt;15&lt;/key&gt;&lt;/foreign-keys&gt;&lt;ref-type name="Journal Article"&gt;17&lt;/ref-type&gt;&lt;contributors&gt;&lt;authors&gt;&lt;author&gt;Feldman, A. M.&lt;/author&gt;&lt;author&gt;Modh, A.&lt;/author&gt;&lt;author&gt;Glide-Hurst, C.&lt;/author&gt;&lt;author&gt;Chetty, I. J.&lt;/author&gt;&lt;author&gt;Movsas, B.&lt;/author&gt;&lt;/authors&gt;&lt;/contributors&gt;&lt;titles&gt;&lt;title&gt;Real-time Magnetic Resonance-guided Liver Stereotactic Body Radiation Therapy: An Institutional Report Using a Magnetic Resonance-Linac System&lt;/title&gt;&lt;secondary-title&gt;Cureus&lt;/secondary-title&gt;&lt;/titles&gt;&lt;pages&gt;e5774&lt;/pages&gt;&lt;volume&gt;11&lt;/volume&gt;&lt;number&gt;9&lt;/number&gt;&lt;dates&gt;&lt;year&gt;2019&lt;/year&gt;&lt;/dates&gt;&lt;accession-num&gt;31723533&lt;/accession-num&gt;&lt;urls&gt;&lt;related-urls&gt;&lt;url&gt;http://ezproxy.library.usyd.edu.au/login?url=http://ovidsp.ovid.com/ovidweb.cgi?T=JS&amp;amp;CSC=Y&amp;amp;NEWS=N&amp;amp;PAGE=fulltext&amp;amp;D=prem3&amp;amp;AN=31723533https://sydney.alma.exlibrisgroup.com/openurl/61USYD_INST/61USYD_INST:sydney?sid=OVID:medline&amp;amp;id=pmid:31723533&amp;amp;id=doi:10.775&lt;/url&gt;&lt;url&gt;https://www.ncbi.nlm.nih.gov/pmc/articles/PMC6825488/pdf/cureus-0011-00000005774.pdf&lt;/url&gt;&lt;/related-urls&gt;&lt;/urls&gt;&lt;custom2&gt;single arm safety SBRT&lt;/custom2&gt;&lt;electronic-resource-num&gt;https://dx.doi.org/10.7759/cureus.5774&lt;/electronic-resource-num&gt;&lt;/record&gt;&lt;/Cite&gt;&lt;/EndNote&gt;</w:instrText>
              </w:r>
              <w:r w:rsidR="008B6FC0">
                <w:rPr>
                  <w:snapToGrid w:val="0"/>
                </w:rPr>
                <w:fldChar w:fldCharType="separate"/>
              </w:r>
              <w:r w:rsidR="008B6FC0">
                <w:rPr>
                  <w:noProof/>
                  <w:snapToGrid w:val="0"/>
                </w:rPr>
                <w:t>Feldman et al. (2019)</w:t>
              </w:r>
              <w:r w:rsidR="008B6FC0">
                <w:rPr>
                  <w:snapToGrid w:val="0"/>
                </w:rPr>
                <w:fldChar w:fldCharType="end"/>
              </w:r>
            </w:hyperlink>
          </w:p>
        </w:tc>
        <w:tc>
          <w:tcPr>
            <w:tcW w:w="1386" w:type="pct"/>
            <w:vAlign w:val="center"/>
          </w:tcPr>
          <w:p w14:paraId="5F6BD8EA" w14:textId="77777777" w:rsidR="00A73F1A" w:rsidRDefault="00A73F1A" w:rsidP="000A603A">
            <w:pPr>
              <w:pStyle w:val="Tabletext1"/>
              <w:jc w:val="center"/>
            </w:pPr>
            <w:r>
              <w:t>Nausea and vomiting</w:t>
            </w:r>
          </w:p>
        </w:tc>
        <w:tc>
          <w:tcPr>
            <w:tcW w:w="560" w:type="pct"/>
            <w:shd w:val="clear" w:color="auto" w:fill="auto"/>
          </w:tcPr>
          <w:p w14:paraId="476D7CC6" w14:textId="38937F58" w:rsidR="00A73F1A" w:rsidRDefault="00A73F1A" w:rsidP="000A603A">
            <w:pPr>
              <w:pStyle w:val="Tabletext1"/>
              <w:jc w:val="center"/>
            </w:pPr>
          </w:p>
        </w:tc>
        <w:tc>
          <w:tcPr>
            <w:tcW w:w="560" w:type="pct"/>
          </w:tcPr>
          <w:p w14:paraId="7E7B95D3" w14:textId="4E97F4D0" w:rsidR="00A73F1A" w:rsidRDefault="00A73F1A" w:rsidP="000A603A">
            <w:pPr>
              <w:pStyle w:val="Tabletext1"/>
              <w:jc w:val="center"/>
            </w:pPr>
            <w:r>
              <w:t>1/20</w:t>
            </w:r>
            <w:r w:rsidR="006776B4">
              <w:t xml:space="preserve"> (5%)</w:t>
            </w:r>
          </w:p>
        </w:tc>
        <w:tc>
          <w:tcPr>
            <w:tcW w:w="560" w:type="pct"/>
          </w:tcPr>
          <w:p w14:paraId="6C050B1C" w14:textId="77777777" w:rsidR="00A73F1A" w:rsidRDefault="00A73F1A" w:rsidP="000A603A">
            <w:pPr>
              <w:pStyle w:val="Tabletext1"/>
              <w:jc w:val="center"/>
            </w:pPr>
          </w:p>
        </w:tc>
        <w:tc>
          <w:tcPr>
            <w:tcW w:w="560" w:type="pct"/>
          </w:tcPr>
          <w:p w14:paraId="5981AF3E" w14:textId="77777777" w:rsidR="00A73F1A" w:rsidRDefault="00A73F1A" w:rsidP="000A603A">
            <w:pPr>
              <w:pStyle w:val="Tabletext1"/>
              <w:jc w:val="center"/>
            </w:pPr>
          </w:p>
        </w:tc>
        <w:tc>
          <w:tcPr>
            <w:tcW w:w="559" w:type="pct"/>
          </w:tcPr>
          <w:p w14:paraId="1CE9B1A5" w14:textId="77777777" w:rsidR="00A73F1A" w:rsidRDefault="00A73F1A" w:rsidP="000A603A">
            <w:pPr>
              <w:pStyle w:val="Tabletext1"/>
              <w:jc w:val="center"/>
            </w:pPr>
          </w:p>
        </w:tc>
      </w:tr>
      <w:tr w:rsidR="00A73F1A" w:rsidRPr="00B2301A" w14:paraId="4BDF6D2B" w14:textId="4C50BADE" w:rsidTr="00EF1479">
        <w:tc>
          <w:tcPr>
            <w:tcW w:w="815" w:type="pct"/>
            <w:tcBorders>
              <w:top w:val="nil"/>
              <w:bottom w:val="single" w:sz="4" w:space="0" w:color="auto"/>
            </w:tcBorders>
            <w:shd w:val="clear" w:color="auto" w:fill="auto"/>
            <w:vAlign w:val="center"/>
          </w:tcPr>
          <w:p w14:paraId="74EC4186" w14:textId="77777777" w:rsidR="00A73F1A" w:rsidRPr="00A479E1" w:rsidRDefault="00A73F1A" w:rsidP="000A603A">
            <w:pPr>
              <w:pStyle w:val="Tabletext1"/>
              <w:rPr>
                <w:b/>
                <w:bCs/>
                <w:snapToGrid w:val="0"/>
              </w:rPr>
            </w:pPr>
          </w:p>
        </w:tc>
        <w:tc>
          <w:tcPr>
            <w:tcW w:w="1386" w:type="pct"/>
            <w:tcBorders>
              <w:bottom w:val="single" w:sz="4" w:space="0" w:color="auto"/>
            </w:tcBorders>
            <w:vAlign w:val="center"/>
          </w:tcPr>
          <w:p w14:paraId="269AB4E2" w14:textId="77777777" w:rsidR="00A73F1A" w:rsidRDefault="00A73F1A" w:rsidP="000A603A">
            <w:pPr>
              <w:pStyle w:val="Tabletext1"/>
              <w:jc w:val="center"/>
            </w:pPr>
            <w:r>
              <w:t>Abdominal pain with bloody diarrhea</w:t>
            </w:r>
          </w:p>
        </w:tc>
        <w:tc>
          <w:tcPr>
            <w:tcW w:w="560" w:type="pct"/>
            <w:tcBorders>
              <w:bottom w:val="single" w:sz="4" w:space="0" w:color="auto"/>
            </w:tcBorders>
            <w:shd w:val="clear" w:color="auto" w:fill="auto"/>
          </w:tcPr>
          <w:p w14:paraId="1819F7AE" w14:textId="1CBF942F" w:rsidR="00A73F1A" w:rsidRDefault="00A73F1A" w:rsidP="000A603A">
            <w:pPr>
              <w:pStyle w:val="Tabletext1"/>
              <w:jc w:val="center"/>
            </w:pPr>
          </w:p>
        </w:tc>
        <w:tc>
          <w:tcPr>
            <w:tcW w:w="560" w:type="pct"/>
            <w:tcBorders>
              <w:bottom w:val="single" w:sz="4" w:space="0" w:color="auto"/>
            </w:tcBorders>
          </w:tcPr>
          <w:p w14:paraId="4E5C2346" w14:textId="4682E7A5" w:rsidR="00A73F1A" w:rsidRDefault="00A73F1A" w:rsidP="000A603A">
            <w:pPr>
              <w:pStyle w:val="Tabletext1"/>
              <w:jc w:val="center"/>
            </w:pPr>
            <w:r>
              <w:t>1/20</w:t>
            </w:r>
            <w:r w:rsidR="006776B4">
              <w:t xml:space="preserve"> (5%)</w:t>
            </w:r>
          </w:p>
        </w:tc>
        <w:tc>
          <w:tcPr>
            <w:tcW w:w="560" w:type="pct"/>
            <w:tcBorders>
              <w:bottom w:val="single" w:sz="4" w:space="0" w:color="auto"/>
            </w:tcBorders>
          </w:tcPr>
          <w:p w14:paraId="3751B5DF" w14:textId="77777777" w:rsidR="00A73F1A" w:rsidRDefault="00A73F1A" w:rsidP="000A603A">
            <w:pPr>
              <w:pStyle w:val="Tabletext1"/>
              <w:jc w:val="center"/>
            </w:pPr>
          </w:p>
        </w:tc>
        <w:tc>
          <w:tcPr>
            <w:tcW w:w="560" w:type="pct"/>
            <w:tcBorders>
              <w:bottom w:val="single" w:sz="4" w:space="0" w:color="auto"/>
            </w:tcBorders>
          </w:tcPr>
          <w:p w14:paraId="557FAE8C" w14:textId="77777777" w:rsidR="00A73F1A" w:rsidRDefault="00A73F1A" w:rsidP="000A603A">
            <w:pPr>
              <w:pStyle w:val="Tabletext1"/>
              <w:jc w:val="center"/>
            </w:pPr>
          </w:p>
        </w:tc>
        <w:tc>
          <w:tcPr>
            <w:tcW w:w="559" w:type="pct"/>
            <w:tcBorders>
              <w:bottom w:val="single" w:sz="4" w:space="0" w:color="auto"/>
            </w:tcBorders>
          </w:tcPr>
          <w:p w14:paraId="501DABC4" w14:textId="77777777" w:rsidR="00A73F1A" w:rsidRDefault="00A73F1A" w:rsidP="000A603A">
            <w:pPr>
              <w:pStyle w:val="Tabletext1"/>
              <w:jc w:val="center"/>
            </w:pPr>
          </w:p>
        </w:tc>
      </w:tr>
      <w:tr w:rsidR="00A73F1A" w:rsidRPr="00B2301A" w14:paraId="697C0AEB" w14:textId="1BE29945" w:rsidTr="00EF1479">
        <w:tc>
          <w:tcPr>
            <w:tcW w:w="815" w:type="pct"/>
            <w:tcBorders>
              <w:top w:val="single" w:sz="4" w:space="0" w:color="auto"/>
              <w:bottom w:val="single" w:sz="4" w:space="0" w:color="auto"/>
            </w:tcBorders>
            <w:shd w:val="clear" w:color="auto" w:fill="auto"/>
          </w:tcPr>
          <w:p w14:paraId="4EDB6FD1" w14:textId="740BCEB7" w:rsidR="00A73F1A" w:rsidRPr="0069412D" w:rsidRDefault="00211285" w:rsidP="000A603A">
            <w:pPr>
              <w:pStyle w:val="Tabletext1"/>
              <w:rPr>
                <w:snapToGrid w:val="0"/>
              </w:rPr>
            </w:pPr>
            <w:hyperlink w:anchor="_ENREF_37" w:tooltip="Henke, 2018 #18" w:history="1">
              <w:r w:rsidR="008B6FC0">
                <w:rPr>
                  <w:snapToGrid w:val="0"/>
                </w:rPr>
                <w:fldChar w:fldCharType="begin"/>
              </w:r>
              <w:r w:rsidR="008B6FC0">
                <w:rPr>
                  <w:snapToGrid w:val="0"/>
                </w:rPr>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rPr>
                  <w:snapToGrid w:val="0"/>
                </w:rPr>
                <w:fldChar w:fldCharType="separate"/>
              </w:r>
              <w:r w:rsidR="008B6FC0">
                <w:rPr>
                  <w:noProof/>
                  <w:snapToGrid w:val="0"/>
                </w:rPr>
                <w:t>Henke et al. (2018)</w:t>
              </w:r>
              <w:r w:rsidR="008B6FC0">
                <w:rPr>
                  <w:snapToGrid w:val="0"/>
                </w:rPr>
                <w:fldChar w:fldCharType="end"/>
              </w:r>
            </w:hyperlink>
          </w:p>
        </w:tc>
        <w:tc>
          <w:tcPr>
            <w:tcW w:w="1386" w:type="pct"/>
            <w:vAlign w:val="center"/>
          </w:tcPr>
          <w:p w14:paraId="535D8BCD" w14:textId="5E326A80" w:rsidR="00A73F1A" w:rsidRDefault="00A73F1A" w:rsidP="000A603A">
            <w:pPr>
              <w:pStyle w:val="Tabletext1"/>
              <w:jc w:val="center"/>
            </w:pPr>
            <w:r>
              <w:t>Toxicity</w:t>
            </w:r>
          </w:p>
        </w:tc>
        <w:tc>
          <w:tcPr>
            <w:tcW w:w="560" w:type="pct"/>
            <w:shd w:val="clear" w:color="auto" w:fill="auto"/>
          </w:tcPr>
          <w:p w14:paraId="46C9205F" w14:textId="388869FD" w:rsidR="00A73F1A" w:rsidRDefault="00A73F1A" w:rsidP="000A603A">
            <w:pPr>
              <w:pStyle w:val="Tabletext1"/>
              <w:jc w:val="center"/>
            </w:pPr>
          </w:p>
        </w:tc>
        <w:tc>
          <w:tcPr>
            <w:tcW w:w="560" w:type="pct"/>
          </w:tcPr>
          <w:p w14:paraId="3775B314" w14:textId="77777777" w:rsidR="00A73F1A" w:rsidRDefault="00A73F1A" w:rsidP="000A603A">
            <w:pPr>
              <w:pStyle w:val="Tabletext1"/>
              <w:jc w:val="center"/>
            </w:pPr>
          </w:p>
        </w:tc>
        <w:tc>
          <w:tcPr>
            <w:tcW w:w="560" w:type="pct"/>
          </w:tcPr>
          <w:p w14:paraId="4C336C0C" w14:textId="26FD86E0" w:rsidR="00A73F1A" w:rsidRDefault="00A73F1A" w:rsidP="000A603A">
            <w:pPr>
              <w:pStyle w:val="Tabletext1"/>
              <w:jc w:val="center"/>
            </w:pPr>
            <w:r>
              <w:t>1/20</w:t>
            </w:r>
            <w:r w:rsidR="006776B4">
              <w:t xml:space="preserve"> (5%)</w:t>
            </w:r>
          </w:p>
        </w:tc>
        <w:tc>
          <w:tcPr>
            <w:tcW w:w="560" w:type="pct"/>
          </w:tcPr>
          <w:p w14:paraId="746EC9E3" w14:textId="7EB259B5" w:rsidR="00A73F1A" w:rsidRDefault="00EB30A3" w:rsidP="000A603A">
            <w:pPr>
              <w:pStyle w:val="Tabletext1"/>
              <w:jc w:val="center"/>
            </w:pPr>
            <w:r>
              <w:t>0/20 (0%)</w:t>
            </w:r>
          </w:p>
        </w:tc>
        <w:tc>
          <w:tcPr>
            <w:tcW w:w="559" w:type="pct"/>
          </w:tcPr>
          <w:p w14:paraId="5F1EAF80" w14:textId="1B288225" w:rsidR="00A73F1A" w:rsidRDefault="00EB30A3" w:rsidP="000A603A">
            <w:pPr>
              <w:pStyle w:val="Tabletext1"/>
              <w:jc w:val="center"/>
            </w:pPr>
            <w:r>
              <w:t>0/20 (0%)</w:t>
            </w:r>
          </w:p>
        </w:tc>
      </w:tr>
      <w:tr w:rsidR="00DF5B1B" w:rsidRPr="00B2301A" w14:paraId="05617EE3" w14:textId="77777777" w:rsidTr="000A3CED">
        <w:tc>
          <w:tcPr>
            <w:tcW w:w="815" w:type="pct"/>
            <w:tcBorders>
              <w:top w:val="single" w:sz="4" w:space="0" w:color="auto"/>
              <w:bottom w:val="single" w:sz="4" w:space="0" w:color="auto"/>
            </w:tcBorders>
            <w:shd w:val="clear" w:color="auto" w:fill="auto"/>
          </w:tcPr>
          <w:p w14:paraId="78EEAE1C" w14:textId="04064AEE" w:rsidR="00DF5B1B" w:rsidRDefault="00211285" w:rsidP="000A603A">
            <w:pPr>
              <w:pStyle w:val="Tabletext1"/>
              <w:rPr>
                <w:snapToGrid w:val="0"/>
              </w:rPr>
            </w:pPr>
            <w:hyperlink w:anchor="_ENREF_61" w:tooltip="Rudra, 2019 #22" w:history="1">
              <w:r w:rsidR="008B6FC0">
                <w:rPr>
                  <w:snapToGrid w:val="0"/>
                </w:rPr>
                <w:fldChar w:fldCharType="begin"/>
              </w:r>
              <w:r w:rsidR="008B6FC0">
                <w:rPr>
                  <w:snapToGrid w:val="0"/>
                </w:rPr>
                <w:instrText xml:space="preserve"> ADDIN EN.CITE &lt;EndNote&gt;&lt;Cite AuthorYear="1"&gt;&lt;Author&gt;Rudra&lt;/Author&gt;&lt;Year&gt;2019&lt;/Year&gt;&lt;RecNum&gt;22&lt;/RecNum&gt;&lt;DisplayText&gt;Rudra et al. (2019)&lt;/DisplayText&gt;&lt;record&gt;&lt;rec-number&gt;22&lt;/rec-number&gt;&lt;foreign-keys&gt;&lt;key app="EN" db-id="sx5wsdwv795wvue959xxw0ptaewvdezxxp05" timestamp="1604454187"&gt;22&lt;/key&gt;&lt;/foreign-keys&gt;&lt;ref-type name="Journal Article"&gt;17&lt;/ref-type&gt;&lt;contributors&gt;&lt;authors&gt;&lt;author&gt;Rudra, S.&lt;/author&gt;&lt;author&gt;Jiang, N.&lt;/author&gt;&lt;author&gt;Rosenberg, S. A.&lt;/author&gt;&lt;author&gt;Olsen, J. R.&lt;/author&gt;&lt;author&gt;Roach, M. C.&lt;/author&gt;&lt;author&gt;Wan, L.&lt;/author&gt;&lt;author&gt;Portelance, L.&lt;/author&gt;&lt;author&gt;Mellon, E. A.&lt;/author&gt;&lt;author&gt;Bruynzeel, A.&lt;/author&gt;&lt;author&gt;Lagerwaard, F.&lt;/author&gt;&lt;author&gt;Bassetti, M. F.&lt;/author&gt;&lt;author&gt;Parikh, P. J.&lt;/author&gt;&lt;author&gt;Lee, P. P.&lt;/author&gt;&lt;/authors&gt;&lt;/contributors&gt;&lt;titles&gt;&lt;title&gt;Using adaptive magnetic resonance image-guided radiation therapy for treatment of inoperable pancreatic cancer&lt;/title&gt;&lt;secondary-title&gt;Cancer Med&lt;/secondary-title&gt;&lt;/titles&gt;&lt;pages&gt;2123-2132&lt;/pages&gt;&lt;volume&gt;8&lt;/volume&gt;&lt;number&gt;5&lt;/number&gt;&lt;dates&gt;&lt;year&gt;2019&lt;/year&gt;&lt;/dates&gt;&lt;accession-num&gt;30932367&lt;/accession-num&gt;&lt;urls&gt;&lt;related-urls&gt;&lt;url&gt;http://ezproxy.library.usyd.edu.au/login?url=http://ovidsp.ovid.com/ovidweb.cgi?T=JS&amp;amp;CSC=Y&amp;amp;NEWS=N&amp;amp;PAGE=fulltext&amp;amp;D=medl&amp;amp;AN=30932367https://sydney.alma.exlibrisgroup.com/openurl/61USYD_INST/61USYD_INST:sydney?sid=OVID:medline&amp;amp;id=pmid:30932367&amp;amp;id=doi:10.1002&lt;/url&gt;&lt;url&gt;https://www.ncbi.nlm.nih.gov/pmc/articles/PMC6536981/pdf/CAM4-8-2123.pdf&lt;/url&gt;&lt;/related-urls&gt;&lt;/urls&gt;&lt;custom2&gt;Include- Single Arm, Safety&lt;/custom2&gt;&lt;electronic-resource-num&gt;https://dx.doi.org/10.1002/cam4.2100&lt;/electronic-resource-num&gt;&lt;/record&gt;&lt;/Cite&gt;&lt;/EndNote&gt;</w:instrText>
              </w:r>
              <w:r w:rsidR="008B6FC0">
                <w:rPr>
                  <w:snapToGrid w:val="0"/>
                </w:rPr>
                <w:fldChar w:fldCharType="separate"/>
              </w:r>
              <w:r w:rsidR="008B6FC0">
                <w:rPr>
                  <w:noProof/>
                  <w:snapToGrid w:val="0"/>
                </w:rPr>
                <w:t>Rudra et al. (2019)</w:t>
              </w:r>
              <w:r w:rsidR="008B6FC0">
                <w:rPr>
                  <w:snapToGrid w:val="0"/>
                </w:rPr>
                <w:fldChar w:fldCharType="end"/>
              </w:r>
            </w:hyperlink>
          </w:p>
        </w:tc>
        <w:tc>
          <w:tcPr>
            <w:tcW w:w="1386" w:type="pct"/>
          </w:tcPr>
          <w:p w14:paraId="779A6274" w14:textId="12D28DA3" w:rsidR="00DF5B1B" w:rsidRDefault="00157EA6" w:rsidP="000A603A">
            <w:pPr>
              <w:pStyle w:val="Tabletext1"/>
              <w:jc w:val="center"/>
            </w:pPr>
            <w:r>
              <w:t>GI, c</w:t>
            </w:r>
            <w:r w:rsidR="00DF5B1B">
              <w:t xml:space="preserve">umulative </w:t>
            </w:r>
            <w:r>
              <w:t>g</w:t>
            </w:r>
            <w:r w:rsidR="00DF5B1B">
              <w:t>rade ≥ 3</w:t>
            </w:r>
          </w:p>
        </w:tc>
        <w:tc>
          <w:tcPr>
            <w:tcW w:w="560" w:type="pct"/>
            <w:shd w:val="clear" w:color="auto" w:fill="auto"/>
          </w:tcPr>
          <w:p w14:paraId="78BFE6C3" w14:textId="77777777" w:rsidR="00DF5B1B" w:rsidRDefault="00DF5B1B" w:rsidP="000A603A">
            <w:pPr>
              <w:pStyle w:val="Tabletext1"/>
              <w:jc w:val="center"/>
            </w:pPr>
          </w:p>
        </w:tc>
        <w:tc>
          <w:tcPr>
            <w:tcW w:w="560" w:type="pct"/>
          </w:tcPr>
          <w:p w14:paraId="7504B2F5" w14:textId="77777777" w:rsidR="00DF5B1B" w:rsidRDefault="00DF5B1B" w:rsidP="000A603A">
            <w:pPr>
              <w:pStyle w:val="Tabletext1"/>
              <w:jc w:val="center"/>
            </w:pPr>
          </w:p>
        </w:tc>
        <w:tc>
          <w:tcPr>
            <w:tcW w:w="560" w:type="pct"/>
          </w:tcPr>
          <w:p w14:paraId="50526567" w14:textId="77777777" w:rsidR="00DF5B1B" w:rsidRDefault="00DF5B1B" w:rsidP="000A603A">
            <w:pPr>
              <w:pStyle w:val="Tabletext1"/>
              <w:jc w:val="center"/>
            </w:pPr>
          </w:p>
        </w:tc>
        <w:tc>
          <w:tcPr>
            <w:tcW w:w="560" w:type="pct"/>
          </w:tcPr>
          <w:p w14:paraId="0408F8C3" w14:textId="7C1595FC" w:rsidR="00DF5B1B" w:rsidRDefault="00DF5B1B" w:rsidP="000A603A">
            <w:pPr>
              <w:pStyle w:val="Tabletext1"/>
              <w:jc w:val="center"/>
            </w:pPr>
            <w:r>
              <w:t>3/44 (7%)</w:t>
            </w:r>
          </w:p>
        </w:tc>
        <w:tc>
          <w:tcPr>
            <w:tcW w:w="559" w:type="pct"/>
          </w:tcPr>
          <w:p w14:paraId="673C0A3C" w14:textId="77777777" w:rsidR="00DF5B1B" w:rsidRDefault="00DF5B1B" w:rsidP="000A603A">
            <w:pPr>
              <w:pStyle w:val="Tabletext1"/>
              <w:jc w:val="center"/>
            </w:pPr>
          </w:p>
        </w:tc>
      </w:tr>
    </w:tbl>
    <w:p w14:paraId="21CAC172" w14:textId="001A2145" w:rsidR="00A73F1A" w:rsidRPr="004C0282" w:rsidRDefault="00EF1479" w:rsidP="00A6675C">
      <w:pPr>
        <w:pStyle w:val="TFAbbrevs18"/>
      </w:pPr>
      <w:r w:rsidRPr="00A6675C">
        <w:t>GI</w:t>
      </w:r>
      <w:r w:rsidR="0077492B">
        <w:t>=</w:t>
      </w:r>
      <w:r w:rsidRPr="00A6675C">
        <w:t>gastrointestinal</w:t>
      </w:r>
    </w:p>
    <w:p w14:paraId="2E15752B" w14:textId="436A8272" w:rsidR="006A6FD9" w:rsidRDefault="00EB6BF9" w:rsidP="006A6FD9">
      <w:bookmarkStart w:id="365" w:name="_Ref55825158"/>
      <w:r>
        <w:t>Seven</w:t>
      </w:r>
      <w:r w:rsidR="006A6FD9">
        <w:t xml:space="preserve"> studies reporting on the toxicity of CBCT-IGRT treatment of hepatocellular carcinoma and other abdominal malignancies (hepatocellular carcinoma, k=2 studies </w:t>
      </w:r>
      <w:r w:rsidR="000C77B0">
        <w:fldChar w:fldCharType="begin">
          <w:fldData xml:space="preserve">PEVuZE5vdGU+PENpdGU+PEF1dGhvcj5LaW08L0F1dGhvcj48WWVhcj4yMDE5PC9ZZWFyPjxSZWNO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</w:fldData>
        </w:fldChar>
      </w:r>
      <w:r w:rsidR="000C77B0">
        <w:instrText xml:space="preserve"> ADDIN EN.CITE </w:instrText>
      </w:r>
      <w:r w:rsidR="000C77B0">
        <w:fldChar w:fldCharType="begin">
          <w:fldData xml:space="preserve">PEVuZE5vdGU+PENpdGU+PEF1dGhvcj5LaW08L0F1dGhvcj48WWVhcj4yMDE5PC9ZZWFyPjxSZWNO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</w:fldData>
        </w:fldChar>
      </w:r>
      <w:r w:rsidR="000C77B0">
        <w:instrText xml:space="preserve"> ADDIN EN.CITE.DATA </w:instrText>
      </w:r>
      <w:r w:rsidR="000C77B0">
        <w:fldChar w:fldCharType="end"/>
      </w:r>
      <w:r w:rsidR="000C77B0">
        <w:fldChar w:fldCharType="separate"/>
      </w:r>
      <w:r w:rsidR="000C77B0">
        <w:rPr>
          <w:noProof/>
        </w:rPr>
        <w:t>(</w:t>
      </w:r>
      <w:hyperlink w:anchor="_ENREF_47" w:tooltip="Kim, 2019 #57" w:history="1">
        <w:r w:rsidR="001F781A">
          <w:rPr>
            <w:noProof/>
          </w:rPr>
          <w:t xml:space="preserve">N. </w:t>
        </w:r>
        <w:r w:rsidR="008B6FC0">
          <w:rPr>
            <w:noProof/>
          </w:rPr>
          <w:t>Kim et al., 2019</w:t>
        </w:r>
      </w:hyperlink>
      <w:r w:rsidR="000C77B0">
        <w:rPr>
          <w:noProof/>
        </w:rPr>
        <w:t xml:space="preserve">; </w:t>
      </w:r>
      <w:hyperlink w:anchor="_ENREF_73" w:tooltip="Valakh, 2018 #74" w:history="1">
        <w:r w:rsidR="008B6FC0">
          <w:rPr>
            <w:noProof/>
          </w:rPr>
          <w:t>Valakh et al., 2018</w:t>
        </w:r>
      </w:hyperlink>
      <w:r w:rsidR="000C77B0">
        <w:rPr>
          <w:noProof/>
        </w:rPr>
        <w:t>)</w:t>
      </w:r>
      <w:r w:rsidR="000C77B0">
        <w:fldChar w:fldCharType="end"/>
      </w:r>
      <w:r w:rsidR="006A6FD9">
        <w:t>; liver metastases, k=</w:t>
      </w:r>
      <w:r>
        <w:t>2</w:t>
      </w:r>
      <w:r w:rsidR="006A6FD9">
        <w:t xml:space="preserve"> studies </w:t>
      </w:r>
      <w:r w:rsidR="000C77B0">
        <w:fldChar w:fldCharType="begin">
          <w:fldData xml:space="preserve">PEVuZE5vdGU+PENpdGU+PEF1dGhvcj5BbWVuZG9sYTwvQXV0aG9yPjxZZWFyPjIwMTc8L1llYXI+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</w:fldData>
        </w:fldChar>
      </w:r>
      <w:r w:rsidR="000C77B0">
        <w:instrText xml:space="preserve"> ADDIN EN.CITE </w:instrText>
      </w:r>
      <w:r w:rsidR="000C77B0">
        <w:fldChar w:fldCharType="begin">
          <w:fldData xml:space="preserve">PEVuZE5vdGU+PENpdGU+PEF1dGhvcj5BbWVuZG9sYTwvQXV0aG9yPjxZZWFyPjIwMTc8L1llYXI+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</w:fldData>
        </w:fldChar>
      </w:r>
      <w:r w:rsidR="000C77B0">
        <w:instrText xml:space="preserve"> ADDIN EN.CITE.DATA </w:instrText>
      </w:r>
      <w:r w:rsidR="000C77B0">
        <w:fldChar w:fldCharType="end"/>
      </w:r>
      <w:r w:rsidR="000C77B0">
        <w:fldChar w:fldCharType="separate"/>
      </w:r>
      <w:r w:rsidR="000C77B0">
        <w:rPr>
          <w:noProof/>
        </w:rPr>
        <w:t>(</w:t>
      </w:r>
      <w:hyperlink w:anchor="_ENREF_2" w:tooltip="Amendola, 2017 #28" w:history="1">
        <w:r w:rsidR="008B6FC0">
          <w:rPr>
            <w:noProof/>
          </w:rPr>
          <w:t>Amendola et al., 2017</w:t>
        </w:r>
      </w:hyperlink>
      <w:r w:rsidR="000C77B0">
        <w:rPr>
          <w:noProof/>
        </w:rPr>
        <w:t xml:space="preserve">; </w:t>
      </w:r>
      <w:hyperlink w:anchor="_ENREF_3" w:tooltip="Andratschke, 2018 #29" w:history="1">
        <w:r w:rsidR="008B6FC0">
          <w:rPr>
            <w:noProof/>
          </w:rPr>
          <w:t>Andratschke et al., 2018</w:t>
        </w:r>
      </w:hyperlink>
      <w:r w:rsidR="000C77B0">
        <w:rPr>
          <w:noProof/>
        </w:rPr>
        <w:t>)</w:t>
      </w:r>
      <w:r w:rsidR="000C77B0">
        <w:fldChar w:fldCharType="end"/>
      </w:r>
      <w:r w:rsidR="006A6FD9" w:rsidRPr="00322F3A">
        <w:t>;</w:t>
      </w:r>
      <w:r w:rsidR="006A6FD9">
        <w:t xml:space="preserve"> pancreatic cancer, k=1 study </w:t>
      </w:r>
      <w:r w:rsidR="000C77B0">
        <w:fldChar w:fldCharType="begin"/>
      </w:r>
      <w:r w:rsidR="000C77B0">
        <w:instrText xml:space="preserve"> ADDIN EN.CITE &lt;EndNote&gt;&lt;Cite&gt;&lt;Author&gt;Mazzola&lt;/Author&gt;&lt;Year&gt;2018&lt;/Year&gt;&lt;RecNum&gt;84&lt;/RecNum&gt;&lt;DisplayText&gt;(Mazzola et al., 2018)&lt;/DisplayText&gt;&lt;record&gt;&lt;rec-number&gt;84&lt;/rec-number&gt;&lt;foreign-keys&gt;&lt;key app="EN" db-id="sx5wsdwv795wvue959xxw0ptaewvdezxxp05" timestamp="1604892944"&gt;84&lt;/key&gt;&lt;/foreign-keys&gt;&lt;ref-type name="Journal Article"&gt;17&lt;/ref-type&gt;&lt;contributors&gt;&lt;authors&gt;&lt;author&gt;Mazzola, R.&lt;/author&gt;&lt;author&gt;Fersino, S.&lt;/author&gt;&lt;author&gt;Aiello, D.&lt;/author&gt;&lt;author&gt;Gregucci, F.&lt;/author&gt;&lt;author&gt;Tebano, U.&lt;/author&gt;&lt;author&gt;Corradini, S.&lt;/author&gt;&lt;author&gt;Di Paola, G.&lt;/author&gt;&lt;author&gt;Cirillo, M.&lt;/author&gt;&lt;author&gt;Tondulli, L.&lt;/author&gt;&lt;author&gt;Ruffo, G.&lt;/author&gt;&lt;author&gt;Ruggieri, R.&lt;/author&gt;&lt;author&gt;Alongi, F.&lt;/author&gt;&lt;/authors&gt;&lt;/contributors&gt;&lt;titles&gt;&lt;title&gt;Linac-based stereotactic body radiation therapy for unresectable locally advanced pancreatic cancer: risk-adapted dose prescription and image-guided delivery&lt;/title&gt;&lt;secondary-title&gt;Strahlenther Onkol&lt;/secondary-title&gt;&lt;/titles&gt;&lt;pages&gt;835-842&lt;/pages&gt;&lt;volume&gt;194&lt;/volume&gt;&lt;number&gt;9&lt;/number&gt;&lt;dates&gt;&lt;year&gt;2018&lt;/year&gt;&lt;/dates&gt;&lt;accession-num&gt;29696321&lt;/accession-num&gt;&lt;urls&gt;&lt;related-urls&gt;&lt;url&gt;http://ezproxy.library.usyd.edu.au/login?url=http://ovidsp.ovid.com/ovidweb.cgi?T=JS&amp;amp;CSC=Y&amp;amp;NEWS=N&amp;amp;PAGE=fulltext&amp;amp;D=med15&amp;amp;AN=29696321https://sydney.alma.exlibrisgroup.com/openurl/61USYD_INST/61USYD_INST:sydney?sid=OVID:medline&amp;amp;id=pmid:29696321&amp;amp;id=doi:10.100&lt;/url&gt;&lt;url&gt;https://link.springer.com/content/pdf/10.1007/s00066-018-1306-2.pdf&lt;/url&gt;&lt;/related-urls&gt;&lt;/urls&gt;&lt;electronic-resource-num&gt;https://dx.doi.org/10.1007/s00066-018-1306-2&lt;/electronic-resource-num&gt;&lt;/record&gt;&lt;/Cite&gt;&lt;/EndNote&gt;</w:instrText>
      </w:r>
      <w:r w:rsidR="000C77B0">
        <w:fldChar w:fldCharType="separate"/>
      </w:r>
      <w:r w:rsidR="000C77B0">
        <w:rPr>
          <w:noProof/>
        </w:rPr>
        <w:t>(</w:t>
      </w:r>
      <w:hyperlink w:anchor="_ENREF_51" w:tooltip="Mazzola, 2018 #84" w:history="1">
        <w:r w:rsidR="008B6FC0">
          <w:rPr>
            <w:noProof/>
          </w:rPr>
          <w:t>Mazzola et al., 2018</w:t>
        </w:r>
      </w:hyperlink>
      <w:r w:rsidR="000C77B0">
        <w:rPr>
          <w:noProof/>
        </w:rPr>
        <w:t>)</w:t>
      </w:r>
      <w:r w:rsidR="000C77B0">
        <w:fldChar w:fldCharType="end"/>
      </w:r>
      <w:r w:rsidR="006A6FD9">
        <w:t xml:space="preserve">; metastases in adrenal glands, k=1 study </w:t>
      </w:r>
      <w:r w:rsidR="000C77B0">
        <w:fldChar w:fldCharType="begin"/>
      </w:r>
      <w:r w:rsidR="000C77B0">
        <w:instrText xml:space="preserve"> ADDIN EN.CITE &lt;EndNote&gt;&lt;Cite&gt;&lt;Author&gt;Voglhuber&lt;/Author&gt;&lt;Year&gt;2020&lt;/Year&gt;&lt;RecNum&gt;80&lt;/RecNum&gt;&lt;DisplayText&gt;(Voglhuber et al., 2020)&lt;/DisplayText&gt;&lt;record&gt;&lt;rec-number&gt;80&lt;/rec-number&gt;&lt;foreign-keys&gt;&lt;key app="EN" db-id="sx5wsdwv795wvue959xxw0ptaewvdezxxp05" timestamp="1604876399"&gt;80&lt;/key&gt;&lt;/foreign-keys&gt;&lt;ref-type name="Journal Article"&gt;17&lt;/ref-type&gt;&lt;contributors&gt;&lt;authors&gt;&lt;author&gt;Voglhuber, T.&lt;/author&gt;&lt;author&gt;Kessel, K. A.&lt;/author&gt;&lt;author&gt;Oechsner, M.&lt;/author&gt;&lt;author&gt;Vogel, M. M. E.&lt;/author&gt;&lt;author&gt;Gschwend, J. E.&lt;/author&gt;&lt;author&gt;Combs, S. E.&lt;/author&gt;&lt;/authors&gt;&lt;/contributors&gt;&lt;titles&gt;&lt;title&gt;Single-institutional outcome-analysis of low-dose stereotactic body radiation therapy (SBRT) of adrenal gland metastases&lt;/title&gt;&lt;secondary-title&gt;BMC Cancer&lt;/secondary-title&gt;&lt;/titles&gt;&lt;volume&gt;20&lt;/volume&gt;&lt;number&gt;1&lt;/number&gt;&lt;dates&gt;&lt;year&gt;2020&lt;/year&gt;&lt;/dates&gt;&lt;accession-num&gt;631990682&lt;/accession-num&gt;&lt;urls&gt;&lt;related-urls&gt;&lt;url&gt;http://www.biomedcentral.com/bmccancer/http://ezproxy.library.usyd.edu.au/login?url=http://ovidsp.ovid.com/ovidweb.cgi?T=JS&amp;amp;CSC=Y&amp;amp;NEWS=N&amp;amp;PAGE=fulltext&amp;amp;D=emexb&amp;amp;AN=631990682https://sydney.alma.exlibrisgroup.com/openurl/61USYD_INST/61USYD_INST:sydney?sid=OVI&lt;/url&gt;&lt;url&gt;https://bmccancer.biomedcentral.com/track/pdf/10.1186/s12885-020-07030-w&lt;/url&gt;&lt;url&gt;https://bmccancer.biomedcentral.com/track/pdf/10.1186/s12885-020-07030-w.pdf&lt;/url&gt;&lt;/related-urls&gt;&lt;/urls&gt;&lt;electronic-resource-num&gt;http://dx.doi.org/10.1186/s12885-020-07030-w&lt;/electronic-resource-num&gt;&lt;/record&gt;&lt;/Cite&gt;&lt;/EndNote&gt;</w:instrText>
      </w:r>
      <w:r w:rsidR="000C77B0">
        <w:fldChar w:fldCharType="separate"/>
      </w:r>
      <w:r w:rsidR="000C77B0">
        <w:rPr>
          <w:noProof/>
        </w:rPr>
        <w:t>(</w:t>
      </w:r>
      <w:hyperlink w:anchor="_ENREF_80" w:tooltip="Voglhuber, 2020 #80" w:history="1">
        <w:r w:rsidR="008B6FC0">
          <w:rPr>
            <w:noProof/>
          </w:rPr>
          <w:t>Voglhuber et al., 2020</w:t>
        </w:r>
      </w:hyperlink>
      <w:r w:rsidR="000C77B0">
        <w:rPr>
          <w:noProof/>
        </w:rPr>
        <w:t>)</w:t>
      </w:r>
      <w:r w:rsidR="000C77B0">
        <w:fldChar w:fldCharType="end"/>
      </w:r>
      <w:r w:rsidR="006A6FD9">
        <w:t xml:space="preserve">; abdominopelvic tumours, k=1 study </w:t>
      </w:r>
      <w:r w:rsidR="000C77B0">
        <w:fldChar w:fldCharType="begin"/>
      </w:r>
      <w:r w:rsidR="000C77B0">
        <w:instrText xml:space="preserve"> ADDIN EN.CITE &lt;EndNote&gt;&lt;Cite&gt;&lt;Author&gt;Barney&lt;/Author&gt;&lt;Year&gt;2012&lt;/Year&gt;&lt;RecNum&gt;31&lt;/RecNum&gt;&lt;DisplayText&gt;(Barney et al., 2012)&lt;/DisplayText&gt;&lt;record&gt;&lt;rec-number&gt;31&lt;/rec-number&gt;&lt;foreign-keys&gt;&lt;key app="EN" db-id="sx5wsdwv795wvue959xxw0ptaewvdezxxp05" timestamp="1604876375"&gt;31&lt;/key&gt;&lt;/foreign-keys&gt;&lt;ref-type name="Journal Article"&gt;17&lt;/ref-type&gt;&lt;contributors&gt;&lt;authors&gt;&lt;author&gt;Barney, B. M.&lt;/author&gt;&lt;author&gt;Olivier, K. R.&lt;/author&gt;&lt;author&gt;Macdonald, O. K.&lt;/author&gt;&lt;author&gt;Fong de Los Santos, L. E.&lt;/author&gt;&lt;author&gt;Miller, R. C.&lt;/author&gt;&lt;author&gt;Haddock, M. G.&lt;/author&gt;&lt;/authors&gt;&lt;/contributors&gt;&lt;titles&gt;&lt;title&gt;Clinical outcomes and dosimetric considerations using stereotactic body radiotherapy for abdominopelvic tumors&lt;/title&gt;&lt;secondary-title&gt;Am J Clin Oncol&lt;/secondary-title&gt;&lt;/titles&gt;&lt;pages&gt;537-42&lt;/pages&gt;&lt;volume&gt;35&lt;/volume&gt;&lt;number&gt;6&lt;/number&gt;&lt;dates&gt;&lt;year&gt;2012&lt;/year&gt;&lt;/dates&gt;&lt;accession-num&gt;21659830&lt;/accession-num&gt;&lt;urls&gt;&lt;related-urls&gt;&lt;url&gt;http://ezproxy.library.usyd.edu.au/login?url=http://ovidsp.ovid.com/ovidweb.cgi?T=JS&amp;amp;CSC=Y&amp;amp;NEWS=N&amp;amp;PAGE=fulltext&amp;amp;D=med9&amp;amp;AN=21659830https://sydney.alma.exlibrisgroup.com/openurl/61USYD_INST/61USYD_INST:sydney?sid=OVID:medline&amp;amp;id=pmid:21659830&amp;amp;id=doi:10.1097&lt;/url&gt;&lt;/related-urls&gt;&lt;/urls&gt;&lt;electronic-resource-num&gt;https://dx.doi.org/10.1097/COC.0b013e31821f876a&lt;/electronic-resource-num&gt;&lt;/record&gt;&lt;/Cite&gt;&lt;/EndNote&gt;</w:instrText>
      </w:r>
      <w:r w:rsidR="000C77B0">
        <w:fldChar w:fldCharType="separate"/>
      </w:r>
      <w:r w:rsidR="000C77B0">
        <w:rPr>
          <w:noProof/>
        </w:rPr>
        <w:t>(</w:t>
      </w:r>
      <w:hyperlink w:anchor="_ENREF_8" w:tooltip="Barney, 2012 #31" w:history="1">
        <w:r w:rsidR="008B6FC0">
          <w:rPr>
            <w:noProof/>
          </w:rPr>
          <w:t>Barney et al., 2012</w:t>
        </w:r>
      </w:hyperlink>
      <w:r w:rsidR="000C77B0">
        <w:rPr>
          <w:noProof/>
        </w:rPr>
        <w:t>)</w:t>
      </w:r>
      <w:r w:rsidR="000C77B0">
        <w:fldChar w:fldCharType="end"/>
      </w:r>
      <w:r w:rsidR="006A6FD9">
        <w:t>) were identified for the naïve comparison. Their outcomes are summarised in</w:t>
      </w:r>
      <w:r w:rsidR="00322F3A">
        <w:t xml:space="preserve"> </w:t>
      </w:r>
      <w:r w:rsidR="0057591C">
        <w:fldChar w:fldCharType="begin"/>
      </w:r>
      <w:r w:rsidR="0057591C">
        <w:instrText xml:space="preserve"> REF _Ref55924736 \h </w:instrText>
      </w:r>
      <w:r w:rsidR="0057591C">
        <w:fldChar w:fldCharType="separate"/>
      </w:r>
      <w:r w:rsidR="00451350" w:rsidRPr="00E86441">
        <w:t xml:space="preserve">Table </w:t>
      </w:r>
      <w:r w:rsidR="00451350">
        <w:rPr>
          <w:noProof/>
        </w:rPr>
        <w:t>23</w:t>
      </w:r>
      <w:r w:rsidR="0057591C">
        <w:fldChar w:fldCharType="end"/>
      </w:r>
      <w:r w:rsidR="006A6FD9">
        <w:t xml:space="preserve">. </w:t>
      </w:r>
    </w:p>
    <w:p w14:paraId="6ADCBC6D" w14:textId="519C1D2B" w:rsidR="004F515B" w:rsidRPr="00183E4D" w:rsidRDefault="004F515B" w:rsidP="00F43CBA">
      <w:pPr>
        <w:pStyle w:val="Caption"/>
        <w:keepNext/>
        <w:keepLines/>
        <w:rPr>
          <w:snapToGrid w:val="0"/>
          <w:lang w:eastAsia="en-US"/>
        </w:rPr>
      </w:pPr>
      <w:bookmarkStart w:id="366" w:name="_Ref55924736"/>
      <w:bookmarkStart w:id="367" w:name="_Toc89857894"/>
      <w:r w:rsidRPr="00E86441">
        <w:lastRenderedPageBreak/>
        <w:t xml:space="preserve">Table </w:t>
      </w:r>
      <w:r w:rsidR="00211285">
        <w:fldChar w:fldCharType="begin"/>
      </w:r>
      <w:r w:rsidR="00211285">
        <w:instrText xml:space="preserve"> SEQ Table \* ARABIC </w:instrText>
      </w:r>
      <w:r w:rsidR="00211285">
        <w:fldChar w:fldCharType="separate"/>
      </w:r>
      <w:r w:rsidR="00451350">
        <w:rPr>
          <w:noProof/>
        </w:rPr>
        <w:t>23</w:t>
      </w:r>
      <w:r w:rsidR="00211285">
        <w:rPr>
          <w:noProof/>
        </w:rPr>
        <w:fldChar w:fldCharType="end"/>
      </w:r>
      <w:bookmarkEnd w:id="365"/>
      <w:bookmarkEnd w:id="366"/>
      <w:r w:rsidRPr="00E86441">
        <w:tab/>
        <w:t>Results</w:t>
      </w:r>
      <w:r w:rsidRPr="00183E4D">
        <w:rPr>
          <w:snapToGrid w:val="0"/>
          <w:lang w:eastAsia="en-US"/>
        </w:rPr>
        <w:t xml:space="preserve"> of </w:t>
      </w:r>
      <w:r>
        <w:rPr>
          <w:snapToGrid w:val="0"/>
          <w:lang w:eastAsia="en-US"/>
        </w:rPr>
        <w:t>toxicity</w:t>
      </w:r>
      <w:r w:rsidRPr="00183E4D">
        <w:rPr>
          <w:snapToGrid w:val="0"/>
          <w:lang w:eastAsia="en-US"/>
        </w:rPr>
        <w:t xml:space="preserve"> across th</w:t>
      </w:r>
      <w:r w:rsidRPr="00846B88">
        <w:rPr>
          <w:snapToGrid w:val="0"/>
          <w:lang w:eastAsia="en-US"/>
        </w:rPr>
        <w:t>e studies</w:t>
      </w:r>
      <w:r>
        <w:rPr>
          <w:snapToGrid w:val="0"/>
          <w:lang w:eastAsia="en-US"/>
        </w:rPr>
        <w:t>, abdominal malignancies, CBCT-IGRT</w:t>
      </w:r>
      <w:bookmarkEnd w:id="367"/>
      <w:r w:rsidRPr="00183E4D">
        <w:rPr>
          <w:snapToGrid w:val="0"/>
          <w:lang w:eastAsia="en-US"/>
        </w:rPr>
        <w:t xml:space="preserve"> </w:t>
      </w:r>
    </w:p>
    <w:tbl>
      <w:tblPr>
        <w:tblStyle w:val="TableGrid1"/>
        <w:tblW w:w="5000" w:type="pct"/>
        <w:tblLayout w:type="fixed"/>
        <w:tblCellMar>
          <w:left w:w="28" w:type="dxa"/>
          <w:right w:w="28" w:type="dxa"/>
        </w:tblCellMar>
        <w:tblLook w:val="04A0" w:firstRow="1" w:lastRow="0" w:firstColumn="1" w:lastColumn="0" w:noHBand="0" w:noVBand="1"/>
        <w:tblCaption w:val="Table 23 Results of toxicity across the studies, abdominal malignancies, CBCT-IGRT "/>
        <w:tblDescription w:val="This table provides results of toxicity across studies in abdominal malignancies for CBCT-IGRT."/>
      </w:tblPr>
      <w:tblGrid>
        <w:gridCol w:w="1130"/>
        <w:gridCol w:w="1428"/>
        <w:gridCol w:w="590"/>
        <w:gridCol w:w="591"/>
        <w:gridCol w:w="590"/>
        <w:gridCol w:w="590"/>
        <w:gridCol w:w="591"/>
        <w:gridCol w:w="590"/>
        <w:gridCol w:w="591"/>
        <w:gridCol w:w="590"/>
        <w:gridCol w:w="590"/>
        <w:gridCol w:w="575"/>
        <w:gridCol w:w="570"/>
      </w:tblGrid>
      <w:tr w:rsidR="00F43CBA" w:rsidRPr="00B2301A" w14:paraId="47856B24" w14:textId="12863C3A" w:rsidTr="00F43CBA">
        <w:trPr>
          <w:cnfStyle w:val="100000000000" w:firstRow="1" w:lastRow="0" w:firstColumn="0" w:lastColumn="0" w:oddVBand="0" w:evenVBand="0" w:oddHBand="0" w:evenHBand="0" w:firstRowFirstColumn="0" w:firstRowLastColumn="0" w:lastRowFirstColumn="0" w:lastRowLastColumn="0"/>
          <w:tblHeader/>
        </w:trPr>
        <w:tc>
          <w:tcPr>
            <w:tcW w:w="627" w:type="pct"/>
            <w:tcBorders>
              <w:top w:val="single" w:sz="4" w:space="0" w:color="auto"/>
              <w:left w:val="single" w:sz="4" w:space="0" w:color="auto"/>
              <w:bottom w:val="nil"/>
              <w:right w:val="single" w:sz="4" w:space="0" w:color="auto"/>
            </w:tcBorders>
            <w:shd w:val="clear" w:color="auto" w:fill="auto"/>
          </w:tcPr>
          <w:p w14:paraId="31359583" w14:textId="77777777" w:rsidR="00F43CBA" w:rsidRPr="00F43CBA" w:rsidRDefault="00F43CBA" w:rsidP="00F43CBA">
            <w:pPr>
              <w:pStyle w:val="Tabletext1"/>
              <w:keepNext/>
              <w:keepLines/>
              <w:rPr>
                <w:b/>
                <w:bCs/>
                <w:snapToGrid w:val="0"/>
                <w:lang w:eastAsia="en-US"/>
              </w:rPr>
            </w:pPr>
            <w:r w:rsidRPr="00F43CBA">
              <w:rPr>
                <w:b/>
                <w:bCs/>
                <w:snapToGrid w:val="0"/>
                <w:lang w:eastAsia="en-US"/>
              </w:rPr>
              <w:t>Study ID</w:t>
            </w:r>
          </w:p>
        </w:tc>
        <w:tc>
          <w:tcPr>
            <w:tcW w:w="792" w:type="pct"/>
            <w:tcBorders>
              <w:left w:val="single" w:sz="4" w:space="0" w:color="auto"/>
              <w:bottom w:val="single" w:sz="4" w:space="0" w:color="auto"/>
              <w:right w:val="single" w:sz="4" w:space="0" w:color="auto"/>
            </w:tcBorders>
          </w:tcPr>
          <w:p w14:paraId="6FB59C6D" w14:textId="77777777" w:rsidR="00F43CBA" w:rsidRPr="00F43CBA" w:rsidRDefault="00F43CBA" w:rsidP="00F43CBA">
            <w:pPr>
              <w:pStyle w:val="Tabletext1"/>
              <w:keepNext/>
              <w:keepLines/>
              <w:jc w:val="center"/>
              <w:rPr>
                <w:b/>
                <w:bCs/>
                <w:snapToGrid w:val="0"/>
                <w:lang w:eastAsia="en-US"/>
              </w:rPr>
            </w:pPr>
            <w:r w:rsidRPr="00F43CBA">
              <w:rPr>
                <w:b/>
                <w:bCs/>
                <w:snapToGrid w:val="0"/>
                <w:lang w:eastAsia="en-US"/>
              </w:rPr>
              <w:t>Toxicity</w:t>
            </w:r>
          </w:p>
        </w:tc>
        <w:tc>
          <w:tcPr>
            <w:tcW w:w="1637" w:type="pct"/>
            <w:gridSpan w:val="5"/>
            <w:tcBorders>
              <w:top w:val="single" w:sz="4" w:space="0" w:color="auto"/>
              <w:left w:val="single" w:sz="4" w:space="0" w:color="auto"/>
              <w:bottom w:val="single" w:sz="4" w:space="0" w:color="auto"/>
              <w:right w:val="single" w:sz="4" w:space="0" w:color="auto"/>
            </w:tcBorders>
          </w:tcPr>
          <w:p w14:paraId="6EC0EF0F" w14:textId="119392E2" w:rsidR="00F43CBA" w:rsidRPr="00F43CBA" w:rsidRDefault="00F43CBA" w:rsidP="00F43CBA">
            <w:pPr>
              <w:pStyle w:val="Tabletext1"/>
              <w:keepNext/>
              <w:keepLines/>
              <w:jc w:val="center"/>
              <w:rPr>
                <w:b/>
                <w:bCs/>
                <w:snapToGrid w:val="0"/>
                <w:lang w:eastAsia="en-US"/>
              </w:rPr>
            </w:pPr>
            <w:r w:rsidRPr="00F43CBA">
              <w:rPr>
                <w:b/>
                <w:bCs/>
                <w:snapToGrid w:val="0"/>
                <w:lang w:eastAsia="en-US"/>
              </w:rPr>
              <w:t>Acute</w:t>
            </w:r>
          </w:p>
        </w:tc>
        <w:tc>
          <w:tcPr>
            <w:tcW w:w="1944" w:type="pct"/>
            <w:gridSpan w:val="6"/>
            <w:tcBorders>
              <w:top w:val="single" w:sz="4" w:space="0" w:color="auto"/>
              <w:left w:val="single" w:sz="4" w:space="0" w:color="auto"/>
              <w:bottom w:val="single" w:sz="4" w:space="0" w:color="auto"/>
              <w:right w:val="single" w:sz="4" w:space="0" w:color="auto"/>
            </w:tcBorders>
          </w:tcPr>
          <w:p w14:paraId="42C14407" w14:textId="78B83EA2" w:rsidR="00F43CBA" w:rsidRPr="00F43CBA" w:rsidRDefault="00F43CBA" w:rsidP="00F43CBA">
            <w:pPr>
              <w:pStyle w:val="Tabletext1"/>
              <w:keepNext/>
              <w:keepLines/>
              <w:jc w:val="center"/>
              <w:rPr>
                <w:b/>
                <w:bCs/>
                <w:snapToGrid w:val="0"/>
                <w:lang w:eastAsia="en-US"/>
              </w:rPr>
            </w:pPr>
            <w:r w:rsidRPr="00F43CBA">
              <w:rPr>
                <w:b/>
                <w:bCs/>
                <w:snapToGrid w:val="0"/>
                <w:lang w:eastAsia="en-US"/>
              </w:rPr>
              <w:t>Late</w:t>
            </w:r>
          </w:p>
        </w:tc>
      </w:tr>
      <w:tr w:rsidR="00962EC7" w:rsidRPr="00B2301A" w14:paraId="0CDA3546" w14:textId="0B5B9AE9" w:rsidTr="00F43CBA">
        <w:trPr>
          <w:cnfStyle w:val="100000000000" w:firstRow="1" w:lastRow="0" w:firstColumn="0" w:lastColumn="0" w:oddVBand="0" w:evenVBand="0" w:oddHBand="0" w:evenHBand="0" w:firstRowFirstColumn="0" w:firstRowLastColumn="0" w:lastRowFirstColumn="0" w:lastRowLastColumn="0"/>
          <w:tblHeader/>
        </w:trPr>
        <w:tc>
          <w:tcPr>
            <w:tcW w:w="627" w:type="pct"/>
            <w:tcBorders>
              <w:top w:val="nil"/>
              <w:left w:val="single" w:sz="4" w:space="0" w:color="auto"/>
              <w:bottom w:val="single" w:sz="4" w:space="0" w:color="auto"/>
              <w:right w:val="single" w:sz="4" w:space="0" w:color="auto"/>
            </w:tcBorders>
            <w:shd w:val="clear" w:color="auto" w:fill="auto"/>
          </w:tcPr>
          <w:p w14:paraId="646C251C" w14:textId="77777777" w:rsidR="00962EC7" w:rsidRPr="00F43CBA" w:rsidRDefault="00962EC7" w:rsidP="00F43CBA">
            <w:pPr>
              <w:pStyle w:val="Tabletext1"/>
              <w:keepNext/>
              <w:keepLines/>
              <w:rPr>
                <w:b/>
                <w:bCs/>
                <w:snapToGrid w:val="0"/>
                <w:lang w:eastAsia="en-US"/>
              </w:rPr>
            </w:pPr>
          </w:p>
        </w:tc>
        <w:tc>
          <w:tcPr>
            <w:tcW w:w="792" w:type="pct"/>
            <w:tcBorders>
              <w:left w:val="single" w:sz="4" w:space="0" w:color="auto"/>
              <w:bottom w:val="single" w:sz="4" w:space="0" w:color="auto"/>
            </w:tcBorders>
          </w:tcPr>
          <w:p w14:paraId="23D885A1"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Grade</w:t>
            </w:r>
          </w:p>
        </w:tc>
        <w:tc>
          <w:tcPr>
            <w:tcW w:w="327" w:type="pct"/>
            <w:tcBorders>
              <w:top w:val="single" w:sz="4" w:space="0" w:color="auto"/>
              <w:bottom w:val="single" w:sz="4" w:space="0" w:color="auto"/>
            </w:tcBorders>
          </w:tcPr>
          <w:p w14:paraId="448B3EE4"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0</w:t>
            </w:r>
          </w:p>
        </w:tc>
        <w:tc>
          <w:tcPr>
            <w:tcW w:w="328" w:type="pct"/>
            <w:tcBorders>
              <w:top w:val="single" w:sz="4" w:space="0" w:color="auto"/>
              <w:bottom w:val="single" w:sz="4" w:space="0" w:color="auto"/>
            </w:tcBorders>
          </w:tcPr>
          <w:p w14:paraId="2CF87CA8"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1</w:t>
            </w:r>
          </w:p>
        </w:tc>
        <w:tc>
          <w:tcPr>
            <w:tcW w:w="327" w:type="pct"/>
            <w:tcBorders>
              <w:top w:val="single" w:sz="4" w:space="0" w:color="auto"/>
              <w:bottom w:val="single" w:sz="4" w:space="0" w:color="auto"/>
            </w:tcBorders>
          </w:tcPr>
          <w:p w14:paraId="53D30BFA"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2</w:t>
            </w:r>
          </w:p>
        </w:tc>
        <w:tc>
          <w:tcPr>
            <w:tcW w:w="327" w:type="pct"/>
            <w:tcBorders>
              <w:top w:val="single" w:sz="4" w:space="0" w:color="auto"/>
              <w:bottom w:val="single" w:sz="4" w:space="0" w:color="auto"/>
            </w:tcBorders>
          </w:tcPr>
          <w:p w14:paraId="627F5294"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3</w:t>
            </w:r>
          </w:p>
        </w:tc>
        <w:tc>
          <w:tcPr>
            <w:tcW w:w="328" w:type="pct"/>
            <w:tcBorders>
              <w:top w:val="single" w:sz="4" w:space="0" w:color="auto"/>
              <w:bottom w:val="single" w:sz="4" w:space="0" w:color="auto"/>
            </w:tcBorders>
          </w:tcPr>
          <w:p w14:paraId="498FF306"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4</w:t>
            </w:r>
          </w:p>
        </w:tc>
        <w:tc>
          <w:tcPr>
            <w:tcW w:w="327" w:type="pct"/>
            <w:tcBorders>
              <w:top w:val="single" w:sz="4" w:space="0" w:color="auto"/>
              <w:bottom w:val="single" w:sz="4" w:space="0" w:color="auto"/>
            </w:tcBorders>
          </w:tcPr>
          <w:p w14:paraId="326AFF4D"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0</w:t>
            </w:r>
          </w:p>
        </w:tc>
        <w:tc>
          <w:tcPr>
            <w:tcW w:w="328" w:type="pct"/>
            <w:tcBorders>
              <w:top w:val="single" w:sz="4" w:space="0" w:color="auto"/>
              <w:bottom w:val="single" w:sz="4" w:space="0" w:color="auto"/>
            </w:tcBorders>
          </w:tcPr>
          <w:p w14:paraId="4DD109CF"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1</w:t>
            </w:r>
          </w:p>
        </w:tc>
        <w:tc>
          <w:tcPr>
            <w:tcW w:w="327" w:type="pct"/>
            <w:tcBorders>
              <w:top w:val="single" w:sz="4" w:space="0" w:color="auto"/>
              <w:bottom w:val="single" w:sz="4" w:space="0" w:color="auto"/>
            </w:tcBorders>
          </w:tcPr>
          <w:p w14:paraId="6772260F" w14:textId="77777777" w:rsidR="00962EC7" w:rsidRPr="00F43CBA" w:rsidRDefault="00962EC7" w:rsidP="00F43CBA">
            <w:pPr>
              <w:pStyle w:val="Tabletext1"/>
              <w:keepNext/>
              <w:keepLines/>
              <w:jc w:val="center"/>
              <w:rPr>
                <w:b/>
                <w:bCs/>
                <w:snapToGrid w:val="0"/>
                <w:lang w:eastAsia="en-US"/>
              </w:rPr>
            </w:pPr>
            <w:r w:rsidRPr="00F43CBA">
              <w:rPr>
                <w:b/>
                <w:bCs/>
                <w:snapToGrid w:val="0"/>
                <w:lang w:eastAsia="en-US"/>
              </w:rPr>
              <w:t>2</w:t>
            </w:r>
          </w:p>
        </w:tc>
        <w:tc>
          <w:tcPr>
            <w:tcW w:w="327" w:type="pct"/>
            <w:tcBorders>
              <w:top w:val="single" w:sz="4" w:space="0" w:color="auto"/>
              <w:bottom w:val="single" w:sz="4" w:space="0" w:color="auto"/>
            </w:tcBorders>
          </w:tcPr>
          <w:p w14:paraId="212B01D1" w14:textId="77777777" w:rsidR="00962EC7" w:rsidRPr="00F43CBA" w:rsidDel="00113519" w:rsidRDefault="00962EC7" w:rsidP="00F43CBA">
            <w:pPr>
              <w:pStyle w:val="Tabletext1"/>
              <w:keepNext/>
              <w:keepLines/>
              <w:jc w:val="center"/>
              <w:rPr>
                <w:b/>
                <w:bCs/>
                <w:snapToGrid w:val="0"/>
                <w:lang w:eastAsia="en-US"/>
              </w:rPr>
            </w:pPr>
            <w:r w:rsidRPr="00F43CBA">
              <w:rPr>
                <w:b/>
                <w:bCs/>
                <w:snapToGrid w:val="0"/>
                <w:lang w:eastAsia="en-US"/>
              </w:rPr>
              <w:t>3</w:t>
            </w:r>
          </w:p>
        </w:tc>
        <w:tc>
          <w:tcPr>
            <w:tcW w:w="319" w:type="pct"/>
            <w:tcBorders>
              <w:top w:val="single" w:sz="4" w:space="0" w:color="auto"/>
              <w:bottom w:val="single" w:sz="4" w:space="0" w:color="auto"/>
            </w:tcBorders>
          </w:tcPr>
          <w:p w14:paraId="09F165C7" w14:textId="77777777" w:rsidR="00962EC7" w:rsidRPr="00F43CBA" w:rsidDel="00113519" w:rsidRDefault="00962EC7" w:rsidP="00F43CBA">
            <w:pPr>
              <w:pStyle w:val="Tabletext1"/>
              <w:keepNext/>
              <w:keepLines/>
              <w:jc w:val="center"/>
              <w:rPr>
                <w:b/>
                <w:bCs/>
                <w:snapToGrid w:val="0"/>
                <w:lang w:eastAsia="en-US"/>
              </w:rPr>
            </w:pPr>
            <w:r w:rsidRPr="00F43CBA">
              <w:rPr>
                <w:b/>
                <w:bCs/>
                <w:snapToGrid w:val="0"/>
                <w:lang w:eastAsia="en-US"/>
              </w:rPr>
              <w:t>4</w:t>
            </w:r>
          </w:p>
        </w:tc>
        <w:tc>
          <w:tcPr>
            <w:tcW w:w="316" w:type="pct"/>
            <w:tcBorders>
              <w:top w:val="single" w:sz="4" w:space="0" w:color="auto"/>
              <w:bottom w:val="single" w:sz="4" w:space="0" w:color="auto"/>
            </w:tcBorders>
          </w:tcPr>
          <w:p w14:paraId="5452925E" w14:textId="48C7BB65" w:rsidR="00962EC7" w:rsidRPr="00F43CBA" w:rsidRDefault="00962EC7" w:rsidP="00F43CBA">
            <w:pPr>
              <w:pStyle w:val="Tabletext1"/>
              <w:keepNext/>
              <w:keepLines/>
              <w:jc w:val="center"/>
              <w:rPr>
                <w:b/>
                <w:bCs/>
                <w:snapToGrid w:val="0"/>
                <w:lang w:eastAsia="en-US"/>
              </w:rPr>
            </w:pPr>
            <w:r w:rsidRPr="00F43CBA">
              <w:rPr>
                <w:b/>
                <w:bCs/>
                <w:snapToGrid w:val="0"/>
                <w:lang w:eastAsia="en-US"/>
              </w:rPr>
              <w:t>5</w:t>
            </w:r>
          </w:p>
        </w:tc>
      </w:tr>
      <w:tr w:rsidR="00962EC7" w:rsidRPr="00B2301A" w14:paraId="7691A61A" w14:textId="7EC6030D" w:rsidTr="00F43CBA">
        <w:tc>
          <w:tcPr>
            <w:tcW w:w="627" w:type="pct"/>
            <w:tcBorders>
              <w:top w:val="single" w:sz="4" w:space="0" w:color="auto"/>
              <w:left w:val="single" w:sz="4" w:space="0" w:color="auto"/>
              <w:bottom w:val="single" w:sz="4" w:space="0" w:color="auto"/>
              <w:right w:val="nil"/>
            </w:tcBorders>
            <w:shd w:val="clear" w:color="auto" w:fill="auto"/>
            <w:vAlign w:val="bottom"/>
          </w:tcPr>
          <w:p w14:paraId="1EDB9153" w14:textId="696F17F9" w:rsidR="00962EC7" w:rsidRPr="004F515B" w:rsidRDefault="008C671A" w:rsidP="00F43CBA">
            <w:pPr>
              <w:pStyle w:val="Tabletext1"/>
              <w:keepNext/>
              <w:keepLines/>
              <w:rPr>
                <w:b/>
                <w:bCs/>
              </w:rPr>
            </w:pPr>
            <w:r>
              <w:rPr>
                <w:b/>
                <w:bCs/>
              </w:rPr>
              <w:t>HCC</w:t>
            </w:r>
          </w:p>
        </w:tc>
        <w:tc>
          <w:tcPr>
            <w:tcW w:w="792" w:type="pct"/>
            <w:tcBorders>
              <w:top w:val="single" w:sz="4" w:space="0" w:color="auto"/>
              <w:left w:val="nil"/>
              <w:bottom w:val="single" w:sz="4" w:space="0" w:color="auto"/>
              <w:right w:val="nil"/>
            </w:tcBorders>
          </w:tcPr>
          <w:p w14:paraId="6862E289" w14:textId="77777777" w:rsidR="00962EC7" w:rsidRPr="004F515B" w:rsidRDefault="00962EC7" w:rsidP="00F43CBA">
            <w:pPr>
              <w:pStyle w:val="Tabletext1"/>
              <w:keepNext/>
              <w:keepLines/>
              <w:jc w:val="center"/>
              <w:rPr>
                <w:b/>
                <w:bCs/>
              </w:rPr>
            </w:pPr>
          </w:p>
        </w:tc>
        <w:tc>
          <w:tcPr>
            <w:tcW w:w="327" w:type="pct"/>
            <w:tcBorders>
              <w:top w:val="single" w:sz="4" w:space="0" w:color="auto"/>
              <w:left w:val="nil"/>
              <w:bottom w:val="single" w:sz="4" w:space="0" w:color="auto"/>
              <w:right w:val="nil"/>
            </w:tcBorders>
          </w:tcPr>
          <w:p w14:paraId="34998341" w14:textId="77777777" w:rsidR="00962EC7" w:rsidRPr="004F515B" w:rsidRDefault="00962EC7" w:rsidP="00F43CBA">
            <w:pPr>
              <w:pStyle w:val="Tabletext1"/>
              <w:keepNext/>
              <w:keepLines/>
              <w:jc w:val="center"/>
              <w:rPr>
                <w:b/>
                <w:bCs/>
              </w:rPr>
            </w:pPr>
          </w:p>
        </w:tc>
        <w:tc>
          <w:tcPr>
            <w:tcW w:w="328" w:type="pct"/>
            <w:tcBorders>
              <w:top w:val="single" w:sz="4" w:space="0" w:color="auto"/>
              <w:left w:val="nil"/>
              <w:bottom w:val="single" w:sz="4" w:space="0" w:color="auto"/>
              <w:right w:val="nil"/>
            </w:tcBorders>
          </w:tcPr>
          <w:p w14:paraId="004D1428" w14:textId="77777777" w:rsidR="00962EC7" w:rsidRPr="004F515B" w:rsidRDefault="00962EC7" w:rsidP="00F43CBA">
            <w:pPr>
              <w:pStyle w:val="Tabletext1"/>
              <w:keepNext/>
              <w:keepLines/>
              <w:jc w:val="center"/>
              <w:rPr>
                <w:b/>
                <w:bCs/>
              </w:rPr>
            </w:pPr>
          </w:p>
        </w:tc>
        <w:tc>
          <w:tcPr>
            <w:tcW w:w="327" w:type="pct"/>
            <w:tcBorders>
              <w:top w:val="single" w:sz="4" w:space="0" w:color="auto"/>
              <w:left w:val="nil"/>
              <w:bottom w:val="single" w:sz="4" w:space="0" w:color="auto"/>
              <w:right w:val="nil"/>
            </w:tcBorders>
          </w:tcPr>
          <w:p w14:paraId="280AF735" w14:textId="77777777" w:rsidR="00962EC7" w:rsidRPr="004F515B" w:rsidRDefault="00962EC7" w:rsidP="00F43CBA">
            <w:pPr>
              <w:pStyle w:val="Tabletext1"/>
              <w:keepNext/>
              <w:keepLines/>
              <w:jc w:val="center"/>
              <w:rPr>
                <w:b/>
                <w:bCs/>
              </w:rPr>
            </w:pPr>
          </w:p>
        </w:tc>
        <w:tc>
          <w:tcPr>
            <w:tcW w:w="327" w:type="pct"/>
            <w:tcBorders>
              <w:top w:val="single" w:sz="4" w:space="0" w:color="auto"/>
              <w:left w:val="nil"/>
              <w:bottom w:val="single" w:sz="4" w:space="0" w:color="auto"/>
              <w:right w:val="nil"/>
            </w:tcBorders>
          </w:tcPr>
          <w:p w14:paraId="47BA7A55" w14:textId="77777777" w:rsidR="00962EC7" w:rsidRPr="004F515B" w:rsidRDefault="00962EC7" w:rsidP="00F43CBA">
            <w:pPr>
              <w:pStyle w:val="Tabletext1"/>
              <w:keepNext/>
              <w:keepLines/>
              <w:jc w:val="center"/>
              <w:rPr>
                <w:b/>
                <w:bCs/>
              </w:rPr>
            </w:pPr>
          </w:p>
        </w:tc>
        <w:tc>
          <w:tcPr>
            <w:tcW w:w="328" w:type="pct"/>
            <w:tcBorders>
              <w:top w:val="single" w:sz="4" w:space="0" w:color="auto"/>
              <w:left w:val="nil"/>
              <w:bottom w:val="single" w:sz="4" w:space="0" w:color="auto"/>
              <w:right w:val="nil"/>
            </w:tcBorders>
          </w:tcPr>
          <w:p w14:paraId="57F3DB14" w14:textId="77777777" w:rsidR="00962EC7" w:rsidRPr="004F515B" w:rsidRDefault="00962EC7" w:rsidP="00F43CBA">
            <w:pPr>
              <w:pStyle w:val="Tabletext1"/>
              <w:keepNext/>
              <w:keepLines/>
              <w:jc w:val="center"/>
              <w:rPr>
                <w:b/>
                <w:bCs/>
              </w:rPr>
            </w:pPr>
          </w:p>
        </w:tc>
        <w:tc>
          <w:tcPr>
            <w:tcW w:w="327" w:type="pct"/>
            <w:tcBorders>
              <w:top w:val="single" w:sz="4" w:space="0" w:color="auto"/>
              <w:left w:val="nil"/>
              <w:bottom w:val="single" w:sz="4" w:space="0" w:color="auto"/>
              <w:right w:val="nil"/>
            </w:tcBorders>
          </w:tcPr>
          <w:p w14:paraId="4128840E" w14:textId="77777777" w:rsidR="00962EC7" w:rsidRPr="004F515B" w:rsidRDefault="00962EC7" w:rsidP="00F43CBA">
            <w:pPr>
              <w:pStyle w:val="Tabletext1"/>
              <w:keepNext/>
              <w:keepLines/>
              <w:jc w:val="center"/>
              <w:rPr>
                <w:b/>
                <w:bCs/>
              </w:rPr>
            </w:pPr>
          </w:p>
        </w:tc>
        <w:tc>
          <w:tcPr>
            <w:tcW w:w="328" w:type="pct"/>
            <w:tcBorders>
              <w:top w:val="single" w:sz="4" w:space="0" w:color="auto"/>
              <w:left w:val="nil"/>
              <w:bottom w:val="single" w:sz="4" w:space="0" w:color="auto"/>
              <w:right w:val="nil"/>
            </w:tcBorders>
          </w:tcPr>
          <w:p w14:paraId="4A5ED53E" w14:textId="77777777" w:rsidR="00962EC7" w:rsidRPr="004F515B" w:rsidRDefault="00962EC7" w:rsidP="00F43CBA">
            <w:pPr>
              <w:pStyle w:val="Tabletext1"/>
              <w:keepNext/>
              <w:keepLines/>
              <w:jc w:val="center"/>
              <w:rPr>
                <w:b/>
                <w:bCs/>
              </w:rPr>
            </w:pPr>
          </w:p>
        </w:tc>
        <w:tc>
          <w:tcPr>
            <w:tcW w:w="327" w:type="pct"/>
            <w:tcBorders>
              <w:top w:val="single" w:sz="4" w:space="0" w:color="auto"/>
              <w:left w:val="nil"/>
              <w:bottom w:val="single" w:sz="4" w:space="0" w:color="auto"/>
              <w:right w:val="nil"/>
            </w:tcBorders>
          </w:tcPr>
          <w:p w14:paraId="3327824B" w14:textId="77777777" w:rsidR="00962EC7" w:rsidRPr="004F515B" w:rsidRDefault="00962EC7" w:rsidP="00F43CBA">
            <w:pPr>
              <w:pStyle w:val="Tabletext1"/>
              <w:keepNext/>
              <w:keepLines/>
              <w:jc w:val="center"/>
              <w:rPr>
                <w:b/>
                <w:bCs/>
              </w:rPr>
            </w:pPr>
          </w:p>
        </w:tc>
        <w:tc>
          <w:tcPr>
            <w:tcW w:w="327" w:type="pct"/>
            <w:tcBorders>
              <w:top w:val="single" w:sz="4" w:space="0" w:color="auto"/>
              <w:left w:val="nil"/>
              <w:bottom w:val="single" w:sz="4" w:space="0" w:color="auto"/>
              <w:right w:val="nil"/>
            </w:tcBorders>
          </w:tcPr>
          <w:p w14:paraId="0DBE37C3" w14:textId="77777777" w:rsidR="00962EC7" w:rsidRPr="004F515B" w:rsidRDefault="00962EC7" w:rsidP="00F43CBA">
            <w:pPr>
              <w:pStyle w:val="Tabletext1"/>
              <w:keepNext/>
              <w:keepLines/>
              <w:jc w:val="center"/>
              <w:rPr>
                <w:b/>
                <w:bCs/>
              </w:rPr>
            </w:pPr>
          </w:p>
        </w:tc>
        <w:tc>
          <w:tcPr>
            <w:tcW w:w="319" w:type="pct"/>
            <w:tcBorders>
              <w:top w:val="single" w:sz="4" w:space="0" w:color="auto"/>
              <w:left w:val="nil"/>
              <w:bottom w:val="single" w:sz="4" w:space="0" w:color="auto"/>
              <w:right w:val="nil"/>
            </w:tcBorders>
          </w:tcPr>
          <w:p w14:paraId="556DF660" w14:textId="77777777" w:rsidR="00962EC7" w:rsidRPr="004F515B" w:rsidRDefault="00962EC7" w:rsidP="00F43CBA">
            <w:pPr>
              <w:pStyle w:val="Tabletext1"/>
              <w:keepNext/>
              <w:keepLines/>
              <w:jc w:val="center"/>
              <w:rPr>
                <w:b/>
                <w:bCs/>
              </w:rPr>
            </w:pPr>
          </w:p>
        </w:tc>
        <w:tc>
          <w:tcPr>
            <w:tcW w:w="316" w:type="pct"/>
            <w:tcBorders>
              <w:top w:val="single" w:sz="4" w:space="0" w:color="auto"/>
              <w:left w:val="nil"/>
              <w:bottom w:val="single" w:sz="4" w:space="0" w:color="auto"/>
              <w:right w:val="single" w:sz="4" w:space="0" w:color="auto"/>
            </w:tcBorders>
          </w:tcPr>
          <w:p w14:paraId="0D7000F0" w14:textId="77777777" w:rsidR="00962EC7" w:rsidRPr="004F515B" w:rsidRDefault="00962EC7" w:rsidP="00F43CBA">
            <w:pPr>
              <w:pStyle w:val="Tabletext1"/>
              <w:keepNext/>
              <w:keepLines/>
              <w:jc w:val="center"/>
              <w:rPr>
                <w:b/>
                <w:bCs/>
              </w:rPr>
            </w:pPr>
          </w:p>
        </w:tc>
      </w:tr>
      <w:tr w:rsidR="00F43CBA" w:rsidRPr="00B2301A" w14:paraId="76888858" w14:textId="1CE0AA5E" w:rsidTr="0088569E">
        <w:tc>
          <w:tcPr>
            <w:tcW w:w="627" w:type="pct"/>
            <w:vMerge w:val="restart"/>
            <w:tcBorders>
              <w:top w:val="single" w:sz="4" w:space="0" w:color="auto"/>
              <w:left w:val="single" w:sz="4" w:space="0" w:color="auto"/>
              <w:right w:val="single" w:sz="4" w:space="0" w:color="auto"/>
            </w:tcBorders>
            <w:shd w:val="clear" w:color="auto" w:fill="auto"/>
            <w:vAlign w:val="bottom"/>
          </w:tcPr>
          <w:p w14:paraId="2B60EBFB" w14:textId="681B3158" w:rsidR="00F43CBA" w:rsidRDefault="00211285" w:rsidP="00F43CBA">
            <w:pPr>
              <w:pStyle w:val="Tabletext1"/>
              <w:keepNext/>
              <w:keepLines/>
              <w:rPr>
                <w:rFonts w:cs="Calibri"/>
                <w:color w:val="000000"/>
              </w:rPr>
            </w:pPr>
            <w:hyperlink w:anchor="_ENREF_47" w:tooltip="Kim, 2019 #57" w:history="1">
              <w:r w:rsidR="001F781A">
                <w:fldChar w:fldCharType="begin"/>
              </w:r>
              <w:r w:rsidR="001F781A">
                <w:instrText xml:space="preserve"> ADDIN EN.CITE &lt;EndNote&gt;&lt;Cite AuthorYear="1"&gt;&lt;Author&gt;Kim&lt;/Author&gt;&lt;Year&gt;2019&lt;/Year&gt;&lt;RecNum&gt;57&lt;/RecNum&gt;&lt;DisplayText&gt;N. Kim et al. (2019)&lt;/DisplayText&gt;&lt;record&gt;&lt;rec-number&gt;57&lt;/rec-number&gt;&lt;foreign-keys&gt;&lt;key app="EN" db-id="sx5wsdwv795wvue959xxw0ptaewvdezxxp05" timestamp="1604876396"&gt;57&lt;/key&gt;&lt;/foreign-keys&gt;&lt;ref-type name="Journal Article"&gt;17&lt;/ref-type&gt;&lt;contributors&gt;&lt;authors&gt;&lt;author&gt;Kim, N.&lt;/author&gt;&lt;author&gt;Kim, H. J.&lt;/author&gt;&lt;author&gt;Won, J. Y.&lt;/author&gt;&lt;author&gt;Kim, D. Y.&lt;/author&gt;&lt;author&gt;Han, K. H.&lt;/author&gt;&lt;author&gt;Jung, I.&lt;/author&gt;&lt;author&gt;Seong, J.&lt;/author&gt;&lt;/authors&gt;&lt;/contributors&gt;&lt;titles&gt;&lt;title&gt;Retrospective analysis of stereotactic body radiation therapy efficacy over radiofrequency ablation for hepatocellular carcinoma&lt;/title&gt;&lt;secondary-title&gt;Radiotherapy and Oncology&lt;/secondary-title&gt;&lt;/titles&gt;&lt;pages&gt;81-87&lt;/pages&gt;&lt;volume&gt;131&lt;/volume&gt;&lt;dates&gt;&lt;year&gt;2019&lt;/year&gt;&lt;/dates&gt;&lt;accession-num&gt;2001419407&lt;/accession-num&gt;&lt;urls&gt;&lt;related-urls&gt;&lt;url&gt;http://www.elsevier.com/locate/radonchttp://ezproxy.library.usyd.edu.au/login?url=http://ovidsp.ovid.com/ovidweb.cgi?T=JS&amp;amp;CSC=Y&amp;amp;NEWS=N&amp;amp;PAGE=fulltext&amp;amp;D=emexa&amp;amp;AN=2001419407https://sydney.alma.exlibrisgroup.com/openurl/61USYD_INST/61USYD_INST:sydney?sid=OVID&lt;/url&gt;&lt;/related-urls&gt;&lt;/urls&gt;&lt;custom2&gt;liver, FFLP, toxicity&lt;/custom2&gt;&lt;electronic-resource-num&gt;http://dx.doi.org/10.1016/j.radonc.2018.12.013&lt;/electronic-resource-num&gt;&lt;/record&gt;&lt;/Cite&gt;&lt;/EndNote&gt;</w:instrText>
              </w:r>
              <w:r w:rsidR="001F781A">
                <w:fldChar w:fldCharType="separate"/>
              </w:r>
              <w:r w:rsidR="001F781A">
                <w:rPr>
                  <w:noProof/>
                </w:rPr>
                <w:t>N. Kim et al. (2019)</w:t>
              </w:r>
              <w:r w:rsidR="001F781A">
                <w:fldChar w:fldCharType="end"/>
              </w:r>
            </w:hyperlink>
          </w:p>
        </w:tc>
        <w:tc>
          <w:tcPr>
            <w:tcW w:w="792" w:type="pct"/>
            <w:tcBorders>
              <w:top w:val="single" w:sz="4" w:space="0" w:color="auto"/>
              <w:left w:val="single" w:sz="4" w:space="0" w:color="auto"/>
              <w:bottom w:val="single" w:sz="4" w:space="0" w:color="auto"/>
              <w:right w:val="single" w:sz="4" w:space="0" w:color="auto"/>
            </w:tcBorders>
          </w:tcPr>
          <w:p w14:paraId="4049D161" w14:textId="0B26C6AF" w:rsidR="00F43CBA" w:rsidRPr="003C414F" w:rsidRDefault="00F43CBA" w:rsidP="00F43CBA">
            <w:pPr>
              <w:pStyle w:val="Tabletext1"/>
              <w:keepNext/>
              <w:keepLines/>
              <w:jc w:val="center"/>
            </w:pPr>
            <w:r>
              <w:t>RILD (no grade)</w:t>
            </w:r>
          </w:p>
        </w:tc>
        <w:tc>
          <w:tcPr>
            <w:tcW w:w="327" w:type="pct"/>
            <w:tcBorders>
              <w:top w:val="single" w:sz="4" w:space="0" w:color="auto"/>
              <w:left w:val="single" w:sz="4" w:space="0" w:color="auto"/>
              <w:bottom w:val="single" w:sz="4" w:space="0" w:color="auto"/>
              <w:right w:val="single" w:sz="4" w:space="0" w:color="auto"/>
            </w:tcBorders>
          </w:tcPr>
          <w:p w14:paraId="6AF23DDE" w14:textId="77777777" w:rsidR="00F43CBA" w:rsidRPr="003C414F"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6A3C605D" w14:textId="255EEF3A" w:rsidR="00F43CBA" w:rsidRPr="003C414F" w:rsidRDefault="00F43CBA"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949AD39" w14:textId="77777777" w:rsidR="00F43CBA" w:rsidRPr="003C414F" w:rsidRDefault="00F43CBA"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A872A98" w14:textId="77777777" w:rsidR="00F43CBA" w:rsidRPr="003C414F"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E79B63F" w14:textId="77777777" w:rsidR="00F43CBA" w:rsidRPr="003C414F" w:rsidRDefault="00F43CBA" w:rsidP="00F43CBA">
            <w:pPr>
              <w:pStyle w:val="Tabletext1"/>
              <w:keepNext/>
              <w:keepLines/>
              <w:jc w:val="center"/>
            </w:pPr>
          </w:p>
        </w:tc>
        <w:tc>
          <w:tcPr>
            <w:tcW w:w="1944" w:type="pct"/>
            <w:gridSpan w:val="6"/>
            <w:tcBorders>
              <w:top w:val="single" w:sz="4" w:space="0" w:color="auto"/>
              <w:left w:val="single" w:sz="4" w:space="0" w:color="auto"/>
              <w:bottom w:val="single" w:sz="4" w:space="0" w:color="auto"/>
              <w:right w:val="single" w:sz="4" w:space="0" w:color="auto"/>
            </w:tcBorders>
          </w:tcPr>
          <w:p w14:paraId="71F48DF2" w14:textId="5AB14EDE" w:rsidR="00F43CBA" w:rsidRPr="003C414F" w:rsidRDefault="00F43CBA" w:rsidP="00F43CBA">
            <w:pPr>
              <w:pStyle w:val="Tabletext1"/>
              <w:keepNext/>
              <w:keepLines/>
              <w:jc w:val="center"/>
            </w:pPr>
            <w:r>
              <w:t>7/105 (7%)</w:t>
            </w:r>
          </w:p>
        </w:tc>
      </w:tr>
      <w:tr w:rsidR="00F43CBA" w:rsidRPr="00B2301A" w14:paraId="7DDACA32" w14:textId="4DF666CA" w:rsidTr="0088569E">
        <w:tc>
          <w:tcPr>
            <w:tcW w:w="627" w:type="pct"/>
            <w:vMerge/>
            <w:tcBorders>
              <w:left w:val="single" w:sz="4" w:space="0" w:color="auto"/>
              <w:bottom w:val="nil"/>
              <w:right w:val="single" w:sz="4" w:space="0" w:color="auto"/>
            </w:tcBorders>
            <w:shd w:val="clear" w:color="auto" w:fill="auto"/>
            <w:vAlign w:val="bottom"/>
          </w:tcPr>
          <w:p w14:paraId="1C0B5532" w14:textId="77777777" w:rsidR="00F43CBA" w:rsidRPr="003C414F" w:rsidRDefault="00F43CBA"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79D02239" w14:textId="3296430E" w:rsidR="00F43CBA" w:rsidRPr="003C414F" w:rsidRDefault="00F43CBA" w:rsidP="00F43CBA">
            <w:pPr>
              <w:pStyle w:val="Tabletext1"/>
              <w:keepNext/>
              <w:keepLines/>
              <w:jc w:val="center"/>
            </w:pPr>
            <w:r>
              <w:t>Fatigue</w:t>
            </w:r>
          </w:p>
        </w:tc>
        <w:tc>
          <w:tcPr>
            <w:tcW w:w="327" w:type="pct"/>
            <w:tcBorders>
              <w:top w:val="single" w:sz="4" w:space="0" w:color="auto"/>
              <w:left w:val="single" w:sz="4" w:space="0" w:color="auto"/>
              <w:bottom w:val="single" w:sz="4" w:space="0" w:color="auto"/>
              <w:right w:val="single" w:sz="4" w:space="0" w:color="auto"/>
            </w:tcBorders>
          </w:tcPr>
          <w:p w14:paraId="40BDD45A" w14:textId="7F2CF504" w:rsidR="00F43CBA" w:rsidRPr="003C414F"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4D884D0C" w14:textId="7A7E27A9" w:rsidR="00F43CBA" w:rsidRPr="003C414F" w:rsidRDefault="00F43CBA" w:rsidP="00F43CBA">
            <w:pPr>
              <w:pStyle w:val="Tabletext1"/>
              <w:keepNext/>
              <w:keepLines/>
              <w:jc w:val="center"/>
            </w:pPr>
            <w:r>
              <w:t>5/105 (5%)</w:t>
            </w:r>
          </w:p>
        </w:tc>
        <w:tc>
          <w:tcPr>
            <w:tcW w:w="327" w:type="pct"/>
            <w:tcBorders>
              <w:top w:val="single" w:sz="4" w:space="0" w:color="auto"/>
              <w:left w:val="single" w:sz="4" w:space="0" w:color="auto"/>
              <w:bottom w:val="single" w:sz="4" w:space="0" w:color="auto"/>
              <w:right w:val="single" w:sz="4" w:space="0" w:color="auto"/>
            </w:tcBorders>
          </w:tcPr>
          <w:p w14:paraId="0100A2B9" w14:textId="12C6337C" w:rsidR="00F43CBA" w:rsidRPr="003C414F" w:rsidRDefault="00F43CBA" w:rsidP="00F43CBA">
            <w:pPr>
              <w:pStyle w:val="Tabletext1"/>
              <w:keepNext/>
              <w:keepLines/>
              <w:jc w:val="center"/>
            </w:pPr>
            <w:r>
              <w:t>2/105 (2%)</w:t>
            </w:r>
          </w:p>
        </w:tc>
        <w:tc>
          <w:tcPr>
            <w:tcW w:w="327" w:type="pct"/>
            <w:tcBorders>
              <w:top w:val="single" w:sz="4" w:space="0" w:color="auto"/>
              <w:left w:val="single" w:sz="4" w:space="0" w:color="auto"/>
              <w:bottom w:val="single" w:sz="4" w:space="0" w:color="auto"/>
              <w:right w:val="single" w:sz="4" w:space="0" w:color="auto"/>
            </w:tcBorders>
          </w:tcPr>
          <w:p w14:paraId="106F5320" w14:textId="0A876B9B" w:rsidR="00F43CBA" w:rsidRPr="003C414F"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9D4A3C8" w14:textId="26C9106A" w:rsidR="00F43CBA" w:rsidRPr="003C414F" w:rsidRDefault="00F43CBA"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D9BF4A2" w14:textId="48B36F7E" w:rsidR="00F43CBA" w:rsidRPr="003C414F"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30492D4" w14:textId="68AC9EC1" w:rsidR="00F43CBA" w:rsidRPr="003C414F" w:rsidRDefault="00F43CBA" w:rsidP="00F43CBA">
            <w:pPr>
              <w:pStyle w:val="Tabletext1"/>
              <w:keepNext/>
              <w:keepLines/>
              <w:jc w:val="center"/>
            </w:pPr>
            <w:r>
              <w:t>4/105 (4%)</w:t>
            </w:r>
          </w:p>
        </w:tc>
        <w:tc>
          <w:tcPr>
            <w:tcW w:w="327" w:type="pct"/>
            <w:tcBorders>
              <w:top w:val="single" w:sz="4" w:space="0" w:color="auto"/>
              <w:left w:val="single" w:sz="4" w:space="0" w:color="auto"/>
              <w:bottom w:val="single" w:sz="4" w:space="0" w:color="auto"/>
              <w:right w:val="single" w:sz="4" w:space="0" w:color="auto"/>
            </w:tcBorders>
          </w:tcPr>
          <w:p w14:paraId="5181920A" w14:textId="2F487BA0" w:rsidR="00F43CBA" w:rsidRPr="003C414F" w:rsidRDefault="00F43CBA" w:rsidP="00F43CBA">
            <w:pPr>
              <w:pStyle w:val="Tabletext1"/>
              <w:keepNext/>
              <w:keepLines/>
              <w:jc w:val="center"/>
            </w:pPr>
            <w:r>
              <w:t>1/105 (1%)</w:t>
            </w:r>
          </w:p>
        </w:tc>
        <w:tc>
          <w:tcPr>
            <w:tcW w:w="327" w:type="pct"/>
            <w:tcBorders>
              <w:top w:val="single" w:sz="4" w:space="0" w:color="auto"/>
              <w:left w:val="single" w:sz="4" w:space="0" w:color="auto"/>
              <w:bottom w:val="single" w:sz="4" w:space="0" w:color="auto"/>
              <w:right w:val="single" w:sz="4" w:space="0" w:color="auto"/>
            </w:tcBorders>
          </w:tcPr>
          <w:p w14:paraId="72CC629B" w14:textId="5B495910" w:rsidR="00F43CBA" w:rsidRPr="003C414F" w:rsidRDefault="00F43CBA"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25EFDC15" w14:textId="15E05C80" w:rsidR="00F43CBA" w:rsidRPr="003C414F" w:rsidRDefault="00F43CBA"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00D22030" w14:textId="77777777" w:rsidR="00F43CBA" w:rsidRPr="003C414F" w:rsidRDefault="00F43CBA" w:rsidP="00F43CBA">
            <w:pPr>
              <w:pStyle w:val="Tabletext1"/>
              <w:keepNext/>
              <w:keepLines/>
              <w:jc w:val="center"/>
            </w:pPr>
          </w:p>
        </w:tc>
      </w:tr>
      <w:tr w:rsidR="00962EC7" w:rsidRPr="00B2301A" w14:paraId="67A72E3E" w14:textId="18298BE2" w:rsidTr="00F43CBA">
        <w:tc>
          <w:tcPr>
            <w:tcW w:w="627" w:type="pct"/>
            <w:tcBorders>
              <w:top w:val="nil"/>
              <w:left w:val="single" w:sz="4" w:space="0" w:color="auto"/>
              <w:bottom w:val="nil"/>
              <w:right w:val="single" w:sz="4" w:space="0" w:color="auto"/>
            </w:tcBorders>
            <w:shd w:val="clear" w:color="auto" w:fill="auto"/>
            <w:vAlign w:val="bottom"/>
          </w:tcPr>
          <w:p w14:paraId="4D8BE5B0" w14:textId="4AFADFD5" w:rsidR="00962EC7" w:rsidRPr="002B629F"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0AF75ECB" w14:textId="52923DEA" w:rsidR="00962EC7" w:rsidRPr="002B629F" w:rsidRDefault="00962EC7" w:rsidP="00F43CBA">
            <w:pPr>
              <w:pStyle w:val="Tabletext1"/>
              <w:keepNext/>
              <w:keepLines/>
              <w:jc w:val="center"/>
            </w:pPr>
            <w:r>
              <w:t>Nausea</w:t>
            </w:r>
          </w:p>
        </w:tc>
        <w:tc>
          <w:tcPr>
            <w:tcW w:w="327" w:type="pct"/>
            <w:tcBorders>
              <w:top w:val="single" w:sz="4" w:space="0" w:color="auto"/>
              <w:left w:val="single" w:sz="4" w:space="0" w:color="auto"/>
              <w:bottom w:val="single" w:sz="4" w:space="0" w:color="auto"/>
              <w:right w:val="single" w:sz="4" w:space="0" w:color="auto"/>
            </w:tcBorders>
          </w:tcPr>
          <w:p w14:paraId="4EFC3AA8" w14:textId="7C6B9A3F"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D631F9D" w14:textId="575149CD" w:rsidR="00962EC7" w:rsidRDefault="00962EC7" w:rsidP="00F43CBA">
            <w:pPr>
              <w:pStyle w:val="Tabletext1"/>
              <w:keepNext/>
              <w:keepLines/>
              <w:jc w:val="center"/>
            </w:pPr>
            <w:r>
              <w:t>10/105 (</w:t>
            </w:r>
            <w:r w:rsidR="00124D73">
              <w:t>10</w:t>
            </w:r>
            <w:r>
              <w:t>%)</w:t>
            </w:r>
          </w:p>
        </w:tc>
        <w:tc>
          <w:tcPr>
            <w:tcW w:w="327" w:type="pct"/>
            <w:tcBorders>
              <w:top w:val="single" w:sz="4" w:space="0" w:color="auto"/>
              <w:left w:val="single" w:sz="4" w:space="0" w:color="auto"/>
              <w:bottom w:val="single" w:sz="4" w:space="0" w:color="auto"/>
              <w:right w:val="single" w:sz="4" w:space="0" w:color="auto"/>
            </w:tcBorders>
          </w:tcPr>
          <w:p w14:paraId="1EC0A90C" w14:textId="1F8DE0EF" w:rsidR="00962EC7"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6021F11F"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12C2235"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65290CF7"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2E34508"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3DC33ED"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1C0D3DB"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5D8C3A58"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0CE82AA8" w14:textId="77777777" w:rsidR="00962EC7" w:rsidRDefault="00962EC7" w:rsidP="00F43CBA">
            <w:pPr>
              <w:pStyle w:val="Tabletext1"/>
              <w:keepNext/>
              <w:keepLines/>
              <w:jc w:val="center"/>
            </w:pPr>
          </w:p>
        </w:tc>
      </w:tr>
      <w:tr w:rsidR="00962EC7" w:rsidRPr="00B2301A" w14:paraId="3803B208" w14:textId="41B92DEF" w:rsidTr="00F43CBA">
        <w:tc>
          <w:tcPr>
            <w:tcW w:w="627" w:type="pct"/>
            <w:tcBorders>
              <w:top w:val="nil"/>
              <w:left w:val="single" w:sz="4" w:space="0" w:color="auto"/>
              <w:bottom w:val="nil"/>
              <w:right w:val="single" w:sz="4" w:space="0" w:color="auto"/>
            </w:tcBorders>
            <w:shd w:val="clear" w:color="auto" w:fill="auto"/>
            <w:vAlign w:val="bottom"/>
          </w:tcPr>
          <w:p w14:paraId="13A5DD10"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5D1E6ECD" w14:textId="729BA2D2" w:rsidR="00962EC7" w:rsidRDefault="00962EC7" w:rsidP="00F43CBA">
            <w:pPr>
              <w:pStyle w:val="Tabletext1"/>
              <w:keepNext/>
              <w:keepLines/>
              <w:jc w:val="center"/>
            </w:pPr>
            <w:r>
              <w:t>Anorexia</w:t>
            </w:r>
          </w:p>
        </w:tc>
        <w:tc>
          <w:tcPr>
            <w:tcW w:w="327" w:type="pct"/>
            <w:tcBorders>
              <w:top w:val="single" w:sz="4" w:space="0" w:color="auto"/>
              <w:left w:val="single" w:sz="4" w:space="0" w:color="auto"/>
              <w:bottom w:val="single" w:sz="4" w:space="0" w:color="auto"/>
              <w:right w:val="single" w:sz="4" w:space="0" w:color="auto"/>
            </w:tcBorders>
          </w:tcPr>
          <w:p w14:paraId="738D8CF4" w14:textId="2519D8E3"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8656EB8" w14:textId="4628C66B" w:rsidR="00962EC7" w:rsidRDefault="00962EC7" w:rsidP="00F43CBA">
            <w:pPr>
              <w:pStyle w:val="Tabletext1"/>
              <w:keepNext/>
              <w:keepLines/>
              <w:jc w:val="center"/>
            </w:pPr>
            <w:r>
              <w:t>11/105 (10%)</w:t>
            </w:r>
          </w:p>
        </w:tc>
        <w:tc>
          <w:tcPr>
            <w:tcW w:w="327" w:type="pct"/>
            <w:tcBorders>
              <w:top w:val="single" w:sz="4" w:space="0" w:color="auto"/>
              <w:left w:val="single" w:sz="4" w:space="0" w:color="auto"/>
              <w:bottom w:val="single" w:sz="4" w:space="0" w:color="auto"/>
              <w:right w:val="single" w:sz="4" w:space="0" w:color="auto"/>
            </w:tcBorders>
          </w:tcPr>
          <w:p w14:paraId="065548E9" w14:textId="5495762A" w:rsidR="00962EC7"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10DAD1BD"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5ACF0E4"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46A21B44"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53FCE1A2" w14:textId="525D8049" w:rsidR="00962EC7" w:rsidRDefault="00962EC7" w:rsidP="00F43CBA">
            <w:pPr>
              <w:pStyle w:val="Tabletext1"/>
              <w:keepNext/>
              <w:keepLines/>
              <w:jc w:val="center"/>
            </w:pPr>
            <w:r>
              <w:t>3/105 (</w:t>
            </w:r>
            <w:r w:rsidR="00EB5759">
              <w:t>3</w:t>
            </w:r>
            <w:r>
              <w:t>%)</w:t>
            </w:r>
          </w:p>
        </w:tc>
        <w:tc>
          <w:tcPr>
            <w:tcW w:w="327" w:type="pct"/>
            <w:tcBorders>
              <w:top w:val="single" w:sz="4" w:space="0" w:color="auto"/>
              <w:left w:val="single" w:sz="4" w:space="0" w:color="auto"/>
              <w:bottom w:val="single" w:sz="4" w:space="0" w:color="auto"/>
              <w:right w:val="single" w:sz="4" w:space="0" w:color="auto"/>
            </w:tcBorders>
          </w:tcPr>
          <w:p w14:paraId="2768ED34" w14:textId="31775780" w:rsidR="00962EC7"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7F60A633"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39D4E937"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7824032C" w14:textId="77777777" w:rsidR="00962EC7" w:rsidRDefault="00962EC7" w:rsidP="00F43CBA">
            <w:pPr>
              <w:pStyle w:val="Tabletext1"/>
              <w:keepNext/>
              <w:keepLines/>
              <w:jc w:val="center"/>
            </w:pPr>
          </w:p>
        </w:tc>
      </w:tr>
      <w:tr w:rsidR="00962EC7" w:rsidRPr="00B2301A" w14:paraId="1559EB26" w14:textId="189AB34F" w:rsidTr="00F43CBA">
        <w:tc>
          <w:tcPr>
            <w:tcW w:w="627" w:type="pct"/>
            <w:tcBorders>
              <w:top w:val="nil"/>
              <w:left w:val="single" w:sz="4" w:space="0" w:color="auto"/>
              <w:bottom w:val="nil"/>
              <w:right w:val="single" w:sz="4" w:space="0" w:color="auto"/>
            </w:tcBorders>
            <w:shd w:val="clear" w:color="auto" w:fill="auto"/>
            <w:vAlign w:val="bottom"/>
          </w:tcPr>
          <w:p w14:paraId="00D1A897"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063D4781" w14:textId="71DE047D" w:rsidR="00962EC7" w:rsidRDefault="00962EC7" w:rsidP="00F43CBA">
            <w:pPr>
              <w:pStyle w:val="Tabletext1"/>
              <w:keepNext/>
              <w:keepLines/>
              <w:jc w:val="center"/>
            </w:pPr>
            <w:r>
              <w:t>Esophagitis</w:t>
            </w:r>
          </w:p>
        </w:tc>
        <w:tc>
          <w:tcPr>
            <w:tcW w:w="327" w:type="pct"/>
            <w:tcBorders>
              <w:top w:val="single" w:sz="4" w:space="0" w:color="auto"/>
              <w:left w:val="single" w:sz="4" w:space="0" w:color="auto"/>
              <w:bottom w:val="single" w:sz="4" w:space="0" w:color="auto"/>
              <w:right w:val="single" w:sz="4" w:space="0" w:color="auto"/>
            </w:tcBorders>
          </w:tcPr>
          <w:p w14:paraId="77ECDE80" w14:textId="0692FBF9"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5520DA81" w14:textId="714FA1BB" w:rsidR="00962EC7" w:rsidRDefault="00962EC7" w:rsidP="00F43CBA">
            <w:pPr>
              <w:pStyle w:val="Tabletext1"/>
              <w:keepNext/>
              <w:keepLines/>
              <w:jc w:val="center"/>
            </w:pPr>
            <w:r>
              <w:t>2/105 (</w:t>
            </w:r>
            <w:r w:rsidR="00124D73">
              <w:t>2</w:t>
            </w:r>
            <w:r>
              <w:t>%)</w:t>
            </w:r>
          </w:p>
        </w:tc>
        <w:tc>
          <w:tcPr>
            <w:tcW w:w="327" w:type="pct"/>
            <w:tcBorders>
              <w:top w:val="single" w:sz="4" w:space="0" w:color="auto"/>
              <w:left w:val="single" w:sz="4" w:space="0" w:color="auto"/>
              <w:bottom w:val="single" w:sz="4" w:space="0" w:color="auto"/>
              <w:right w:val="single" w:sz="4" w:space="0" w:color="auto"/>
            </w:tcBorders>
          </w:tcPr>
          <w:p w14:paraId="686B6725" w14:textId="23E0868E" w:rsidR="00962EC7"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7B60DFF0"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4E7BF0CC"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3D1B0A2"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E71E742"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2C18F7E"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6AA9750"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797B96ED"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01DDAF27" w14:textId="77777777" w:rsidR="00962EC7" w:rsidRDefault="00962EC7" w:rsidP="00F43CBA">
            <w:pPr>
              <w:pStyle w:val="Tabletext1"/>
              <w:keepNext/>
              <w:keepLines/>
              <w:jc w:val="center"/>
            </w:pPr>
          </w:p>
        </w:tc>
      </w:tr>
      <w:tr w:rsidR="00962EC7" w:rsidRPr="00B2301A" w14:paraId="5C4FCE21" w14:textId="3095094A" w:rsidTr="00F43CBA">
        <w:tc>
          <w:tcPr>
            <w:tcW w:w="627" w:type="pct"/>
            <w:tcBorders>
              <w:top w:val="nil"/>
              <w:left w:val="single" w:sz="4" w:space="0" w:color="auto"/>
              <w:bottom w:val="nil"/>
              <w:right w:val="single" w:sz="4" w:space="0" w:color="auto"/>
            </w:tcBorders>
            <w:shd w:val="clear" w:color="auto" w:fill="auto"/>
            <w:vAlign w:val="bottom"/>
          </w:tcPr>
          <w:p w14:paraId="359EDDC2"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2AAE23DC" w14:textId="40D9656F" w:rsidR="00962EC7" w:rsidRDefault="00962EC7" w:rsidP="00F43CBA">
            <w:pPr>
              <w:pStyle w:val="Tabletext1"/>
              <w:keepNext/>
              <w:keepLines/>
              <w:jc w:val="center"/>
            </w:pPr>
            <w:r>
              <w:t>Abdominal pain</w:t>
            </w:r>
          </w:p>
        </w:tc>
        <w:tc>
          <w:tcPr>
            <w:tcW w:w="327" w:type="pct"/>
            <w:tcBorders>
              <w:top w:val="single" w:sz="4" w:space="0" w:color="auto"/>
              <w:left w:val="single" w:sz="4" w:space="0" w:color="auto"/>
              <w:bottom w:val="single" w:sz="4" w:space="0" w:color="auto"/>
              <w:right w:val="single" w:sz="4" w:space="0" w:color="auto"/>
            </w:tcBorders>
          </w:tcPr>
          <w:p w14:paraId="75A2743A" w14:textId="4407B99B"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451D5F2" w14:textId="6CF28D7B" w:rsidR="00962EC7" w:rsidRDefault="00962EC7" w:rsidP="00F43CBA">
            <w:pPr>
              <w:pStyle w:val="Tabletext1"/>
              <w:keepNext/>
              <w:keepLines/>
              <w:jc w:val="center"/>
            </w:pPr>
            <w:r>
              <w:t>2/105 (</w:t>
            </w:r>
            <w:r w:rsidR="00124D73">
              <w:t>2</w:t>
            </w:r>
            <w:r>
              <w:t>%)</w:t>
            </w:r>
          </w:p>
        </w:tc>
        <w:tc>
          <w:tcPr>
            <w:tcW w:w="327" w:type="pct"/>
            <w:tcBorders>
              <w:top w:val="single" w:sz="4" w:space="0" w:color="auto"/>
              <w:left w:val="single" w:sz="4" w:space="0" w:color="auto"/>
              <w:bottom w:val="single" w:sz="4" w:space="0" w:color="auto"/>
              <w:right w:val="single" w:sz="4" w:space="0" w:color="auto"/>
            </w:tcBorders>
          </w:tcPr>
          <w:p w14:paraId="02898EF1" w14:textId="6E0A718F" w:rsidR="00962EC7" w:rsidRDefault="00962EC7" w:rsidP="00F43CBA">
            <w:pPr>
              <w:pStyle w:val="Tabletext1"/>
              <w:keepNext/>
              <w:keepLines/>
              <w:jc w:val="center"/>
            </w:pPr>
            <w:r>
              <w:t>1/105 (1%)</w:t>
            </w:r>
          </w:p>
        </w:tc>
        <w:tc>
          <w:tcPr>
            <w:tcW w:w="327" w:type="pct"/>
            <w:tcBorders>
              <w:top w:val="single" w:sz="4" w:space="0" w:color="auto"/>
              <w:left w:val="single" w:sz="4" w:space="0" w:color="auto"/>
              <w:bottom w:val="single" w:sz="4" w:space="0" w:color="auto"/>
              <w:right w:val="single" w:sz="4" w:space="0" w:color="auto"/>
            </w:tcBorders>
          </w:tcPr>
          <w:p w14:paraId="723D67EC"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8C8C7AA"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9A0AA24"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3ABD156"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18ABB2B"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623B1BE3"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10A9C74F"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60923679" w14:textId="77777777" w:rsidR="00962EC7" w:rsidRDefault="00962EC7" w:rsidP="00F43CBA">
            <w:pPr>
              <w:pStyle w:val="Tabletext1"/>
              <w:keepNext/>
              <w:keepLines/>
              <w:jc w:val="center"/>
            </w:pPr>
          </w:p>
        </w:tc>
      </w:tr>
      <w:tr w:rsidR="00962EC7" w:rsidRPr="00B2301A" w14:paraId="3707653D" w14:textId="6440A196" w:rsidTr="00F43CBA">
        <w:tc>
          <w:tcPr>
            <w:tcW w:w="627" w:type="pct"/>
            <w:tcBorders>
              <w:top w:val="nil"/>
              <w:left w:val="single" w:sz="4" w:space="0" w:color="auto"/>
              <w:bottom w:val="nil"/>
              <w:right w:val="single" w:sz="4" w:space="0" w:color="auto"/>
            </w:tcBorders>
            <w:shd w:val="clear" w:color="auto" w:fill="auto"/>
            <w:vAlign w:val="bottom"/>
          </w:tcPr>
          <w:p w14:paraId="7CA3BD2C"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309D447C" w14:textId="58007B8C" w:rsidR="00962EC7" w:rsidRPr="002B629F" w:rsidRDefault="00962EC7" w:rsidP="00F43CBA">
            <w:pPr>
              <w:pStyle w:val="Tabletext1"/>
              <w:keepNext/>
              <w:keepLines/>
              <w:jc w:val="center"/>
            </w:pPr>
            <w:r>
              <w:t>Burn</w:t>
            </w:r>
          </w:p>
        </w:tc>
        <w:tc>
          <w:tcPr>
            <w:tcW w:w="327" w:type="pct"/>
            <w:tcBorders>
              <w:top w:val="single" w:sz="4" w:space="0" w:color="auto"/>
              <w:left w:val="single" w:sz="4" w:space="0" w:color="auto"/>
              <w:bottom w:val="single" w:sz="4" w:space="0" w:color="auto"/>
              <w:right w:val="single" w:sz="4" w:space="0" w:color="auto"/>
            </w:tcBorders>
          </w:tcPr>
          <w:p w14:paraId="1C591A7F" w14:textId="0DDA272C" w:rsidR="00962EC7" w:rsidRPr="002B629F"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15A3EA0" w14:textId="3004C961" w:rsidR="00962EC7" w:rsidRPr="002B629F" w:rsidRDefault="00962EC7" w:rsidP="00F43CBA">
            <w:pPr>
              <w:pStyle w:val="Tabletext1"/>
              <w:keepNext/>
              <w:keepLines/>
              <w:jc w:val="center"/>
            </w:pPr>
            <w:r w:rsidRPr="00546928">
              <w:t>0/105 (0%)</w:t>
            </w:r>
          </w:p>
        </w:tc>
        <w:tc>
          <w:tcPr>
            <w:tcW w:w="327" w:type="pct"/>
            <w:tcBorders>
              <w:top w:val="single" w:sz="4" w:space="0" w:color="auto"/>
              <w:left w:val="single" w:sz="4" w:space="0" w:color="auto"/>
              <w:bottom w:val="single" w:sz="4" w:space="0" w:color="auto"/>
              <w:right w:val="single" w:sz="4" w:space="0" w:color="auto"/>
            </w:tcBorders>
          </w:tcPr>
          <w:p w14:paraId="1E21345A" w14:textId="42AE54AC" w:rsidR="00962EC7" w:rsidRPr="002B629F" w:rsidRDefault="00962EC7" w:rsidP="00F43CBA">
            <w:pPr>
              <w:pStyle w:val="Tabletext1"/>
              <w:keepNext/>
              <w:keepLines/>
              <w:jc w:val="center"/>
            </w:pPr>
            <w:r w:rsidRPr="00546928">
              <w:t>0/105 (0%)</w:t>
            </w:r>
          </w:p>
        </w:tc>
        <w:tc>
          <w:tcPr>
            <w:tcW w:w="327" w:type="pct"/>
            <w:tcBorders>
              <w:top w:val="single" w:sz="4" w:space="0" w:color="auto"/>
              <w:left w:val="single" w:sz="4" w:space="0" w:color="auto"/>
              <w:bottom w:val="single" w:sz="4" w:space="0" w:color="auto"/>
              <w:right w:val="single" w:sz="4" w:space="0" w:color="auto"/>
            </w:tcBorders>
          </w:tcPr>
          <w:p w14:paraId="7AE22B52"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51A4E5B2"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3E0CAFB6"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7BDAEFD" w14:textId="28FF7CF1" w:rsidR="00962EC7" w:rsidRDefault="00962EC7" w:rsidP="00F43CBA">
            <w:pPr>
              <w:pStyle w:val="Tabletext1"/>
              <w:keepNext/>
              <w:keepLines/>
              <w:jc w:val="center"/>
            </w:pPr>
            <w:r w:rsidRPr="002B745C">
              <w:t>0/105 (0%)</w:t>
            </w:r>
          </w:p>
        </w:tc>
        <w:tc>
          <w:tcPr>
            <w:tcW w:w="327" w:type="pct"/>
            <w:tcBorders>
              <w:top w:val="single" w:sz="4" w:space="0" w:color="auto"/>
              <w:left w:val="single" w:sz="4" w:space="0" w:color="auto"/>
              <w:bottom w:val="single" w:sz="4" w:space="0" w:color="auto"/>
              <w:right w:val="single" w:sz="4" w:space="0" w:color="auto"/>
            </w:tcBorders>
          </w:tcPr>
          <w:p w14:paraId="12EED988" w14:textId="6C68FE4B" w:rsidR="00962EC7" w:rsidRDefault="00962EC7" w:rsidP="00F43CBA">
            <w:pPr>
              <w:pStyle w:val="Tabletext1"/>
              <w:keepNext/>
              <w:keepLines/>
              <w:jc w:val="center"/>
            </w:pPr>
            <w:r w:rsidRPr="002B745C">
              <w:t>0/105 (0%)</w:t>
            </w:r>
          </w:p>
        </w:tc>
        <w:tc>
          <w:tcPr>
            <w:tcW w:w="327" w:type="pct"/>
            <w:tcBorders>
              <w:top w:val="single" w:sz="4" w:space="0" w:color="auto"/>
              <w:left w:val="single" w:sz="4" w:space="0" w:color="auto"/>
              <w:bottom w:val="single" w:sz="4" w:space="0" w:color="auto"/>
              <w:right w:val="single" w:sz="4" w:space="0" w:color="auto"/>
            </w:tcBorders>
          </w:tcPr>
          <w:p w14:paraId="701C0408"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7DD387A3"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1E83EB55" w14:textId="77777777" w:rsidR="00962EC7" w:rsidRDefault="00962EC7" w:rsidP="00F43CBA">
            <w:pPr>
              <w:pStyle w:val="Tabletext1"/>
              <w:keepNext/>
              <w:keepLines/>
              <w:jc w:val="center"/>
            </w:pPr>
          </w:p>
        </w:tc>
      </w:tr>
      <w:tr w:rsidR="00962EC7" w:rsidRPr="00B2301A" w14:paraId="1D0EDDD4" w14:textId="45E7EEAD" w:rsidTr="00F43CBA">
        <w:tc>
          <w:tcPr>
            <w:tcW w:w="627" w:type="pct"/>
            <w:tcBorders>
              <w:top w:val="nil"/>
              <w:left w:val="single" w:sz="4" w:space="0" w:color="auto"/>
              <w:bottom w:val="nil"/>
              <w:right w:val="single" w:sz="4" w:space="0" w:color="auto"/>
            </w:tcBorders>
            <w:shd w:val="clear" w:color="auto" w:fill="auto"/>
            <w:vAlign w:val="bottom"/>
          </w:tcPr>
          <w:p w14:paraId="31C393BA"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370713BF" w14:textId="3B69D836" w:rsidR="00962EC7" w:rsidRPr="002B629F" w:rsidRDefault="00962EC7" w:rsidP="00F43CBA">
            <w:pPr>
              <w:pStyle w:val="Tabletext1"/>
              <w:keepNext/>
              <w:keepLines/>
              <w:jc w:val="center"/>
            </w:pPr>
            <w:r>
              <w:t>Abscess</w:t>
            </w:r>
          </w:p>
        </w:tc>
        <w:tc>
          <w:tcPr>
            <w:tcW w:w="327" w:type="pct"/>
            <w:tcBorders>
              <w:top w:val="single" w:sz="4" w:space="0" w:color="auto"/>
              <w:left w:val="single" w:sz="4" w:space="0" w:color="auto"/>
              <w:bottom w:val="single" w:sz="4" w:space="0" w:color="auto"/>
              <w:right w:val="single" w:sz="4" w:space="0" w:color="auto"/>
            </w:tcBorders>
          </w:tcPr>
          <w:p w14:paraId="258D63AD" w14:textId="202EF3D1" w:rsidR="00962EC7" w:rsidRPr="002B629F"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C359CCB" w14:textId="725CCCEA" w:rsidR="00962EC7" w:rsidRPr="002B629F" w:rsidRDefault="00962EC7" w:rsidP="00F43CBA">
            <w:pPr>
              <w:pStyle w:val="Tabletext1"/>
              <w:keepNext/>
              <w:keepLines/>
              <w:jc w:val="center"/>
            </w:pPr>
            <w:r w:rsidRPr="000C7ABF">
              <w:t>0/105 (0%)</w:t>
            </w:r>
          </w:p>
        </w:tc>
        <w:tc>
          <w:tcPr>
            <w:tcW w:w="327" w:type="pct"/>
            <w:tcBorders>
              <w:top w:val="single" w:sz="4" w:space="0" w:color="auto"/>
              <w:left w:val="single" w:sz="4" w:space="0" w:color="auto"/>
              <w:bottom w:val="single" w:sz="4" w:space="0" w:color="auto"/>
              <w:right w:val="single" w:sz="4" w:space="0" w:color="auto"/>
            </w:tcBorders>
          </w:tcPr>
          <w:p w14:paraId="6FCCF361" w14:textId="6D2E1382" w:rsidR="00962EC7" w:rsidRPr="002B629F" w:rsidRDefault="00962EC7" w:rsidP="00F43CBA">
            <w:pPr>
              <w:pStyle w:val="Tabletext1"/>
              <w:keepNext/>
              <w:keepLines/>
              <w:jc w:val="center"/>
            </w:pPr>
            <w:r w:rsidRPr="000C7ABF">
              <w:t>0/105 (0%)</w:t>
            </w:r>
          </w:p>
        </w:tc>
        <w:tc>
          <w:tcPr>
            <w:tcW w:w="327" w:type="pct"/>
            <w:tcBorders>
              <w:top w:val="single" w:sz="4" w:space="0" w:color="auto"/>
              <w:left w:val="single" w:sz="4" w:space="0" w:color="auto"/>
              <w:bottom w:val="single" w:sz="4" w:space="0" w:color="auto"/>
              <w:right w:val="single" w:sz="4" w:space="0" w:color="auto"/>
            </w:tcBorders>
          </w:tcPr>
          <w:p w14:paraId="24A1D610"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6F9DE72C"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7BA6824"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6539E8F2"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79AA6AC5"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9CF061F"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362AA529"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6DBC31AB" w14:textId="77777777" w:rsidR="00962EC7" w:rsidRDefault="00962EC7" w:rsidP="00F43CBA">
            <w:pPr>
              <w:pStyle w:val="Tabletext1"/>
              <w:keepNext/>
              <w:keepLines/>
              <w:jc w:val="center"/>
            </w:pPr>
          </w:p>
        </w:tc>
      </w:tr>
      <w:tr w:rsidR="00962EC7" w:rsidRPr="00B2301A" w14:paraId="51D0C4DA" w14:textId="67CA709E" w:rsidTr="00F43CBA">
        <w:tc>
          <w:tcPr>
            <w:tcW w:w="627" w:type="pct"/>
            <w:tcBorders>
              <w:top w:val="nil"/>
              <w:left w:val="single" w:sz="4" w:space="0" w:color="auto"/>
              <w:bottom w:val="nil"/>
              <w:right w:val="single" w:sz="4" w:space="0" w:color="auto"/>
            </w:tcBorders>
            <w:shd w:val="clear" w:color="auto" w:fill="auto"/>
            <w:vAlign w:val="bottom"/>
          </w:tcPr>
          <w:p w14:paraId="5E60CFE0"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4313B79D" w14:textId="20B313C7" w:rsidR="00962EC7" w:rsidRPr="002B629F" w:rsidRDefault="00962EC7" w:rsidP="00F43CBA">
            <w:pPr>
              <w:pStyle w:val="Tabletext1"/>
              <w:keepNext/>
              <w:keepLines/>
              <w:jc w:val="center"/>
            </w:pPr>
            <w:r>
              <w:t>Bile duct injury</w:t>
            </w:r>
          </w:p>
        </w:tc>
        <w:tc>
          <w:tcPr>
            <w:tcW w:w="327" w:type="pct"/>
            <w:tcBorders>
              <w:top w:val="single" w:sz="4" w:space="0" w:color="auto"/>
              <w:left w:val="single" w:sz="4" w:space="0" w:color="auto"/>
              <w:bottom w:val="single" w:sz="4" w:space="0" w:color="auto"/>
              <w:right w:val="single" w:sz="4" w:space="0" w:color="auto"/>
            </w:tcBorders>
          </w:tcPr>
          <w:p w14:paraId="6677E9CF" w14:textId="6D4CA716" w:rsidR="00962EC7" w:rsidRPr="002B629F"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15199FF" w14:textId="1BAF4EA6" w:rsidR="00962EC7" w:rsidRPr="002B629F"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528D7F69" w14:textId="2F6909DA" w:rsidR="00962EC7" w:rsidRPr="002B629F"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195DCCB1"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E826B35"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C579FFB"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8A11DDA" w14:textId="56F1BC42" w:rsidR="00962EC7" w:rsidRDefault="00962EC7" w:rsidP="00F43CBA">
            <w:pPr>
              <w:pStyle w:val="Tabletext1"/>
              <w:keepNext/>
              <w:keepLines/>
              <w:jc w:val="center"/>
            </w:pPr>
            <w:r w:rsidRPr="004B7CF4">
              <w:t>0/105 (0%)</w:t>
            </w:r>
          </w:p>
        </w:tc>
        <w:tc>
          <w:tcPr>
            <w:tcW w:w="327" w:type="pct"/>
            <w:tcBorders>
              <w:top w:val="single" w:sz="4" w:space="0" w:color="auto"/>
              <w:left w:val="single" w:sz="4" w:space="0" w:color="auto"/>
              <w:bottom w:val="single" w:sz="4" w:space="0" w:color="auto"/>
              <w:right w:val="single" w:sz="4" w:space="0" w:color="auto"/>
            </w:tcBorders>
          </w:tcPr>
          <w:p w14:paraId="1802FA7B" w14:textId="12D01AC1" w:rsidR="00962EC7" w:rsidRDefault="00962EC7" w:rsidP="00F43CBA">
            <w:pPr>
              <w:pStyle w:val="Tabletext1"/>
              <w:keepNext/>
              <w:keepLines/>
              <w:jc w:val="center"/>
            </w:pPr>
            <w:r w:rsidRPr="004B7CF4">
              <w:t>0/105 (0%)</w:t>
            </w:r>
          </w:p>
        </w:tc>
        <w:tc>
          <w:tcPr>
            <w:tcW w:w="327" w:type="pct"/>
            <w:tcBorders>
              <w:top w:val="single" w:sz="4" w:space="0" w:color="auto"/>
              <w:left w:val="single" w:sz="4" w:space="0" w:color="auto"/>
              <w:bottom w:val="single" w:sz="4" w:space="0" w:color="auto"/>
              <w:right w:val="single" w:sz="4" w:space="0" w:color="auto"/>
            </w:tcBorders>
          </w:tcPr>
          <w:p w14:paraId="455002B2"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2984417B"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5C4F5535" w14:textId="77777777" w:rsidR="00962EC7" w:rsidRDefault="00962EC7" w:rsidP="00F43CBA">
            <w:pPr>
              <w:pStyle w:val="Tabletext1"/>
              <w:keepNext/>
              <w:keepLines/>
              <w:jc w:val="center"/>
            </w:pPr>
          </w:p>
        </w:tc>
      </w:tr>
      <w:tr w:rsidR="00962EC7" w:rsidRPr="00B2301A" w14:paraId="2EADC3E1" w14:textId="6A84BD19" w:rsidTr="00F43CBA">
        <w:tc>
          <w:tcPr>
            <w:tcW w:w="627" w:type="pct"/>
            <w:tcBorders>
              <w:top w:val="nil"/>
              <w:left w:val="single" w:sz="4" w:space="0" w:color="auto"/>
              <w:bottom w:val="nil"/>
              <w:right w:val="single" w:sz="4" w:space="0" w:color="auto"/>
            </w:tcBorders>
            <w:shd w:val="clear" w:color="auto" w:fill="auto"/>
            <w:vAlign w:val="bottom"/>
          </w:tcPr>
          <w:p w14:paraId="511CCFBD" w14:textId="7B569549"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595A58C1" w14:textId="107B00A3" w:rsidR="00962EC7" w:rsidRPr="002B629F" w:rsidRDefault="00962EC7" w:rsidP="00F43CBA">
            <w:pPr>
              <w:pStyle w:val="Tabletext1"/>
              <w:keepNext/>
              <w:keepLines/>
              <w:jc w:val="center"/>
            </w:pPr>
            <w:r>
              <w:t>Intra-abdominal haemorrhage</w:t>
            </w:r>
          </w:p>
        </w:tc>
        <w:tc>
          <w:tcPr>
            <w:tcW w:w="327" w:type="pct"/>
            <w:tcBorders>
              <w:top w:val="single" w:sz="4" w:space="0" w:color="auto"/>
              <w:left w:val="single" w:sz="4" w:space="0" w:color="auto"/>
              <w:bottom w:val="single" w:sz="4" w:space="0" w:color="auto"/>
              <w:right w:val="single" w:sz="4" w:space="0" w:color="auto"/>
            </w:tcBorders>
          </w:tcPr>
          <w:p w14:paraId="7A0BCECF" w14:textId="0E8031E0" w:rsidR="00962EC7" w:rsidRPr="002B629F"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209CE37" w14:textId="237457FA" w:rsidR="00962EC7" w:rsidRPr="002B629F" w:rsidRDefault="00962EC7" w:rsidP="00F43CBA">
            <w:pPr>
              <w:pStyle w:val="Tabletext1"/>
              <w:keepNext/>
              <w:keepLines/>
              <w:jc w:val="center"/>
            </w:pPr>
            <w:r w:rsidRPr="008A44BD">
              <w:t>0/105 (0%)</w:t>
            </w:r>
          </w:p>
        </w:tc>
        <w:tc>
          <w:tcPr>
            <w:tcW w:w="327" w:type="pct"/>
            <w:tcBorders>
              <w:top w:val="single" w:sz="4" w:space="0" w:color="auto"/>
              <w:left w:val="single" w:sz="4" w:space="0" w:color="auto"/>
              <w:bottom w:val="single" w:sz="4" w:space="0" w:color="auto"/>
              <w:right w:val="single" w:sz="4" w:space="0" w:color="auto"/>
            </w:tcBorders>
          </w:tcPr>
          <w:p w14:paraId="3D38E6ED" w14:textId="415FD82E" w:rsidR="00962EC7" w:rsidRPr="002B629F" w:rsidRDefault="00962EC7" w:rsidP="00F43CBA">
            <w:pPr>
              <w:pStyle w:val="Tabletext1"/>
              <w:keepNext/>
              <w:keepLines/>
              <w:jc w:val="center"/>
            </w:pPr>
            <w:r w:rsidRPr="008A44BD">
              <w:t>0/105 (0%)</w:t>
            </w:r>
          </w:p>
        </w:tc>
        <w:tc>
          <w:tcPr>
            <w:tcW w:w="327" w:type="pct"/>
            <w:tcBorders>
              <w:top w:val="single" w:sz="4" w:space="0" w:color="auto"/>
              <w:left w:val="single" w:sz="4" w:space="0" w:color="auto"/>
              <w:bottom w:val="single" w:sz="4" w:space="0" w:color="auto"/>
              <w:right w:val="single" w:sz="4" w:space="0" w:color="auto"/>
            </w:tcBorders>
          </w:tcPr>
          <w:p w14:paraId="4AFFEEDC"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577B42D1"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EBF1E0C"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4F08F31"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4BB24D07"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241D3B2"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02631874"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0157690A" w14:textId="77777777" w:rsidR="00962EC7" w:rsidRDefault="00962EC7" w:rsidP="00F43CBA">
            <w:pPr>
              <w:pStyle w:val="Tabletext1"/>
              <w:keepNext/>
              <w:keepLines/>
              <w:jc w:val="center"/>
            </w:pPr>
          </w:p>
        </w:tc>
      </w:tr>
      <w:tr w:rsidR="00962EC7" w:rsidRPr="00B2301A" w14:paraId="6E651B2D" w14:textId="116548E7" w:rsidTr="00F43CBA">
        <w:tc>
          <w:tcPr>
            <w:tcW w:w="627" w:type="pct"/>
            <w:tcBorders>
              <w:top w:val="nil"/>
              <w:left w:val="single" w:sz="4" w:space="0" w:color="auto"/>
              <w:bottom w:val="nil"/>
              <w:right w:val="single" w:sz="4" w:space="0" w:color="auto"/>
            </w:tcBorders>
            <w:shd w:val="clear" w:color="auto" w:fill="auto"/>
            <w:vAlign w:val="bottom"/>
          </w:tcPr>
          <w:p w14:paraId="05BB9C2B"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0962C9E8" w14:textId="197CAEBB" w:rsidR="00962EC7" w:rsidRDefault="00962EC7" w:rsidP="00F43CBA">
            <w:pPr>
              <w:pStyle w:val="Tabletext1"/>
              <w:keepNext/>
              <w:keepLines/>
              <w:jc w:val="center"/>
            </w:pPr>
            <w:r>
              <w:t>Pleural haemorrhage</w:t>
            </w:r>
          </w:p>
        </w:tc>
        <w:tc>
          <w:tcPr>
            <w:tcW w:w="327" w:type="pct"/>
            <w:tcBorders>
              <w:top w:val="single" w:sz="4" w:space="0" w:color="auto"/>
              <w:left w:val="single" w:sz="4" w:space="0" w:color="auto"/>
              <w:bottom w:val="single" w:sz="4" w:space="0" w:color="auto"/>
              <w:right w:val="single" w:sz="4" w:space="0" w:color="auto"/>
            </w:tcBorders>
          </w:tcPr>
          <w:p w14:paraId="2DE88A2C" w14:textId="77777777" w:rsidR="00962EC7" w:rsidRPr="002B629F"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4D097900" w14:textId="630BCAB8" w:rsidR="00962EC7" w:rsidRPr="005724B9" w:rsidRDefault="00962EC7" w:rsidP="00F43CBA">
            <w:pPr>
              <w:pStyle w:val="Tabletext1"/>
              <w:keepNext/>
              <w:keepLines/>
              <w:jc w:val="center"/>
              <w:rPr>
                <w:b/>
                <w:bCs/>
              </w:rPr>
            </w:pPr>
            <w:r w:rsidRPr="00F17DB8">
              <w:t>0/105 (0%)</w:t>
            </w:r>
          </w:p>
        </w:tc>
        <w:tc>
          <w:tcPr>
            <w:tcW w:w="327" w:type="pct"/>
            <w:tcBorders>
              <w:top w:val="single" w:sz="4" w:space="0" w:color="auto"/>
              <w:left w:val="single" w:sz="4" w:space="0" w:color="auto"/>
              <w:bottom w:val="single" w:sz="4" w:space="0" w:color="auto"/>
              <w:right w:val="single" w:sz="4" w:space="0" w:color="auto"/>
            </w:tcBorders>
          </w:tcPr>
          <w:p w14:paraId="7F73C59F" w14:textId="566CDA38" w:rsidR="00962EC7" w:rsidRPr="005724B9" w:rsidRDefault="00962EC7" w:rsidP="00F43CBA">
            <w:pPr>
              <w:pStyle w:val="Tabletext1"/>
              <w:keepNext/>
              <w:keepLines/>
              <w:jc w:val="center"/>
              <w:rPr>
                <w:b/>
                <w:bCs/>
              </w:rPr>
            </w:pPr>
            <w:r w:rsidRPr="00F17DB8">
              <w:t>0/105 (0%)</w:t>
            </w:r>
          </w:p>
        </w:tc>
        <w:tc>
          <w:tcPr>
            <w:tcW w:w="327" w:type="pct"/>
            <w:tcBorders>
              <w:top w:val="single" w:sz="4" w:space="0" w:color="auto"/>
              <w:left w:val="single" w:sz="4" w:space="0" w:color="auto"/>
              <w:bottom w:val="single" w:sz="4" w:space="0" w:color="auto"/>
              <w:right w:val="single" w:sz="4" w:space="0" w:color="auto"/>
            </w:tcBorders>
          </w:tcPr>
          <w:p w14:paraId="17714FB0"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10ACE34"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469594BB"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3779CE0"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4ECA4080"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4019438B"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24410B8E"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75AA7618" w14:textId="77777777" w:rsidR="00962EC7" w:rsidRDefault="00962EC7" w:rsidP="00F43CBA">
            <w:pPr>
              <w:pStyle w:val="Tabletext1"/>
              <w:keepNext/>
              <w:keepLines/>
              <w:jc w:val="center"/>
            </w:pPr>
          </w:p>
        </w:tc>
      </w:tr>
      <w:tr w:rsidR="00962EC7" w:rsidRPr="00B2301A" w14:paraId="27A6F9BB" w14:textId="27817A8F" w:rsidTr="00F43CBA">
        <w:tc>
          <w:tcPr>
            <w:tcW w:w="627" w:type="pct"/>
            <w:tcBorders>
              <w:top w:val="nil"/>
              <w:left w:val="single" w:sz="4" w:space="0" w:color="auto"/>
              <w:bottom w:val="nil"/>
              <w:right w:val="single" w:sz="4" w:space="0" w:color="auto"/>
            </w:tcBorders>
            <w:shd w:val="clear" w:color="auto" w:fill="auto"/>
            <w:vAlign w:val="bottom"/>
          </w:tcPr>
          <w:p w14:paraId="1363B9ED"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73E06813" w14:textId="58DC8D21" w:rsidR="00962EC7" w:rsidRDefault="00962EC7" w:rsidP="00F43CBA">
            <w:pPr>
              <w:pStyle w:val="Tabletext1"/>
              <w:keepNext/>
              <w:keepLines/>
              <w:jc w:val="center"/>
            </w:pPr>
            <w:r>
              <w:t>Pneumothorax</w:t>
            </w:r>
          </w:p>
        </w:tc>
        <w:tc>
          <w:tcPr>
            <w:tcW w:w="327" w:type="pct"/>
            <w:tcBorders>
              <w:top w:val="single" w:sz="4" w:space="0" w:color="auto"/>
              <w:left w:val="single" w:sz="4" w:space="0" w:color="auto"/>
              <w:bottom w:val="single" w:sz="4" w:space="0" w:color="auto"/>
              <w:right w:val="single" w:sz="4" w:space="0" w:color="auto"/>
            </w:tcBorders>
          </w:tcPr>
          <w:p w14:paraId="03059CD6" w14:textId="77777777" w:rsidR="00962EC7" w:rsidRPr="002B629F"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95E8201" w14:textId="201F0714" w:rsidR="00962EC7" w:rsidRPr="00EB0872" w:rsidRDefault="00962EC7" w:rsidP="00F43CBA">
            <w:pPr>
              <w:pStyle w:val="Tabletext1"/>
              <w:keepNext/>
              <w:keepLines/>
              <w:jc w:val="center"/>
            </w:pPr>
            <w:r w:rsidRPr="00EB0872">
              <w:t>0/105 (0%)</w:t>
            </w:r>
          </w:p>
        </w:tc>
        <w:tc>
          <w:tcPr>
            <w:tcW w:w="327" w:type="pct"/>
            <w:tcBorders>
              <w:top w:val="single" w:sz="4" w:space="0" w:color="auto"/>
              <w:left w:val="single" w:sz="4" w:space="0" w:color="auto"/>
              <w:bottom w:val="single" w:sz="4" w:space="0" w:color="auto"/>
              <w:right w:val="single" w:sz="4" w:space="0" w:color="auto"/>
            </w:tcBorders>
          </w:tcPr>
          <w:p w14:paraId="09AE260D" w14:textId="615F46CE" w:rsidR="00962EC7" w:rsidRPr="00EB0872" w:rsidRDefault="00962EC7" w:rsidP="00F43CBA">
            <w:pPr>
              <w:pStyle w:val="Tabletext1"/>
              <w:keepNext/>
              <w:keepLines/>
              <w:jc w:val="center"/>
            </w:pPr>
            <w:r w:rsidRPr="00EB0872">
              <w:t>0/105 (0%)</w:t>
            </w:r>
          </w:p>
        </w:tc>
        <w:tc>
          <w:tcPr>
            <w:tcW w:w="327" w:type="pct"/>
            <w:tcBorders>
              <w:top w:val="single" w:sz="4" w:space="0" w:color="auto"/>
              <w:left w:val="single" w:sz="4" w:space="0" w:color="auto"/>
              <w:bottom w:val="single" w:sz="4" w:space="0" w:color="auto"/>
              <w:right w:val="single" w:sz="4" w:space="0" w:color="auto"/>
            </w:tcBorders>
          </w:tcPr>
          <w:p w14:paraId="78F68857"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4D97B6E"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4660E747"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E95711A"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620B1EA"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7F560BB6"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230C3DAE"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2D47772C" w14:textId="77777777" w:rsidR="00962EC7" w:rsidRDefault="00962EC7" w:rsidP="00F43CBA">
            <w:pPr>
              <w:pStyle w:val="Tabletext1"/>
              <w:keepNext/>
              <w:keepLines/>
              <w:jc w:val="center"/>
            </w:pPr>
          </w:p>
        </w:tc>
      </w:tr>
      <w:tr w:rsidR="00962EC7" w:rsidRPr="00B2301A" w14:paraId="7D5D2A71" w14:textId="29B3A7CE" w:rsidTr="00F43CBA">
        <w:tc>
          <w:tcPr>
            <w:tcW w:w="627" w:type="pct"/>
            <w:tcBorders>
              <w:top w:val="nil"/>
              <w:left w:val="single" w:sz="4" w:space="0" w:color="auto"/>
              <w:bottom w:val="nil"/>
              <w:right w:val="single" w:sz="4" w:space="0" w:color="auto"/>
            </w:tcBorders>
            <w:shd w:val="clear" w:color="auto" w:fill="auto"/>
            <w:vAlign w:val="bottom"/>
          </w:tcPr>
          <w:p w14:paraId="0CCDC767"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4D677922" w14:textId="6CA8253E" w:rsidR="00962EC7" w:rsidRDefault="00962EC7" w:rsidP="00F43CBA">
            <w:pPr>
              <w:pStyle w:val="Tabletext1"/>
              <w:keepNext/>
              <w:keepLines/>
              <w:jc w:val="center"/>
            </w:pPr>
            <w:r>
              <w:t>Pleural effusion</w:t>
            </w:r>
          </w:p>
        </w:tc>
        <w:tc>
          <w:tcPr>
            <w:tcW w:w="327" w:type="pct"/>
            <w:tcBorders>
              <w:top w:val="single" w:sz="4" w:space="0" w:color="auto"/>
              <w:left w:val="single" w:sz="4" w:space="0" w:color="auto"/>
              <w:bottom w:val="single" w:sz="4" w:space="0" w:color="auto"/>
              <w:right w:val="single" w:sz="4" w:space="0" w:color="auto"/>
            </w:tcBorders>
          </w:tcPr>
          <w:p w14:paraId="159EE878" w14:textId="77777777" w:rsidR="00962EC7" w:rsidRPr="002B629F"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C48F247" w14:textId="09A9AEB1" w:rsidR="00962EC7" w:rsidRPr="00EB0872"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6583477C" w14:textId="4D9F76D2" w:rsidR="00962EC7" w:rsidRPr="00EB0872"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785A5B00"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D6211FA"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76586AC6"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9052EA8" w14:textId="799E2ACE" w:rsidR="00962EC7"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16DBBF45" w14:textId="43DD1CD8" w:rsidR="00962EC7" w:rsidRDefault="00962EC7" w:rsidP="00F43CBA">
            <w:pPr>
              <w:pStyle w:val="Tabletext1"/>
              <w:keepNext/>
              <w:keepLines/>
              <w:jc w:val="center"/>
            </w:pPr>
            <w:r>
              <w:t>0/105 (0%)</w:t>
            </w:r>
          </w:p>
        </w:tc>
        <w:tc>
          <w:tcPr>
            <w:tcW w:w="327" w:type="pct"/>
            <w:tcBorders>
              <w:top w:val="single" w:sz="4" w:space="0" w:color="auto"/>
              <w:left w:val="single" w:sz="4" w:space="0" w:color="auto"/>
              <w:bottom w:val="single" w:sz="4" w:space="0" w:color="auto"/>
              <w:right w:val="single" w:sz="4" w:space="0" w:color="auto"/>
            </w:tcBorders>
          </w:tcPr>
          <w:p w14:paraId="0745848D"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10FAB778"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6C3954FD" w14:textId="77777777" w:rsidR="00962EC7" w:rsidRDefault="00962EC7" w:rsidP="00F43CBA">
            <w:pPr>
              <w:pStyle w:val="Tabletext1"/>
              <w:keepNext/>
              <w:keepLines/>
              <w:jc w:val="center"/>
            </w:pPr>
          </w:p>
        </w:tc>
      </w:tr>
      <w:tr w:rsidR="00962EC7" w:rsidRPr="00B2301A" w14:paraId="483FD993" w14:textId="6E7E4EDD" w:rsidTr="00F43CBA">
        <w:tc>
          <w:tcPr>
            <w:tcW w:w="627" w:type="pct"/>
            <w:tcBorders>
              <w:top w:val="nil"/>
              <w:left w:val="single" w:sz="4" w:space="0" w:color="auto"/>
              <w:bottom w:val="nil"/>
              <w:right w:val="single" w:sz="4" w:space="0" w:color="auto"/>
            </w:tcBorders>
            <w:shd w:val="clear" w:color="auto" w:fill="auto"/>
            <w:vAlign w:val="bottom"/>
          </w:tcPr>
          <w:p w14:paraId="077EE558"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2A3123BB" w14:textId="34CF973D" w:rsidR="00962EC7" w:rsidRDefault="00962EC7" w:rsidP="00F43CBA">
            <w:pPr>
              <w:pStyle w:val="Tabletext1"/>
              <w:keepNext/>
              <w:keepLines/>
              <w:jc w:val="center"/>
            </w:pPr>
            <w:r>
              <w:t>Pneumonitis</w:t>
            </w:r>
          </w:p>
        </w:tc>
        <w:tc>
          <w:tcPr>
            <w:tcW w:w="327" w:type="pct"/>
            <w:tcBorders>
              <w:top w:val="single" w:sz="4" w:space="0" w:color="auto"/>
              <w:left w:val="single" w:sz="4" w:space="0" w:color="auto"/>
              <w:bottom w:val="single" w:sz="4" w:space="0" w:color="auto"/>
              <w:right w:val="single" w:sz="4" w:space="0" w:color="auto"/>
            </w:tcBorders>
          </w:tcPr>
          <w:p w14:paraId="3A3490B4" w14:textId="77777777" w:rsidR="00962EC7" w:rsidRPr="002B629F"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DA02615" w14:textId="2E8A1411" w:rsidR="00962EC7" w:rsidRPr="002B629F"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53E19B31" w14:textId="6B762583" w:rsidR="00962EC7" w:rsidRPr="002B629F"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10B7D0C"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0C8EB76" w14:textId="77777777" w:rsidR="00962EC7"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36FDC6E3" w14:textId="77777777" w:rsidR="00962EC7"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40C3D512" w14:textId="355BC8AE" w:rsidR="00962EC7" w:rsidRDefault="00962EC7" w:rsidP="00F43CBA">
            <w:pPr>
              <w:pStyle w:val="Tabletext1"/>
              <w:keepNext/>
              <w:keepLines/>
              <w:jc w:val="center"/>
            </w:pPr>
            <w:r>
              <w:t xml:space="preserve">5/105 </w:t>
            </w:r>
            <w:r w:rsidR="00124D73">
              <w:t>(</w:t>
            </w:r>
            <w:r w:rsidR="00665E68">
              <w:t>5</w:t>
            </w:r>
            <w:r>
              <w:t>%)</w:t>
            </w:r>
          </w:p>
        </w:tc>
        <w:tc>
          <w:tcPr>
            <w:tcW w:w="327" w:type="pct"/>
            <w:tcBorders>
              <w:top w:val="single" w:sz="4" w:space="0" w:color="auto"/>
              <w:left w:val="single" w:sz="4" w:space="0" w:color="auto"/>
              <w:bottom w:val="single" w:sz="4" w:space="0" w:color="auto"/>
              <w:right w:val="single" w:sz="4" w:space="0" w:color="auto"/>
            </w:tcBorders>
          </w:tcPr>
          <w:p w14:paraId="33D1FA57" w14:textId="1F32C43C" w:rsidR="00962EC7" w:rsidRDefault="00962EC7" w:rsidP="00F43CBA">
            <w:pPr>
              <w:pStyle w:val="Tabletext1"/>
              <w:keepNext/>
              <w:keepLines/>
              <w:jc w:val="center"/>
            </w:pPr>
            <w:r>
              <w:t>3/105 (</w:t>
            </w:r>
            <w:r w:rsidR="00665E68">
              <w:t>3</w:t>
            </w:r>
            <w:r>
              <w:t>%)</w:t>
            </w:r>
          </w:p>
        </w:tc>
        <w:tc>
          <w:tcPr>
            <w:tcW w:w="327" w:type="pct"/>
            <w:tcBorders>
              <w:top w:val="single" w:sz="4" w:space="0" w:color="auto"/>
              <w:left w:val="single" w:sz="4" w:space="0" w:color="auto"/>
              <w:bottom w:val="single" w:sz="4" w:space="0" w:color="auto"/>
              <w:right w:val="single" w:sz="4" w:space="0" w:color="auto"/>
            </w:tcBorders>
          </w:tcPr>
          <w:p w14:paraId="197DBD8A" w14:textId="77777777" w:rsidR="00962EC7"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07DD1A1F" w14:textId="77777777" w:rsidR="00962EC7"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7EA47648" w14:textId="77777777" w:rsidR="00962EC7" w:rsidRDefault="00962EC7" w:rsidP="00F43CBA">
            <w:pPr>
              <w:pStyle w:val="Tabletext1"/>
              <w:keepNext/>
              <w:keepLines/>
              <w:jc w:val="center"/>
            </w:pPr>
          </w:p>
        </w:tc>
      </w:tr>
      <w:tr w:rsidR="00962EC7" w:rsidRPr="00B2301A" w14:paraId="12D4A8F9" w14:textId="065AAE0F" w:rsidTr="00F43CBA">
        <w:tc>
          <w:tcPr>
            <w:tcW w:w="627" w:type="pct"/>
            <w:tcBorders>
              <w:top w:val="single" w:sz="4" w:space="0" w:color="auto"/>
              <w:left w:val="single" w:sz="4" w:space="0" w:color="auto"/>
              <w:bottom w:val="single" w:sz="4" w:space="0" w:color="auto"/>
              <w:right w:val="single" w:sz="4" w:space="0" w:color="auto"/>
            </w:tcBorders>
            <w:shd w:val="clear" w:color="auto" w:fill="auto"/>
          </w:tcPr>
          <w:p w14:paraId="5B4048E2" w14:textId="7640E651" w:rsidR="00962EC7" w:rsidRDefault="00211285" w:rsidP="00F43CBA">
            <w:pPr>
              <w:pStyle w:val="Tabletext1"/>
            </w:pPr>
            <w:hyperlink w:anchor="_ENREF_73" w:tooltip="Valakh, 2018 #74" w:history="1">
              <w:r w:rsidR="008B6FC0">
                <w:rPr>
                  <w:rFonts w:cs="Calibri"/>
                  <w:color w:val="000000"/>
                </w:rPr>
                <w:fldChar w:fldCharType="begin"/>
              </w:r>
              <w:r w:rsidR="008B6FC0">
                <w:rPr>
                  <w:rFonts w:cs="Calibri"/>
                  <w:color w:val="000000"/>
                </w:rPr>
                <w:instrText xml:space="preserve"> ADDIN EN.CITE &lt;EndNote&gt;&lt;Cite AuthorYear="1"&gt;&lt;Author&gt;Valakh&lt;/Author&gt;&lt;Year&gt;2018&lt;/Year&gt;&lt;RecNum&gt;74&lt;/RecNum&gt;&lt;DisplayText&gt;Valakh et al. (2018)&lt;/DisplayText&gt;&lt;record&gt;&lt;rec-number&gt;74&lt;/rec-number&gt;&lt;foreign-keys&gt;&lt;key app="EN" db-id="sx5wsdwv795wvue959xxw0ptaewvdezxxp05" timestamp="1604876398"&gt;74&lt;/key&gt;&lt;/foreign-keys&gt;&lt;ref-type name="Journal Article"&gt;17&lt;/ref-type&gt;&lt;contributors&gt;&lt;authors&gt;&lt;author&gt;Valakh, V.&lt;/author&gt;&lt;author&gt;Gresswell, S.&lt;/author&gt;&lt;author&gt;Kirichenko, A.&lt;/author&gt;&lt;/authors&gt;&lt;/contributors&gt;&lt;titles&gt;&lt;title&gt;Outcomes of stereotactic body radiotherapy for hepatocellular carcinoma with severe cirrhosis and ineligibility for transplant&lt;/title&gt;&lt;secondary-title&gt;Anticancer Research&lt;/secondary-title&gt;&lt;/titles&gt;&lt;pages&gt;6815-6820&lt;/pages&gt;&lt;volume&gt;38&lt;/volume&gt;&lt;number&gt;12&lt;/number&gt;&lt;dates&gt;&lt;year&gt;2018&lt;/year&gt;&lt;/dates&gt;&lt;accession-num&gt;625292734&lt;/accession-num&gt;&lt;urls&gt;&lt;related-urls&gt;&lt;url&gt;http://ar.iiarjournals.org/content/38/12/6815.full.pdf+htmlhttp://ezproxy.library.usyd.edu.au/login?url=http://ovidsp.ovid.com/ovidweb.cgi?T=JS&amp;amp;CSC=Y&amp;amp;NEWS=N&amp;amp;PAGE=fulltext&amp;amp;D=emed19&amp;amp;AN=625292734https://sydney.alma.exlibrisgroup.com/openurl/61USYD_INST/61USY&lt;/url&gt;&lt;url&gt;http://ar.iiarjournals.org/content/38/12/6815.full.pdf&lt;/url&gt;&lt;/related-urls&gt;&lt;/urls&gt;&lt;electronic-resource-num&gt;http://dx.doi.org/10.21873/anticanres.13054&lt;/electronic-resource-num&gt;&lt;/record&gt;&lt;/Cite&gt;&lt;/EndNote&gt;</w:instrText>
              </w:r>
              <w:r w:rsidR="008B6FC0">
                <w:rPr>
                  <w:rFonts w:cs="Calibri"/>
                  <w:color w:val="000000"/>
                </w:rPr>
                <w:fldChar w:fldCharType="separate"/>
              </w:r>
              <w:r w:rsidR="008B6FC0">
                <w:rPr>
                  <w:rFonts w:cs="Calibri"/>
                  <w:noProof/>
                  <w:color w:val="000000"/>
                </w:rPr>
                <w:t>Valakh et al. (2018)</w:t>
              </w:r>
              <w:r w:rsidR="008B6FC0">
                <w:rPr>
                  <w:rFonts w:cs="Calibri"/>
                  <w:color w:val="000000"/>
                </w:rPr>
                <w:fldChar w:fldCharType="end"/>
              </w:r>
            </w:hyperlink>
          </w:p>
        </w:tc>
        <w:tc>
          <w:tcPr>
            <w:tcW w:w="792" w:type="pct"/>
            <w:tcBorders>
              <w:top w:val="single" w:sz="4" w:space="0" w:color="auto"/>
              <w:left w:val="single" w:sz="4" w:space="0" w:color="auto"/>
              <w:bottom w:val="single" w:sz="4" w:space="0" w:color="auto"/>
              <w:right w:val="single" w:sz="4" w:space="0" w:color="auto"/>
            </w:tcBorders>
          </w:tcPr>
          <w:p w14:paraId="4C38F525" w14:textId="13D6DCF9" w:rsidR="00962EC7" w:rsidRPr="002B629F" w:rsidRDefault="00962EC7" w:rsidP="00F43CBA">
            <w:pPr>
              <w:pStyle w:val="Tabletext1"/>
              <w:jc w:val="center"/>
            </w:pPr>
            <w:r>
              <w:t>Toxicity grade 1-2</w:t>
            </w:r>
          </w:p>
        </w:tc>
        <w:tc>
          <w:tcPr>
            <w:tcW w:w="327" w:type="pct"/>
            <w:tcBorders>
              <w:top w:val="single" w:sz="4" w:space="0" w:color="auto"/>
              <w:left w:val="single" w:sz="4" w:space="0" w:color="auto"/>
              <w:bottom w:val="single" w:sz="4" w:space="0" w:color="auto"/>
              <w:right w:val="single" w:sz="4" w:space="0" w:color="auto"/>
            </w:tcBorders>
          </w:tcPr>
          <w:p w14:paraId="40216DA0" w14:textId="7E87D40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nil"/>
            </w:tcBorders>
          </w:tcPr>
          <w:p w14:paraId="5D775D27" w14:textId="3AA8AE53" w:rsidR="00962EC7" w:rsidRPr="002B629F" w:rsidRDefault="00962EC7" w:rsidP="00F43CBA">
            <w:pPr>
              <w:pStyle w:val="Tabletext1"/>
              <w:jc w:val="center"/>
            </w:pPr>
            <w:r w:rsidRPr="00E340F0">
              <w:t>4/15 (27%)</w:t>
            </w:r>
          </w:p>
        </w:tc>
        <w:tc>
          <w:tcPr>
            <w:tcW w:w="327" w:type="pct"/>
            <w:tcBorders>
              <w:top w:val="single" w:sz="4" w:space="0" w:color="auto"/>
              <w:left w:val="nil"/>
              <w:bottom w:val="single" w:sz="4" w:space="0" w:color="auto"/>
              <w:right w:val="single" w:sz="4" w:space="0" w:color="auto"/>
            </w:tcBorders>
          </w:tcPr>
          <w:p w14:paraId="473D8CB1" w14:textId="709F7614" w:rsidR="00962EC7" w:rsidRPr="002B629F"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1F4B2EE1" w14:textId="77777777" w:rsidR="00962EC7"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225239A5" w14:textId="77777777" w:rsidR="00962EC7"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477A227E" w14:textId="77777777" w:rsidR="00962EC7"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338A146A" w14:textId="77777777" w:rsidR="00962EC7"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533DFBC6" w14:textId="77777777" w:rsidR="00962EC7"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0BF0CFE5"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30644C6C"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5FD41957" w14:textId="77777777" w:rsidR="00962EC7" w:rsidRDefault="00962EC7" w:rsidP="00F43CBA">
            <w:pPr>
              <w:pStyle w:val="Tabletext1"/>
              <w:jc w:val="center"/>
            </w:pPr>
          </w:p>
        </w:tc>
      </w:tr>
      <w:tr w:rsidR="00F43CBA" w:rsidRPr="00B2301A" w14:paraId="034E855A" w14:textId="66DCF8AB" w:rsidTr="00F43CBA">
        <w:tc>
          <w:tcPr>
            <w:tcW w:w="1419" w:type="pct"/>
            <w:gridSpan w:val="2"/>
            <w:tcBorders>
              <w:top w:val="single" w:sz="4" w:space="0" w:color="auto"/>
              <w:left w:val="single" w:sz="4" w:space="0" w:color="auto"/>
              <w:bottom w:val="single" w:sz="4" w:space="0" w:color="auto"/>
              <w:right w:val="nil"/>
            </w:tcBorders>
            <w:shd w:val="clear" w:color="auto" w:fill="auto"/>
            <w:vAlign w:val="bottom"/>
          </w:tcPr>
          <w:p w14:paraId="6BAEFA0E" w14:textId="5A30CADE" w:rsidR="00F43CBA" w:rsidRDefault="00F43CBA" w:rsidP="00F43CBA">
            <w:pPr>
              <w:pStyle w:val="Tabletext1"/>
            </w:pPr>
            <w:r w:rsidRPr="00BD6F3B">
              <w:rPr>
                <w:rFonts w:cs="Calibri"/>
                <w:b/>
                <w:bCs/>
                <w:color w:val="000000"/>
              </w:rPr>
              <w:t>Liver metastases</w:t>
            </w:r>
          </w:p>
        </w:tc>
        <w:tc>
          <w:tcPr>
            <w:tcW w:w="327" w:type="pct"/>
            <w:tcBorders>
              <w:top w:val="single" w:sz="4" w:space="0" w:color="auto"/>
              <w:left w:val="nil"/>
              <w:bottom w:val="single" w:sz="4" w:space="0" w:color="auto"/>
              <w:right w:val="nil"/>
            </w:tcBorders>
          </w:tcPr>
          <w:p w14:paraId="32BBE8BE" w14:textId="77777777" w:rsidR="00F43CBA" w:rsidRPr="002B629F" w:rsidRDefault="00F43CBA" w:rsidP="00F43CBA">
            <w:pPr>
              <w:pStyle w:val="Tabletext1"/>
              <w:jc w:val="center"/>
            </w:pPr>
          </w:p>
        </w:tc>
        <w:tc>
          <w:tcPr>
            <w:tcW w:w="328" w:type="pct"/>
            <w:tcBorders>
              <w:top w:val="single" w:sz="4" w:space="0" w:color="auto"/>
              <w:left w:val="nil"/>
              <w:bottom w:val="single" w:sz="4" w:space="0" w:color="auto"/>
              <w:right w:val="nil"/>
            </w:tcBorders>
          </w:tcPr>
          <w:p w14:paraId="6DDC8C06" w14:textId="77777777" w:rsidR="00F43CBA" w:rsidRPr="00E340F0" w:rsidRDefault="00F43CBA" w:rsidP="00F43CBA">
            <w:pPr>
              <w:pStyle w:val="Tabletext1"/>
              <w:jc w:val="center"/>
            </w:pPr>
          </w:p>
        </w:tc>
        <w:tc>
          <w:tcPr>
            <w:tcW w:w="327" w:type="pct"/>
            <w:tcBorders>
              <w:top w:val="single" w:sz="4" w:space="0" w:color="auto"/>
              <w:left w:val="nil"/>
              <w:bottom w:val="single" w:sz="4" w:space="0" w:color="auto"/>
              <w:right w:val="nil"/>
            </w:tcBorders>
          </w:tcPr>
          <w:p w14:paraId="40F4BB90" w14:textId="77777777" w:rsidR="00F43CBA" w:rsidRPr="002B629F" w:rsidRDefault="00F43CBA" w:rsidP="00F43CBA">
            <w:pPr>
              <w:pStyle w:val="Tabletext1"/>
              <w:jc w:val="center"/>
            </w:pPr>
          </w:p>
        </w:tc>
        <w:tc>
          <w:tcPr>
            <w:tcW w:w="327" w:type="pct"/>
            <w:tcBorders>
              <w:top w:val="single" w:sz="4" w:space="0" w:color="auto"/>
              <w:left w:val="nil"/>
              <w:bottom w:val="single" w:sz="4" w:space="0" w:color="auto"/>
              <w:right w:val="nil"/>
            </w:tcBorders>
          </w:tcPr>
          <w:p w14:paraId="07CC670C" w14:textId="77777777" w:rsidR="00F43CBA" w:rsidRDefault="00F43CBA" w:rsidP="00F43CBA">
            <w:pPr>
              <w:pStyle w:val="Tabletext1"/>
              <w:jc w:val="center"/>
            </w:pPr>
          </w:p>
        </w:tc>
        <w:tc>
          <w:tcPr>
            <w:tcW w:w="328" w:type="pct"/>
            <w:tcBorders>
              <w:top w:val="single" w:sz="4" w:space="0" w:color="auto"/>
              <w:left w:val="nil"/>
              <w:bottom w:val="single" w:sz="4" w:space="0" w:color="auto"/>
              <w:right w:val="nil"/>
            </w:tcBorders>
          </w:tcPr>
          <w:p w14:paraId="4799E1C5" w14:textId="77777777" w:rsidR="00F43CBA" w:rsidRDefault="00F43CBA" w:rsidP="00F43CBA">
            <w:pPr>
              <w:pStyle w:val="Tabletext1"/>
              <w:jc w:val="center"/>
            </w:pPr>
          </w:p>
        </w:tc>
        <w:tc>
          <w:tcPr>
            <w:tcW w:w="327" w:type="pct"/>
            <w:tcBorders>
              <w:top w:val="single" w:sz="4" w:space="0" w:color="auto"/>
              <w:left w:val="nil"/>
              <w:bottom w:val="single" w:sz="4" w:space="0" w:color="auto"/>
              <w:right w:val="nil"/>
            </w:tcBorders>
          </w:tcPr>
          <w:p w14:paraId="7577150F" w14:textId="77777777" w:rsidR="00F43CBA" w:rsidRDefault="00F43CBA" w:rsidP="00F43CBA">
            <w:pPr>
              <w:pStyle w:val="Tabletext1"/>
              <w:jc w:val="center"/>
            </w:pPr>
          </w:p>
        </w:tc>
        <w:tc>
          <w:tcPr>
            <w:tcW w:w="328" w:type="pct"/>
            <w:tcBorders>
              <w:top w:val="single" w:sz="4" w:space="0" w:color="auto"/>
              <w:left w:val="nil"/>
              <w:bottom w:val="single" w:sz="4" w:space="0" w:color="auto"/>
              <w:right w:val="nil"/>
            </w:tcBorders>
          </w:tcPr>
          <w:p w14:paraId="746FE020" w14:textId="77777777" w:rsidR="00F43CBA" w:rsidRDefault="00F43CBA" w:rsidP="00F43CBA">
            <w:pPr>
              <w:pStyle w:val="Tabletext1"/>
              <w:jc w:val="center"/>
            </w:pPr>
          </w:p>
        </w:tc>
        <w:tc>
          <w:tcPr>
            <w:tcW w:w="327" w:type="pct"/>
            <w:tcBorders>
              <w:top w:val="single" w:sz="4" w:space="0" w:color="auto"/>
              <w:left w:val="nil"/>
              <w:bottom w:val="single" w:sz="4" w:space="0" w:color="auto"/>
              <w:right w:val="nil"/>
            </w:tcBorders>
          </w:tcPr>
          <w:p w14:paraId="02F61940" w14:textId="77777777" w:rsidR="00F43CBA" w:rsidRDefault="00F43CBA" w:rsidP="00F43CBA">
            <w:pPr>
              <w:pStyle w:val="Tabletext1"/>
              <w:jc w:val="center"/>
            </w:pPr>
          </w:p>
        </w:tc>
        <w:tc>
          <w:tcPr>
            <w:tcW w:w="327" w:type="pct"/>
            <w:tcBorders>
              <w:top w:val="single" w:sz="4" w:space="0" w:color="auto"/>
              <w:left w:val="nil"/>
              <w:bottom w:val="single" w:sz="4" w:space="0" w:color="auto"/>
              <w:right w:val="nil"/>
            </w:tcBorders>
          </w:tcPr>
          <w:p w14:paraId="363355D6" w14:textId="77777777" w:rsidR="00F43CBA" w:rsidRDefault="00F43CBA" w:rsidP="00F43CBA">
            <w:pPr>
              <w:pStyle w:val="Tabletext1"/>
              <w:jc w:val="center"/>
            </w:pPr>
          </w:p>
        </w:tc>
        <w:tc>
          <w:tcPr>
            <w:tcW w:w="319" w:type="pct"/>
            <w:tcBorders>
              <w:top w:val="single" w:sz="4" w:space="0" w:color="auto"/>
              <w:left w:val="nil"/>
              <w:bottom w:val="single" w:sz="4" w:space="0" w:color="auto"/>
              <w:right w:val="single" w:sz="4" w:space="0" w:color="auto"/>
            </w:tcBorders>
          </w:tcPr>
          <w:p w14:paraId="6A70C550" w14:textId="77777777" w:rsidR="00F43CBA" w:rsidRDefault="00F43CBA" w:rsidP="00F43CBA">
            <w:pPr>
              <w:pStyle w:val="Tabletext1"/>
              <w:jc w:val="center"/>
            </w:pPr>
          </w:p>
        </w:tc>
        <w:tc>
          <w:tcPr>
            <w:tcW w:w="316" w:type="pct"/>
            <w:tcBorders>
              <w:top w:val="single" w:sz="4" w:space="0" w:color="auto"/>
              <w:left w:val="nil"/>
              <w:bottom w:val="single" w:sz="4" w:space="0" w:color="auto"/>
              <w:right w:val="single" w:sz="4" w:space="0" w:color="auto"/>
            </w:tcBorders>
          </w:tcPr>
          <w:p w14:paraId="463C9EB3" w14:textId="77777777" w:rsidR="00F43CBA" w:rsidRDefault="00F43CBA" w:rsidP="00F43CBA">
            <w:pPr>
              <w:pStyle w:val="Tabletext1"/>
              <w:jc w:val="center"/>
            </w:pPr>
          </w:p>
        </w:tc>
      </w:tr>
      <w:tr w:rsidR="00962EC7" w:rsidRPr="00B2301A" w14:paraId="49B1D91C" w14:textId="1EA1060E" w:rsidTr="00F43CBA">
        <w:tc>
          <w:tcPr>
            <w:tcW w:w="627" w:type="pct"/>
            <w:tcBorders>
              <w:top w:val="single" w:sz="4" w:space="0" w:color="auto"/>
              <w:left w:val="single" w:sz="4" w:space="0" w:color="auto"/>
              <w:bottom w:val="single" w:sz="4" w:space="0" w:color="auto"/>
              <w:right w:val="single" w:sz="4" w:space="0" w:color="auto"/>
            </w:tcBorders>
            <w:shd w:val="clear" w:color="auto" w:fill="auto"/>
          </w:tcPr>
          <w:p w14:paraId="2E945595" w14:textId="32D09A1A" w:rsidR="00962EC7" w:rsidRPr="00F27948" w:rsidRDefault="00211285" w:rsidP="00F43CBA">
            <w:pPr>
              <w:pStyle w:val="Tabletext1"/>
            </w:pPr>
            <w:hyperlink w:anchor="_ENREF_2" w:tooltip="Amendola, 2017 #28" w:history="1">
              <w:r w:rsidR="008B6FC0">
                <w:fldChar w:fldCharType="begin"/>
              </w:r>
              <w:r w:rsidR="008B6FC0">
                <w:instrText xml:space="preserve"> ADDIN EN.CITE &lt;EndNote&gt;&lt;Cite AuthorYear="1"&gt;&lt;Author&gt;Amendola&lt;/Author&gt;&lt;Year&gt;2017&lt;/Year&gt;&lt;RecNum&gt;28&lt;/RecNum&gt;&lt;DisplayText&gt;Amendola et al. (2017)&lt;/DisplayText&gt;&lt;record&gt;&lt;rec-number&gt;28&lt;/rec-number&gt;&lt;foreign-keys&gt;&lt;key app="EN" db-id="sx5wsdwv795wvue959xxw0ptaewvdezxxp05" timestamp="1604876375"&gt;28&lt;/key&gt;&lt;/foreign-keys&gt;&lt;ref-type name="Journal Article"&gt;17&lt;/ref-type&gt;&lt;contributors&gt;&lt;authors&gt;&lt;author&gt;Amendola, B.&lt;/author&gt;&lt;author&gt;Amendola, M.&lt;/author&gt;&lt;author&gt;Blanco, J. M.&lt;/author&gt;&lt;author&gt;Perez, N.&lt;/author&gt;&lt;author&gt;Wu, X.&lt;/author&gt;&lt;/authors&gt;&lt;/contributors&gt;&lt;titles&gt;&lt;title&gt;Radiosurgery for liver metastases. A single institution experience&lt;/title&gt;&lt;secondary-title&gt;Reports of Practical Oncology and Radiotherapy&lt;/secondary-title&gt;&lt;/titles&gt;&lt;pages&gt;118-125&lt;/pages&gt;&lt;volume&gt;22&lt;/volume&gt;&lt;number&gt;2&lt;/number&gt;&lt;dates&gt;&lt;year&gt;2017&lt;/year&gt;&lt;/dates&gt;&lt;accession-num&gt;613982955&lt;/accession-num&gt;&lt;urls&gt;&lt;related-urls&gt;&lt;url&gt;http://www.elsevier.com/wps/find/journaldescription.cws_home/719699/description#descriptionhttp://ezproxy.library.usyd.edu.au/login?url=http://ovidsp.ovid.com/ovidweb.cgi?T=JS&amp;amp;CSC=Y&amp;amp;NEWS=N&amp;amp;PAGE=fulltext&amp;amp;D=emed18&amp;amp;AN=613982955https://sydney.alma.exlibrisgro&lt;/url&gt;&lt;url&gt;https://www.ncbi.nlm.nih.gov/pmc/articles/PMC5411906/pdf/main.pdf&lt;/url&gt;&lt;/related-urls&gt;&lt;/urls&gt;&lt;electronic-resource-num&gt;http://dx.doi.org/10.1016/j.rpor.2016.10.001&lt;/electronic-resource-num&gt;&lt;/record&gt;&lt;/Cite&gt;&lt;/EndNote&gt;</w:instrText>
              </w:r>
              <w:r w:rsidR="008B6FC0">
                <w:fldChar w:fldCharType="separate"/>
              </w:r>
              <w:r w:rsidR="008B6FC0">
                <w:rPr>
                  <w:noProof/>
                </w:rPr>
                <w:t>Amendola et al. (2017)</w:t>
              </w:r>
              <w:r w:rsidR="008B6FC0">
                <w:fldChar w:fldCharType="end"/>
              </w:r>
            </w:hyperlink>
          </w:p>
        </w:tc>
        <w:tc>
          <w:tcPr>
            <w:tcW w:w="792" w:type="pct"/>
            <w:tcBorders>
              <w:top w:val="single" w:sz="4" w:space="0" w:color="auto"/>
              <w:left w:val="single" w:sz="4" w:space="0" w:color="auto"/>
              <w:bottom w:val="single" w:sz="4" w:space="0" w:color="auto"/>
              <w:right w:val="single" w:sz="4" w:space="0" w:color="auto"/>
            </w:tcBorders>
          </w:tcPr>
          <w:p w14:paraId="0BA412DE" w14:textId="2636AD96" w:rsidR="00962EC7" w:rsidRPr="00F27948" w:rsidRDefault="00962EC7" w:rsidP="00F43CBA">
            <w:pPr>
              <w:pStyle w:val="Tabletext1"/>
              <w:jc w:val="center"/>
            </w:pPr>
            <w:r w:rsidRPr="00F27948">
              <w:t>Toxicity</w:t>
            </w:r>
          </w:p>
        </w:tc>
        <w:tc>
          <w:tcPr>
            <w:tcW w:w="327" w:type="pct"/>
            <w:tcBorders>
              <w:top w:val="single" w:sz="4" w:space="0" w:color="auto"/>
              <w:left w:val="single" w:sz="4" w:space="0" w:color="auto"/>
              <w:bottom w:val="single" w:sz="4" w:space="0" w:color="auto"/>
              <w:right w:val="single" w:sz="4" w:space="0" w:color="auto"/>
            </w:tcBorders>
          </w:tcPr>
          <w:p w14:paraId="30748B0B" w14:textId="2EDDAED8" w:rsidR="00962EC7" w:rsidRPr="00F27948" w:rsidRDefault="00962EC7" w:rsidP="00F43CBA">
            <w:pPr>
              <w:pStyle w:val="Tabletext1"/>
              <w:jc w:val="center"/>
            </w:pPr>
            <w:r w:rsidRPr="00F27948">
              <w:t>22/27</w:t>
            </w:r>
            <w:r w:rsidR="00064CC3">
              <w:t xml:space="preserve"> (81%)</w:t>
            </w:r>
          </w:p>
        </w:tc>
        <w:tc>
          <w:tcPr>
            <w:tcW w:w="328" w:type="pct"/>
            <w:tcBorders>
              <w:top w:val="single" w:sz="4" w:space="0" w:color="auto"/>
              <w:left w:val="single" w:sz="4" w:space="0" w:color="auto"/>
              <w:bottom w:val="single" w:sz="4" w:space="0" w:color="auto"/>
              <w:right w:val="single" w:sz="4" w:space="0" w:color="auto"/>
            </w:tcBorders>
          </w:tcPr>
          <w:p w14:paraId="0206E7E9" w14:textId="195CF57D" w:rsidR="00962EC7" w:rsidRPr="00F27948" w:rsidRDefault="00962EC7" w:rsidP="00F43CBA">
            <w:pPr>
              <w:pStyle w:val="Tabletext1"/>
              <w:jc w:val="center"/>
            </w:pPr>
            <w:r w:rsidRPr="00F27948">
              <w:t>5/27</w:t>
            </w:r>
            <w:r w:rsidR="00CB6F74">
              <w:t xml:space="preserve"> (19%)</w:t>
            </w:r>
          </w:p>
        </w:tc>
        <w:tc>
          <w:tcPr>
            <w:tcW w:w="327" w:type="pct"/>
            <w:tcBorders>
              <w:top w:val="single" w:sz="4" w:space="0" w:color="auto"/>
              <w:left w:val="single" w:sz="4" w:space="0" w:color="auto"/>
              <w:bottom w:val="single" w:sz="4" w:space="0" w:color="auto"/>
              <w:right w:val="single" w:sz="4" w:space="0" w:color="auto"/>
            </w:tcBorders>
          </w:tcPr>
          <w:p w14:paraId="5DFB90FC" w14:textId="419D056E" w:rsidR="00962EC7" w:rsidRPr="00F27948" w:rsidRDefault="00962EC7" w:rsidP="00F43CBA">
            <w:pPr>
              <w:pStyle w:val="Tabletext1"/>
              <w:jc w:val="center"/>
            </w:pPr>
            <w:r w:rsidRPr="00F27948">
              <w:t>1/27</w:t>
            </w:r>
            <w:r w:rsidR="00CB6F74">
              <w:t xml:space="preserve"> </w:t>
            </w:r>
            <w:r w:rsidR="00E21886">
              <w:t>(4%)</w:t>
            </w:r>
          </w:p>
        </w:tc>
        <w:tc>
          <w:tcPr>
            <w:tcW w:w="327" w:type="pct"/>
            <w:tcBorders>
              <w:top w:val="single" w:sz="4" w:space="0" w:color="auto"/>
              <w:left w:val="single" w:sz="4" w:space="0" w:color="auto"/>
              <w:bottom w:val="single" w:sz="4" w:space="0" w:color="auto"/>
              <w:right w:val="single" w:sz="4" w:space="0" w:color="auto"/>
            </w:tcBorders>
          </w:tcPr>
          <w:p w14:paraId="16F60E5C" w14:textId="785E4B35" w:rsidR="00962EC7" w:rsidRPr="00F27948" w:rsidRDefault="00962EC7" w:rsidP="00F43CBA">
            <w:pPr>
              <w:pStyle w:val="Tabletext1"/>
              <w:jc w:val="center"/>
            </w:pPr>
            <w:r w:rsidRPr="00F27948">
              <w:t>0/27</w:t>
            </w:r>
            <w:r w:rsidR="00E21886">
              <w:t xml:space="preserve"> (0%)</w:t>
            </w:r>
          </w:p>
        </w:tc>
        <w:tc>
          <w:tcPr>
            <w:tcW w:w="328" w:type="pct"/>
            <w:tcBorders>
              <w:top w:val="single" w:sz="4" w:space="0" w:color="auto"/>
              <w:left w:val="single" w:sz="4" w:space="0" w:color="auto"/>
              <w:bottom w:val="single" w:sz="4" w:space="0" w:color="auto"/>
              <w:right w:val="single" w:sz="4" w:space="0" w:color="auto"/>
            </w:tcBorders>
          </w:tcPr>
          <w:p w14:paraId="78919EBC" w14:textId="3F80E82E" w:rsidR="00962EC7" w:rsidRPr="00F27948" w:rsidRDefault="00962EC7" w:rsidP="00F43CBA">
            <w:pPr>
              <w:pStyle w:val="Tabletext1"/>
              <w:jc w:val="center"/>
            </w:pPr>
            <w:r w:rsidRPr="00F27948">
              <w:t>0/27</w:t>
            </w:r>
            <w:r w:rsidR="00E21886">
              <w:t xml:space="preserve"> (0%)</w:t>
            </w:r>
          </w:p>
        </w:tc>
        <w:tc>
          <w:tcPr>
            <w:tcW w:w="327" w:type="pct"/>
            <w:tcBorders>
              <w:top w:val="single" w:sz="4" w:space="0" w:color="auto"/>
              <w:left w:val="single" w:sz="4" w:space="0" w:color="auto"/>
              <w:bottom w:val="single" w:sz="4" w:space="0" w:color="auto"/>
              <w:right w:val="single" w:sz="4" w:space="0" w:color="auto"/>
            </w:tcBorders>
          </w:tcPr>
          <w:p w14:paraId="05837ECC" w14:textId="77777777" w:rsidR="00962EC7" w:rsidRPr="00F27948"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20A40C30" w14:textId="77777777" w:rsidR="00962EC7" w:rsidRPr="00F27948"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50744A21" w14:textId="77777777" w:rsidR="00962EC7" w:rsidRPr="00F27948"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184CB2C6" w14:textId="77777777" w:rsidR="00962EC7" w:rsidRPr="00F27948"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51732727" w14:textId="77777777" w:rsidR="00962EC7" w:rsidRPr="00F27948"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22721670" w14:textId="77777777" w:rsidR="00962EC7" w:rsidRPr="00F27948" w:rsidRDefault="00962EC7" w:rsidP="00F43CBA">
            <w:pPr>
              <w:pStyle w:val="Tabletext1"/>
              <w:jc w:val="center"/>
            </w:pPr>
          </w:p>
        </w:tc>
      </w:tr>
      <w:tr w:rsidR="00962EC7" w:rsidRPr="00B2301A" w14:paraId="4536DB5F" w14:textId="0DD387E1" w:rsidTr="00F43CBA">
        <w:tc>
          <w:tcPr>
            <w:tcW w:w="627" w:type="pct"/>
            <w:tcBorders>
              <w:top w:val="single" w:sz="4" w:space="0" w:color="auto"/>
              <w:left w:val="single" w:sz="4" w:space="0" w:color="auto"/>
              <w:bottom w:val="single" w:sz="4" w:space="0" w:color="auto"/>
              <w:right w:val="single" w:sz="4" w:space="0" w:color="auto"/>
            </w:tcBorders>
            <w:shd w:val="clear" w:color="auto" w:fill="auto"/>
            <w:vAlign w:val="bottom"/>
          </w:tcPr>
          <w:p w14:paraId="076811CB" w14:textId="07B4A7D9" w:rsidR="00962EC7" w:rsidRPr="00F27948" w:rsidRDefault="00211285" w:rsidP="00F43CBA">
            <w:pPr>
              <w:pStyle w:val="Tabletext1"/>
            </w:pPr>
            <w:hyperlink w:anchor="_ENREF_3" w:tooltip="Andratschke, 2018 #29" w:history="1">
              <w:r w:rsidR="008B6FC0">
                <w:fldChar w:fldCharType="begin"/>
              </w:r>
              <w:r w:rsidR="008B6FC0">
                <w:instrText xml:space="preserve"> ADDIN EN.CITE &lt;EndNote&gt;&lt;Cite AuthorYear="1"&gt;&lt;Author&gt;Andratschke&lt;/Author&gt;&lt;Year&gt;2018&lt;/Year&gt;&lt;RecNum&gt;29&lt;/RecNum&gt;&lt;DisplayText&gt;Andratschke et al. (2018)&lt;/DisplayText&gt;&lt;record&gt;&lt;rec-number&gt;29&lt;/rec-number&gt;&lt;foreign-keys&gt;&lt;key app="EN" db-id="sx5wsdwv795wvue959xxw0ptaewvdezxxp05" timestamp="1604876375"&gt;29&lt;/key&gt;&lt;/foreign-keys&gt;&lt;ref-type name="Journal Article"&gt;17&lt;/ref-type&gt;&lt;contributors&gt;&lt;authors&gt;&lt;author&gt;Andratschke, N.&lt;/author&gt;&lt;author&gt;Alheid, H.&lt;/author&gt;&lt;author&gt;Allgauer, M.&lt;/author&gt;&lt;author&gt;Becker, G.&lt;/author&gt;&lt;author&gt;Blanck, O.&lt;/author&gt;&lt;author&gt;Boda-Heggemann, J.&lt;/author&gt;&lt;author&gt;Brunner, T.&lt;/author&gt;&lt;author&gt;Duma, M.&lt;/author&gt;&lt;author&gt;Gerum, S.&lt;/author&gt;&lt;author&gt;Guckenberger, M.&lt;/author&gt;&lt;author&gt;Hildebrandt, G.&lt;/author&gt;&lt;author&gt;Klement, R. J.&lt;/author&gt;&lt;author&gt;Lewitzki, V.&lt;/author&gt;&lt;author&gt;Ostheimer, C.&lt;/author&gt;&lt;author&gt;Papachristofilou, A.&lt;/author&gt;&lt;author&gt;Petersen, C.&lt;/author&gt;&lt;author&gt;Schneider, T.&lt;/author&gt;&lt;author&gt;Semrau, R.&lt;/author&gt;&lt;author&gt;Wachter, S.&lt;/author&gt;&lt;author&gt;Habermehl, D.&lt;/author&gt;&lt;/authors&gt;&lt;/contributors&gt;&lt;titles&gt;&lt;title&gt;The SBRT database initiative of the German Society for Radiation Oncology (DEGRO): patterns of care and outcome analysis of stereotactic body radiotherapy (SBRT) for liver oligometastases in 474 patients with 623 metastases&lt;/title&gt;&lt;secondary-title&gt;BMC Cancer&lt;/secondary-title&gt;&lt;/titles&gt;&lt;pages&gt;283&lt;/pages&gt;&lt;volume&gt;18&lt;/volume&gt;&lt;number&gt;1&lt;/number&gt;&lt;dates&gt;&lt;year&gt;2018&lt;/year&gt;&lt;/dates&gt;&lt;accession-num&gt;29534687&lt;/accession-num&gt;&lt;urls&gt;&lt;related-urls&gt;&lt;url&gt;http://ezproxy.library.usyd.edu.au/login?url=http://ovidsp.ovid.com/ovidweb.cgi?T=JS&amp;amp;CSC=Y&amp;amp;NEWS=N&amp;amp;PAGE=fulltext&amp;amp;D=med15&amp;amp;AN=29534687https://sydney.alma.exlibrisgroup.com/openurl/61USYD_INST/61USYD_INST:sydney?sid=OVID:medline&amp;amp;id=pmid:29534687&amp;amp;id=doi:10.118&lt;/url&gt;&lt;url&gt;https://www.ncbi.nlm.nih.gov/pmc/articles/PMC5851117/pdf/12885_2018_Article_4191.pdf&lt;/url&gt;&lt;/related-urls&gt;&lt;/urls&gt;&lt;electronic-resource-num&gt;https://dx.doi.org/10.1186/s12885-018-4191-2&lt;/electronic-resource-num&gt;&lt;/record&gt;&lt;/Cite&gt;&lt;/EndNote&gt;</w:instrText>
              </w:r>
              <w:r w:rsidR="008B6FC0">
                <w:fldChar w:fldCharType="separate"/>
              </w:r>
              <w:r w:rsidR="008B6FC0">
                <w:rPr>
                  <w:noProof/>
                </w:rPr>
                <w:t>Andratschke et al. (2018)</w:t>
              </w:r>
              <w:r w:rsidR="008B6FC0">
                <w:fldChar w:fldCharType="end"/>
              </w:r>
            </w:hyperlink>
          </w:p>
        </w:tc>
        <w:tc>
          <w:tcPr>
            <w:tcW w:w="792" w:type="pct"/>
            <w:tcBorders>
              <w:top w:val="single" w:sz="4" w:space="0" w:color="auto"/>
              <w:left w:val="single" w:sz="4" w:space="0" w:color="auto"/>
              <w:bottom w:val="single" w:sz="4" w:space="0" w:color="auto"/>
              <w:right w:val="single" w:sz="4" w:space="0" w:color="auto"/>
            </w:tcBorders>
          </w:tcPr>
          <w:p w14:paraId="7543EA6F" w14:textId="76CE9F3D" w:rsidR="00962EC7" w:rsidRPr="00F27948" w:rsidRDefault="00962EC7" w:rsidP="00F43CBA">
            <w:pPr>
              <w:pStyle w:val="Tabletext1"/>
              <w:jc w:val="center"/>
            </w:pPr>
            <w:r w:rsidRPr="00F27948">
              <w:t>Toxicity</w:t>
            </w:r>
          </w:p>
          <w:p w14:paraId="3E7F5E81" w14:textId="77777777" w:rsidR="00962EC7"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375958D3"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nil"/>
            </w:tcBorders>
          </w:tcPr>
          <w:p w14:paraId="79B167F2" w14:textId="738E5212" w:rsidR="00962EC7" w:rsidRPr="00E340F0" w:rsidRDefault="00962EC7" w:rsidP="00F43CBA">
            <w:pPr>
              <w:pStyle w:val="Tabletext1"/>
              <w:jc w:val="center"/>
            </w:pPr>
            <w:r>
              <w:t>23%</w:t>
            </w:r>
          </w:p>
        </w:tc>
        <w:tc>
          <w:tcPr>
            <w:tcW w:w="327" w:type="pct"/>
            <w:tcBorders>
              <w:top w:val="single" w:sz="4" w:space="0" w:color="auto"/>
              <w:left w:val="nil"/>
              <w:bottom w:val="single" w:sz="4" w:space="0" w:color="auto"/>
              <w:right w:val="single" w:sz="4" w:space="0" w:color="auto"/>
            </w:tcBorders>
          </w:tcPr>
          <w:p w14:paraId="25EDB231" w14:textId="77777777" w:rsidR="00962EC7" w:rsidRPr="002B629F"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AD9BE45" w14:textId="28718306" w:rsidR="00962EC7" w:rsidRPr="001553AA" w:rsidRDefault="00962EC7" w:rsidP="00F43CBA">
            <w:pPr>
              <w:pStyle w:val="Tabletext1"/>
              <w:jc w:val="center"/>
            </w:pPr>
            <w:r w:rsidRPr="001553AA">
              <w:t>&lt;1%</w:t>
            </w:r>
          </w:p>
        </w:tc>
        <w:tc>
          <w:tcPr>
            <w:tcW w:w="328" w:type="pct"/>
            <w:tcBorders>
              <w:top w:val="single" w:sz="4" w:space="0" w:color="auto"/>
              <w:left w:val="single" w:sz="4" w:space="0" w:color="auto"/>
              <w:bottom w:val="single" w:sz="4" w:space="0" w:color="auto"/>
              <w:right w:val="single" w:sz="4" w:space="0" w:color="auto"/>
            </w:tcBorders>
          </w:tcPr>
          <w:p w14:paraId="7E6526F1" w14:textId="77777777" w:rsidR="00962EC7"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0993EF81" w14:textId="77777777" w:rsidR="00962EC7"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0B57D666" w14:textId="77777777" w:rsidR="00962EC7"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43C8B2D0" w14:textId="77777777" w:rsidR="00962EC7"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0580B267"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3548CEEB"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07107744" w14:textId="77777777" w:rsidR="00962EC7" w:rsidRDefault="00962EC7" w:rsidP="00F43CBA">
            <w:pPr>
              <w:pStyle w:val="Tabletext1"/>
              <w:jc w:val="center"/>
            </w:pPr>
          </w:p>
        </w:tc>
      </w:tr>
      <w:tr w:rsidR="00962EC7" w:rsidRPr="00B2301A" w14:paraId="2B8682B9" w14:textId="054763EC" w:rsidTr="00F43CBA">
        <w:tc>
          <w:tcPr>
            <w:tcW w:w="627" w:type="pct"/>
            <w:tcBorders>
              <w:top w:val="single" w:sz="4" w:space="0" w:color="auto"/>
              <w:left w:val="single" w:sz="4" w:space="0" w:color="auto"/>
              <w:bottom w:val="single" w:sz="4" w:space="0" w:color="auto"/>
              <w:right w:val="nil"/>
            </w:tcBorders>
            <w:shd w:val="clear" w:color="auto" w:fill="auto"/>
            <w:vAlign w:val="bottom"/>
          </w:tcPr>
          <w:p w14:paraId="1EA67A8E" w14:textId="6FA0C8B1" w:rsidR="00962EC7" w:rsidRPr="00BD6F3B" w:rsidRDefault="00962EC7" w:rsidP="00F43CBA">
            <w:pPr>
              <w:pStyle w:val="Tabletext1"/>
              <w:rPr>
                <w:rFonts w:cs="Calibri"/>
                <w:b/>
                <w:bCs/>
                <w:color w:val="000000"/>
              </w:rPr>
            </w:pPr>
            <w:r w:rsidRPr="00BD6F3B">
              <w:rPr>
                <w:rFonts w:cs="Calibri"/>
                <w:b/>
                <w:bCs/>
                <w:color w:val="000000"/>
              </w:rPr>
              <w:t>Pancreas</w:t>
            </w:r>
          </w:p>
        </w:tc>
        <w:tc>
          <w:tcPr>
            <w:tcW w:w="792" w:type="pct"/>
            <w:tcBorders>
              <w:top w:val="single" w:sz="4" w:space="0" w:color="auto"/>
              <w:left w:val="nil"/>
              <w:bottom w:val="single" w:sz="4" w:space="0" w:color="auto"/>
              <w:right w:val="nil"/>
            </w:tcBorders>
            <w:vAlign w:val="bottom"/>
          </w:tcPr>
          <w:p w14:paraId="73B85AB2" w14:textId="77777777" w:rsidR="00962EC7" w:rsidRDefault="00962EC7" w:rsidP="00F43CBA">
            <w:pPr>
              <w:pStyle w:val="Tabletext1"/>
              <w:jc w:val="center"/>
            </w:pPr>
          </w:p>
        </w:tc>
        <w:tc>
          <w:tcPr>
            <w:tcW w:w="327" w:type="pct"/>
            <w:tcBorders>
              <w:top w:val="single" w:sz="4" w:space="0" w:color="auto"/>
              <w:left w:val="nil"/>
              <w:bottom w:val="single" w:sz="4" w:space="0" w:color="auto"/>
              <w:right w:val="nil"/>
            </w:tcBorders>
          </w:tcPr>
          <w:p w14:paraId="027C58F3" w14:textId="77777777" w:rsidR="00962EC7" w:rsidRPr="002B629F" w:rsidRDefault="00962EC7" w:rsidP="00F43CBA">
            <w:pPr>
              <w:pStyle w:val="Tabletext1"/>
              <w:jc w:val="center"/>
            </w:pPr>
          </w:p>
        </w:tc>
        <w:tc>
          <w:tcPr>
            <w:tcW w:w="328" w:type="pct"/>
            <w:tcBorders>
              <w:top w:val="single" w:sz="4" w:space="0" w:color="auto"/>
              <w:left w:val="nil"/>
              <w:bottom w:val="single" w:sz="4" w:space="0" w:color="auto"/>
              <w:right w:val="nil"/>
            </w:tcBorders>
          </w:tcPr>
          <w:p w14:paraId="776D2689" w14:textId="77777777" w:rsidR="00962EC7" w:rsidRPr="00E340F0" w:rsidRDefault="00962EC7" w:rsidP="00F43CBA">
            <w:pPr>
              <w:pStyle w:val="Tabletext1"/>
              <w:jc w:val="center"/>
            </w:pPr>
          </w:p>
        </w:tc>
        <w:tc>
          <w:tcPr>
            <w:tcW w:w="327" w:type="pct"/>
            <w:tcBorders>
              <w:top w:val="single" w:sz="4" w:space="0" w:color="auto"/>
              <w:left w:val="nil"/>
              <w:bottom w:val="single" w:sz="4" w:space="0" w:color="auto"/>
              <w:right w:val="nil"/>
            </w:tcBorders>
          </w:tcPr>
          <w:p w14:paraId="316C41D2" w14:textId="77777777" w:rsidR="00962EC7" w:rsidRPr="002B629F" w:rsidRDefault="00962EC7" w:rsidP="00F43CBA">
            <w:pPr>
              <w:pStyle w:val="Tabletext1"/>
              <w:jc w:val="center"/>
            </w:pPr>
          </w:p>
        </w:tc>
        <w:tc>
          <w:tcPr>
            <w:tcW w:w="327" w:type="pct"/>
            <w:tcBorders>
              <w:top w:val="single" w:sz="4" w:space="0" w:color="auto"/>
              <w:left w:val="nil"/>
              <w:bottom w:val="single" w:sz="4" w:space="0" w:color="auto"/>
              <w:right w:val="nil"/>
            </w:tcBorders>
          </w:tcPr>
          <w:p w14:paraId="2125DCFF" w14:textId="77777777" w:rsidR="00962EC7" w:rsidRDefault="00962EC7" w:rsidP="00F43CBA">
            <w:pPr>
              <w:pStyle w:val="Tabletext1"/>
              <w:jc w:val="center"/>
            </w:pPr>
          </w:p>
        </w:tc>
        <w:tc>
          <w:tcPr>
            <w:tcW w:w="328" w:type="pct"/>
            <w:tcBorders>
              <w:top w:val="single" w:sz="4" w:space="0" w:color="auto"/>
              <w:left w:val="nil"/>
              <w:bottom w:val="single" w:sz="4" w:space="0" w:color="auto"/>
              <w:right w:val="nil"/>
            </w:tcBorders>
          </w:tcPr>
          <w:p w14:paraId="449BF5F5" w14:textId="77777777" w:rsidR="00962EC7" w:rsidRDefault="00962EC7" w:rsidP="00F43CBA">
            <w:pPr>
              <w:pStyle w:val="Tabletext1"/>
              <w:jc w:val="center"/>
            </w:pPr>
          </w:p>
        </w:tc>
        <w:tc>
          <w:tcPr>
            <w:tcW w:w="327" w:type="pct"/>
            <w:tcBorders>
              <w:top w:val="single" w:sz="4" w:space="0" w:color="auto"/>
              <w:left w:val="nil"/>
              <w:bottom w:val="single" w:sz="4" w:space="0" w:color="auto"/>
              <w:right w:val="nil"/>
            </w:tcBorders>
          </w:tcPr>
          <w:p w14:paraId="2E37913F" w14:textId="77777777" w:rsidR="00962EC7" w:rsidRDefault="00962EC7" w:rsidP="00F43CBA">
            <w:pPr>
              <w:pStyle w:val="Tabletext1"/>
              <w:jc w:val="center"/>
            </w:pPr>
          </w:p>
        </w:tc>
        <w:tc>
          <w:tcPr>
            <w:tcW w:w="328" w:type="pct"/>
            <w:tcBorders>
              <w:top w:val="single" w:sz="4" w:space="0" w:color="auto"/>
              <w:left w:val="nil"/>
              <w:bottom w:val="single" w:sz="4" w:space="0" w:color="auto"/>
              <w:right w:val="nil"/>
            </w:tcBorders>
          </w:tcPr>
          <w:p w14:paraId="24CBDE2D" w14:textId="77777777" w:rsidR="00962EC7" w:rsidRDefault="00962EC7" w:rsidP="00F43CBA">
            <w:pPr>
              <w:pStyle w:val="Tabletext1"/>
              <w:jc w:val="center"/>
            </w:pPr>
          </w:p>
        </w:tc>
        <w:tc>
          <w:tcPr>
            <w:tcW w:w="327" w:type="pct"/>
            <w:tcBorders>
              <w:top w:val="single" w:sz="4" w:space="0" w:color="auto"/>
              <w:left w:val="nil"/>
              <w:bottom w:val="single" w:sz="4" w:space="0" w:color="auto"/>
              <w:right w:val="nil"/>
            </w:tcBorders>
          </w:tcPr>
          <w:p w14:paraId="3C173858" w14:textId="77777777" w:rsidR="00962EC7" w:rsidRDefault="00962EC7" w:rsidP="00F43CBA">
            <w:pPr>
              <w:pStyle w:val="Tabletext1"/>
              <w:jc w:val="center"/>
            </w:pPr>
          </w:p>
        </w:tc>
        <w:tc>
          <w:tcPr>
            <w:tcW w:w="327" w:type="pct"/>
            <w:tcBorders>
              <w:top w:val="single" w:sz="4" w:space="0" w:color="auto"/>
              <w:left w:val="nil"/>
              <w:bottom w:val="single" w:sz="4" w:space="0" w:color="auto"/>
              <w:right w:val="nil"/>
            </w:tcBorders>
          </w:tcPr>
          <w:p w14:paraId="61D95332" w14:textId="77777777" w:rsidR="00962EC7" w:rsidRDefault="00962EC7" w:rsidP="00F43CBA">
            <w:pPr>
              <w:pStyle w:val="Tabletext1"/>
              <w:jc w:val="center"/>
            </w:pPr>
          </w:p>
        </w:tc>
        <w:tc>
          <w:tcPr>
            <w:tcW w:w="319" w:type="pct"/>
            <w:tcBorders>
              <w:top w:val="single" w:sz="4" w:space="0" w:color="auto"/>
              <w:left w:val="nil"/>
              <w:bottom w:val="single" w:sz="4" w:space="0" w:color="auto"/>
              <w:right w:val="nil"/>
            </w:tcBorders>
          </w:tcPr>
          <w:p w14:paraId="69598D16" w14:textId="77777777" w:rsidR="00962EC7" w:rsidRDefault="00962EC7" w:rsidP="00F43CBA">
            <w:pPr>
              <w:pStyle w:val="Tabletext1"/>
              <w:jc w:val="center"/>
            </w:pPr>
          </w:p>
        </w:tc>
        <w:tc>
          <w:tcPr>
            <w:tcW w:w="316" w:type="pct"/>
            <w:tcBorders>
              <w:top w:val="single" w:sz="4" w:space="0" w:color="auto"/>
              <w:left w:val="nil"/>
              <w:bottom w:val="single" w:sz="4" w:space="0" w:color="auto"/>
              <w:right w:val="single" w:sz="4" w:space="0" w:color="auto"/>
            </w:tcBorders>
          </w:tcPr>
          <w:p w14:paraId="1ED103B7" w14:textId="77777777" w:rsidR="00962EC7" w:rsidRDefault="00962EC7" w:rsidP="00F43CBA">
            <w:pPr>
              <w:pStyle w:val="Tabletext1"/>
              <w:jc w:val="center"/>
            </w:pPr>
          </w:p>
        </w:tc>
      </w:tr>
      <w:tr w:rsidR="00F43CBA" w:rsidRPr="00B2301A" w14:paraId="4EFD0F65" w14:textId="5388590C" w:rsidTr="0088569E">
        <w:tc>
          <w:tcPr>
            <w:tcW w:w="627" w:type="pct"/>
            <w:vMerge w:val="restart"/>
            <w:tcBorders>
              <w:top w:val="single" w:sz="4" w:space="0" w:color="auto"/>
              <w:left w:val="single" w:sz="4" w:space="0" w:color="auto"/>
              <w:right w:val="single" w:sz="4" w:space="0" w:color="auto"/>
            </w:tcBorders>
            <w:shd w:val="clear" w:color="auto" w:fill="auto"/>
          </w:tcPr>
          <w:p w14:paraId="452BD2A9" w14:textId="3897DF7D" w:rsidR="00F43CBA" w:rsidRPr="00BD6F3B" w:rsidRDefault="00211285" w:rsidP="00F43CBA">
            <w:pPr>
              <w:pStyle w:val="Tabletext1"/>
            </w:pPr>
            <w:hyperlink w:anchor="_ENREF_51" w:tooltip="Mazzola, 2018 #84" w:history="1">
              <w:r w:rsidR="008B6FC0">
                <w:fldChar w:fldCharType="begin"/>
              </w:r>
              <w:r w:rsidR="008B6FC0">
                <w:instrText xml:space="preserve"> ADDIN EN.CITE &lt;EndNote&gt;&lt;Cite AuthorYear="1"&gt;&lt;Author&gt;Mazzola&lt;/Author&gt;&lt;Year&gt;2018&lt;/Year&gt;&lt;RecNum&gt;84&lt;/RecNum&gt;&lt;DisplayText&gt;Mazzola et al. (2018)&lt;/DisplayText&gt;&lt;record&gt;&lt;rec-number&gt;84&lt;/rec-number&gt;&lt;foreign-keys&gt;&lt;key app="EN" db-id="sx5wsdwv795wvue959xxw0ptaewvdezxxp05" timestamp="1604892944"&gt;84&lt;/key&gt;&lt;/foreign-keys&gt;&lt;ref-type name="Journal Article"&gt;17&lt;/ref-type&gt;&lt;contributors&gt;&lt;authors&gt;&lt;author&gt;Mazzola, R.&lt;/author&gt;&lt;author&gt;Fersino, S.&lt;/author&gt;&lt;author&gt;Aiello, D.&lt;/author&gt;&lt;author&gt;Gregucci, F.&lt;/author&gt;&lt;author&gt;Tebano, U.&lt;/author&gt;&lt;author&gt;Corradini, S.&lt;/author&gt;&lt;author&gt;Di Paola, G.&lt;/author&gt;&lt;author&gt;Cirillo, M.&lt;/author&gt;&lt;author&gt;Tondulli, L.&lt;/author&gt;&lt;author&gt;Ruffo, G.&lt;/author&gt;&lt;author&gt;Ruggieri, R.&lt;/author&gt;&lt;author&gt;Alongi, F.&lt;/author&gt;&lt;/authors&gt;&lt;/contributors&gt;&lt;titles&gt;&lt;title&gt;Linac-based stereotactic body radiation therapy for unresectable locally advanced pancreatic cancer: risk-adapted dose prescription and image-guided delivery&lt;/title&gt;&lt;secondary-title&gt;Strahlenther Onkol&lt;/secondary-title&gt;&lt;/titles&gt;&lt;pages&gt;835-842&lt;/pages&gt;&lt;volume&gt;194&lt;/volume&gt;&lt;number&gt;9&lt;/number&gt;&lt;dates&gt;&lt;year&gt;2018&lt;/year&gt;&lt;/dates&gt;&lt;accession-num&gt;29696321&lt;/accession-num&gt;&lt;urls&gt;&lt;related-urls&gt;&lt;url&gt;http://ezproxy.library.usyd.edu.au/login?url=http://ovidsp.ovid.com/ovidweb.cgi?T=JS&amp;amp;CSC=Y&amp;amp;NEWS=N&amp;amp;PAGE=fulltext&amp;amp;D=med15&amp;amp;AN=29696321https://sydney.alma.exlibrisgroup.com/openurl/61USYD_INST/61USYD_INST:sydney?sid=OVID:medline&amp;amp;id=pmid:29696321&amp;amp;id=doi:10.100&lt;/url&gt;&lt;url&gt;https://link.springer.com/content/pdf/10.1007/s00066-018-1306-2.pdf&lt;/url&gt;&lt;/related-urls&gt;&lt;/urls&gt;&lt;electronic-resource-num&gt;https://dx.doi.org/10.1007/s00066-018-1306-2&lt;/electronic-resource-num&gt;&lt;/record&gt;&lt;/Cite&gt;&lt;/EndNote&gt;</w:instrText>
              </w:r>
              <w:r w:rsidR="008B6FC0">
                <w:fldChar w:fldCharType="separate"/>
              </w:r>
              <w:r w:rsidR="008B6FC0">
                <w:rPr>
                  <w:noProof/>
                </w:rPr>
                <w:t>Mazzola et al. (2018)</w:t>
              </w:r>
              <w:r w:rsidR="008B6FC0">
                <w:fldChar w:fldCharType="end"/>
              </w:r>
            </w:hyperlink>
          </w:p>
        </w:tc>
        <w:tc>
          <w:tcPr>
            <w:tcW w:w="792" w:type="pct"/>
            <w:tcBorders>
              <w:top w:val="single" w:sz="4" w:space="0" w:color="auto"/>
              <w:left w:val="single" w:sz="4" w:space="0" w:color="auto"/>
              <w:bottom w:val="single" w:sz="4" w:space="0" w:color="auto"/>
              <w:right w:val="single" w:sz="4" w:space="0" w:color="auto"/>
            </w:tcBorders>
          </w:tcPr>
          <w:p w14:paraId="49A17D07" w14:textId="6C68EEE9" w:rsidR="00F43CBA" w:rsidRPr="00BD6F3B" w:rsidRDefault="00F43CBA" w:rsidP="00F43CBA">
            <w:pPr>
              <w:pStyle w:val="Tabletext1"/>
              <w:jc w:val="center"/>
            </w:pPr>
            <w:r w:rsidRPr="00BD6F3B">
              <w:t>GI</w:t>
            </w:r>
          </w:p>
          <w:p w14:paraId="3D3D7224"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79509342" w14:textId="77777777" w:rsidR="00F43CBA" w:rsidRPr="00BD6F3B" w:rsidRDefault="00F43CBA"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232E566C"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43B6220F"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3D457576" w14:textId="75B23098" w:rsidR="00F43CBA" w:rsidRPr="00BD6F3B" w:rsidRDefault="00F43CBA" w:rsidP="00F43CBA">
            <w:pPr>
              <w:pStyle w:val="Tabletext1"/>
              <w:jc w:val="center"/>
            </w:pPr>
            <w:r w:rsidRPr="00BD6F3B">
              <w:t>0/33 (0%)</w:t>
            </w:r>
          </w:p>
        </w:tc>
        <w:tc>
          <w:tcPr>
            <w:tcW w:w="328" w:type="pct"/>
            <w:tcBorders>
              <w:top w:val="single" w:sz="4" w:space="0" w:color="auto"/>
              <w:left w:val="single" w:sz="4" w:space="0" w:color="auto"/>
              <w:bottom w:val="single" w:sz="4" w:space="0" w:color="auto"/>
              <w:right w:val="single" w:sz="4" w:space="0" w:color="auto"/>
            </w:tcBorders>
          </w:tcPr>
          <w:p w14:paraId="2CB80BCE"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BA9B2CE" w14:textId="77777777" w:rsidR="00F43CBA" w:rsidRPr="00BD6F3B" w:rsidRDefault="00F43CBA"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283D61ED"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55E299D0"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71339CCC" w14:textId="288DFCA8" w:rsidR="00F43CBA" w:rsidRPr="00BD6F3B" w:rsidRDefault="00F43CBA" w:rsidP="00F43CBA">
            <w:pPr>
              <w:pStyle w:val="Tabletext1"/>
              <w:jc w:val="center"/>
            </w:pPr>
            <w:r w:rsidRPr="00BD6F3B">
              <w:t>0/33 (0%)</w:t>
            </w:r>
          </w:p>
        </w:tc>
        <w:tc>
          <w:tcPr>
            <w:tcW w:w="319" w:type="pct"/>
            <w:tcBorders>
              <w:top w:val="single" w:sz="4" w:space="0" w:color="auto"/>
              <w:left w:val="single" w:sz="4" w:space="0" w:color="auto"/>
              <w:bottom w:val="single" w:sz="4" w:space="0" w:color="auto"/>
              <w:right w:val="single" w:sz="4" w:space="0" w:color="auto"/>
            </w:tcBorders>
          </w:tcPr>
          <w:p w14:paraId="64132EF3" w14:textId="77777777" w:rsidR="00F43CBA" w:rsidRPr="00BD6F3B" w:rsidRDefault="00F43CBA"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30CD0BD5" w14:textId="77777777" w:rsidR="00F43CBA" w:rsidRPr="00BD6F3B" w:rsidRDefault="00F43CBA" w:rsidP="00F43CBA">
            <w:pPr>
              <w:pStyle w:val="Tabletext1"/>
              <w:jc w:val="center"/>
            </w:pPr>
          </w:p>
        </w:tc>
      </w:tr>
      <w:tr w:rsidR="00F43CBA" w:rsidRPr="00B2301A" w14:paraId="4A9FD4F5" w14:textId="454BC87D" w:rsidTr="0088569E">
        <w:tc>
          <w:tcPr>
            <w:tcW w:w="627" w:type="pct"/>
            <w:vMerge/>
            <w:tcBorders>
              <w:left w:val="single" w:sz="4" w:space="0" w:color="auto"/>
              <w:bottom w:val="single" w:sz="4" w:space="0" w:color="auto"/>
              <w:right w:val="single" w:sz="4" w:space="0" w:color="auto"/>
            </w:tcBorders>
            <w:shd w:val="clear" w:color="auto" w:fill="auto"/>
          </w:tcPr>
          <w:p w14:paraId="33B71260" w14:textId="77777777" w:rsidR="00F43CBA" w:rsidRPr="00BD6F3B" w:rsidRDefault="00F43CBA" w:rsidP="00F43CBA">
            <w:pPr>
              <w:pStyle w:val="Tabletext1"/>
            </w:pPr>
          </w:p>
        </w:tc>
        <w:tc>
          <w:tcPr>
            <w:tcW w:w="792" w:type="pct"/>
            <w:tcBorders>
              <w:top w:val="single" w:sz="4" w:space="0" w:color="auto"/>
              <w:left w:val="single" w:sz="4" w:space="0" w:color="auto"/>
              <w:bottom w:val="single" w:sz="4" w:space="0" w:color="auto"/>
              <w:right w:val="single" w:sz="4" w:space="0" w:color="auto"/>
            </w:tcBorders>
          </w:tcPr>
          <w:p w14:paraId="1148C944" w14:textId="74F08E05" w:rsidR="00F43CBA" w:rsidRPr="00BD6F3B" w:rsidRDefault="00F43CBA" w:rsidP="00F43CBA">
            <w:pPr>
              <w:pStyle w:val="Tabletext1"/>
              <w:jc w:val="center"/>
            </w:pPr>
            <w:r w:rsidRPr="00BD6F3B">
              <w:t>Nausea</w:t>
            </w:r>
          </w:p>
        </w:tc>
        <w:tc>
          <w:tcPr>
            <w:tcW w:w="327" w:type="pct"/>
            <w:tcBorders>
              <w:top w:val="single" w:sz="4" w:space="0" w:color="auto"/>
              <w:left w:val="single" w:sz="4" w:space="0" w:color="auto"/>
              <w:bottom w:val="single" w:sz="4" w:space="0" w:color="auto"/>
              <w:right w:val="single" w:sz="4" w:space="0" w:color="auto"/>
            </w:tcBorders>
          </w:tcPr>
          <w:p w14:paraId="305DE7C2" w14:textId="77777777" w:rsidR="00F43CBA" w:rsidRPr="00BD6F3B" w:rsidRDefault="00F43CBA"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1D90BDD8" w14:textId="35618791" w:rsidR="00F43CBA" w:rsidRPr="00BD6F3B" w:rsidRDefault="00F43CBA" w:rsidP="00F43CBA">
            <w:pPr>
              <w:pStyle w:val="Tabletext1"/>
              <w:jc w:val="center"/>
            </w:pPr>
            <w:r w:rsidRPr="00BD6F3B">
              <w:t>5/33 (15%)</w:t>
            </w:r>
          </w:p>
        </w:tc>
        <w:tc>
          <w:tcPr>
            <w:tcW w:w="327" w:type="pct"/>
            <w:tcBorders>
              <w:top w:val="single" w:sz="4" w:space="0" w:color="auto"/>
              <w:left w:val="single" w:sz="4" w:space="0" w:color="auto"/>
              <w:bottom w:val="single" w:sz="4" w:space="0" w:color="auto"/>
              <w:right w:val="single" w:sz="4" w:space="0" w:color="auto"/>
            </w:tcBorders>
          </w:tcPr>
          <w:p w14:paraId="54CFBC11" w14:textId="05221A9B" w:rsidR="00F43CBA" w:rsidRPr="00BD6F3B" w:rsidRDefault="00F43CBA" w:rsidP="00F43CBA">
            <w:pPr>
              <w:pStyle w:val="Tabletext1"/>
              <w:jc w:val="center"/>
            </w:pPr>
            <w:r w:rsidRPr="00BD6F3B">
              <w:t>3/33 (9%)</w:t>
            </w:r>
          </w:p>
        </w:tc>
        <w:tc>
          <w:tcPr>
            <w:tcW w:w="327" w:type="pct"/>
            <w:tcBorders>
              <w:top w:val="single" w:sz="4" w:space="0" w:color="auto"/>
              <w:left w:val="single" w:sz="4" w:space="0" w:color="auto"/>
              <w:bottom w:val="single" w:sz="4" w:space="0" w:color="auto"/>
              <w:right w:val="single" w:sz="4" w:space="0" w:color="auto"/>
            </w:tcBorders>
          </w:tcPr>
          <w:p w14:paraId="406EC5A5" w14:textId="77777777" w:rsidR="00F43CBA" w:rsidRPr="00BD6F3B" w:rsidRDefault="00F43CBA"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74A1333D"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6737A55E" w14:textId="77777777" w:rsidR="00F43CBA" w:rsidRPr="00BD6F3B" w:rsidRDefault="00F43CBA"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5CCFEAE0"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F728A83" w14:textId="77777777" w:rsidR="00F43CBA" w:rsidRPr="00BD6F3B" w:rsidRDefault="00F43CBA"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58389616" w14:textId="77777777" w:rsidR="00F43CBA" w:rsidRPr="00BD6F3B" w:rsidRDefault="00F43CBA"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0DE2A34F" w14:textId="77777777" w:rsidR="00F43CBA" w:rsidRPr="00BD6F3B" w:rsidRDefault="00F43CBA"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075742A6" w14:textId="77777777" w:rsidR="00F43CBA" w:rsidRPr="00BD6F3B" w:rsidRDefault="00F43CBA" w:rsidP="00F43CBA">
            <w:pPr>
              <w:pStyle w:val="Tabletext1"/>
              <w:jc w:val="center"/>
            </w:pPr>
          </w:p>
        </w:tc>
      </w:tr>
      <w:tr w:rsidR="00F43CBA" w:rsidRPr="00B2301A" w14:paraId="5A473DD8" w14:textId="39A4889C" w:rsidTr="00F43CBA">
        <w:tc>
          <w:tcPr>
            <w:tcW w:w="1419" w:type="pct"/>
            <w:gridSpan w:val="2"/>
            <w:tcBorders>
              <w:top w:val="single" w:sz="4" w:space="0" w:color="auto"/>
              <w:left w:val="single" w:sz="4" w:space="0" w:color="auto"/>
              <w:bottom w:val="single" w:sz="4" w:space="0" w:color="auto"/>
              <w:right w:val="nil"/>
            </w:tcBorders>
            <w:shd w:val="clear" w:color="auto" w:fill="auto"/>
            <w:vAlign w:val="bottom"/>
          </w:tcPr>
          <w:p w14:paraId="34BC7C04" w14:textId="3B7ECB93" w:rsidR="00F43CBA" w:rsidRDefault="00F43CBA" w:rsidP="00C6168E">
            <w:pPr>
              <w:pStyle w:val="Tabletext1"/>
              <w:keepNext/>
            </w:pPr>
            <w:r w:rsidRPr="00BD6F3B">
              <w:rPr>
                <w:rFonts w:cs="Calibri"/>
                <w:b/>
                <w:bCs/>
                <w:color w:val="000000"/>
              </w:rPr>
              <w:lastRenderedPageBreak/>
              <w:t>Metastases in adrenal glands</w:t>
            </w:r>
          </w:p>
        </w:tc>
        <w:tc>
          <w:tcPr>
            <w:tcW w:w="327" w:type="pct"/>
            <w:tcBorders>
              <w:top w:val="single" w:sz="4" w:space="0" w:color="auto"/>
              <w:left w:val="nil"/>
              <w:bottom w:val="single" w:sz="4" w:space="0" w:color="auto"/>
              <w:right w:val="nil"/>
            </w:tcBorders>
          </w:tcPr>
          <w:p w14:paraId="3DEE7ADF" w14:textId="77777777" w:rsidR="00F43CBA" w:rsidRPr="002B629F" w:rsidRDefault="00F43CBA" w:rsidP="00C6168E">
            <w:pPr>
              <w:pStyle w:val="Tabletext1"/>
              <w:keepNext/>
              <w:jc w:val="center"/>
            </w:pPr>
          </w:p>
        </w:tc>
        <w:tc>
          <w:tcPr>
            <w:tcW w:w="328" w:type="pct"/>
            <w:tcBorders>
              <w:top w:val="single" w:sz="4" w:space="0" w:color="auto"/>
              <w:left w:val="nil"/>
              <w:bottom w:val="single" w:sz="4" w:space="0" w:color="auto"/>
              <w:right w:val="nil"/>
            </w:tcBorders>
          </w:tcPr>
          <w:p w14:paraId="00EC998D" w14:textId="77777777" w:rsidR="00F43CBA" w:rsidRPr="00E340F0" w:rsidRDefault="00F43CBA" w:rsidP="00C6168E">
            <w:pPr>
              <w:pStyle w:val="Tabletext1"/>
              <w:keepNext/>
              <w:jc w:val="center"/>
            </w:pPr>
          </w:p>
        </w:tc>
        <w:tc>
          <w:tcPr>
            <w:tcW w:w="327" w:type="pct"/>
            <w:tcBorders>
              <w:top w:val="single" w:sz="4" w:space="0" w:color="auto"/>
              <w:left w:val="nil"/>
              <w:bottom w:val="single" w:sz="4" w:space="0" w:color="auto"/>
              <w:right w:val="nil"/>
            </w:tcBorders>
          </w:tcPr>
          <w:p w14:paraId="0FCB7637" w14:textId="77777777" w:rsidR="00F43CBA" w:rsidRPr="002B629F" w:rsidRDefault="00F43CBA" w:rsidP="00C6168E">
            <w:pPr>
              <w:pStyle w:val="Tabletext1"/>
              <w:keepNext/>
              <w:jc w:val="center"/>
            </w:pPr>
          </w:p>
        </w:tc>
        <w:tc>
          <w:tcPr>
            <w:tcW w:w="327" w:type="pct"/>
            <w:tcBorders>
              <w:top w:val="single" w:sz="4" w:space="0" w:color="auto"/>
              <w:left w:val="nil"/>
              <w:bottom w:val="single" w:sz="4" w:space="0" w:color="auto"/>
              <w:right w:val="nil"/>
            </w:tcBorders>
          </w:tcPr>
          <w:p w14:paraId="0B82D41B" w14:textId="77777777" w:rsidR="00F43CBA" w:rsidRDefault="00F43CBA" w:rsidP="00C6168E">
            <w:pPr>
              <w:pStyle w:val="Tabletext1"/>
              <w:keepNext/>
              <w:jc w:val="center"/>
            </w:pPr>
          </w:p>
        </w:tc>
        <w:tc>
          <w:tcPr>
            <w:tcW w:w="328" w:type="pct"/>
            <w:tcBorders>
              <w:top w:val="single" w:sz="4" w:space="0" w:color="auto"/>
              <w:left w:val="nil"/>
              <w:bottom w:val="single" w:sz="4" w:space="0" w:color="auto"/>
              <w:right w:val="nil"/>
            </w:tcBorders>
          </w:tcPr>
          <w:p w14:paraId="350FD0A9" w14:textId="77777777" w:rsidR="00F43CBA" w:rsidRDefault="00F43CBA" w:rsidP="00C6168E">
            <w:pPr>
              <w:pStyle w:val="Tabletext1"/>
              <w:keepNext/>
              <w:jc w:val="center"/>
            </w:pPr>
          </w:p>
        </w:tc>
        <w:tc>
          <w:tcPr>
            <w:tcW w:w="327" w:type="pct"/>
            <w:tcBorders>
              <w:top w:val="single" w:sz="4" w:space="0" w:color="auto"/>
              <w:left w:val="nil"/>
              <w:bottom w:val="single" w:sz="4" w:space="0" w:color="auto"/>
              <w:right w:val="nil"/>
            </w:tcBorders>
          </w:tcPr>
          <w:p w14:paraId="3AC4B21B" w14:textId="77777777" w:rsidR="00F43CBA" w:rsidRDefault="00F43CBA" w:rsidP="00C6168E">
            <w:pPr>
              <w:pStyle w:val="Tabletext1"/>
              <w:keepNext/>
              <w:jc w:val="center"/>
            </w:pPr>
          </w:p>
        </w:tc>
        <w:tc>
          <w:tcPr>
            <w:tcW w:w="328" w:type="pct"/>
            <w:tcBorders>
              <w:top w:val="single" w:sz="4" w:space="0" w:color="auto"/>
              <w:left w:val="nil"/>
              <w:bottom w:val="single" w:sz="4" w:space="0" w:color="auto"/>
              <w:right w:val="nil"/>
            </w:tcBorders>
          </w:tcPr>
          <w:p w14:paraId="26F19BAD" w14:textId="77777777" w:rsidR="00F43CBA" w:rsidRDefault="00F43CBA" w:rsidP="00C6168E">
            <w:pPr>
              <w:pStyle w:val="Tabletext1"/>
              <w:keepNext/>
              <w:jc w:val="center"/>
            </w:pPr>
          </w:p>
        </w:tc>
        <w:tc>
          <w:tcPr>
            <w:tcW w:w="327" w:type="pct"/>
            <w:tcBorders>
              <w:top w:val="single" w:sz="4" w:space="0" w:color="auto"/>
              <w:left w:val="nil"/>
              <w:bottom w:val="single" w:sz="4" w:space="0" w:color="auto"/>
              <w:right w:val="nil"/>
            </w:tcBorders>
          </w:tcPr>
          <w:p w14:paraId="1DEE002F" w14:textId="77777777" w:rsidR="00F43CBA" w:rsidRDefault="00F43CBA" w:rsidP="00C6168E">
            <w:pPr>
              <w:pStyle w:val="Tabletext1"/>
              <w:keepNext/>
              <w:jc w:val="center"/>
            </w:pPr>
          </w:p>
        </w:tc>
        <w:tc>
          <w:tcPr>
            <w:tcW w:w="327" w:type="pct"/>
            <w:tcBorders>
              <w:top w:val="single" w:sz="4" w:space="0" w:color="auto"/>
              <w:left w:val="nil"/>
              <w:bottom w:val="single" w:sz="4" w:space="0" w:color="auto"/>
              <w:right w:val="nil"/>
            </w:tcBorders>
          </w:tcPr>
          <w:p w14:paraId="4E89D7BA" w14:textId="77777777" w:rsidR="00F43CBA" w:rsidRDefault="00F43CBA" w:rsidP="00C6168E">
            <w:pPr>
              <w:pStyle w:val="Tabletext1"/>
              <w:keepNext/>
              <w:jc w:val="center"/>
            </w:pPr>
          </w:p>
        </w:tc>
        <w:tc>
          <w:tcPr>
            <w:tcW w:w="319" w:type="pct"/>
            <w:tcBorders>
              <w:top w:val="single" w:sz="4" w:space="0" w:color="auto"/>
              <w:left w:val="nil"/>
              <w:bottom w:val="single" w:sz="4" w:space="0" w:color="auto"/>
              <w:right w:val="nil"/>
            </w:tcBorders>
          </w:tcPr>
          <w:p w14:paraId="1925CD72" w14:textId="77777777" w:rsidR="00F43CBA" w:rsidRDefault="00F43CBA" w:rsidP="00C6168E">
            <w:pPr>
              <w:pStyle w:val="Tabletext1"/>
              <w:keepNext/>
              <w:jc w:val="center"/>
            </w:pPr>
          </w:p>
        </w:tc>
        <w:tc>
          <w:tcPr>
            <w:tcW w:w="316" w:type="pct"/>
            <w:tcBorders>
              <w:top w:val="single" w:sz="4" w:space="0" w:color="auto"/>
              <w:left w:val="nil"/>
              <w:bottom w:val="single" w:sz="4" w:space="0" w:color="auto"/>
              <w:right w:val="single" w:sz="4" w:space="0" w:color="auto"/>
            </w:tcBorders>
          </w:tcPr>
          <w:p w14:paraId="7819AC40" w14:textId="77777777" w:rsidR="00F43CBA" w:rsidRDefault="00F43CBA" w:rsidP="00C6168E">
            <w:pPr>
              <w:pStyle w:val="Tabletext1"/>
              <w:keepNext/>
              <w:jc w:val="center"/>
            </w:pPr>
          </w:p>
        </w:tc>
      </w:tr>
      <w:tr w:rsidR="00F43CBA" w:rsidRPr="00B2301A" w14:paraId="59025DFD" w14:textId="0BF1FC74" w:rsidTr="0088569E">
        <w:tc>
          <w:tcPr>
            <w:tcW w:w="627" w:type="pct"/>
            <w:vMerge w:val="restart"/>
            <w:tcBorders>
              <w:top w:val="single" w:sz="4" w:space="0" w:color="auto"/>
              <w:left w:val="single" w:sz="4" w:space="0" w:color="auto"/>
              <w:right w:val="single" w:sz="4" w:space="0" w:color="auto"/>
            </w:tcBorders>
            <w:shd w:val="clear" w:color="auto" w:fill="auto"/>
          </w:tcPr>
          <w:p w14:paraId="77609817" w14:textId="356585F8" w:rsidR="00F43CBA" w:rsidRDefault="00211285" w:rsidP="00C6168E">
            <w:pPr>
              <w:pStyle w:val="Tabletext1"/>
              <w:keepNext/>
            </w:pPr>
            <w:hyperlink w:anchor="_ENREF_80" w:tooltip="Voglhuber, 2020 #80" w:history="1">
              <w:r w:rsidR="008B6FC0">
                <w:fldChar w:fldCharType="begin"/>
              </w:r>
              <w:r w:rsidR="008B6FC0">
                <w:instrText xml:space="preserve"> ADDIN EN.CITE &lt;EndNote&gt;&lt;Cite AuthorYear="1"&gt;&lt;Author&gt;Voglhuber&lt;/Author&gt;&lt;Year&gt;2020&lt;/Year&gt;&lt;RecNum&gt;80&lt;/RecNum&gt;&lt;DisplayText&gt;Voglhuber et al. (2020)&lt;/DisplayText&gt;&lt;record&gt;&lt;rec-number&gt;80&lt;/rec-number&gt;&lt;foreign-keys&gt;&lt;key app="EN" db-id="sx5wsdwv795wvue959xxw0ptaewvdezxxp05" timestamp="1604876399"&gt;80&lt;/key&gt;&lt;/foreign-keys&gt;&lt;ref-type name="Journal Article"&gt;17&lt;/ref-type&gt;&lt;contributors&gt;&lt;authors&gt;&lt;author&gt;Voglhuber, T.&lt;/author&gt;&lt;author&gt;Kessel, K. A.&lt;/author&gt;&lt;author&gt;Oechsner, M.&lt;/author&gt;&lt;author&gt;Vogel, M. M. E.&lt;/author&gt;&lt;author&gt;Gschwend, J. E.&lt;/author&gt;&lt;author&gt;Combs, S. E.&lt;/author&gt;&lt;/authors&gt;&lt;/contributors&gt;&lt;titles&gt;&lt;title&gt;Single-institutional outcome-analysis of low-dose stereotactic body radiation therapy (SBRT) of adrenal gland metastases&lt;/title&gt;&lt;secondary-title&gt;BMC Cancer&lt;/secondary-title&gt;&lt;/titles&gt;&lt;volume&gt;20&lt;/volume&gt;&lt;number&gt;1&lt;/number&gt;&lt;dates&gt;&lt;year&gt;2020&lt;/year&gt;&lt;/dates&gt;&lt;accession-num&gt;631990682&lt;/accession-num&gt;&lt;urls&gt;&lt;related-urls&gt;&lt;url&gt;http://www.biomedcentral.com/bmccancer/http://ezproxy.library.usyd.edu.au/login?url=http://ovidsp.ovid.com/ovidweb.cgi?T=JS&amp;amp;CSC=Y&amp;amp;NEWS=N&amp;amp;PAGE=fulltext&amp;amp;D=emexb&amp;amp;AN=631990682https://sydney.alma.exlibrisgroup.com/openurl/61USYD_INST/61USYD_INST:sydney?sid=OVI&lt;/url&gt;&lt;url&gt;https://bmccancer.biomedcentral.com/track/pdf/10.1186/s12885-020-07030-w&lt;/url&gt;&lt;url&gt;https://bmccancer.biomedcentral.com/track/pdf/10.1186/s12885-020-07030-w.pdf&lt;/url&gt;&lt;/related-urls&gt;&lt;/urls&gt;&lt;electronic-resource-num&gt;http://dx.doi.org/10.1186/s12885-020-07030-w&lt;/electronic-resource-num&gt;&lt;/record&gt;&lt;/Cite&gt;&lt;/EndNote&gt;</w:instrText>
              </w:r>
              <w:r w:rsidR="008B6FC0">
                <w:fldChar w:fldCharType="separate"/>
              </w:r>
              <w:r w:rsidR="008B6FC0">
                <w:rPr>
                  <w:noProof/>
                </w:rPr>
                <w:t>Voglhuber et al. (2020)</w:t>
              </w:r>
              <w:r w:rsidR="008B6FC0">
                <w:fldChar w:fldCharType="end"/>
              </w:r>
            </w:hyperlink>
          </w:p>
        </w:tc>
        <w:tc>
          <w:tcPr>
            <w:tcW w:w="792" w:type="pct"/>
            <w:tcBorders>
              <w:top w:val="single" w:sz="4" w:space="0" w:color="auto"/>
              <w:left w:val="single" w:sz="4" w:space="0" w:color="auto"/>
              <w:bottom w:val="single" w:sz="4" w:space="0" w:color="auto"/>
              <w:right w:val="single" w:sz="4" w:space="0" w:color="auto"/>
            </w:tcBorders>
          </w:tcPr>
          <w:p w14:paraId="4FB7A922" w14:textId="474C5F8A" w:rsidR="00F43CBA" w:rsidRDefault="00F43CBA" w:rsidP="00C6168E">
            <w:pPr>
              <w:pStyle w:val="Tabletext1"/>
              <w:keepNext/>
              <w:jc w:val="center"/>
            </w:pPr>
            <w:r>
              <w:t>Nausea</w:t>
            </w:r>
          </w:p>
        </w:tc>
        <w:tc>
          <w:tcPr>
            <w:tcW w:w="327" w:type="pct"/>
            <w:tcBorders>
              <w:top w:val="single" w:sz="4" w:space="0" w:color="auto"/>
              <w:left w:val="single" w:sz="4" w:space="0" w:color="auto"/>
              <w:bottom w:val="single" w:sz="4" w:space="0" w:color="auto"/>
              <w:right w:val="single" w:sz="4" w:space="0" w:color="auto"/>
            </w:tcBorders>
          </w:tcPr>
          <w:p w14:paraId="53E06414" w14:textId="77777777" w:rsidR="00F43CBA" w:rsidRPr="002B629F" w:rsidRDefault="00F43CBA"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626C2E3A" w14:textId="77C0E115" w:rsidR="00F43CBA" w:rsidRPr="005D790C" w:rsidRDefault="00F43CBA" w:rsidP="00C6168E">
            <w:pPr>
              <w:pStyle w:val="Tabletext1"/>
              <w:keepNext/>
              <w:jc w:val="center"/>
            </w:pPr>
            <w:r w:rsidRPr="005D790C">
              <w:t>2/31 (6%)</w:t>
            </w:r>
          </w:p>
        </w:tc>
        <w:tc>
          <w:tcPr>
            <w:tcW w:w="327" w:type="pct"/>
            <w:tcBorders>
              <w:top w:val="single" w:sz="4" w:space="0" w:color="auto"/>
              <w:left w:val="single" w:sz="4" w:space="0" w:color="auto"/>
              <w:bottom w:val="single" w:sz="4" w:space="0" w:color="auto"/>
              <w:right w:val="single" w:sz="4" w:space="0" w:color="auto"/>
            </w:tcBorders>
          </w:tcPr>
          <w:p w14:paraId="6B36548A" w14:textId="30B6EC3B" w:rsidR="00F43CBA" w:rsidRPr="005D790C" w:rsidRDefault="00F43CBA" w:rsidP="00C6168E">
            <w:pPr>
              <w:pStyle w:val="Tabletext1"/>
              <w:keepNext/>
              <w:jc w:val="center"/>
            </w:pPr>
            <w:r w:rsidRPr="005D790C">
              <w:t>4/31 (</w:t>
            </w:r>
            <w:r>
              <w:t>13</w:t>
            </w:r>
            <w:r w:rsidRPr="005D790C">
              <w:t>%)</w:t>
            </w:r>
          </w:p>
        </w:tc>
        <w:tc>
          <w:tcPr>
            <w:tcW w:w="327" w:type="pct"/>
            <w:tcBorders>
              <w:top w:val="single" w:sz="4" w:space="0" w:color="auto"/>
              <w:left w:val="single" w:sz="4" w:space="0" w:color="auto"/>
              <w:bottom w:val="single" w:sz="4" w:space="0" w:color="auto"/>
              <w:right w:val="single" w:sz="4" w:space="0" w:color="auto"/>
            </w:tcBorders>
          </w:tcPr>
          <w:p w14:paraId="1E561A6F" w14:textId="77777777" w:rsidR="00F43CBA" w:rsidRPr="005D790C" w:rsidRDefault="00F43CBA"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6840E82B" w14:textId="77777777" w:rsidR="00F43CBA" w:rsidRPr="005D790C" w:rsidRDefault="00F43CBA"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1D179D47" w14:textId="77777777" w:rsidR="00F43CBA" w:rsidRPr="005D790C" w:rsidRDefault="00F43CBA"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2DF97699" w14:textId="77777777" w:rsidR="00F43CBA" w:rsidRPr="005D790C" w:rsidRDefault="00F43CBA"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5647A233" w14:textId="77777777" w:rsidR="00F43CBA" w:rsidRPr="005D790C" w:rsidRDefault="00F43CBA"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15265778" w14:textId="77777777" w:rsidR="00F43CBA" w:rsidRDefault="00F43CBA" w:rsidP="00C6168E">
            <w:pPr>
              <w:pStyle w:val="Tabletext1"/>
              <w:keepNext/>
              <w:jc w:val="center"/>
            </w:pPr>
          </w:p>
        </w:tc>
        <w:tc>
          <w:tcPr>
            <w:tcW w:w="319" w:type="pct"/>
            <w:tcBorders>
              <w:top w:val="single" w:sz="4" w:space="0" w:color="auto"/>
              <w:left w:val="single" w:sz="4" w:space="0" w:color="auto"/>
              <w:bottom w:val="single" w:sz="4" w:space="0" w:color="auto"/>
              <w:right w:val="single" w:sz="4" w:space="0" w:color="auto"/>
            </w:tcBorders>
          </w:tcPr>
          <w:p w14:paraId="7AF6615E" w14:textId="77777777" w:rsidR="00F43CBA" w:rsidRDefault="00F43CBA" w:rsidP="00C6168E">
            <w:pPr>
              <w:pStyle w:val="Tabletext1"/>
              <w:keepNext/>
              <w:jc w:val="center"/>
            </w:pPr>
          </w:p>
        </w:tc>
        <w:tc>
          <w:tcPr>
            <w:tcW w:w="316" w:type="pct"/>
            <w:tcBorders>
              <w:top w:val="single" w:sz="4" w:space="0" w:color="auto"/>
              <w:left w:val="single" w:sz="4" w:space="0" w:color="auto"/>
              <w:bottom w:val="single" w:sz="4" w:space="0" w:color="auto"/>
              <w:right w:val="single" w:sz="4" w:space="0" w:color="auto"/>
            </w:tcBorders>
          </w:tcPr>
          <w:p w14:paraId="5D6EA284" w14:textId="77777777" w:rsidR="00F43CBA" w:rsidRDefault="00F43CBA" w:rsidP="00C6168E">
            <w:pPr>
              <w:pStyle w:val="Tabletext1"/>
              <w:keepNext/>
              <w:jc w:val="center"/>
            </w:pPr>
          </w:p>
        </w:tc>
      </w:tr>
      <w:tr w:rsidR="00F43CBA" w:rsidRPr="00B2301A" w14:paraId="068207AD" w14:textId="785D7A84" w:rsidTr="0088569E">
        <w:tc>
          <w:tcPr>
            <w:tcW w:w="627" w:type="pct"/>
            <w:vMerge/>
            <w:tcBorders>
              <w:left w:val="single" w:sz="4" w:space="0" w:color="auto"/>
              <w:bottom w:val="nil"/>
              <w:right w:val="single" w:sz="4" w:space="0" w:color="auto"/>
            </w:tcBorders>
            <w:shd w:val="clear" w:color="auto" w:fill="auto"/>
          </w:tcPr>
          <w:p w14:paraId="1BE4BEF4" w14:textId="77777777" w:rsidR="00F43CBA" w:rsidRDefault="00F43CBA" w:rsidP="00C6168E">
            <w:pPr>
              <w:pStyle w:val="Tabletext1"/>
              <w:keepNext/>
            </w:pPr>
          </w:p>
        </w:tc>
        <w:tc>
          <w:tcPr>
            <w:tcW w:w="792" w:type="pct"/>
            <w:tcBorders>
              <w:top w:val="single" w:sz="4" w:space="0" w:color="auto"/>
              <w:left w:val="single" w:sz="4" w:space="0" w:color="auto"/>
              <w:bottom w:val="single" w:sz="4" w:space="0" w:color="auto"/>
              <w:right w:val="single" w:sz="4" w:space="0" w:color="auto"/>
            </w:tcBorders>
          </w:tcPr>
          <w:p w14:paraId="317E694A" w14:textId="7E410CAD" w:rsidR="00F43CBA" w:rsidRDefault="00F43CBA" w:rsidP="00C6168E">
            <w:pPr>
              <w:pStyle w:val="Tabletext1"/>
              <w:keepNext/>
              <w:jc w:val="center"/>
            </w:pPr>
            <w:r>
              <w:t>Vomiting</w:t>
            </w:r>
          </w:p>
        </w:tc>
        <w:tc>
          <w:tcPr>
            <w:tcW w:w="327" w:type="pct"/>
            <w:tcBorders>
              <w:top w:val="single" w:sz="4" w:space="0" w:color="auto"/>
              <w:left w:val="single" w:sz="4" w:space="0" w:color="auto"/>
              <w:bottom w:val="single" w:sz="4" w:space="0" w:color="auto"/>
              <w:right w:val="single" w:sz="4" w:space="0" w:color="auto"/>
            </w:tcBorders>
          </w:tcPr>
          <w:p w14:paraId="5999FCC5" w14:textId="77777777" w:rsidR="00F43CBA" w:rsidRPr="002B629F" w:rsidRDefault="00F43CBA"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0382F6F3" w14:textId="15478880" w:rsidR="00F43CBA" w:rsidRPr="005D790C" w:rsidRDefault="00F43CBA" w:rsidP="00C6168E">
            <w:pPr>
              <w:pStyle w:val="Tabletext1"/>
              <w:keepNext/>
              <w:jc w:val="center"/>
            </w:pPr>
            <w:r w:rsidRPr="005D790C">
              <w:t>0/31 (0%)</w:t>
            </w:r>
          </w:p>
        </w:tc>
        <w:tc>
          <w:tcPr>
            <w:tcW w:w="327" w:type="pct"/>
            <w:tcBorders>
              <w:top w:val="single" w:sz="4" w:space="0" w:color="auto"/>
              <w:left w:val="single" w:sz="4" w:space="0" w:color="auto"/>
              <w:bottom w:val="single" w:sz="4" w:space="0" w:color="auto"/>
              <w:right w:val="single" w:sz="4" w:space="0" w:color="auto"/>
            </w:tcBorders>
          </w:tcPr>
          <w:p w14:paraId="52487289" w14:textId="0ACC2016" w:rsidR="00F43CBA" w:rsidRPr="005D790C" w:rsidRDefault="00F43CBA" w:rsidP="00C6168E">
            <w:pPr>
              <w:pStyle w:val="Tabletext1"/>
              <w:keepNext/>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405EDCB1" w14:textId="77777777" w:rsidR="00F43CBA" w:rsidRPr="005D790C" w:rsidRDefault="00F43CBA"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124553DC" w14:textId="77777777" w:rsidR="00F43CBA" w:rsidRPr="005D790C" w:rsidRDefault="00F43CBA"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08AEE56F" w14:textId="77777777" w:rsidR="00F43CBA" w:rsidRPr="005D790C" w:rsidRDefault="00F43CBA"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38A483E1" w14:textId="77777777" w:rsidR="00F43CBA" w:rsidRPr="005D790C" w:rsidRDefault="00F43CBA"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1A641D31" w14:textId="77777777" w:rsidR="00F43CBA" w:rsidRPr="005D790C" w:rsidRDefault="00F43CBA"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0DC09B19" w14:textId="77777777" w:rsidR="00F43CBA" w:rsidRDefault="00F43CBA" w:rsidP="00C6168E">
            <w:pPr>
              <w:pStyle w:val="Tabletext1"/>
              <w:keepNext/>
              <w:jc w:val="center"/>
            </w:pPr>
          </w:p>
        </w:tc>
        <w:tc>
          <w:tcPr>
            <w:tcW w:w="319" w:type="pct"/>
            <w:tcBorders>
              <w:top w:val="single" w:sz="4" w:space="0" w:color="auto"/>
              <w:left w:val="single" w:sz="4" w:space="0" w:color="auto"/>
              <w:bottom w:val="single" w:sz="4" w:space="0" w:color="auto"/>
              <w:right w:val="single" w:sz="4" w:space="0" w:color="auto"/>
            </w:tcBorders>
          </w:tcPr>
          <w:p w14:paraId="310ACDB3" w14:textId="77777777" w:rsidR="00F43CBA" w:rsidRDefault="00F43CBA" w:rsidP="00C6168E">
            <w:pPr>
              <w:pStyle w:val="Tabletext1"/>
              <w:keepNext/>
              <w:jc w:val="center"/>
            </w:pPr>
          </w:p>
        </w:tc>
        <w:tc>
          <w:tcPr>
            <w:tcW w:w="316" w:type="pct"/>
            <w:tcBorders>
              <w:top w:val="single" w:sz="4" w:space="0" w:color="auto"/>
              <w:left w:val="single" w:sz="4" w:space="0" w:color="auto"/>
              <w:bottom w:val="single" w:sz="4" w:space="0" w:color="auto"/>
              <w:right w:val="single" w:sz="4" w:space="0" w:color="auto"/>
            </w:tcBorders>
          </w:tcPr>
          <w:p w14:paraId="35320E9E" w14:textId="77777777" w:rsidR="00F43CBA" w:rsidRDefault="00F43CBA" w:rsidP="00C6168E">
            <w:pPr>
              <w:pStyle w:val="Tabletext1"/>
              <w:keepNext/>
              <w:jc w:val="center"/>
            </w:pPr>
          </w:p>
        </w:tc>
      </w:tr>
      <w:tr w:rsidR="00962EC7" w:rsidRPr="00B2301A" w14:paraId="2E698E08" w14:textId="5C679631" w:rsidTr="00F43CBA">
        <w:tc>
          <w:tcPr>
            <w:tcW w:w="627" w:type="pct"/>
            <w:tcBorders>
              <w:top w:val="nil"/>
              <w:left w:val="single" w:sz="4" w:space="0" w:color="auto"/>
              <w:bottom w:val="nil"/>
              <w:right w:val="single" w:sz="4" w:space="0" w:color="auto"/>
            </w:tcBorders>
            <w:shd w:val="clear" w:color="auto" w:fill="auto"/>
          </w:tcPr>
          <w:p w14:paraId="358BFD3C" w14:textId="77777777" w:rsidR="00962EC7" w:rsidRDefault="00962EC7" w:rsidP="00C6168E">
            <w:pPr>
              <w:pStyle w:val="Tabletext1"/>
              <w:keepNext/>
            </w:pPr>
          </w:p>
        </w:tc>
        <w:tc>
          <w:tcPr>
            <w:tcW w:w="792" w:type="pct"/>
            <w:tcBorders>
              <w:top w:val="single" w:sz="4" w:space="0" w:color="auto"/>
              <w:left w:val="single" w:sz="4" w:space="0" w:color="auto"/>
              <w:bottom w:val="single" w:sz="4" w:space="0" w:color="auto"/>
              <w:right w:val="single" w:sz="4" w:space="0" w:color="auto"/>
            </w:tcBorders>
          </w:tcPr>
          <w:p w14:paraId="567EA716" w14:textId="66516B7E" w:rsidR="00962EC7" w:rsidRDefault="00962EC7" w:rsidP="00C6168E">
            <w:pPr>
              <w:pStyle w:val="Tabletext1"/>
              <w:keepNext/>
              <w:jc w:val="center"/>
            </w:pPr>
            <w:r>
              <w:t>Abdominal pain</w:t>
            </w:r>
          </w:p>
        </w:tc>
        <w:tc>
          <w:tcPr>
            <w:tcW w:w="327" w:type="pct"/>
            <w:tcBorders>
              <w:top w:val="single" w:sz="4" w:space="0" w:color="auto"/>
              <w:left w:val="single" w:sz="4" w:space="0" w:color="auto"/>
              <w:bottom w:val="single" w:sz="4" w:space="0" w:color="auto"/>
              <w:right w:val="single" w:sz="4" w:space="0" w:color="auto"/>
            </w:tcBorders>
          </w:tcPr>
          <w:p w14:paraId="53DCCAFC" w14:textId="77777777" w:rsidR="00962EC7" w:rsidRPr="002B629F" w:rsidRDefault="00962EC7"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58641723" w14:textId="160FF3F3" w:rsidR="00962EC7" w:rsidRPr="005D790C" w:rsidRDefault="00962EC7" w:rsidP="00C6168E">
            <w:pPr>
              <w:pStyle w:val="Tabletext1"/>
              <w:keepNext/>
              <w:jc w:val="center"/>
            </w:pPr>
            <w:r w:rsidRPr="005D790C">
              <w:t>2/31 (6%)</w:t>
            </w:r>
          </w:p>
        </w:tc>
        <w:tc>
          <w:tcPr>
            <w:tcW w:w="327" w:type="pct"/>
            <w:tcBorders>
              <w:top w:val="single" w:sz="4" w:space="0" w:color="auto"/>
              <w:left w:val="single" w:sz="4" w:space="0" w:color="auto"/>
              <w:bottom w:val="single" w:sz="4" w:space="0" w:color="auto"/>
              <w:right w:val="single" w:sz="4" w:space="0" w:color="auto"/>
            </w:tcBorders>
          </w:tcPr>
          <w:p w14:paraId="12D881A5" w14:textId="55C69777" w:rsidR="00962EC7" w:rsidRPr="005D790C" w:rsidRDefault="00962EC7" w:rsidP="00C6168E">
            <w:pPr>
              <w:pStyle w:val="Tabletext1"/>
              <w:keepNext/>
              <w:jc w:val="center"/>
            </w:pPr>
            <w:r w:rsidRPr="005D790C">
              <w:t>2/31 (6%)</w:t>
            </w:r>
          </w:p>
        </w:tc>
        <w:tc>
          <w:tcPr>
            <w:tcW w:w="327" w:type="pct"/>
            <w:tcBorders>
              <w:top w:val="single" w:sz="4" w:space="0" w:color="auto"/>
              <w:left w:val="single" w:sz="4" w:space="0" w:color="auto"/>
              <w:bottom w:val="single" w:sz="4" w:space="0" w:color="auto"/>
              <w:right w:val="single" w:sz="4" w:space="0" w:color="auto"/>
            </w:tcBorders>
          </w:tcPr>
          <w:p w14:paraId="16F247F3" w14:textId="77777777" w:rsidR="00962EC7" w:rsidRPr="005D790C" w:rsidRDefault="00962EC7"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67BEE0CF" w14:textId="77777777" w:rsidR="00962EC7" w:rsidRPr="005D790C" w:rsidRDefault="00962EC7"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20C3537F" w14:textId="77777777" w:rsidR="00962EC7" w:rsidRPr="005D790C" w:rsidRDefault="00962EC7"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0066F101" w14:textId="77777777" w:rsidR="00962EC7" w:rsidRPr="005D790C" w:rsidRDefault="00962EC7"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083859E1" w14:textId="77777777" w:rsidR="00962EC7" w:rsidRPr="005D790C" w:rsidRDefault="00962EC7"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74DCCE26" w14:textId="77777777" w:rsidR="00962EC7" w:rsidRDefault="00962EC7" w:rsidP="00C6168E">
            <w:pPr>
              <w:pStyle w:val="Tabletext1"/>
              <w:keepNext/>
              <w:jc w:val="center"/>
            </w:pPr>
          </w:p>
        </w:tc>
        <w:tc>
          <w:tcPr>
            <w:tcW w:w="319" w:type="pct"/>
            <w:tcBorders>
              <w:top w:val="single" w:sz="4" w:space="0" w:color="auto"/>
              <w:left w:val="single" w:sz="4" w:space="0" w:color="auto"/>
              <w:bottom w:val="single" w:sz="4" w:space="0" w:color="auto"/>
              <w:right w:val="single" w:sz="4" w:space="0" w:color="auto"/>
            </w:tcBorders>
          </w:tcPr>
          <w:p w14:paraId="55DD85F9" w14:textId="77777777" w:rsidR="00962EC7" w:rsidRDefault="00962EC7" w:rsidP="00C6168E">
            <w:pPr>
              <w:pStyle w:val="Tabletext1"/>
              <w:keepNext/>
              <w:jc w:val="center"/>
            </w:pPr>
          </w:p>
        </w:tc>
        <w:tc>
          <w:tcPr>
            <w:tcW w:w="316" w:type="pct"/>
            <w:tcBorders>
              <w:top w:val="single" w:sz="4" w:space="0" w:color="auto"/>
              <w:left w:val="single" w:sz="4" w:space="0" w:color="auto"/>
              <w:bottom w:val="single" w:sz="4" w:space="0" w:color="auto"/>
              <w:right w:val="single" w:sz="4" w:space="0" w:color="auto"/>
            </w:tcBorders>
          </w:tcPr>
          <w:p w14:paraId="0CF9CAFE" w14:textId="77777777" w:rsidR="00962EC7" w:rsidRDefault="00962EC7" w:rsidP="00C6168E">
            <w:pPr>
              <w:pStyle w:val="Tabletext1"/>
              <w:keepNext/>
              <w:jc w:val="center"/>
            </w:pPr>
          </w:p>
        </w:tc>
      </w:tr>
      <w:tr w:rsidR="00962EC7" w:rsidRPr="00B2301A" w14:paraId="28A661B6" w14:textId="65ED290B" w:rsidTr="00F43CBA">
        <w:tc>
          <w:tcPr>
            <w:tcW w:w="627" w:type="pct"/>
            <w:tcBorders>
              <w:top w:val="nil"/>
              <w:left w:val="single" w:sz="4" w:space="0" w:color="auto"/>
              <w:bottom w:val="nil"/>
              <w:right w:val="single" w:sz="4" w:space="0" w:color="auto"/>
            </w:tcBorders>
            <w:shd w:val="clear" w:color="auto" w:fill="auto"/>
          </w:tcPr>
          <w:p w14:paraId="22167243" w14:textId="77777777" w:rsidR="00962EC7" w:rsidRDefault="00962EC7" w:rsidP="00C6168E">
            <w:pPr>
              <w:pStyle w:val="Tabletext1"/>
              <w:keepNext/>
            </w:pPr>
          </w:p>
        </w:tc>
        <w:tc>
          <w:tcPr>
            <w:tcW w:w="792" w:type="pct"/>
            <w:tcBorders>
              <w:top w:val="single" w:sz="4" w:space="0" w:color="auto"/>
              <w:left w:val="single" w:sz="4" w:space="0" w:color="auto"/>
              <w:bottom w:val="single" w:sz="4" w:space="0" w:color="auto"/>
              <w:right w:val="single" w:sz="4" w:space="0" w:color="auto"/>
            </w:tcBorders>
          </w:tcPr>
          <w:p w14:paraId="522A45C9" w14:textId="3BA6C1F3" w:rsidR="00962EC7" w:rsidRDefault="00962EC7" w:rsidP="00C6168E">
            <w:pPr>
              <w:pStyle w:val="Tabletext1"/>
              <w:keepNext/>
              <w:jc w:val="center"/>
            </w:pPr>
            <w:r>
              <w:t>Loss of weight</w:t>
            </w:r>
          </w:p>
        </w:tc>
        <w:tc>
          <w:tcPr>
            <w:tcW w:w="327" w:type="pct"/>
            <w:tcBorders>
              <w:top w:val="single" w:sz="4" w:space="0" w:color="auto"/>
              <w:left w:val="single" w:sz="4" w:space="0" w:color="auto"/>
              <w:bottom w:val="single" w:sz="4" w:space="0" w:color="auto"/>
              <w:right w:val="single" w:sz="4" w:space="0" w:color="auto"/>
            </w:tcBorders>
          </w:tcPr>
          <w:p w14:paraId="3AC41ADE" w14:textId="77777777" w:rsidR="00962EC7" w:rsidRPr="002B629F" w:rsidRDefault="00962EC7"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1047913D" w14:textId="37B1CFD6" w:rsidR="00962EC7" w:rsidRPr="005D790C" w:rsidRDefault="00962EC7" w:rsidP="00C6168E">
            <w:pPr>
              <w:pStyle w:val="Tabletext1"/>
              <w:keepNext/>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249B9BCA" w14:textId="24908F74" w:rsidR="00962EC7" w:rsidRPr="005D790C" w:rsidRDefault="00962EC7" w:rsidP="00C6168E">
            <w:pPr>
              <w:pStyle w:val="Tabletext1"/>
              <w:keepNext/>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00B46AEE" w14:textId="77777777" w:rsidR="00962EC7" w:rsidRPr="005D790C" w:rsidRDefault="00962EC7"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2476D812" w14:textId="77777777" w:rsidR="00962EC7" w:rsidRPr="005D790C" w:rsidRDefault="00962EC7" w:rsidP="00C6168E">
            <w:pPr>
              <w:pStyle w:val="Tabletext1"/>
              <w:keepNext/>
              <w:jc w:val="center"/>
            </w:pPr>
          </w:p>
        </w:tc>
        <w:tc>
          <w:tcPr>
            <w:tcW w:w="327" w:type="pct"/>
            <w:tcBorders>
              <w:top w:val="single" w:sz="4" w:space="0" w:color="auto"/>
              <w:left w:val="single" w:sz="4" w:space="0" w:color="auto"/>
              <w:bottom w:val="single" w:sz="4" w:space="0" w:color="auto"/>
              <w:right w:val="single" w:sz="4" w:space="0" w:color="auto"/>
            </w:tcBorders>
          </w:tcPr>
          <w:p w14:paraId="7E4BF970" w14:textId="787DADDF" w:rsidR="00962EC7" w:rsidRPr="005D790C" w:rsidRDefault="00962EC7" w:rsidP="00C6168E">
            <w:pPr>
              <w:pStyle w:val="Tabletext1"/>
              <w:keepNext/>
              <w:jc w:val="center"/>
            </w:pPr>
          </w:p>
        </w:tc>
        <w:tc>
          <w:tcPr>
            <w:tcW w:w="328" w:type="pct"/>
            <w:tcBorders>
              <w:top w:val="single" w:sz="4" w:space="0" w:color="auto"/>
              <w:left w:val="single" w:sz="4" w:space="0" w:color="auto"/>
              <w:bottom w:val="single" w:sz="4" w:space="0" w:color="auto"/>
              <w:right w:val="single" w:sz="4" w:space="0" w:color="auto"/>
            </w:tcBorders>
          </w:tcPr>
          <w:p w14:paraId="43AD2D4B" w14:textId="112E60DA" w:rsidR="00962EC7" w:rsidRPr="005D790C" w:rsidRDefault="00962EC7" w:rsidP="00C6168E">
            <w:pPr>
              <w:pStyle w:val="Tabletext1"/>
              <w:keepNext/>
              <w:jc w:val="center"/>
            </w:pPr>
            <w:r w:rsidRPr="005D790C">
              <w:t>0/31 (0%)</w:t>
            </w:r>
          </w:p>
        </w:tc>
        <w:tc>
          <w:tcPr>
            <w:tcW w:w="327" w:type="pct"/>
            <w:tcBorders>
              <w:top w:val="single" w:sz="4" w:space="0" w:color="auto"/>
              <w:left w:val="single" w:sz="4" w:space="0" w:color="auto"/>
              <w:bottom w:val="single" w:sz="4" w:space="0" w:color="auto"/>
              <w:right w:val="single" w:sz="4" w:space="0" w:color="auto"/>
            </w:tcBorders>
          </w:tcPr>
          <w:p w14:paraId="65AF722E" w14:textId="1F010AC4" w:rsidR="00962EC7" w:rsidRPr="005D790C" w:rsidRDefault="00962EC7" w:rsidP="00C6168E">
            <w:pPr>
              <w:pStyle w:val="Tabletext1"/>
              <w:keepNext/>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16BC4A0C" w14:textId="77777777" w:rsidR="00962EC7" w:rsidRDefault="00962EC7" w:rsidP="00C6168E">
            <w:pPr>
              <w:pStyle w:val="Tabletext1"/>
              <w:keepNext/>
              <w:jc w:val="center"/>
            </w:pPr>
          </w:p>
        </w:tc>
        <w:tc>
          <w:tcPr>
            <w:tcW w:w="319" w:type="pct"/>
            <w:tcBorders>
              <w:top w:val="single" w:sz="4" w:space="0" w:color="auto"/>
              <w:left w:val="single" w:sz="4" w:space="0" w:color="auto"/>
              <w:bottom w:val="single" w:sz="4" w:space="0" w:color="auto"/>
              <w:right w:val="single" w:sz="4" w:space="0" w:color="auto"/>
            </w:tcBorders>
          </w:tcPr>
          <w:p w14:paraId="50716116" w14:textId="77777777" w:rsidR="00962EC7" w:rsidRDefault="00962EC7" w:rsidP="00C6168E">
            <w:pPr>
              <w:pStyle w:val="Tabletext1"/>
              <w:keepNext/>
              <w:jc w:val="center"/>
            </w:pPr>
          </w:p>
        </w:tc>
        <w:tc>
          <w:tcPr>
            <w:tcW w:w="316" w:type="pct"/>
            <w:tcBorders>
              <w:top w:val="single" w:sz="4" w:space="0" w:color="auto"/>
              <w:left w:val="single" w:sz="4" w:space="0" w:color="auto"/>
              <w:bottom w:val="single" w:sz="4" w:space="0" w:color="auto"/>
              <w:right w:val="single" w:sz="4" w:space="0" w:color="auto"/>
            </w:tcBorders>
          </w:tcPr>
          <w:p w14:paraId="564C82BB" w14:textId="77777777" w:rsidR="00962EC7" w:rsidRDefault="00962EC7" w:rsidP="00C6168E">
            <w:pPr>
              <w:pStyle w:val="Tabletext1"/>
              <w:keepNext/>
              <w:jc w:val="center"/>
            </w:pPr>
          </w:p>
        </w:tc>
      </w:tr>
      <w:tr w:rsidR="00962EC7" w:rsidRPr="00B2301A" w14:paraId="5F399E74" w14:textId="504023D0" w:rsidTr="00F43CBA">
        <w:tc>
          <w:tcPr>
            <w:tcW w:w="627" w:type="pct"/>
            <w:tcBorders>
              <w:top w:val="nil"/>
              <w:left w:val="single" w:sz="4" w:space="0" w:color="auto"/>
              <w:bottom w:val="nil"/>
              <w:right w:val="single" w:sz="4" w:space="0" w:color="auto"/>
            </w:tcBorders>
            <w:shd w:val="clear" w:color="auto" w:fill="auto"/>
          </w:tcPr>
          <w:p w14:paraId="62695A80" w14:textId="77777777" w:rsidR="00962EC7" w:rsidRDefault="00962EC7" w:rsidP="00F43CBA">
            <w:pPr>
              <w:pStyle w:val="Tabletext1"/>
            </w:pPr>
          </w:p>
        </w:tc>
        <w:tc>
          <w:tcPr>
            <w:tcW w:w="792" w:type="pct"/>
            <w:tcBorders>
              <w:top w:val="single" w:sz="4" w:space="0" w:color="auto"/>
              <w:left w:val="single" w:sz="4" w:space="0" w:color="auto"/>
              <w:bottom w:val="single" w:sz="4" w:space="0" w:color="auto"/>
              <w:right w:val="single" w:sz="4" w:space="0" w:color="auto"/>
            </w:tcBorders>
          </w:tcPr>
          <w:p w14:paraId="7EC1CEA4" w14:textId="4743FDF4" w:rsidR="00962EC7" w:rsidRDefault="00962EC7" w:rsidP="00F43CBA">
            <w:pPr>
              <w:pStyle w:val="Tabletext1"/>
              <w:jc w:val="center"/>
            </w:pPr>
            <w:r>
              <w:t>Loss of appetite</w:t>
            </w:r>
          </w:p>
        </w:tc>
        <w:tc>
          <w:tcPr>
            <w:tcW w:w="327" w:type="pct"/>
            <w:tcBorders>
              <w:top w:val="single" w:sz="4" w:space="0" w:color="auto"/>
              <w:left w:val="single" w:sz="4" w:space="0" w:color="auto"/>
              <w:bottom w:val="single" w:sz="4" w:space="0" w:color="auto"/>
              <w:right w:val="single" w:sz="4" w:space="0" w:color="auto"/>
            </w:tcBorders>
          </w:tcPr>
          <w:p w14:paraId="6C216A3A"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58F52EA0" w14:textId="1E5B3BAF" w:rsidR="00962EC7" w:rsidRPr="005D790C" w:rsidRDefault="00962EC7" w:rsidP="00F43CBA">
            <w:pPr>
              <w:pStyle w:val="Tabletext1"/>
              <w:jc w:val="center"/>
            </w:pPr>
            <w:r w:rsidRPr="005D790C">
              <w:t>2/31 (6.5%)</w:t>
            </w:r>
          </w:p>
        </w:tc>
        <w:tc>
          <w:tcPr>
            <w:tcW w:w="327" w:type="pct"/>
            <w:tcBorders>
              <w:top w:val="single" w:sz="4" w:space="0" w:color="auto"/>
              <w:left w:val="single" w:sz="4" w:space="0" w:color="auto"/>
              <w:bottom w:val="single" w:sz="4" w:space="0" w:color="auto"/>
              <w:right w:val="single" w:sz="4" w:space="0" w:color="auto"/>
            </w:tcBorders>
          </w:tcPr>
          <w:p w14:paraId="510A9E32" w14:textId="0F7173CC" w:rsidR="00962EC7" w:rsidRPr="005D790C" w:rsidRDefault="00962EC7" w:rsidP="00F43CBA">
            <w:pPr>
              <w:pStyle w:val="Tabletext1"/>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1F63B77D"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4F82E949"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6C3C7C2B"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677477FA"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7A2BA37C"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772BBAF0"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63AF82CB"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47AAC146" w14:textId="77777777" w:rsidR="00962EC7" w:rsidRDefault="00962EC7" w:rsidP="00F43CBA">
            <w:pPr>
              <w:pStyle w:val="Tabletext1"/>
              <w:jc w:val="center"/>
            </w:pPr>
          </w:p>
        </w:tc>
      </w:tr>
      <w:tr w:rsidR="00962EC7" w:rsidRPr="00B2301A" w14:paraId="202B9B65" w14:textId="7CC564AE" w:rsidTr="00F43CBA">
        <w:tc>
          <w:tcPr>
            <w:tcW w:w="627" w:type="pct"/>
            <w:tcBorders>
              <w:top w:val="nil"/>
              <w:left w:val="single" w:sz="4" w:space="0" w:color="auto"/>
              <w:bottom w:val="nil"/>
              <w:right w:val="single" w:sz="4" w:space="0" w:color="auto"/>
            </w:tcBorders>
            <w:shd w:val="clear" w:color="auto" w:fill="auto"/>
          </w:tcPr>
          <w:p w14:paraId="6B87E952" w14:textId="77777777" w:rsidR="00962EC7" w:rsidRDefault="00962EC7" w:rsidP="00F43CBA">
            <w:pPr>
              <w:pStyle w:val="Tabletext1"/>
            </w:pPr>
          </w:p>
        </w:tc>
        <w:tc>
          <w:tcPr>
            <w:tcW w:w="792" w:type="pct"/>
            <w:tcBorders>
              <w:top w:val="single" w:sz="4" w:space="0" w:color="auto"/>
              <w:left w:val="single" w:sz="4" w:space="0" w:color="auto"/>
              <w:bottom w:val="single" w:sz="4" w:space="0" w:color="auto"/>
              <w:right w:val="single" w:sz="4" w:space="0" w:color="auto"/>
            </w:tcBorders>
          </w:tcPr>
          <w:p w14:paraId="580ECD7F" w14:textId="0F9DF908" w:rsidR="00962EC7" w:rsidRDefault="00962EC7" w:rsidP="00F43CBA">
            <w:pPr>
              <w:pStyle w:val="Tabletext1"/>
              <w:jc w:val="center"/>
            </w:pPr>
            <w:r>
              <w:t>Diarrhea</w:t>
            </w:r>
          </w:p>
        </w:tc>
        <w:tc>
          <w:tcPr>
            <w:tcW w:w="327" w:type="pct"/>
            <w:tcBorders>
              <w:top w:val="single" w:sz="4" w:space="0" w:color="auto"/>
              <w:left w:val="single" w:sz="4" w:space="0" w:color="auto"/>
              <w:bottom w:val="single" w:sz="4" w:space="0" w:color="auto"/>
              <w:right w:val="single" w:sz="4" w:space="0" w:color="auto"/>
            </w:tcBorders>
          </w:tcPr>
          <w:p w14:paraId="4AEE71C1"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388ED32E" w14:textId="30947FBD" w:rsidR="00962EC7" w:rsidRPr="005D790C" w:rsidRDefault="00962EC7" w:rsidP="00F43CBA">
            <w:pPr>
              <w:pStyle w:val="Tabletext1"/>
              <w:jc w:val="center"/>
            </w:pPr>
            <w:r w:rsidRPr="005D790C">
              <w:t>2/31 (6%)</w:t>
            </w:r>
          </w:p>
        </w:tc>
        <w:tc>
          <w:tcPr>
            <w:tcW w:w="327" w:type="pct"/>
            <w:tcBorders>
              <w:top w:val="single" w:sz="4" w:space="0" w:color="auto"/>
              <w:left w:val="single" w:sz="4" w:space="0" w:color="auto"/>
              <w:bottom w:val="single" w:sz="4" w:space="0" w:color="auto"/>
              <w:right w:val="single" w:sz="4" w:space="0" w:color="auto"/>
            </w:tcBorders>
          </w:tcPr>
          <w:p w14:paraId="5A484BEC"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2959020"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5EC6EAF9"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10313A03"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4B8B399D"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372E228A"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7FEFCE30"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2DC60146"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3BB467A3" w14:textId="77777777" w:rsidR="00962EC7" w:rsidRDefault="00962EC7" w:rsidP="00F43CBA">
            <w:pPr>
              <w:pStyle w:val="Tabletext1"/>
              <w:jc w:val="center"/>
            </w:pPr>
          </w:p>
        </w:tc>
      </w:tr>
      <w:tr w:rsidR="00962EC7" w:rsidRPr="00B2301A" w14:paraId="73367983" w14:textId="12F8BEF2" w:rsidTr="00F43CBA">
        <w:tc>
          <w:tcPr>
            <w:tcW w:w="627" w:type="pct"/>
            <w:tcBorders>
              <w:top w:val="nil"/>
              <w:left w:val="single" w:sz="4" w:space="0" w:color="auto"/>
              <w:bottom w:val="nil"/>
              <w:right w:val="single" w:sz="4" w:space="0" w:color="auto"/>
            </w:tcBorders>
            <w:shd w:val="clear" w:color="auto" w:fill="auto"/>
          </w:tcPr>
          <w:p w14:paraId="155E77B9" w14:textId="77777777" w:rsidR="00962EC7" w:rsidRDefault="00962EC7" w:rsidP="00F43CBA">
            <w:pPr>
              <w:pStyle w:val="Tabletext1"/>
            </w:pPr>
          </w:p>
        </w:tc>
        <w:tc>
          <w:tcPr>
            <w:tcW w:w="792" w:type="pct"/>
            <w:tcBorders>
              <w:top w:val="single" w:sz="4" w:space="0" w:color="auto"/>
              <w:left w:val="single" w:sz="4" w:space="0" w:color="auto"/>
              <w:bottom w:val="single" w:sz="4" w:space="0" w:color="auto"/>
              <w:right w:val="single" w:sz="4" w:space="0" w:color="auto"/>
            </w:tcBorders>
          </w:tcPr>
          <w:p w14:paraId="6423B35F" w14:textId="7CE96A21" w:rsidR="00962EC7" w:rsidRDefault="00962EC7" w:rsidP="00F43CBA">
            <w:pPr>
              <w:pStyle w:val="Tabletext1"/>
              <w:jc w:val="center"/>
            </w:pPr>
            <w:r>
              <w:t>Constipation</w:t>
            </w:r>
          </w:p>
        </w:tc>
        <w:tc>
          <w:tcPr>
            <w:tcW w:w="327" w:type="pct"/>
            <w:tcBorders>
              <w:top w:val="single" w:sz="4" w:space="0" w:color="auto"/>
              <w:left w:val="single" w:sz="4" w:space="0" w:color="auto"/>
              <w:bottom w:val="single" w:sz="4" w:space="0" w:color="auto"/>
              <w:right w:val="single" w:sz="4" w:space="0" w:color="auto"/>
            </w:tcBorders>
          </w:tcPr>
          <w:p w14:paraId="48A52212"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0218EF39" w14:textId="6A68950B" w:rsidR="00962EC7" w:rsidRPr="005D790C" w:rsidRDefault="00962EC7" w:rsidP="00F43CBA">
            <w:pPr>
              <w:pStyle w:val="Tabletext1"/>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119E19A7" w14:textId="15FF5D90" w:rsidR="00962EC7" w:rsidRPr="005D790C" w:rsidRDefault="00962EC7" w:rsidP="00F43CBA">
            <w:pPr>
              <w:pStyle w:val="Tabletext1"/>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794ADB22"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47C5926D"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018F28CF"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6C1D2C11"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36308216"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7DFB5962"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2EA10B2D"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6BC1FE83" w14:textId="77777777" w:rsidR="00962EC7" w:rsidRDefault="00962EC7" w:rsidP="00F43CBA">
            <w:pPr>
              <w:pStyle w:val="Tabletext1"/>
              <w:jc w:val="center"/>
            </w:pPr>
          </w:p>
        </w:tc>
      </w:tr>
      <w:tr w:rsidR="00962EC7" w:rsidRPr="00B2301A" w14:paraId="0AE42433" w14:textId="0C4DD510" w:rsidTr="00F43CBA">
        <w:tc>
          <w:tcPr>
            <w:tcW w:w="627" w:type="pct"/>
            <w:tcBorders>
              <w:top w:val="nil"/>
              <w:left w:val="single" w:sz="4" w:space="0" w:color="auto"/>
              <w:bottom w:val="nil"/>
              <w:right w:val="single" w:sz="4" w:space="0" w:color="auto"/>
            </w:tcBorders>
            <w:shd w:val="clear" w:color="auto" w:fill="auto"/>
          </w:tcPr>
          <w:p w14:paraId="012329B8" w14:textId="77777777" w:rsidR="00962EC7" w:rsidRDefault="00962EC7" w:rsidP="00F43CBA">
            <w:pPr>
              <w:pStyle w:val="Tabletext1"/>
            </w:pPr>
          </w:p>
        </w:tc>
        <w:tc>
          <w:tcPr>
            <w:tcW w:w="792" w:type="pct"/>
            <w:tcBorders>
              <w:top w:val="single" w:sz="4" w:space="0" w:color="auto"/>
              <w:left w:val="single" w:sz="4" w:space="0" w:color="auto"/>
              <w:bottom w:val="single" w:sz="4" w:space="0" w:color="auto"/>
              <w:right w:val="single" w:sz="4" w:space="0" w:color="auto"/>
            </w:tcBorders>
          </w:tcPr>
          <w:p w14:paraId="3D042D31" w14:textId="36964F48" w:rsidR="00962EC7" w:rsidRDefault="00962EC7" w:rsidP="00F43CBA">
            <w:pPr>
              <w:pStyle w:val="Tabletext1"/>
              <w:jc w:val="center"/>
            </w:pPr>
            <w:r>
              <w:t>Fatigue</w:t>
            </w:r>
          </w:p>
        </w:tc>
        <w:tc>
          <w:tcPr>
            <w:tcW w:w="327" w:type="pct"/>
            <w:tcBorders>
              <w:top w:val="single" w:sz="4" w:space="0" w:color="auto"/>
              <w:left w:val="single" w:sz="4" w:space="0" w:color="auto"/>
              <w:bottom w:val="single" w:sz="4" w:space="0" w:color="auto"/>
              <w:right w:val="single" w:sz="4" w:space="0" w:color="auto"/>
            </w:tcBorders>
          </w:tcPr>
          <w:p w14:paraId="6446973A"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03247CFE" w14:textId="4B4E1D5F" w:rsidR="00962EC7" w:rsidRPr="005D790C" w:rsidRDefault="00962EC7" w:rsidP="00F43CBA">
            <w:pPr>
              <w:pStyle w:val="Tabletext1"/>
              <w:jc w:val="center"/>
            </w:pPr>
            <w:r w:rsidRPr="005D790C">
              <w:t>6/31 (19%)</w:t>
            </w:r>
          </w:p>
        </w:tc>
        <w:tc>
          <w:tcPr>
            <w:tcW w:w="327" w:type="pct"/>
            <w:tcBorders>
              <w:top w:val="single" w:sz="4" w:space="0" w:color="auto"/>
              <w:left w:val="single" w:sz="4" w:space="0" w:color="auto"/>
              <w:bottom w:val="single" w:sz="4" w:space="0" w:color="auto"/>
              <w:right w:val="single" w:sz="4" w:space="0" w:color="auto"/>
            </w:tcBorders>
          </w:tcPr>
          <w:p w14:paraId="29DBC57C" w14:textId="3E5A5B28" w:rsidR="00962EC7" w:rsidRPr="005D790C" w:rsidRDefault="00962EC7" w:rsidP="00F43CBA">
            <w:pPr>
              <w:pStyle w:val="Tabletext1"/>
              <w:jc w:val="center"/>
            </w:pPr>
            <w:r w:rsidRPr="005D790C">
              <w:t>5/31 (16%)</w:t>
            </w:r>
          </w:p>
        </w:tc>
        <w:tc>
          <w:tcPr>
            <w:tcW w:w="327" w:type="pct"/>
            <w:tcBorders>
              <w:top w:val="single" w:sz="4" w:space="0" w:color="auto"/>
              <w:left w:val="single" w:sz="4" w:space="0" w:color="auto"/>
              <w:bottom w:val="single" w:sz="4" w:space="0" w:color="auto"/>
              <w:right w:val="single" w:sz="4" w:space="0" w:color="auto"/>
            </w:tcBorders>
          </w:tcPr>
          <w:p w14:paraId="6F33FC24"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385CD69B"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5CA1D6F1"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47BFC533" w14:textId="170598FD" w:rsidR="00962EC7" w:rsidRPr="005D790C" w:rsidRDefault="00962EC7" w:rsidP="00F43CBA">
            <w:pPr>
              <w:pStyle w:val="Tabletext1"/>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22FD13B7" w14:textId="4C4BD583" w:rsidR="00962EC7" w:rsidRPr="005D790C" w:rsidRDefault="00962EC7" w:rsidP="00F43CBA">
            <w:pPr>
              <w:pStyle w:val="Tabletext1"/>
              <w:jc w:val="center"/>
            </w:pPr>
            <w:r w:rsidRPr="005D790C">
              <w:t>3/31 (</w:t>
            </w:r>
            <w:r w:rsidR="009C4D7B">
              <w:t>10</w:t>
            </w:r>
            <w:r w:rsidRPr="005D790C">
              <w:t>%)</w:t>
            </w:r>
          </w:p>
        </w:tc>
        <w:tc>
          <w:tcPr>
            <w:tcW w:w="327" w:type="pct"/>
            <w:tcBorders>
              <w:top w:val="single" w:sz="4" w:space="0" w:color="auto"/>
              <w:left w:val="single" w:sz="4" w:space="0" w:color="auto"/>
              <w:bottom w:val="single" w:sz="4" w:space="0" w:color="auto"/>
              <w:right w:val="single" w:sz="4" w:space="0" w:color="auto"/>
            </w:tcBorders>
          </w:tcPr>
          <w:p w14:paraId="61EA1351"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6BF40156"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20F388D4" w14:textId="77777777" w:rsidR="00962EC7" w:rsidRDefault="00962EC7" w:rsidP="00F43CBA">
            <w:pPr>
              <w:pStyle w:val="Tabletext1"/>
              <w:jc w:val="center"/>
            </w:pPr>
          </w:p>
        </w:tc>
      </w:tr>
      <w:tr w:rsidR="00962EC7" w:rsidRPr="00B2301A" w14:paraId="36FDE28E" w14:textId="39D4E177" w:rsidTr="00F43CBA">
        <w:tc>
          <w:tcPr>
            <w:tcW w:w="627" w:type="pct"/>
            <w:tcBorders>
              <w:top w:val="nil"/>
              <w:left w:val="single" w:sz="4" w:space="0" w:color="auto"/>
              <w:bottom w:val="nil"/>
              <w:right w:val="single" w:sz="4" w:space="0" w:color="auto"/>
            </w:tcBorders>
            <w:shd w:val="clear" w:color="auto" w:fill="auto"/>
          </w:tcPr>
          <w:p w14:paraId="4F008420" w14:textId="77777777" w:rsidR="00962EC7" w:rsidRDefault="00962EC7" w:rsidP="00F43CBA">
            <w:pPr>
              <w:pStyle w:val="Tabletext1"/>
            </w:pPr>
          </w:p>
        </w:tc>
        <w:tc>
          <w:tcPr>
            <w:tcW w:w="792" w:type="pct"/>
            <w:tcBorders>
              <w:top w:val="single" w:sz="4" w:space="0" w:color="auto"/>
              <w:left w:val="single" w:sz="4" w:space="0" w:color="auto"/>
              <w:bottom w:val="single" w:sz="4" w:space="0" w:color="auto"/>
              <w:right w:val="single" w:sz="4" w:space="0" w:color="auto"/>
            </w:tcBorders>
          </w:tcPr>
          <w:p w14:paraId="61D9968A" w14:textId="29F7F4AD" w:rsidR="00962EC7" w:rsidRDefault="00962EC7" w:rsidP="00F43CBA">
            <w:pPr>
              <w:pStyle w:val="Tabletext1"/>
              <w:jc w:val="center"/>
            </w:pPr>
            <w:r>
              <w:t>Throbbing pain</w:t>
            </w:r>
          </w:p>
        </w:tc>
        <w:tc>
          <w:tcPr>
            <w:tcW w:w="327" w:type="pct"/>
            <w:tcBorders>
              <w:top w:val="single" w:sz="4" w:space="0" w:color="auto"/>
              <w:left w:val="single" w:sz="4" w:space="0" w:color="auto"/>
              <w:bottom w:val="single" w:sz="4" w:space="0" w:color="auto"/>
              <w:right w:val="single" w:sz="4" w:space="0" w:color="auto"/>
            </w:tcBorders>
          </w:tcPr>
          <w:p w14:paraId="737120F1"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5609C492" w14:textId="2CD6B67B" w:rsidR="00962EC7" w:rsidRPr="005D790C" w:rsidRDefault="00962EC7" w:rsidP="00F43CBA">
            <w:pPr>
              <w:pStyle w:val="Tabletext1"/>
              <w:jc w:val="center"/>
            </w:pPr>
            <w:r w:rsidRPr="005D790C">
              <w:t>0/31 (0%)</w:t>
            </w:r>
          </w:p>
        </w:tc>
        <w:tc>
          <w:tcPr>
            <w:tcW w:w="327" w:type="pct"/>
            <w:tcBorders>
              <w:top w:val="single" w:sz="4" w:space="0" w:color="auto"/>
              <w:left w:val="single" w:sz="4" w:space="0" w:color="auto"/>
              <w:bottom w:val="single" w:sz="4" w:space="0" w:color="auto"/>
              <w:right w:val="single" w:sz="4" w:space="0" w:color="auto"/>
            </w:tcBorders>
          </w:tcPr>
          <w:p w14:paraId="4FC6FB2A" w14:textId="26826543" w:rsidR="00962EC7" w:rsidRPr="005D790C" w:rsidRDefault="00962EC7" w:rsidP="00F43CBA">
            <w:pPr>
              <w:pStyle w:val="Tabletext1"/>
              <w:jc w:val="center"/>
            </w:pPr>
            <w:r w:rsidRPr="005D790C">
              <w:t>2/31 (6%)</w:t>
            </w:r>
          </w:p>
        </w:tc>
        <w:tc>
          <w:tcPr>
            <w:tcW w:w="327" w:type="pct"/>
            <w:tcBorders>
              <w:top w:val="single" w:sz="4" w:space="0" w:color="auto"/>
              <w:left w:val="single" w:sz="4" w:space="0" w:color="auto"/>
              <w:bottom w:val="single" w:sz="4" w:space="0" w:color="auto"/>
              <w:right w:val="single" w:sz="4" w:space="0" w:color="auto"/>
            </w:tcBorders>
          </w:tcPr>
          <w:p w14:paraId="1F9E6A34"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1B5D0E9B"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5C060F3F"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6F83D3E7"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F6533F7"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588745B3"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5889BBFE"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36DA71C4" w14:textId="77777777" w:rsidR="00962EC7" w:rsidRDefault="00962EC7" w:rsidP="00F43CBA">
            <w:pPr>
              <w:pStyle w:val="Tabletext1"/>
              <w:jc w:val="center"/>
            </w:pPr>
          </w:p>
        </w:tc>
      </w:tr>
      <w:tr w:rsidR="00962EC7" w:rsidRPr="00B2301A" w14:paraId="0A7E7B84" w14:textId="754B3661" w:rsidTr="00F43CBA">
        <w:tc>
          <w:tcPr>
            <w:tcW w:w="627" w:type="pct"/>
            <w:tcBorders>
              <w:top w:val="nil"/>
              <w:left w:val="single" w:sz="4" w:space="0" w:color="auto"/>
              <w:bottom w:val="nil"/>
              <w:right w:val="single" w:sz="4" w:space="0" w:color="auto"/>
            </w:tcBorders>
            <w:shd w:val="clear" w:color="auto" w:fill="auto"/>
          </w:tcPr>
          <w:p w14:paraId="58115CF0" w14:textId="77777777" w:rsidR="00962EC7" w:rsidRDefault="00962EC7" w:rsidP="00F43CBA">
            <w:pPr>
              <w:pStyle w:val="Tabletext1"/>
            </w:pPr>
          </w:p>
        </w:tc>
        <w:tc>
          <w:tcPr>
            <w:tcW w:w="792" w:type="pct"/>
            <w:tcBorders>
              <w:top w:val="single" w:sz="4" w:space="0" w:color="auto"/>
              <w:left w:val="single" w:sz="4" w:space="0" w:color="auto"/>
              <w:bottom w:val="single" w:sz="4" w:space="0" w:color="auto"/>
              <w:right w:val="single" w:sz="4" w:space="0" w:color="auto"/>
            </w:tcBorders>
          </w:tcPr>
          <w:p w14:paraId="2D274CEA" w14:textId="552C65CB" w:rsidR="00962EC7" w:rsidRDefault="00962EC7" w:rsidP="00F43CBA">
            <w:pPr>
              <w:pStyle w:val="Tabletext1"/>
              <w:jc w:val="center"/>
            </w:pPr>
            <w:r>
              <w:t>Adrenal insufficiency</w:t>
            </w:r>
          </w:p>
        </w:tc>
        <w:tc>
          <w:tcPr>
            <w:tcW w:w="327" w:type="pct"/>
            <w:tcBorders>
              <w:top w:val="single" w:sz="4" w:space="0" w:color="auto"/>
              <w:left w:val="single" w:sz="4" w:space="0" w:color="auto"/>
              <w:bottom w:val="single" w:sz="4" w:space="0" w:color="auto"/>
              <w:right w:val="single" w:sz="4" w:space="0" w:color="auto"/>
            </w:tcBorders>
          </w:tcPr>
          <w:p w14:paraId="57BE6BCC"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3F3A5331" w14:textId="44234DDF" w:rsidR="00962EC7" w:rsidRPr="005D790C" w:rsidRDefault="00962EC7" w:rsidP="00F43CBA">
            <w:pPr>
              <w:pStyle w:val="Tabletext1"/>
              <w:jc w:val="center"/>
            </w:pPr>
            <w:r w:rsidRPr="005D790C">
              <w:t>0/31 (0%)</w:t>
            </w:r>
          </w:p>
        </w:tc>
        <w:tc>
          <w:tcPr>
            <w:tcW w:w="327" w:type="pct"/>
            <w:tcBorders>
              <w:top w:val="single" w:sz="4" w:space="0" w:color="auto"/>
              <w:left w:val="single" w:sz="4" w:space="0" w:color="auto"/>
              <w:bottom w:val="single" w:sz="4" w:space="0" w:color="auto"/>
              <w:right w:val="single" w:sz="4" w:space="0" w:color="auto"/>
            </w:tcBorders>
          </w:tcPr>
          <w:p w14:paraId="3B964FB9" w14:textId="30D91DCB" w:rsidR="00962EC7" w:rsidRPr="005D790C" w:rsidRDefault="00962EC7" w:rsidP="00F43CBA">
            <w:pPr>
              <w:pStyle w:val="Tabletext1"/>
              <w:jc w:val="center"/>
            </w:pPr>
            <w:r w:rsidRPr="005D790C">
              <w:t>2/31 (6%)</w:t>
            </w:r>
          </w:p>
        </w:tc>
        <w:tc>
          <w:tcPr>
            <w:tcW w:w="327" w:type="pct"/>
            <w:tcBorders>
              <w:top w:val="single" w:sz="4" w:space="0" w:color="auto"/>
              <w:left w:val="single" w:sz="4" w:space="0" w:color="auto"/>
              <w:bottom w:val="single" w:sz="4" w:space="0" w:color="auto"/>
              <w:right w:val="single" w:sz="4" w:space="0" w:color="auto"/>
            </w:tcBorders>
          </w:tcPr>
          <w:p w14:paraId="107D4CA5"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31F200A7"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C0FCEAD"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75788BAD"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C935AF8"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C159DF5"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54598CE1"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617220B2" w14:textId="77777777" w:rsidR="00962EC7" w:rsidRDefault="00962EC7" w:rsidP="00F43CBA">
            <w:pPr>
              <w:pStyle w:val="Tabletext1"/>
              <w:jc w:val="center"/>
            </w:pPr>
          </w:p>
        </w:tc>
      </w:tr>
      <w:tr w:rsidR="00962EC7" w:rsidRPr="00B2301A" w14:paraId="58100563" w14:textId="725D376F" w:rsidTr="00F43CBA">
        <w:tc>
          <w:tcPr>
            <w:tcW w:w="627" w:type="pct"/>
            <w:tcBorders>
              <w:top w:val="nil"/>
              <w:left w:val="single" w:sz="4" w:space="0" w:color="auto"/>
              <w:bottom w:val="nil"/>
              <w:right w:val="single" w:sz="4" w:space="0" w:color="auto"/>
            </w:tcBorders>
            <w:shd w:val="clear" w:color="auto" w:fill="auto"/>
          </w:tcPr>
          <w:p w14:paraId="1E3100A2" w14:textId="5E763FA5" w:rsidR="00962EC7" w:rsidRPr="00BD6F3B" w:rsidRDefault="00962EC7" w:rsidP="00F43CBA">
            <w:pPr>
              <w:pStyle w:val="Tabletext1"/>
              <w:rPr>
                <w:b/>
                <w:bCs/>
              </w:rPr>
            </w:pPr>
          </w:p>
        </w:tc>
        <w:tc>
          <w:tcPr>
            <w:tcW w:w="792" w:type="pct"/>
            <w:tcBorders>
              <w:top w:val="single" w:sz="4" w:space="0" w:color="auto"/>
              <w:left w:val="single" w:sz="4" w:space="0" w:color="auto"/>
              <w:bottom w:val="single" w:sz="4" w:space="0" w:color="auto"/>
              <w:right w:val="single" w:sz="4" w:space="0" w:color="auto"/>
            </w:tcBorders>
          </w:tcPr>
          <w:p w14:paraId="58F2100E" w14:textId="4649CE09" w:rsidR="00962EC7" w:rsidRDefault="00962EC7" w:rsidP="00F43CBA">
            <w:pPr>
              <w:pStyle w:val="Tabletext1"/>
              <w:jc w:val="center"/>
            </w:pPr>
            <w:r>
              <w:t>Radiogenic gastritis</w:t>
            </w:r>
          </w:p>
        </w:tc>
        <w:tc>
          <w:tcPr>
            <w:tcW w:w="327" w:type="pct"/>
            <w:tcBorders>
              <w:top w:val="single" w:sz="4" w:space="0" w:color="auto"/>
              <w:left w:val="single" w:sz="4" w:space="0" w:color="auto"/>
              <w:bottom w:val="single" w:sz="4" w:space="0" w:color="auto"/>
              <w:right w:val="single" w:sz="4" w:space="0" w:color="auto"/>
            </w:tcBorders>
          </w:tcPr>
          <w:p w14:paraId="595ED4AF"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2612111F" w14:textId="196F3EE7" w:rsidR="00962EC7" w:rsidRPr="005D790C" w:rsidRDefault="00962EC7" w:rsidP="00F43CBA">
            <w:pPr>
              <w:pStyle w:val="Tabletext1"/>
              <w:jc w:val="center"/>
            </w:pPr>
            <w:r w:rsidRPr="005D790C">
              <w:t>0/31 (0%)</w:t>
            </w:r>
          </w:p>
        </w:tc>
        <w:tc>
          <w:tcPr>
            <w:tcW w:w="327" w:type="pct"/>
            <w:tcBorders>
              <w:top w:val="single" w:sz="4" w:space="0" w:color="auto"/>
              <w:left w:val="single" w:sz="4" w:space="0" w:color="auto"/>
              <w:bottom w:val="single" w:sz="4" w:space="0" w:color="auto"/>
              <w:right w:val="single" w:sz="4" w:space="0" w:color="auto"/>
            </w:tcBorders>
          </w:tcPr>
          <w:p w14:paraId="1E279A0C" w14:textId="2D5EE926" w:rsidR="00962EC7" w:rsidRPr="005D790C" w:rsidRDefault="00962EC7" w:rsidP="00F43CBA">
            <w:pPr>
              <w:pStyle w:val="Tabletext1"/>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704D7248"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66262FA3"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61FE673D"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77CB85FE"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55E0649F"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1C8111A3"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1E8E66F2"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7D24974E" w14:textId="77777777" w:rsidR="00962EC7" w:rsidRDefault="00962EC7" w:rsidP="00F43CBA">
            <w:pPr>
              <w:pStyle w:val="Tabletext1"/>
              <w:jc w:val="center"/>
            </w:pPr>
          </w:p>
        </w:tc>
      </w:tr>
      <w:tr w:rsidR="00962EC7" w:rsidRPr="00B2301A" w14:paraId="12AFB816" w14:textId="7FCD8072" w:rsidTr="00F43CBA">
        <w:tc>
          <w:tcPr>
            <w:tcW w:w="627" w:type="pct"/>
            <w:tcBorders>
              <w:top w:val="nil"/>
              <w:left w:val="single" w:sz="4" w:space="0" w:color="auto"/>
              <w:bottom w:val="nil"/>
              <w:right w:val="single" w:sz="4" w:space="0" w:color="auto"/>
            </w:tcBorders>
            <w:shd w:val="clear" w:color="auto" w:fill="auto"/>
          </w:tcPr>
          <w:p w14:paraId="5E43FA8A" w14:textId="77777777" w:rsidR="00962EC7" w:rsidRPr="00BD6F3B" w:rsidRDefault="00962EC7" w:rsidP="00F43CBA">
            <w:pPr>
              <w:pStyle w:val="Tabletext1"/>
              <w:rPr>
                <w:b/>
                <w:bCs/>
              </w:rPr>
            </w:pPr>
          </w:p>
        </w:tc>
        <w:tc>
          <w:tcPr>
            <w:tcW w:w="792" w:type="pct"/>
            <w:tcBorders>
              <w:top w:val="single" w:sz="4" w:space="0" w:color="auto"/>
              <w:left w:val="single" w:sz="4" w:space="0" w:color="auto"/>
              <w:bottom w:val="single" w:sz="4" w:space="0" w:color="auto"/>
              <w:right w:val="single" w:sz="4" w:space="0" w:color="auto"/>
            </w:tcBorders>
          </w:tcPr>
          <w:p w14:paraId="70EF75FE" w14:textId="3C5D845D" w:rsidR="00962EC7" w:rsidRDefault="00962EC7" w:rsidP="00F43CBA">
            <w:pPr>
              <w:pStyle w:val="Tabletext1"/>
              <w:jc w:val="center"/>
            </w:pPr>
            <w:r>
              <w:t>Flatulence</w:t>
            </w:r>
          </w:p>
        </w:tc>
        <w:tc>
          <w:tcPr>
            <w:tcW w:w="327" w:type="pct"/>
            <w:tcBorders>
              <w:top w:val="single" w:sz="4" w:space="0" w:color="auto"/>
              <w:left w:val="single" w:sz="4" w:space="0" w:color="auto"/>
              <w:bottom w:val="single" w:sz="4" w:space="0" w:color="auto"/>
              <w:right w:val="single" w:sz="4" w:space="0" w:color="auto"/>
            </w:tcBorders>
          </w:tcPr>
          <w:p w14:paraId="2D8E86C3"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4FD4B97C" w14:textId="061244C5" w:rsidR="00962EC7" w:rsidRPr="005D790C" w:rsidRDefault="00962EC7" w:rsidP="00F43CBA">
            <w:pPr>
              <w:pStyle w:val="Tabletext1"/>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2EDCB14D" w14:textId="38D78995" w:rsidR="00962EC7" w:rsidRPr="005D790C" w:rsidRDefault="00962EC7" w:rsidP="00F43CBA">
            <w:pPr>
              <w:pStyle w:val="Tabletext1"/>
              <w:jc w:val="center"/>
            </w:pPr>
            <w:r w:rsidRPr="005D790C">
              <w:t>1/31 (3%)</w:t>
            </w:r>
          </w:p>
        </w:tc>
        <w:tc>
          <w:tcPr>
            <w:tcW w:w="327" w:type="pct"/>
            <w:tcBorders>
              <w:top w:val="single" w:sz="4" w:space="0" w:color="auto"/>
              <w:left w:val="single" w:sz="4" w:space="0" w:color="auto"/>
              <w:bottom w:val="single" w:sz="4" w:space="0" w:color="auto"/>
              <w:right w:val="single" w:sz="4" w:space="0" w:color="auto"/>
            </w:tcBorders>
          </w:tcPr>
          <w:p w14:paraId="638A95FC"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56A8DB88"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6FADB55"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00BD0714"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6EC52A68"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1CF8D511"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1112A0CE"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09C59206" w14:textId="77777777" w:rsidR="00962EC7" w:rsidRDefault="00962EC7" w:rsidP="00F43CBA">
            <w:pPr>
              <w:pStyle w:val="Tabletext1"/>
              <w:jc w:val="center"/>
            </w:pPr>
          </w:p>
        </w:tc>
      </w:tr>
      <w:tr w:rsidR="00962EC7" w:rsidRPr="00B2301A" w14:paraId="331D549C" w14:textId="7B7FA659" w:rsidTr="00F43CBA">
        <w:tc>
          <w:tcPr>
            <w:tcW w:w="627" w:type="pct"/>
            <w:tcBorders>
              <w:top w:val="nil"/>
              <w:left w:val="single" w:sz="4" w:space="0" w:color="auto"/>
              <w:bottom w:val="nil"/>
              <w:right w:val="single" w:sz="4" w:space="0" w:color="auto"/>
            </w:tcBorders>
            <w:shd w:val="clear" w:color="auto" w:fill="auto"/>
          </w:tcPr>
          <w:p w14:paraId="705FFFF4" w14:textId="77777777" w:rsidR="00962EC7" w:rsidRPr="00BD6F3B" w:rsidRDefault="00962EC7" w:rsidP="00F43CBA">
            <w:pPr>
              <w:pStyle w:val="Tabletext1"/>
              <w:rPr>
                <w:b/>
                <w:bCs/>
              </w:rPr>
            </w:pPr>
          </w:p>
        </w:tc>
        <w:tc>
          <w:tcPr>
            <w:tcW w:w="792" w:type="pct"/>
            <w:tcBorders>
              <w:top w:val="single" w:sz="4" w:space="0" w:color="auto"/>
              <w:left w:val="single" w:sz="4" w:space="0" w:color="auto"/>
              <w:bottom w:val="single" w:sz="4" w:space="0" w:color="auto"/>
              <w:right w:val="single" w:sz="4" w:space="0" w:color="auto"/>
            </w:tcBorders>
          </w:tcPr>
          <w:p w14:paraId="2DEB3545" w14:textId="10A25310" w:rsidR="00962EC7" w:rsidRDefault="0057591C" w:rsidP="00F43CBA">
            <w:pPr>
              <w:pStyle w:val="Tabletext1"/>
              <w:jc w:val="center"/>
            </w:pPr>
            <w:r>
              <w:t>GI</w:t>
            </w:r>
          </w:p>
        </w:tc>
        <w:tc>
          <w:tcPr>
            <w:tcW w:w="327" w:type="pct"/>
            <w:tcBorders>
              <w:top w:val="single" w:sz="4" w:space="0" w:color="auto"/>
              <w:left w:val="single" w:sz="4" w:space="0" w:color="auto"/>
              <w:bottom w:val="single" w:sz="4" w:space="0" w:color="auto"/>
              <w:right w:val="single" w:sz="4" w:space="0" w:color="auto"/>
            </w:tcBorders>
          </w:tcPr>
          <w:p w14:paraId="336754D6"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nil"/>
            </w:tcBorders>
          </w:tcPr>
          <w:p w14:paraId="1E2E5522" w14:textId="51FBFE0C" w:rsidR="00962EC7" w:rsidRPr="005D790C" w:rsidRDefault="00962EC7" w:rsidP="00F43CBA">
            <w:pPr>
              <w:pStyle w:val="Tabletext1"/>
              <w:jc w:val="center"/>
            </w:pPr>
            <w:r w:rsidRPr="005D790C">
              <w:t>48.4%</w:t>
            </w:r>
          </w:p>
        </w:tc>
        <w:tc>
          <w:tcPr>
            <w:tcW w:w="327" w:type="pct"/>
            <w:tcBorders>
              <w:top w:val="single" w:sz="4" w:space="0" w:color="auto"/>
              <w:left w:val="nil"/>
              <w:bottom w:val="single" w:sz="4" w:space="0" w:color="auto"/>
              <w:right w:val="single" w:sz="4" w:space="0" w:color="auto"/>
            </w:tcBorders>
          </w:tcPr>
          <w:p w14:paraId="7284C673"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6ABE2675"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1BD639F0"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04796117"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3F8E6BF9" w14:textId="35E68C8E" w:rsidR="00962EC7" w:rsidRPr="005D790C" w:rsidRDefault="00962EC7" w:rsidP="00F43CBA">
            <w:pPr>
              <w:pStyle w:val="Tabletext1"/>
              <w:jc w:val="center"/>
            </w:pPr>
            <w:r w:rsidRPr="005D790C">
              <w:t>4/31 (</w:t>
            </w:r>
            <w:r w:rsidR="009C4D7B">
              <w:t>13</w:t>
            </w:r>
            <w:r w:rsidRPr="005D790C">
              <w:t>%)</w:t>
            </w:r>
          </w:p>
        </w:tc>
        <w:tc>
          <w:tcPr>
            <w:tcW w:w="327" w:type="pct"/>
            <w:tcBorders>
              <w:top w:val="single" w:sz="4" w:space="0" w:color="auto"/>
              <w:left w:val="single" w:sz="4" w:space="0" w:color="auto"/>
              <w:bottom w:val="single" w:sz="4" w:space="0" w:color="auto"/>
              <w:right w:val="single" w:sz="4" w:space="0" w:color="auto"/>
            </w:tcBorders>
          </w:tcPr>
          <w:p w14:paraId="55D10746" w14:textId="35ADC58C" w:rsidR="00962EC7" w:rsidRPr="005D790C" w:rsidRDefault="00962EC7" w:rsidP="00F43CBA">
            <w:pPr>
              <w:pStyle w:val="Tabletext1"/>
              <w:jc w:val="center"/>
            </w:pPr>
            <w:r w:rsidRPr="005D790C">
              <w:t>0/31 (0%)</w:t>
            </w:r>
          </w:p>
        </w:tc>
        <w:tc>
          <w:tcPr>
            <w:tcW w:w="327" w:type="pct"/>
            <w:tcBorders>
              <w:top w:val="single" w:sz="4" w:space="0" w:color="auto"/>
              <w:left w:val="single" w:sz="4" w:space="0" w:color="auto"/>
              <w:bottom w:val="single" w:sz="4" w:space="0" w:color="auto"/>
              <w:right w:val="single" w:sz="4" w:space="0" w:color="auto"/>
            </w:tcBorders>
          </w:tcPr>
          <w:p w14:paraId="4F10DDC6"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5518CA7F"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6B1DB10C" w14:textId="77777777" w:rsidR="00962EC7" w:rsidRDefault="00962EC7" w:rsidP="00F43CBA">
            <w:pPr>
              <w:pStyle w:val="Tabletext1"/>
              <w:jc w:val="center"/>
            </w:pPr>
          </w:p>
        </w:tc>
      </w:tr>
      <w:tr w:rsidR="00962EC7" w:rsidRPr="00B2301A" w14:paraId="2C41649B" w14:textId="6D1DF7FE" w:rsidTr="00F43CBA">
        <w:tc>
          <w:tcPr>
            <w:tcW w:w="627" w:type="pct"/>
            <w:tcBorders>
              <w:top w:val="nil"/>
              <w:left w:val="single" w:sz="4" w:space="0" w:color="auto"/>
              <w:bottom w:val="single" w:sz="4" w:space="0" w:color="auto"/>
              <w:right w:val="single" w:sz="4" w:space="0" w:color="auto"/>
            </w:tcBorders>
            <w:shd w:val="clear" w:color="auto" w:fill="auto"/>
          </w:tcPr>
          <w:p w14:paraId="3BF5A8DC" w14:textId="77777777" w:rsidR="00962EC7" w:rsidRPr="00BD6F3B" w:rsidRDefault="00962EC7" w:rsidP="00F43CBA">
            <w:pPr>
              <w:pStyle w:val="Tabletext1"/>
              <w:rPr>
                <w:b/>
                <w:bCs/>
              </w:rPr>
            </w:pPr>
          </w:p>
        </w:tc>
        <w:tc>
          <w:tcPr>
            <w:tcW w:w="792" w:type="pct"/>
            <w:tcBorders>
              <w:top w:val="single" w:sz="4" w:space="0" w:color="auto"/>
              <w:left w:val="single" w:sz="4" w:space="0" w:color="auto"/>
              <w:bottom w:val="single" w:sz="4" w:space="0" w:color="auto"/>
              <w:right w:val="single" w:sz="4" w:space="0" w:color="auto"/>
            </w:tcBorders>
          </w:tcPr>
          <w:p w14:paraId="5A5BD7E3" w14:textId="3FF99B1D" w:rsidR="00962EC7" w:rsidRDefault="00962EC7" w:rsidP="00F43CBA">
            <w:pPr>
              <w:pStyle w:val="Tabletext1"/>
              <w:jc w:val="center"/>
            </w:pPr>
            <w:r>
              <w:t>Headache</w:t>
            </w:r>
          </w:p>
        </w:tc>
        <w:tc>
          <w:tcPr>
            <w:tcW w:w="327" w:type="pct"/>
            <w:tcBorders>
              <w:top w:val="single" w:sz="4" w:space="0" w:color="auto"/>
              <w:left w:val="single" w:sz="4" w:space="0" w:color="auto"/>
              <w:bottom w:val="single" w:sz="4" w:space="0" w:color="auto"/>
              <w:right w:val="single" w:sz="4" w:space="0" w:color="auto"/>
            </w:tcBorders>
          </w:tcPr>
          <w:p w14:paraId="107602C0" w14:textId="77777777" w:rsidR="00962EC7" w:rsidRPr="002B629F"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1A5426B7" w14:textId="1A84C58B"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95DFF57"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161983AD"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6BDD39DE" w14:textId="77777777" w:rsidR="00962EC7" w:rsidRPr="005D790C" w:rsidRDefault="00962EC7" w:rsidP="00F43CBA">
            <w:pPr>
              <w:pStyle w:val="Tabletext1"/>
              <w:jc w:val="center"/>
            </w:pPr>
          </w:p>
        </w:tc>
        <w:tc>
          <w:tcPr>
            <w:tcW w:w="327" w:type="pct"/>
            <w:tcBorders>
              <w:top w:val="single" w:sz="4" w:space="0" w:color="auto"/>
              <w:left w:val="single" w:sz="4" w:space="0" w:color="auto"/>
              <w:bottom w:val="single" w:sz="4" w:space="0" w:color="auto"/>
              <w:right w:val="single" w:sz="4" w:space="0" w:color="auto"/>
            </w:tcBorders>
          </w:tcPr>
          <w:p w14:paraId="2101F86E" w14:textId="77777777" w:rsidR="00962EC7" w:rsidRPr="005D790C" w:rsidRDefault="00962EC7" w:rsidP="00F43CBA">
            <w:pPr>
              <w:pStyle w:val="Tabletext1"/>
              <w:jc w:val="center"/>
            </w:pPr>
          </w:p>
        </w:tc>
        <w:tc>
          <w:tcPr>
            <w:tcW w:w="328" w:type="pct"/>
            <w:tcBorders>
              <w:top w:val="single" w:sz="4" w:space="0" w:color="auto"/>
              <w:left w:val="single" w:sz="4" w:space="0" w:color="auto"/>
              <w:bottom w:val="single" w:sz="4" w:space="0" w:color="auto"/>
              <w:right w:val="single" w:sz="4" w:space="0" w:color="auto"/>
            </w:tcBorders>
          </w:tcPr>
          <w:p w14:paraId="63A45453" w14:textId="59F87F79" w:rsidR="00962EC7" w:rsidRPr="005D790C" w:rsidRDefault="00962EC7" w:rsidP="00F43CBA">
            <w:pPr>
              <w:pStyle w:val="Tabletext1"/>
              <w:jc w:val="center"/>
            </w:pPr>
            <w:r w:rsidRPr="005D790C">
              <w:t>0/31 (0%)</w:t>
            </w:r>
          </w:p>
        </w:tc>
        <w:tc>
          <w:tcPr>
            <w:tcW w:w="327" w:type="pct"/>
            <w:tcBorders>
              <w:top w:val="single" w:sz="4" w:space="0" w:color="auto"/>
              <w:left w:val="single" w:sz="4" w:space="0" w:color="auto"/>
              <w:bottom w:val="single" w:sz="4" w:space="0" w:color="auto"/>
              <w:right w:val="single" w:sz="4" w:space="0" w:color="auto"/>
            </w:tcBorders>
          </w:tcPr>
          <w:p w14:paraId="3243CF1E" w14:textId="00C0C7AF" w:rsidR="00962EC7" w:rsidRPr="005D790C" w:rsidRDefault="00962EC7" w:rsidP="00F43CBA">
            <w:pPr>
              <w:pStyle w:val="Tabletext1"/>
              <w:jc w:val="center"/>
            </w:pPr>
            <w:r w:rsidRPr="005D790C">
              <w:t>2/31 (6%)</w:t>
            </w:r>
          </w:p>
        </w:tc>
        <w:tc>
          <w:tcPr>
            <w:tcW w:w="327" w:type="pct"/>
            <w:tcBorders>
              <w:top w:val="single" w:sz="4" w:space="0" w:color="auto"/>
              <w:left w:val="single" w:sz="4" w:space="0" w:color="auto"/>
              <w:bottom w:val="single" w:sz="4" w:space="0" w:color="auto"/>
              <w:right w:val="single" w:sz="4" w:space="0" w:color="auto"/>
            </w:tcBorders>
          </w:tcPr>
          <w:p w14:paraId="6E6D7901" w14:textId="77777777" w:rsidR="00962EC7" w:rsidRDefault="00962EC7" w:rsidP="00F43CBA">
            <w:pPr>
              <w:pStyle w:val="Tabletext1"/>
              <w:jc w:val="center"/>
            </w:pPr>
          </w:p>
        </w:tc>
        <w:tc>
          <w:tcPr>
            <w:tcW w:w="319" w:type="pct"/>
            <w:tcBorders>
              <w:top w:val="single" w:sz="4" w:space="0" w:color="auto"/>
              <w:left w:val="single" w:sz="4" w:space="0" w:color="auto"/>
              <w:bottom w:val="single" w:sz="4" w:space="0" w:color="auto"/>
              <w:right w:val="single" w:sz="4" w:space="0" w:color="auto"/>
            </w:tcBorders>
          </w:tcPr>
          <w:p w14:paraId="78C803A9" w14:textId="77777777" w:rsidR="00962EC7" w:rsidRDefault="00962EC7" w:rsidP="00F43CBA">
            <w:pPr>
              <w:pStyle w:val="Tabletext1"/>
              <w:jc w:val="center"/>
            </w:pPr>
          </w:p>
        </w:tc>
        <w:tc>
          <w:tcPr>
            <w:tcW w:w="316" w:type="pct"/>
            <w:tcBorders>
              <w:top w:val="single" w:sz="4" w:space="0" w:color="auto"/>
              <w:left w:val="single" w:sz="4" w:space="0" w:color="auto"/>
              <w:bottom w:val="single" w:sz="4" w:space="0" w:color="auto"/>
              <w:right w:val="single" w:sz="4" w:space="0" w:color="auto"/>
            </w:tcBorders>
          </w:tcPr>
          <w:p w14:paraId="31BFB500" w14:textId="77777777" w:rsidR="00962EC7" w:rsidRDefault="00962EC7" w:rsidP="00F43CBA">
            <w:pPr>
              <w:pStyle w:val="Tabletext1"/>
              <w:jc w:val="center"/>
            </w:pPr>
          </w:p>
        </w:tc>
      </w:tr>
      <w:tr w:rsidR="00F43CBA" w:rsidRPr="00B2301A" w14:paraId="183DE0FC" w14:textId="228F7FDE" w:rsidTr="00F43CBA">
        <w:tc>
          <w:tcPr>
            <w:tcW w:w="1419" w:type="pct"/>
            <w:gridSpan w:val="2"/>
            <w:tcBorders>
              <w:top w:val="single" w:sz="4" w:space="0" w:color="auto"/>
              <w:left w:val="single" w:sz="4" w:space="0" w:color="auto"/>
              <w:bottom w:val="single" w:sz="4" w:space="0" w:color="auto"/>
              <w:right w:val="nil"/>
            </w:tcBorders>
            <w:shd w:val="clear" w:color="auto" w:fill="auto"/>
            <w:vAlign w:val="bottom"/>
          </w:tcPr>
          <w:p w14:paraId="2F3C172D" w14:textId="46E68905" w:rsidR="00F43CBA" w:rsidRDefault="00F43CBA" w:rsidP="00F43CBA">
            <w:pPr>
              <w:pStyle w:val="Tabletext1"/>
              <w:keepNext/>
              <w:keepLines/>
              <w:rPr>
                <w:rFonts w:cs="Calibri"/>
                <w:color w:val="000000"/>
              </w:rPr>
            </w:pPr>
            <w:r w:rsidRPr="00BD6F3B">
              <w:rPr>
                <w:rFonts w:cs="Calibri"/>
                <w:b/>
                <w:bCs/>
                <w:color w:val="000000"/>
              </w:rPr>
              <w:lastRenderedPageBreak/>
              <w:t>Abdominopelvic tumours</w:t>
            </w:r>
          </w:p>
        </w:tc>
        <w:tc>
          <w:tcPr>
            <w:tcW w:w="327" w:type="pct"/>
            <w:tcBorders>
              <w:top w:val="single" w:sz="4" w:space="0" w:color="auto"/>
              <w:left w:val="nil"/>
              <w:bottom w:val="single" w:sz="4" w:space="0" w:color="auto"/>
              <w:right w:val="nil"/>
            </w:tcBorders>
          </w:tcPr>
          <w:p w14:paraId="2F51E1BB" w14:textId="77777777" w:rsidR="00F43CBA" w:rsidRPr="002B629F" w:rsidRDefault="00F43CBA" w:rsidP="00F43CBA">
            <w:pPr>
              <w:pStyle w:val="Tabletext1"/>
              <w:keepNext/>
              <w:keepLines/>
              <w:jc w:val="center"/>
            </w:pPr>
          </w:p>
        </w:tc>
        <w:tc>
          <w:tcPr>
            <w:tcW w:w="328" w:type="pct"/>
            <w:tcBorders>
              <w:top w:val="single" w:sz="4" w:space="0" w:color="auto"/>
              <w:left w:val="nil"/>
              <w:bottom w:val="single" w:sz="4" w:space="0" w:color="auto"/>
              <w:right w:val="nil"/>
            </w:tcBorders>
          </w:tcPr>
          <w:p w14:paraId="734D883D" w14:textId="77777777" w:rsidR="00F43CBA" w:rsidRPr="00E340F0" w:rsidRDefault="00F43CBA" w:rsidP="00F43CBA">
            <w:pPr>
              <w:pStyle w:val="Tabletext1"/>
              <w:keepNext/>
              <w:keepLines/>
              <w:jc w:val="center"/>
            </w:pPr>
          </w:p>
        </w:tc>
        <w:tc>
          <w:tcPr>
            <w:tcW w:w="327" w:type="pct"/>
            <w:tcBorders>
              <w:top w:val="single" w:sz="4" w:space="0" w:color="auto"/>
              <w:left w:val="nil"/>
              <w:bottom w:val="single" w:sz="4" w:space="0" w:color="auto"/>
              <w:right w:val="nil"/>
            </w:tcBorders>
          </w:tcPr>
          <w:p w14:paraId="00708D0B" w14:textId="77777777" w:rsidR="00F43CBA" w:rsidRPr="002B629F" w:rsidRDefault="00F43CBA" w:rsidP="00F43CBA">
            <w:pPr>
              <w:pStyle w:val="Tabletext1"/>
              <w:keepNext/>
              <w:keepLines/>
              <w:jc w:val="center"/>
            </w:pPr>
          </w:p>
        </w:tc>
        <w:tc>
          <w:tcPr>
            <w:tcW w:w="327" w:type="pct"/>
            <w:tcBorders>
              <w:top w:val="single" w:sz="4" w:space="0" w:color="auto"/>
              <w:left w:val="nil"/>
              <w:bottom w:val="single" w:sz="4" w:space="0" w:color="auto"/>
              <w:right w:val="nil"/>
            </w:tcBorders>
          </w:tcPr>
          <w:p w14:paraId="78DF7C4A" w14:textId="77777777" w:rsidR="00F43CBA" w:rsidRDefault="00F43CBA" w:rsidP="00F43CBA">
            <w:pPr>
              <w:pStyle w:val="Tabletext1"/>
              <w:keepNext/>
              <w:keepLines/>
              <w:jc w:val="center"/>
            </w:pPr>
          </w:p>
        </w:tc>
        <w:tc>
          <w:tcPr>
            <w:tcW w:w="328" w:type="pct"/>
            <w:tcBorders>
              <w:top w:val="single" w:sz="4" w:space="0" w:color="auto"/>
              <w:left w:val="nil"/>
              <w:bottom w:val="single" w:sz="4" w:space="0" w:color="auto"/>
              <w:right w:val="nil"/>
            </w:tcBorders>
          </w:tcPr>
          <w:p w14:paraId="30B023E9" w14:textId="77777777" w:rsidR="00F43CBA" w:rsidRDefault="00F43CBA" w:rsidP="00F43CBA">
            <w:pPr>
              <w:pStyle w:val="Tabletext1"/>
              <w:keepNext/>
              <w:keepLines/>
              <w:jc w:val="center"/>
            </w:pPr>
          </w:p>
        </w:tc>
        <w:tc>
          <w:tcPr>
            <w:tcW w:w="327" w:type="pct"/>
            <w:tcBorders>
              <w:top w:val="single" w:sz="4" w:space="0" w:color="auto"/>
              <w:left w:val="nil"/>
              <w:bottom w:val="single" w:sz="4" w:space="0" w:color="auto"/>
              <w:right w:val="nil"/>
            </w:tcBorders>
          </w:tcPr>
          <w:p w14:paraId="705E7EC7" w14:textId="77777777" w:rsidR="00F43CBA" w:rsidRDefault="00F43CBA" w:rsidP="00F43CBA">
            <w:pPr>
              <w:pStyle w:val="Tabletext1"/>
              <w:keepNext/>
              <w:keepLines/>
              <w:jc w:val="center"/>
            </w:pPr>
          </w:p>
        </w:tc>
        <w:tc>
          <w:tcPr>
            <w:tcW w:w="328" w:type="pct"/>
            <w:tcBorders>
              <w:top w:val="single" w:sz="4" w:space="0" w:color="auto"/>
              <w:left w:val="nil"/>
              <w:bottom w:val="single" w:sz="4" w:space="0" w:color="auto"/>
              <w:right w:val="nil"/>
            </w:tcBorders>
          </w:tcPr>
          <w:p w14:paraId="74329007" w14:textId="77777777" w:rsidR="00F43CBA" w:rsidRDefault="00F43CBA" w:rsidP="00F43CBA">
            <w:pPr>
              <w:pStyle w:val="Tabletext1"/>
              <w:keepNext/>
              <w:keepLines/>
              <w:jc w:val="center"/>
            </w:pPr>
          </w:p>
        </w:tc>
        <w:tc>
          <w:tcPr>
            <w:tcW w:w="327" w:type="pct"/>
            <w:tcBorders>
              <w:top w:val="single" w:sz="4" w:space="0" w:color="auto"/>
              <w:left w:val="nil"/>
              <w:bottom w:val="single" w:sz="4" w:space="0" w:color="auto"/>
              <w:right w:val="nil"/>
            </w:tcBorders>
          </w:tcPr>
          <w:p w14:paraId="52CC4092" w14:textId="77777777" w:rsidR="00F43CBA" w:rsidRDefault="00F43CBA" w:rsidP="00F43CBA">
            <w:pPr>
              <w:pStyle w:val="Tabletext1"/>
              <w:keepNext/>
              <w:keepLines/>
              <w:jc w:val="center"/>
            </w:pPr>
          </w:p>
        </w:tc>
        <w:tc>
          <w:tcPr>
            <w:tcW w:w="327" w:type="pct"/>
            <w:tcBorders>
              <w:top w:val="single" w:sz="4" w:space="0" w:color="auto"/>
              <w:left w:val="nil"/>
              <w:bottom w:val="single" w:sz="4" w:space="0" w:color="auto"/>
              <w:right w:val="nil"/>
            </w:tcBorders>
          </w:tcPr>
          <w:p w14:paraId="00D60DC4" w14:textId="77777777" w:rsidR="00F43CBA" w:rsidRDefault="00F43CBA" w:rsidP="00F43CBA">
            <w:pPr>
              <w:pStyle w:val="Tabletext1"/>
              <w:keepNext/>
              <w:keepLines/>
              <w:jc w:val="center"/>
            </w:pPr>
          </w:p>
        </w:tc>
        <w:tc>
          <w:tcPr>
            <w:tcW w:w="319" w:type="pct"/>
            <w:tcBorders>
              <w:top w:val="single" w:sz="4" w:space="0" w:color="auto"/>
              <w:left w:val="nil"/>
              <w:bottom w:val="single" w:sz="4" w:space="0" w:color="auto"/>
              <w:right w:val="nil"/>
            </w:tcBorders>
          </w:tcPr>
          <w:p w14:paraId="2EDABAD2" w14:textId="77777777" w:rsidR="00F43CBA" w:rsidRDefault="00F43CBA" w:rsidP="00F43CBA">
            <w:pPr>
              <w:pStyle w:val="Tabletext1"/>
              <w:keepNext/>
              <w:keepLines/>
              <w:jc w:val="center"/>
            </w:pPr>
          </w:p>
        </w:tc>
        <w:tc>
          <w:tcPr>
            <w:tcW w:w="316" w:type="pct"/>
            <w:tcBorders>
              <w:top w:val="single" w:sz="4" w:space="0" w:color="auto"/>
              <w:left w:val="nil"/>
              <w:bottom w:val="single" w:sz="4" w:space="0" w:color="auto"/>
              <w:right w:val="single" w:sz="4" w:space="0" w:color="auto"/>
            </w:tcBorders>
          </w:tcPr>
          <w:p w14:paraId="76292A55" w14:textId="77777777" w:rsidR="00F43CBA" w:rsidRDefault="00F43CBA" w:rsidP="00F43CBA">
            <w:pPr>
              <w:pStyle w:val="Tabletext1"/>
              <w:keepNext/>
              <w:keepLines/>
              <w:jc w:val="center"/>
            </w:pPr>
          </w:p>
        </w:tc>
      </w:tr>
      <w:tr w:rsidR="00F43CBA" w:rsidRPr="00B2301A" w14:paraId="2C83D7EF" w14:textId="2449F20C" w:rsidTr="0088569E">
        <w:tc>
          <w:tcPr>
            <w:tcW w:w="627" w:type="pct"/>
            <w:vMerge w:val="restart"/>
            <w:tcBorders>
              <w:top w:val="single" w:sz="4" w:space="0" w:color="auto"/>
              <w:left w:val="single" w:sz="4" w:space="0" w:color="auto"/>
              <w:right w:val="single" w:sz="4" w:space="0" w:color="auto"/>
            </w:tcBorders>
            <w:shd w:val="clear" w:color="auto" w:fill="auto"/>
            <w:vAlign w:val="bottom"/>
          </w:tcPr>
          <w:p w14:paraId="113D5009" w14:textId="12D1407B" w:rsidR="00F43CBA" w:rsidRDefault="00211285" w:rsidP="00F43CBA">
            <w:pPr>
              <w:pStyle w:val="Tabletext1"/>
              <w:keepNext/>
              <w:keepLines/>
            </w:pPr>
            <w:hyperlink w:anchor="_ENREF_8" w:tooltip="Barney, 2012 #31" w:history="1">
              <w:r w:rsidR="008B6FC0">
                <w:fldChar w:fldCharType="begin"/>
              </w:r>
              <w:r w:rsidR="008B6FC0">
                <w:instrText xml:space="preserve"> ADDIN EN.CITE &lt;EndNote&gt;&lt;Cite AuthorYear="1"&gt;&lt;Author&gt;Barney&lt;/Author&gt;&lt;Year&gt;2012&lt;/Year&gt;&lt;RecNum&gt;31&lt;/RecNum&gt;&lt;DisplayText&gt;Barney et al. (2012)&lt;/DisplayText&gt;&lt;record&gt;&lt;rec-number&gt;31&lt;/rec-number&gt;&lt;foreign-keys&gt;&lt;key app="EN" db-id="sx5wsdwv795wvue959xxw0ptaewvdezxxp05" timestamp="1604876375"&gt;31&lt;/key&gt;&lt;/foreign-keys&gt;&lt;ref-type name="Journal Article"&gt;17&lt;/ref-type&gt;&lt;contributors&gt;&lt;authors&gt;&lt;author&gt;Barney, B. M.&lt;/author&gt;&lt;author&gt;Olivier, K. R.&lt;/author&gt;&lt;author&gt;Macdonald, O. K.&lt;/author&gt;&lt;author&gt;Fong de Los Santos, L. E.&lt;/author&gt;&lt;author&gt;Miller, R. C.&lt;/author&gt;&lt;author&gt;Haddock, M. G.&lt;/author&gt;&lt;/authors&gt;&lt;/contributors&gt;&lt;titles&gt;&lt;title&gt;Clinical outcomes and dosimetric considerations using stereotactic body radiotherapy for abdominopelvic tumors&lt;/title&gt;&lt;secondary-title&gt;Am J Clin Oncol&lt;/secondary-title&gt;&lt;/titles&gt;&lt;pages&gt;537-42&lt;/pages&gt;&lt;volume&gt;35&lt;/volume&gt;&lt;number&gt;6&lt;/number&gt;&lt;dates&gt;&lt;year&gt;2012&lt;/year&gt;&lt;/dates&gt;&lt;accession-num&gt;21659830&lt;/accession-num&gt;&lt;urls&gt;&lt;related-urls&gt;&lt;url&gt;http://ezproxy.library.usyd.edu.au/login?url=http://ovidsp.ovid.com/ovidweb.cgi?T=JS&amp;amp;CSC=Y&amp;amp;NEWS=N&amp;amp;PAGE=fulltext&amp;amp;D=med9&amp;amp;AN=21659830https://sydney.alma.exlibrisgroup.com/openurl/61USYD_INST/61USYD_INST:sydney?sid=OVID:medline&amp;amp;id=pmid:21659830&amp;amp;id=doi:10.1097&lt;/url&gt;&lt;/related-urls&gt;&lt;/urls&gt;&lt;electronic-resource-num&gt;https://dx.doi.org/10.1097/COC.0b013e31821f876a&lt;/electronic-resource-num&gt;&lt;/record&gt;&lt;/Cite&gt;&lt;/EndNote&gt;</w:instrText>
              </w:r>
              <w:r w:rsidR="008B6FC0">
                <w:fldChar w:fldCharType="separate"/>
              </w:r>
              <w:r w:rsidR="008B6FC0">
                <w:rPr>
                  <w:noProof/>
                </w:rPr>
                <w:t>Barney et al. (2012)</w:t>
              </w:r>
              <w:r w:rsidR="008B6FC0">
                <w:fldChar w:fldCharType="end"/>
              </w:r>
            </w:hyperlink>
          </w:p>
        </w:tc>
        <w:tc>
          <w:tcPr>
            <w:tcW w:w="792" w:type="pct"/>
            <w:tcBorders>
              <w:top w:val="single" w:sz="4" w:space="0" w:color="auto"/>
              <w:left w:val="single" w:sz="4" w:space="0" w:color="auto"/>
              <w:bottom w:val="single" w:sz="4" w:space="0" w:color="auto"/>
              <w:right w:val="single" w:sz="4" w:space="0" w:color="auto"/>
            </w:tcBorders>
          </w:tcPr>
          <w:p w14:paraId="78342B81" w14:textId="3765A002" w:rsidR="00F43CBA" w:rsidRPr="00E43675" w:rsidRDefault="00F43CBA" w:rsidP="00F43CBA">
            <w:pPr>
              <w:pStyle w:val="Tabletext1"/>
              <w:keepNext/>
              <w:keepLines/>
              <w:jc w:val="center"/>
            </w:pPr>
            <w:r w:rsidRPr="00E43675">
              <w:t>Any toxicity</w:t>
            </w:r>
          </w:p>
        </w:tc>
        <w:tc>
          <w:tcPr>
            <w:tcW w:w="327" w:type="pct"/>
            <w:tcBorders>
              <w:top w:val="single" w:sz="4" w:space="0" w:color="auto"/>
              <w:left w:val="single" w:sz="4" w:space="0" w:color="auto"/>
              <w:bottom w:val="single" w:sz="4" w:space="0" w:color="auto"/>
              <w:right w:val="single" w:sz="4" w:space="0" w:color="auto"/>
            </w:tcBorders>
          </w:tcPr>
          <w:p w14:paraId="0475E396" w14:textId="77777777" w:rsidR="00F43CBA" w:rsidRPr="00E43675"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9A89E60" w14:textId="0382C2B7" w:rsidR="00F43CBA" w:rsidRPr="00E43675" w:rsidRDefault="00F43CBA" w:rsidP="00F43CBA">
            <w:pPr>
              <w:pStyle w:val="Tabletext1"/>
              <w:keepNext/>
              <w:keepLines/>
              <w:jc w:val="center"/>
            </w:pPr>
            <w:r w:rsidRPr="00E43675">
              <w:t>42/47</w:t>
            </w:r>
            <w:r>
              <w:t xml:space="preserve"> (89%)</w:t>
            </w:r>
          </w:p>
        </w:tc>
        <w:tc>
          <w:tcPr>
            <w:tcW w:w="327" w:type="pct"/>
            <w:tcBorders>
              <w:top w:val="single" w:sz="4" w:space="0" w:color="auto"/>
              <w:left w:val="single" w:sz="4" w:space="0" w:color="auto"/>
              <w:bottom w:val="single" w:sz="4" w:space="0" w:color="auto"/>
              <w:right w:val="single" w:sz="4" w:space="0" w:color="auto"/>
            </w:tcBorders>
          </w:tcPr>
          <w:p w14:paraId="14D09B26" w14:textId="0A2BF650" w:rsidR="00F43CBA" w:rsidRPr="00E43675" w:rsidRDefault="00F43CBA" w:rsidP="00F43CBA">
            <w:pPr>
              <w:pStyle w:val="Tabletext1"/>
              <w:keepNext/>
              <w:keepLines/>
              <w:jc w:val="center"/>
            </w:pPr>
            <w:r w:rsidRPr="00E43675">
              <w:t>11/47</w:t>
            </w:r>
            <w:r>
              <w:t xml:space="preserve"> (23%)</w:t>
            </w:r>
          </w:p>
        </w:tc>
        <w:tc>
          <w:tcPr>
            <w:tcW w:w="327" w:type="pct"/>
            <w:tcBorders>
              <w:top w:val="single" w:sz="4" w:space="0" w:color="auto"/>
              <w:left w:val="single" w:sz="4" w:space="0" w:color="auto"/>
              <w:bottom w:val="single" w:sz="4" w:space="0" w:color="auto"/>
              <w:right w:val="single" w:sz="4" w:space="0" w:color="auto"/>
            </w:tcBorders>
          </w:tcPr>
          <w:p w14:paraId="21DCC537" w14:textId="77777777" w:rsidR="00F43CBA" w:rsidRPr="00E43675"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D86A29A" w14:textId="77777777" w:rsidR="00F43CBA" w:rsidRPr="00E43675" w:rsidRDefault="00F43CBA"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118BCB2" w14:textId="5E1B6047" w:rsidR="00F43CBA" w:rsidRPr="00E43675"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4D0BCED5" w14:textId="323C2F12" w:rsidR="00F43CBA" w:rsidRPr="00E43675" w:rsidRDefault="00F43CBA" w:rsidP="00F43CBA">
            <w:pPr>
              <w:pStyle w:val="Tabletext1"/>
              <w:keepNext/>
              <w:keepLines/>
              <w:jc w:val="center"/>
            </w:pPr>
            <w:r w:rsidRPr="00E43675">
              <w:t>10/47</w:t>
            </w:r>
            <w:r>
              <w:t xml:space="preserve"> (21%)</w:t>
            </w:r>
          </w:p>
        </w:tc>
        <w:tc>
          <w:tcPr>
            <w:tcW w:w="327" w:type="pct"/>
            <w:tcBorders>
              <w:top w:val="single" w:sz="4" w:space="0" w:color="auto"/>
              <w:left w:val="single" w:sz="4" w:space="0" w:color="auto"/>
              <w:bottom w:val="single" w:sz="4" w:space="0" w:color="auto"/>
              <w:right w:val="single" w:sz="4" w:space="0" w:color="auto"/>
            </w:tcBorders>
          </w:tcPr>
          <w:p w14:paraId="590A96DF" w14:textId="2D40C248" w:rsidR="00F43CBA" w:rsidRPr="00E43675" w:rsidRDefault="00F43CBA" w:rsidP="00F43CBA">
            <w:pPr>
              <w:pStyle w:val="Tabletext1"/>
              <w:keepNext/>
              <w:keepLines/>
              <w:jc w:val="center"/>
            </w:pPr>
            <w:r w:rsidRPr="00E43675">
              <w:t>4/47</w:t>
            </w:r>
            <w:r>
              <w:t xml:space="preserve"> (9%)</w:t>
            </w:r>
          </w:p>
        </w:tc>
        <w:tc>
          <w:tcPr>
            <w:tcW w:w="327" w:type="pct"/>
            <w:tcBorders>
              <w:top w:val="single" w:sz="4" w:space="0" w:color="auto"/>
              <w:left w:val="single" w:sz="4" w:space="0" w:color="auto"/>
              <w:bottom w:val="single" w:sz="4" w:space="0" w:color="auto"/>
              <w:right w:val="single" w:sz="4" w:space="0" w:color="auto"/>
            </w:tcBorders>
          </w:tcPr>
          <w:p w14:paraId="064ACC85" w14:textId="141D03C9" w:rsidR="00F43CBA" w:rsidRPr="00E43675" w:rsidRDefault="00F43CBA" w:rsidP="00F43CBA">
            <w:pPr>
              <w:pStyle w:val="Tabletext1"/>
              <w:keepNext/>
              <w:keepLines/>
              <w:jc w:val="center"/>
            </w:pPr>
            <w:r w:rsidRPr="00E43675">
              <w:t>3/47</w:t>
            </w:r>
            <w:r>
              <w:t xml:space="preserve"> (6%)</w:t>
            </w:r>
          </w:p>
        </w:tc>
        <w:tc>
          <w:tcPr>
            <w:tcW w:w="319" w:type="pct"/>
            <w:tcBorders>
              <w:top w:val="single" w:sz="4" w:space="0" w:color="auto"/>
              <w:left w:val="single" w:sz="4" w:space="0" w:color="auto"/>
              <w:bottom w:val="single" w:sz="4" w:space="0" w:color="auto"/>
              <w:right w:val="single" w:sz="4" w:space="0" w:color="auto"/>
            </w:tcBorders>
          </w:tcPr>
          <w:p w14:paraId="7E94C62E" w14:textId="6BB3904F" w:rsidR="00F43CBA" w:rsidRPr="00E43675" w:rsidRDefault="00F43CBA" w:rsidP="00F43CBA">
            <w:pPr>
              <w:pStyle w:val="Tabletext1"/>
              <w:keepNext/>
              <w:keepLines/>
              <w:jc w:val="center"/>
            </w:pPr>
            <w:r w:rsidRPr="00E43675">
              <w:t>0/47</w:t>
            </w:r>
            <w:r>
              <w:t xml:space="preserve"> </w:t>
            </w:r>
            <w:r w:rsidRPr="005D790C">
              <w:t>(0%)</w:t>
            </w:r>
          </w:p>
        </w:tc>
        <w:tc>
          <w:tcPr>
            <w:tcW w:w="316" w:type="pct"/>
            <w:tcBorders>
              <w:top w:val="single" w:sz="4" w:space="0" w:color="auto"/>
              <w:left w:val="single" w:sz="4" w:space="0" w:color="auto"/>
              <w:bottom w:val="single" w:sz="4" w:space="0" w:color="auto"/>
              <w:right w:val="single" w:sz="4" w:space="0" w:color="auto"/>
            </w:tcBorders>
          </w:tcPr>
          <w:p w14:paraId="43D770E1" w14:textId="58AAB0BA" w:rsidR="00F43CBA" w:rsidRPr="00E43675" w:rsidRDefault="00F43CBA" w:rsidP="00F43CBA">
            <w:pPr>
              <w:pStyle w:val="Tabletext1"/>
              <w:keepNext/>
              <w:keepLines/>
              <w:jc w:val="center"/>
            </w:pPr>
            <w:r w:rsidRPr="00E43675">
              <w:t>1/47</w:t>
            </w:r>
            <w:r>
              <w:t xml:space="preserve"> (2%)</w:t>
            </w:r>
          </w:p>
        </w:tc>
      </w:tr>
      <w:tr w:rsidR="00F43CBA" w:rsidRPr="00B2301A" w14:paraId="20110048" w14:textId="3B123C42" w:rsidTr="0088569E">
        <w:tc>
          <w:tcPr>
            <w:tcW w:w="627" w:type="pct"/>
            <w:vMerge/>
            <w:tcBorders>
              <w:left w:val="single" w:sz="4" w:space="0" w:color="auto"/>
              <w:bottom w:val="nil"/>
              <w:right w:val="single" w:sz="4" w:space="0" w:color="auto"/>
            </w:tcBorders>
            <w:shd w:val="clear" w:color="auto" w:fill="auto"/>
            <w:vAlign w:val="bottom"/>
          </w:tcPr>
          <w:p w14:paraId="17C2F488" w14:textId="5001D32A" w:rsidR="00F43CBA" w:rsidRDefault="00F43CBA"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2D2BB9B5" w14:textId="67E2DB52" w:rsidR="00F43CBA" w:rsidRPr="00E43675" w:rsidRDefault="00F43CBA" w:rsidP="00F43CBA">
            <w:pPr>
              <w:pStyle w:val="Tabletext1"/>
              <w:keepNext/>
              <w:keepLines/>
              <w:jc w:val="center"/>
            </w:pPr>
            <w:r w:rsidRPr="00E43675">
              <w:t>Nausea</w:t>
            </w:r>
          </w:p>
        </w:tc>
        <w:tc>
          <w:tcPr>
            <w:tcW w:w="327" w:type="pct"/>
            <w:tcBorders>
              <w:top w:val="single" w:sz="4" w:space="0" w:color="auto"/>
              <w:left w:val="single" w:sz="4" w:space="0" w:color="auto"/>
              <w:bottom w:val="single" w:sz="4" w:space="0" w:color="auto"/>
              <w:right w:val="single" w:sz="4" w:space="0" w:color="auto"/>
            </w:tcBorders>
          </w:tcPr>
          <w:p w14:paraId="0180265B" w14:textId="77777777" w:rsidR="00F43CBA" w:rsidRPr="00E43675"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C4C1D1E" w14:textId="71172078" w:rsidR="00F43CBA" w:rsidRPr="00E43675" w:rsidRDefault="00F43CBA" w:rsidP="00F43CBA">
            <w:pPr>
              <w:pStyle w:val="Tabletext1"/>
              <w:keepNext/>
              <w:keepLines/>
              <w:jc w:val="center"/>
            </w:pPr>
            <w:r w:rsidRPr="00E43675">
              <w:t>15/47</w:t>
            </w:r>
            <w:r>
              <w:t xml:space="preserve"> (32%)</w:t>
            </w:r>
          </w:p>
        </w:tc>
        <w:tc>
          <w:tcPr>
            <w:tcW w:w="327" w:type="pct"/>
            <w:tcBorders>
              <w:top w:val="single" w:sz="4" w:space="0" w:color="auto"/>
              <w:left w:val="single" w:sz="4" w:space="0" w:color="auto"/>
              <w:bottom w:val="single" w:sz="4" w:space="0" w:color="auto"/>
              <w:right w:val="single" w:sz="4" w:space="0" w:color="auto"/>
            </w:tcBorders>
          </w:tcPr>
          <w:p w14:paraId="7F05DA3E" w14:textId="5ACE1F03" w:rsidR="00F43CBA" w:rsidRPr="00E43675" w:rsidRDefault="00F43CBA" w:rsidP="00F43CBA">
            <w:pPr>
              <w:pStyle w:val="Tabletext1"/>
              <w:keepNext/>
              <w:keepLines/>
              <w:jc w:val="center"/>
            </w:pPr>
            <w:r w:rsidRPr="00E43675">
              <w:t>5/47</w:t>
            </w:r>
            <w:r>
              <w:t xml:space="preserve"> (11%)</w:t>
            </w:r>
          </w:p>
        </w:tc>
        <w:tc>
          <w:tcPr>
            <w:tcW w:w="327" w:type="pct"/>
            <w:tcBorders>
              <w:top w:val="single" w:sz="4" w:space="0" w:color="auto"/>
              <w:left w:val="single" w:sz="4" w:space="0" w:color="auto"/>
              <w:bottom w:val="single" w:sz="4" w:space="0" w:color="auto"/>
              <w:right w:val="single" w:sz="4" w:space="0" w:color="auto"/>
            </w:tcBorders>
          </w:tcPr>
          <w:p w14:paraId="1E9279C5" w14:textId="77777777" w:rsidR="00F43CBA" w:rsidRPr="00E43675"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4563263" w14:textId="77777777" w:rsidR="00F43CBA" w:rsidRPr="00E43675" w:rsidRDefault="00F43CBA"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9D7E62B" w14:textId="77777777" w:rsidR="00F43CBA" w:rsidRPr="00E43675" w:rsidRDefault="00F43CBA"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5AA5D02B" w14:textId="4A38F917" w:rsidR="00F43CBA" w:rsidRPr="00E43675" w:rsidRDefault="00F43CBA" w:rsidP="00F43CBA">
            <w:pPr>
              <w:pStyle w:val="Tabletext1"/>
              <w:keepNext/>
              <w:keepLines/>
              <w:jc w:val="center"/>
            </w:pPr>
            <w:r w:rsidRPr="00E43675">
              <w:t>1/47</w:t>
            </w:r>
            <w:r>
              <w:t xml:space="preserve"> (2%)</w:t>
            </w:r>
          </w:p>
        </w:tc>
        <w:tc>
          <w:tcPr>
            <w:tcW w:w="327" w:type="pct"/>
            <w:tcBorders>
              <w:top w:val="single" w:sz="4" w:space="0" w:color="auto"/>
              <w:left w:val="single" w:sz="4" w:space="0" w:color="auto"/>
              <w:bottom w:val="single" w:sz="4" w:space="0" w:color="auto"/>
              <w:right w:val="single" w:sz="4" w:space="0" w:color="auto"/>
            </w:tcBorders>
          </w:tcPr>
          <w:p w14:paraId="262FE594" w14:textId="77777777" w:rsidR="00F43CBA" w:rsidRPr="00E43675" w:rsidRDefault="00F43CBA"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6871E15" w14:textId="77777777" w:rsidR="00F43CBA" w:rsidRPr="00E43675" w:rsidRDefault="00F43CBA"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5899D1C3" w14:textId="77777777" w:rsidR="00F43CBA" w:rsidRPr="00E43675" w:rsidRDefault="00F43CBA"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459E859F" w14:textId="77777777" w:rsidR="00F43CBA" w:rsidRPr="00E43675" w:rsidRDefault="00F43CBA" w:rsidP="00F43CBA">
            <w:pPr>
              <w:pStyle w:val="Tabletext1"/>
              <w:keepNext/>
              <w:keepLines/>
              <w:jc w:val="center"/>
            </w:pPr>
          </w:p>
        </w:tc>
      </w:tr>
      <w:tr w:rsidR="00962EC7" w:rsidRPr="00B2301A" w14:paraId="7454EFC8" w14:textId="6D78EFD6" w:rsidTr="00F43CBA">
        <w:tc>
          <w:tcPr>
            <w:tcW w:w="627" w:type="pct"/>
            <w:tcBorders>
              <w:top w:val="nil"/>
              <w:left w:val="single" w:sz="4" w:space="0" w:color="auto"/>
              <w:bottom w:val="nil"/>
              <w:right w:val="single" w:sz="4" w:space="0" w:color="auto"/>
            </w:tcBorders>
            <w:shd w:val="clear" w:color="auto" w:fill="auto"/>
            <w:vAlign w:val="bottom"/>
          </w:tcPr>
          <w:p w14:paraId="54C442EC"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08483878" w14:textId="2465E8A3" w:rsidR="00962EC7" w:rsidRPr="00E43675" w:rsidRDefault="00962EC7" w:rsidP="00F43CBA">
            <w:pPr>
              <w:pStyle w:val="Tabletext1"/>
              <w:keepNext/>
              <w:keepLines/>
              <w:jc w:val="center"/>
            </w:pPr>
            <w:r w:rsidRPr="00E43675">
              <w:t>Fatigue</w:t>
            </w:r>
          </w:p>
        </w:tc>
        <w:tc>
          <w:tcPr>
            <w:tcW w:w="327" w:type="pct"/>
            <w:tcBorders>
              <w:top w:val="single" w:sz="4" w:space="0" w:color="auto"/>
              <w:left w:val="single" w:sz="4" w:space="0" w:color="auto"/>
              <w:bottom w:val="single" w:sz="4" w:space="0" w:color="auto"/>
              <w:right w:val="single" w:sz="4" w:space="0" w:color="auto"/>
            </w:tcBorders>
          </w:tcPr>
          <w:p w14:paraId="55AB1A2D"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0180E3C" w14:textId="4D70FA12" w:rsidR="00962EC7" w:rsidRPr="00E43675" w:rsidRDefault="00962EC7" w:rsidP="00F43CBA">
            <w:pPr>
              <w:pStyle w:val="Tabletext1"/>
              <w:keepNext/>
              <w:keepLines/>
              <w:jc w:val="center"/>
            </w:pPr>
            <w:r w:rsidRPr="00E43675">
              <w:t>12/47</w:t>
            </w:r>
            <w:r w:rsidR="00EE2185">
              <w:t xml:space="preserve"> (26%)</w:t>
            </w:r>
          </w:p>
        </w:tc>
        <w:tc>
          <w:tcPr>
            <w:tcW w:w="327" w:type="pct"/>
            <w:tcBorders>
              <w:top w:val="single" w:sz="4" w:space="0" w:color="auto"/>
              <w:left w:val="single" w:sz="4" w:space="0" w:color="auto"/>
              <w:bottom w:val="single" w:sz="4" w:space="0" w:color="auto"/>
              <w:right w:val="single" w:sz="4" w:space="0" w:color="auto"/>
            </w:tcBorders>
          </w:tcPr>
          <w:p w14:paraId="55E6DE20"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4E452A9"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643D97D"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43FB5DD0"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D4AC064"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57C38F46"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45C4D32" w14:textId="77777777" w:rsidR="00962EC7" w:rsidRPr="00E43675"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640A25B1"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5395E518" w14:textId="77777777" w:rsidR="00962EC7" w:rsidRPr="00E43675" w:rsidRDefault="00962EC7" w:rsidP="00F43CBA">
            <w:pPr>
              <w:pStyle w:val="Tabletext1"/>
              <w:keepNext/>
              <w:keepLines/>
              <w:jc w:val="center"/>
            </w:pPr>
          </w:p>
        </w:tc>
      </w:tr>
      <w:tr w:rsidR="00962EC7" w:rsidRPr="00B2301A" w14:paraId="358AAB0E" w14:textId="3882A967" w:rsidTr="00F43CBA">
        <w:tc>
          <w:tcPr>
            <w:tcW w:w="627" w:type="pct"/>
            <w:tcBorders>
              <w:top w:val="nil"/>
              <w:left w:val="single" w:sz="4" w:space="0" w:color="auto"/>
              <w:bottom w:val="nil"/>
              <w:right w:val="single" w:sz="4" w:space="0" w:color="auto"/>
            </w:tcBorders>
            <w:shd w:val="clear" w:color="auto" w:fill="auto"/>
            <w:vAlign w:val="bottom"/>
          </w:tcPr>
          <w:p w14:paraId="3C9E39E4"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1D1FA956" w14:textId="3DDEEAD5" w:rsidR="00962EC7" w:rsidRPr="00E43675" w:rsidRDefault="0057591C" w:rsidP="00F43CBA">
            <w:pPr>
              <w:pStyle w:val="Tabletext1"/>
              <w:keepNext/>
              <w:keepLines/>
              <w:jc w:val="center"/>
            </w:pPr>
            <w:r>
              <w:t>GI</w:t>
            </w:r>
            <w:r w:rsidR="00962EC7" w:rsidRPr="00E43675">
              <w:t xml:space="preserve"> pain</w:t>
            </w:r>
          </w:p>
        </w:tc>
        <w:tc>
          <w:tcPr>
            <w:tcW w:w="327" w:type="pct"/>
            <w:tcBorders>
              <w:top w:val="single" w:sz="4" w:space="0" w:color="auto"/>
              <w:left w:val="single" w:sz="4" w:space="0" w:color="auto"/>
              <w:bottom w:val="single" w:sz="4" w:space="0" w:color="auto"/>
              <w:right w:val="single" w:sz="4" w:space="0" w:color="auto"/>
            </w:tcBorders>
          </w:tcPr>
          <w:p w14:paraId="62B002FC"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56F66F9" w14:textId="5F5312D7" w:rsidR="00962EC7" w:rsidRPr="00E43675" w:rsidRDefault="00962EC7" w:rsidP="00F43CBA">
            <w:pPr>
              <w:pStyle w:val="Tabletext1"/>
              <w:keepNext/>
              <w:keepLines/>
              <w:jc w:val="center"/>
            </w:pPr>
            <w:r w:rsidRPr="00E43675">
              <w:t>7/47</w:t>
            </w:r>
            <w:r w:rsidR="00937541">
              <w:t xml:space="preserve"> (15%)</w:t>
            </w:r>
          </w:p>
        </w:tc>
        <w:tc>
          <w:tcPr>
            <w:tcW w:w="327" w:type="pct"/>
            <w:tcBorders>
              <w:top w:val="single" w:sz="4" w:space="0" w:color="auto"/>
              <w:left w:val="single" w:sz="4" w:space="0" w:color="auto"/>
              <w:bottom w:val="single" w:sz="4" w:space="0" w:color="auto"/>
              <w:right w:val="single" w:sz="4" w:space="0" w:color="auto"/>
            </w:tcBorders>
          </w:tcPr>
          <w:p w14:paraId="6DCE27BC" w14:textId="6EF5B55D" w:rsidR="00962EC7" w:rsidRPr="00E43675" w:rsidRDefault="00962EC7" w:rsidP="00F43CBA">
            <w:pPr>
              <w:pStyle w:val="Tabletext1"/>
              <w:keepNext/>
              <w:keepLines/>
              <w:jc w:val="center"/>
            </w:pPr>
            <w:r w:rsidRPr="00E43675">
              <w:t>3/47</w:t>
            </w:r>
            <w:r w:rsidR="009B31E2">
              <w:t xml:space="preserve"> (6%)</w:t>
            </w:r>
          </w:p>
        </w:tc>
        <w:tc>
          <w:tcPr>
            <w:tcW w:w="327" w:type="pct"/>
            <w:tcBorders>
              <w:top w:val="single" w:sz="4" w:space="0" w:color="auto"/>
              <w:left w:val="single" w:sz="4" w:space="0" w:color="auto"/>
              <w:bottom w:val="single" w:sz="4" w:space="0" w:color="auto"/>
              <w:right w:val="single" w:sz="4" w:space="0" w:color="auto"/>
            </w:tcBorders>
          </w:tcPr>
          <w:p w14:paraId="18D749DD"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63972C9"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34F55825"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43435616" w14:textId="15ECC7F1" w:rsidR="00962EC7" w:rsidRPr="00E43675" w:rsidRDefault="00962EC7" w:rsidP="00F43CBA">
            <w:pPr>
              <w:pStyle w:val="Tabletext1"/>
              <w:keepNext/>
              <w:keepLines/>
              <w:jc w:val="center"/>
            </w:pPr>
            <w:r w:rsidRPr="00E43675">
              <w:t>4/47</w:t>
            </w:r>
            <w:r w:rsidR="00FC21C7">
              <w:t xml:space="preserve"> (9%)</w:t>
            </w:r>
          </w:p>
        </w:tc>
        <w:tc>
          <w:tcPr>
            <w:tcW w:w="327" w:type="pct"/>
            <w:tcBorders>
              <w:top w:val="single" w:sz="4" w:space="0" w:color="auto"/>
              <w:left w:val="single" w:sz="4" w:space="0" w:color="auto"/>
              <w:bottom w:val="single" w:sz="4" w:space="0" w:color="auto"/>
              <w:right w:val="single" w:sz="4" w:space="0" w:color="auto"/>
            </w:tcBorders>
          </w:tcPr>
          <w:p w14:paraId="094A713F" w14:textId="07C1A86A" w:rsidR="00962EC7" w:rsidRPr="00E43675" w:rsidRDefault="00962EC7" w:rsidP="00F43CBA">
            <w:pPr>
              <w:pStyle w:val="Tabletext1"/>
              <w:keepNext/>
              <w:keepLines/>
              <w:jc w:val="center"/>
            </w:pPr>
            <w:r w:rsidRPr="00E43675">
              <w:t>2/47</w:t>
            </w:r>
            <w:r w:rsidR="00A87973">
              <w:t xml:space="preserve"> (4%)</w:t>
            </w:r>
          </w:p>
        </w:tc>
        <w:tc>
          <w:tcPr>
            <w:tcW w:w="327" w:type="pct"/>
            <w:tcBorders>
              <w:top w:val="single" w:sz="4" w:space="0" w:color="auto"/>
              <w:left w:val="single" w:sz="4" w:space="0" w:color="auto"/>
              <w:bottom w:val="single" w:sz="4" w:space="0" w:color="auto"/>
              <w:right w:val="single" w:sz="4" w:space="0" w:color="auto"/>
            </w:tcBorders>
          </w:tcPr>
          <w:p w14:paraId="07E73CE8" w14:textId="77777777" w:rsidR="00962EC7" w:rsidRPr="00E43675"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4D183A8A"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07A9AC8A" w14:textId="77777777" w:rsidR="00962EC7" w:rsidRPr="00E43675" w:rsidRDefault="00962EC7" w:rsidP="00F43CBA">
            <w:pPr>
              <w:pStyle w:val="Tabletext1"/>
              <w:keepNext/>
              <w:keepLines/>
              <w:jc w:val="center"/>
            </w:pPr>
          </w:p>
        </w:tc>
      </w:tr>
      <w:tr w:rsidR="00962EC7" w:rsidRPr="00B2301A" w14:paraId="5E27BC6D" w14:textId="134CCEA0" w:rsidTr="00F43CBA">
        <w:tc>
          <w:tcPr>
            <w:tcW w:w="627" w:type="pct"/>
            <w:tcBorders>
              <w:top w:val="nil"/>
              <w:left w:val="single" w:sz="4" w:space="0" w:color="auto"/>
              <w:bottom w:val="nil"/>
              <w:right w:val="single" w:sz="4" w:space="0" w:color="auto"/>
            </w:tcBorders>
            <w:shd w:val="clear" w:color="auto" w:fill="auto"/>
            <w:vAlign w:val="bottom"/>
          </w:tcPr>
          <w:p w14:paraId="301EBCCF"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263E1D8E" w14:textId="58226FF1" w:rsidR="00962EC7" w:rsidRPr="00E43675" w:rsidRDefault="00962EC7" w:rsidP="00F43CBA">
            <w:pPr>
              <w:pStyle w:val="Tabletext1"/>
              <w:keepNext/>
              <w:keepLines/>
              <w:jc w:val="center"/>
            </w:pPr>
            <w:r w:rsidRPr="00E43675">
              <w:t>Diarrhea</w:t>
            </w:r>
          </w:p>
        </w:tc>
        <w:tc>
          <w:tcPr>
            <w:tcW w:w="327" w:type="pct"/>
            <w:tcBorders>
              <w:top w:val="single" w:sz="4" w:space="0" w:color="auto"/>
              <w:left w:val="single" w:sz="4" w:space="0" w:color="auto"/>
              <w:bottom w:val="single" w:sz="4" w:space="0" w:color="auto"/>
              <w:right w:val="single" w:sz="4" w:space="0" w:color="auto"/>
            </w:tcBorders>
          </w:tcPr>
          <w:p w14:paraId="38008796"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75E4569" w14:textId="3E129004" w:rsidR="00962EC7" w:rsidRPr="00E43675" w:rsidRDefault="00962EC7" w:rsidP="00F43CBA">
            <w:pPr>
              <w:pStyle w:val="Tabletext1"/>
              <w:keepNext/>
              <w:keepLines/>
              <w:jc w:val="center"/>
            </w:pPr>
            <w:r w:rsidRPr="00E43675">
              <w:t>4/47</w:t>
            </w:r>
            <w:r w:rsidR="00FC21C7">
              <w:t xml:space="preserve"> (9%)</w:t>
            </w:r>
          </w:p>
        </w:tc>
        <w:tc>
          <w:tcPr>
            <w:tcW w:w="327" w:type="pct"/>
            <w:tcBorders>
              <w:top w:val="single" w:sz="4" w:space="0" w:color="auto"/>
              <w:left w:val="single" w:sz="4" w:space="0" w:color="auto"/>
              <w:bottom w:val="single" w:sz="4" w:space="0" w:color="auto"/>
              <w:right w:val="single" w:sz="4" w:space="0" w:color="auto"/>
            </w:tcBorders>
          </w:tcPr>
          <w:p w14:paraId="46997E4C"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98F0972"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4F6A1A1A"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3478406C"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44C3512" w14:textId="3D324138" w:rsidR="00962EC7" w:rsidRPr="00E43675" w:rsidRDefault="00962EC7" w:rsidP="00F43CBA">
            <w:pPr>
              <w:pStyle w:val="Tabletext1"/>
              <w:keepNext/>
              <w:keepLines/>
              <w:jc w:val="center"/>
            </w:pPr>
            <w:r w:rsidRPr="00E43675">
              <w:t>4/47</w:t>
            </w:r>
            <w:r w:rsidR="00FC21C7">
              <w:t xml:space="preserve"> (9%)</w:t>
            </w:r>
          </w:p>
        </w:tc>
        <w:tc>
          <w:tcPr>
            <w:tcW w:w="327" w:type="pct"/>
            <w:tcBorders>
              <w:top w:val="single" w:sz="4" w:space="0" w:color="auto"/>
              <w:left w:val="single" w:sz="4" w:space="0" w:color="auto"/>
              <w:bottom w:val="single" w:sz="4" w:space="0" w:color="auto"/>
              <w:right w:val="single" w:sz="4" w:space="0" w:color="auto"/>
            </w:tcBorders>
          </w:tcPr>
          <w:p w14:paraId="7A9CB21A" w14:textId="76EDCFF7" w:rsidR="00962EC7" w:rsidRPr="00E43675" w:rsidRDefault="00962EC7" w:rsidP="00F43CBA">
            <w:pPr>
              <w:pStyle w:val="Tabletext1"/>
              <w:keepNext/>
              <w:keepLines/>
              <w:jc w:val="center"/>
            </w:pPr>
            <w:r w:rsidRPr="00E43675">
              <w:t>1/47</w:t>
            </w:r>
            <w:r w:rsidR="006B7D2E">
              <w:t xml:space="preserve"> (2%)</w:t>
            </w:r>
          </w:p>
        </w:tc>
        <w:tc>
          <w:tcPr>
            <w:tcW w:w="327" w:type="pct"/>
            <w:tcBorders>
              <w:top w:val="single" w:sz="4" w:space="0" w:color="auto"/>
              <w:left w:val="single" w:sz="4" w:space="0" w:color="auto"/>
              <w:bottom w:val="single" w:sz="4" w:space="0" w:color="auto"/>
              <w:right w:val="single" w:sz="4" w:space="0" w:color="auto"/>
            </w:tcBorders>
          </w:tcPr>
          <w:p w14:paraId="686982FC" w14:textId="77777777" w:rsidR="00962EC7" w:rsidRPr="00E43675"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32D2DAFC"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049F9536" w14:textId="77777777" w:rsidR="00962EC7" w:rsidRPr="00E43675" w:rsidRDefault="00962EC7" w:rsidP="00F43CBA">
            <w:pPr>
              <w:pStyle w:val="Tabletext1"/>
              <w:keepNext/>
              <w:keepLines/>
              <w:jc w:val="center"/>
            </w:pPr>
          </w:p>
        </w:tc>
      </w:tr>
      <w:tr w:rsidR="00962EC7" w:rsidRPr="00B2301A" w14:paraId="6E6EA676" w14:textId="792BFE39" w:rsidTr="00F43CBA">
        <w:tc>
          <w:tcPr>
            <w:tcW w:w="627" w:type="pct"/>
            <w:tcBorders>
              <w:top w:val="nil"/>
              <w:left w:val="single" w:sz="4" w:space="0" w:color="auto"/>
              <w:bottom w:val="nil"/>
              <w:right w:val="single" w:sz="4" w:space="0" w:color="auto"/>
            </w:tcBorders>
            <w:shd w:val="clear" w:color="auto" w:fill="auto"/>
            <w:vAlign w:val="bottom"/>
          </w:tcPr>
          <w:p w14:paraId="03D41D83"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7B7CCF00" w14:textId="139C27FA" w:rsidR="00962EC7" w:rsidRPr="00E43675" w:rsidRDefault="00962EC7" w:rsidP="00F43CBA">
            <w:pPr>
              <w:pStyle w:val="Tabletext1"/>
              <w:keepNext/>
              <w:keepLines/>
              <w:jc w:val="center"/>
            </w:pPr>
            <w:r w:rsidRPr="00E43675">
              <w:t>Abdominal distension</w:t>
            </w:r>
          </w:p>
        </w:tc>
        <w:tc>
          <w:tcPr>
            <w:tcW w:w="327" w:type="pct"/>
            <w:tcBorders>
              <w:top w:val="single" w:sz="4" w:space="0" w:color="auto"/>
              <w:left w:val="single" w:sz="4" w:space="0" w:color="auto"/>
              <w:bottom w:val="single" w:sz="4" w:space="0" w:color="auto"/>
              <w:right w:val="single" w:sz="4" w:space="0" w:color="auto"/>
            </w:tcBorders>
          </w:tcPr>
          <w:p w14:paraId="7E1E3DD7"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69375145" w14:textId="7CA4F498" w:rsidR="00962EC7" w:rsidRPr="00E43675" w:rsidRDefault="00962EC7" w:rsidP="00F43CBA">
            <w:pPr>
              <w:pStyle w:val="Tabletext1"/>
              <w:keepNext/>
              <w:keepLines/>
              <w:jc w:val="center"/>
            </w:pPr>
            <w:r w:rsidRPr="00E43675">
              <w:t>2/47</w:t>
            </w:r>
            <w:r w:rsidR="00A87973">
              <w:t xml:space="preserve"> (4%)</w:t>
            </w:r>
          </w:p>
        </w:tc>
        <w:tc>
          <w:tcPr>
            <w:tcW w:w="327" w:type="pct"/>
            <w:tcBorders>
              <w:top w:val="single" w:sz="4" w:space="0" w:color="auto"/>
              <w:left w:val="single" w:sz="4" w:space="0" w:color="auto"/>
              <w:bottom w:val="single" w:sz="4" w:space="0" w:color="auto"/>
              <w:right w:val="single" w:sz="4" w:space="0" w:color="auto"/>
            </w:tcBorders>
          </w:tcPr>
          <w:p w14:paraId="0A35C120"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4B3EA22B"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CE038A4"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0E9D070"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4EDF889" w14:textId="3C158C93" w:rsidR="00962EC7" w:rsidRPr="00E43675" w:rsidRDefault="00962EC7" w:rsidP="00F43CBA">
            <w:pPr>
              <w:pStyle w:val="Tabletext1"/>
              <w:keepNext/>
              <w:keepLines/>
              <w:jc w:val="center"/>
            </w:pPr>
            <w:r w:rsidRPr="00E43675">
              <w:t>1/47</w:t>
            </w:r>
            <w:r w:rsidR="006B7D2E">
              <w:t xml:space="preserve"> (2%)</w:t>
            </w:r>
          </w:p>
        </w:tc>
        <w:tc>
          <w:tcPr>
            <w:tcW w:w="327" w:type="pct"/>
            <w:tcBorders>
              <w:top w:val="single" w:sz="4" w:space="0" w:color="auto"/>
              <w:left w:val="single" w:sz="4" w:space="0" w:color="auto"/>
              <w:bottom w:val="single" w:sz="4" w:space="0" w:color="auto"/>
              <w:right w:val="single" w:sz="4" w:space="0" w:color="auto"/>
            </w:tcBorders>
          </w:tcPr>
          <w:p w14:paraId="58645AD0"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CFCC800" w14:textId="77777777" w:rsidR="00962EC7" w:rsidRPr="00E43675"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28916F7C"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27C4C718" w14:textId="77777777" w:rsidR="00962EC7" w:rsidRPr="00E43675" w:rsidRDefault="00962EC7" w:rsidP="00F43CBA">
            <w:pPr>
              <w:pStyle w:val="Tabletext1"/>
              <w:keepNext/>
              <w:keepLines/>
              <w:jc w:val="center"/>
            </w:pPr>
          </w:p>
        </w:tc>
      </w:tr>
      <w:tr w:rsidR="00962EC7" w:rsidRPr="00B2301A" w14:paraId="32AE6F5D" w14:textId="4316BD42" w:rsidTr="00F43CBA">
        <w:tc>
          <w:tcPr>
            <w:tcW w:w="627" w:type="pct"/>
            <w:tcBorders>
              <w:top w:val="nil"/>
              <w:left w:val="single" w:sz="4" w:space="0" w:color="auto"/>
              <w:bottom w:val="nil"/>
              <w:right w:val="single" w:sz="4" w:space="0" w:color="auto"/>
            </w:tcBorders>
            <w:shd w:val="clear" w:color="auto" w:fill="auto"/>
            <w:vAlign w:val="bottom"/>
          </w:tcPr>
          <w:p w14:paraId="3BBE48E3"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0DFF0E1A" w14:textId="50562944" w:rsidR="00962EC7" w:rsidRPr="00E43675" w:rsidRDefault="00962EC7" w:rsidP="00F43CBA">
            <w:pPr>
              <w:pStyle w:val="Tabletext1"/>
              <w:keepNext/>
              <w:keepLines/>
              <w:jc w:val="center"/>
            </w:pPr>
            <w:r w:rsidRPr="00E43675">
              <w:t>Musculoskeletal pain</w:t>
            </w:r>
          </w:p>
        </w:tc>
        <w:tc>
          <w:tcPr>
            <w:tcW w:w="327" w:type="pct"/>
            <w:tcBorders>
              <w:top w:val="single" w:sz="4" w:space="0" w:color="auto"/>
              <w:left w:val="single" w:sz="4" w:space="0" w:color="auto"/>
              <w:bottom w:val="single" w:sz="4" w:space="0" w:color="auto"/>
              <w:right w:val="single" w:sz="4" w:space="0" w:color="auto"/>
            </w:tcBorders>
          </w:tcPr>
          <w:p w14:paraId="0CCCA290"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1851ABF" w14:textId="19EA4AB2" w:rsidR="00962EC7" w:rsidRPr="00E43675" w:rsidRDefault="00962EC7" w:rsidP="00F43CBA">
            <w:pPr>
              <w:pStyle w:val="Tabletext1"/>
              <w:keepNext/>
              <w:keepLines/>
              <w:jc w:val="center"/>
            </w:pPr>
            <w:r w:rsidRPr="00E43675">
              <w:t>2/47</w:t>
            </w:r>
            <w:r w:rsidR="00A87973">
              <w:t xml:space="preserve"> (4%)</w:t>
            </w:r>
          </w:p>
        </w:tc>
        <w:tc>
          <w:tcPr>
            <w:tcW w:w="327" w:type="pct"/>
            <w:tcBorders>
              <w:top w:val="single" w:sz="4" w:space="0" w:color="auto"/>
              <w:left w:val="single" w:sz="4" w:space="0" w:color="auto"/>
              <w:bottom w:val="single" w:sz="4" w:space="0" w:color="auto"/>
              <w:right w:val="single" w:sz="4" w:space="0" w:color="auto"/>
            </w:tcBorders>
          </w:tcPr>
          <w:p w14:paraId="0A5FE037"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B2954C1"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1BA5417D"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DCE15ED"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562C03CE"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719AE673" w14:textId="76DBA3B9" w:rsidR="00962EC7" w:rsidRPr="00E43675" w:rsidRDefault="00962EC7" w:rsidP="00F43CBA">
            <w:pPr>
              <w:pStyle w:val="Tabletext1"/>
              <w:keepNext/>
              <w:keepLines/>
              <w:jc w:val="center"/>
            </w:pPr>
            <w:r w:rsidRPr="00E43675">
              <w:t>1/47</w:t>
            </w:r>
            <w:r w:rsidR="006B7D2E">
              <w:t xml:space="preserve"> (2%)</w:t>
            </w:r>
          </w:p>
        </w:tc>
        <w:tc>
          <w:tcPr>
            <w:tcW w:w="327" w:type="pct"/>
            <w:tcBorders>
              <w:top w:val="single" w:sz="4" w:space="0" w:color="auto"/>
              <w:left w:val="single" w:sz="4" w:space="0" w:color="auto"/>
              <w:bottom w:val="single" w:sz="4" w:space="0" w:color="auto"/>
              <w:right w:val="single" w:sz="4" w:space="0" w:color="auto"/>
            </w:tcBorders>
          </w:tcPr>
          <w:p w14:paraId="5E87CA34" w14:textId="77777777" w:rsidR="00962EC7" w:rsidRPr="00E43675"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1A65139F"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5A676923" w14:textId="77777777" w:rsidR="00962EC7" w:rsidRPr="00E43675" w:rsidRDefault="00962EC7" w:rsidP="00F43CBA">
            <w:pPr>
              <w:pStyle w:val="Tabletext1"/>
              <w:keepNext/>
              <w:keepLines/>
              <w:jc w:val="center"/>
            </w:pPr>
          </w:p>
        </w:tc>
      </w:tr>
      <w:tr w:rsidR="00962EC7" w:rsidRPr="00B2301A" w14:paraId="592CDBD4" w14:textId="4C394D97" w:rsidTr="00F43CBA">
        <w:tc>
          <w:tcPr>
            <w:tcW w:w="627" w:type="pct"/>
            <w:tcBorders>
              <w:top w:val="nil"/>
              <w:left w:val="single" w:sz="4" w:space="0" w:color="auto"/>
              <w:bottom w:val="nil"/>
              <w:right w:val="single" w:sz="4" w:space="0" w:color="auto"/>
            </w:tcBorders>
            <w:shd w:val="clear" w:color="auto" w:fill="auto"/>
            <w:vAlign w:val="bottom"/>
          </w:tcPr>
          <w:p w14:paraId="77A46234"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78586C0F" w14:textId="03C0135A" w:rsidR="00962EC7" w:rsidRPr="00E43675" w:rsidRDefault="00962EC7" w:rsidP="00F43CBA">
            <w:pPr>
              <w:pStyle w:val="Tabletext1"/>
              <w:keepNext/>
              <w:keepLines/>
              <w:jc w:val="center"/>
            </w:pPr>
            <w:r w:rsidRPr="00E43675">
              <w:t>Oesophagitis</w:t>
            </w:r>
          </w:p>
        </w:tc>
        <w:tc>
          <w:tcPr>
            <w:tcW w:w="327" w:type="pct"/>
            <w:tcBorders>
              <w:top w:val="single" w:sz="4" w:space="0" w:color="auto"/>
              <w:left w:val="single" w:sz="4" w:space="0" w:color="auto"/>
              <w:bottom w:val="single" w:sz="4" w:space="0" w:color="auto"/>
              <w:right w:val="single" w:sz="4" w:space="0" w:color="auto"/>
            </w:tcBorders>
          </w:tcPr>
          <w:p w14:paraId="73367AE6"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C15C8B6"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3AC1AB09" w14:textId="62CF67FB" w:rsidR="00962EC7" w:rsidRPr="00E43675" w:rsidRDefault="00962EC7" w:rsidP="00F43CBA">
            <w:pPr>
              <w:pStyle w:val="Tabletext1"/>
              <w:keepNext/>
              <w:keepLines/>
              <w:jc w:val="center"/>
            </w:pPr>
            <w:r w:rsidRPr="00E43675">
              <w:t>2/47</w:t>
            </w:r>
            <w:r w:rsidR="00A87973">
              <w:t xml:space="preserve"> (4%)</w:t>
            </w:r>
          </w:p>
        </w:tc>
        <w:tc>
          <w:tcPr>
            <w:tcW w:w="327" w:type="pct"/>
            <w:tcBorders>
              <w:top w:val="single" w:sz="4" w:space="0" w:color="auto"/>
              <w:left w:val="single" w:sz="4" w:space="0" w:color="auto"/>
              <w:bottom w:val="single" w:sz="4" w:space="0" w:color="auto"/>
              <w:right w:val="single" w:sz="4" w:space="0" w:color="auto"/>
            </w:tcBorders>
          </w:tcPr>
          <w:p w14:paraId="32CB4599"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B39C371"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320B9D1E"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297644A"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4EF1CF0"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6435E38D" w14:textId="77777777" w:rsidR="00962EC7" w:rsidRPr="00E43675"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02678A2F"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4D626695" w14:textId="77777777" w:rsidR="00962EC7" w:rsidRPr="00E43675" w:rsidRDefault="00962EC7" w:rsidP="00F43CBA">
            <w:pPr>
              <w:pStyle w:val="Tabletext1"/>
              <w:keepNext/>
              <w:keepLines/>
              <w:jc w:val="center"/>
            </w:pPr>
          </w:p>
        </w:tc>
      </w:tr>
      <w:tr w:rsidR="00962EC7" w:rsidRPr="00B2301A" w14:paraId="7B429A1B" w14:textId="53063BF8" w:rsidTr="00F43CBA">
        <w:tc>
          <w:tcPr>
            <w:tcW w:w="627" w:type="pct"/>
            <w:tcBorders>
              <w:top w:val="nil"/>
              <w:left w:val="single" w:sz="4" w:space="0" w:color="auto"/>
              <w:bottom w:val="nil"/>
              <w:right w:val="single" w:sz="4" w:space="0" w:color="auto"/>
            </w:tcBorders>
            <w:shd w:val="clear" w:color="auto" w:fill="auto"/>
            <w:vAlign w:val="bottom"/>
          </w:tcPr>
          <w:p w14:paraId="5DCFBDF5"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05B74D1A" w14:textId="36CE1539" w:rsidR="00962EC7" w:rsidRPr="00E43675" w:rsidRDefault="00962EC7" w:rsidP="00F43CBA">
            <w:pPr>
              <w:pStyle w:val="Tabletext1"/>
              <w:keepNext/>
              <w:keepLines/>
              <w:jc w:val="center"/>
            </w:pPr>
            <w:r w:rsidRPr="00E43675">
              <w:t>Dermatitis</w:t>
            </w:r>
          </w:p>
        </w:tc>
        <w:tc>
          <w:tcPr>
            <w:tcW w:w="327" w:type="pct"/>
            <w:tcBorders>
              <w:top w:val="single" w:sz="4" w:space="0" w:color="auto"/>
              <w:left w:val="single" w:sz="4" w:space="0" w:color="auto"/>
              <w:bottom w:val="single" w:sz="4" w:space="0" w:color="auto"/>
              <w:right w:val="single" w:sz="4" w:space="0" w:color="auto"/>
            </w:tcBorders>
          </w:tcPr>
          <w:p w14:paraId="6415A3E7"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D3DBD5F"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3496A0EE" w14:textId="1FDFE51F" w:rsidR="00962EC7" w:rsidRPr="00E43675" w:rsidRDefault="00E43675" w:rsidP="00F43CBA">
            <w:pPr>
              <w:pStyle w:val="Tabletext1"/>
              <w:keepNext/>
              <w:keepLines/>
              <w:jc w:val="center"/>
            </w:pPr>
            <w:r w:rsidRPr="00E43675">
              <w:t>1</w:t>
            </w:r>
            <w:r w:rsidR="00962EC7" w:rsidRPr="00E43675">
              <w:t>/47</w:t>
            </w:r>
            <w:r w:rsidR="006B7D2E">
              <w:t xml:space="preserve"> (2%)</w:t>
            </w:r>
          </w:p>
        </w:tc>
        <w:tc>
          <w:tcPr>
            <w:tcW w:w="327" w:type="pct"/>
            <w:tcBorders>
              <w:top w:val="single" w:sz="4" w:space="0" w:color="auto"/>
              <w:left w:val="single" w:sz="4" w:space="0" w:color="auto"/>
              <w:bottom w:val="single" w:sz="4" w:space="0" w:color="auto"/>
              <w:right w:val="single" w:sz="4" w:space="0" w:color="auto"/>
            </w:tcBorders>
          </w:tcPr>
          <w:p w14:paraId="11A8A5E0"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DF04CEF"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56C41609"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B8E2D5D"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586F174F"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38DE1953" w14:textId="77777777" w:rsidR="00962EC7" w:rsidRPr="00E43675" w:rsidRDefault="00962EC7" w:rsidP="00F43CBA">
            <w:pPr>
              <w:pStyle w:val="Tabletext1"/>
              <w:keepNext/>
              <w:keepLines/>
              <w:jc w:val="center"/>
            </w:pPr>
          </w:p>
        </w:tc>
        <w:tc>
          <w:tcPr>
            <w:tcW w:w="319" w:type="pct"/>
            <w:tcBorders>
              <w:top w:val="single" w:sz="4" w:space="0" w:color="auto"/>
              <w:left w:val="single" w:sz="4" w:space="0" w:color="auto"/>
              <w:bottom w:val="single" w:sz="4" w:space="0" w:color="auto"/>
              <w:right w:val="single" w:sz="4" w:space="0" w:color="auto"/>
            </w:tcBorders>
          </w:tcPr>
          <w:p w14:paraId="3B7E6702"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31376AC4" w14:textId="77777777" w:rsidR="00962EC7" w:rsidRPr="00E43675" w:rsidRDefault="00962EC7" w:rsidP="00F43CBA">
            <w:pPr>
              <w:pStyle w:val="Tabletext1"/>
              <w:keepNext/>
              <w:keepLines/>
              <w:jc w:val="center"/>
            </w:pPr>
          </w:p>
        </w:tc>
      </w:tr>
      <w:tr w:rsidR="00962EC7" w:rsidRPr="00B2301A" w14:paraId="085F17D0" w14:textId="3607BA98" w:rsidTr="00F43CBA">
        <w:tc>
          <w:tcPr>
            <w:tcW w:w="627" w:type="pct"/>
            <w:tcBorders>
              <w:top w:val="nil"/>
              <w:left w:val="single" w:sz="4" w:space="0" w:color="auto"/>
              <w:bottom w:val="nil"/>
              <w:right w:val="single" w:sz="4" w:space="0" w:color="auto"/>
            </w:tcBorders>
            <w:shd w:val="clear" w:color="auto" w:fill="auto"/>
            <w:vAlign w:val="bottom"/>
          </w:tcPr>
          <w:p w14:paraId="5B3450A1"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01062827" w14:textId="0F2F03F0" w:rsidR="00962EC7" w:rsidRPr="00E43675" w:rsidRDefault="00962EC7" w:rsidP="00F43CBA">
            <w:pPr>
              <w:pStyle w:val="Tabletext1"/>
              <w:keepNext/>
              <w:keepLines/>
              <w:jc w:val="center"/>
            </w:pPr>
            <w:r w:rsidRPr="00E43675">
              <w:t>Biliary stenosis</w:t>
            </w:r>
          </w:p>
        </w:tc>
        <w:tc>
          <w:tcPr>
            <w:tcW w:w="327" w:type="pct"/>
            <w:tcBorders>
              <w:top w:val="single" w:sz="4" w:space="0" w:color="auto"/>
              <w:left w:val="single" w:sz="4" w:space="0" w:color="auto"/>
              <w:bottom w:val="single" w:sz="4" w:space="0" w:color="auto"/>
              <w:right w:val="single" w:sz="4" w:space="0" w:color="auto"/>
            </w:tcBorders>
          </w:tcPr>
          <w:p w14:paraId="643F222E"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650F1986"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F5314AE"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14D1960"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05D33A44"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36EF3A3"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22856447"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7264CADE"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1FC79937" w14:textId="5AF67110" w:rsidR="00962EC7" w:rsidRPr="00E43675" w:rsidRDefault="00962EC7" w:rsidP="00F43CBA">
            <w:pPr>
              <w:pStyle w:val="Tabletext1"/>
              <w:keepNext/>
              <w:keepLines/>
              <w:jc w:val="center"/>
            </w:pPr>
            <w:r w:rsidRPr="00E43675">
              <w:t>2/47</w:t>
            </w:r>
            <w:r w:rsidR="00A87973">
              <w:t xml:space="preserve"> (4%)</w:t>
            </w:r>
          </w:p>
        </w:tc>
        <w:tc>
          <w:tcPr>
            <w:tcW w:w="319" w:type="pct"/>
            <w:tcBorders>
              <w:top w:val="single" w:sz="4" w:space="0" w:color="auto"/>
              <w:left w:val="single" w:sz="4" w:space="0" w:color="auto"/>
              <w:bottom w:val="single" w:sz="4" w:space="0" w:color="auto"/>
              <w:right w:val="single" w:sz="4" w:space="0" w:color="auto"/>
            </w:tcBorders>
          </w:tcPr>
          <w:p w14:paraId="474DA27B"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618E2771" w14:textId="77777777" w:rsidR="00962EC7" w:rsidRPr="00E43675" w:rsidRDefault="00962EC7" w:rsidP="00F43CBA">
            <w:pPr>
              <w:pStyle w:val="Tabletext1"/>
              <w:keepNext/>
              <w:keepLines/>
              <w:jc w:val="center"/>
            </w:pPr>
          </w:p>
        </w:tc>
      </w:tr>
      <w:tr w:rsidR="00962EC7" w:rsidRPr="00B2301A" w14:paraId="4EB7F42E" w14:textId="258C0C2B" w:rsidTr="00F43CBA">
        <w:tc>
          <w:tcPr>
            <w:tcW w:w="627" w:type="pct"/>
            <w:tcBorders>
              <w:top w:val="nil"/>
              <w:left w:val="single" w:sz="4" w:space="0" w:color="auto"/>
              <w:bottom w:val="single" w:sz="4" w:space="0" w:color="auto"/>
              <w:right w:val="single" w:sz="4" w:space="0" w:color="auto"/>
            </w:tcBorders>
            <w:shd w:val="clear" w:color="auto" w:fill="auto"/>
            <w:vAlign w:val="bottom"/>
          </w:tcPr>
          <w:p w14:paraId="6FB41DC6" w14:textId="77777777" w:rsidR="00962EC7" w:rsidRDefault="00962EC7" w:rsidP="00F43CBA">
            <w:pPr>
              <w:pStyle w:val="Tabletext1"/>
              <w:keepNext/>
              <w:keepLines/>
            </w:pPr>
          </w:p>
        </w:tc>
        <w:tc>
          <w:tcPr>
            <w:tcW w:w="792" w:type="pct"/>
            <w:tcBorders>
              <w:top w:val="single" w:sz="4" w:space="0" w:color="auto"/>
              <w:left w:val="single" w:sz="4" w:space="0" w:color="auto"/>
              <w:bottom w:val="single" w:sz="4" w:space="0" w:color="auto"/>
              <w:right w:val="single" w:sz="4" w:space="0" w:color="auto"/>
            </w:tcBorders>
          </w:tcPr>
          <w:p w14:paraId="6BE72C4A" w14:textId="17B9CEEC" w:rsidR="00962EC7" w:rsidRPr="00E43675" w:rsidRDefault="00962EC7" w:rsidP="00F43CBA">
            <w:pPr>
              <w:pStyle w:val="Tabletext1"/>
              <w:keepNext/>
              <w:keepLines/>
              <w:jc w:val="center"/>
            </w:pPr>
            <w:r w:rsidRPr="00E43675">
              <w:t>Perforation</w:t>
            </w:r>
          </w:p>
        </w:tc>
        <w:tc>
          <w:tcPr>
            <w:tcW w:w="327" w:type="pct"/>
            <w:tcBorders>
              <w:top w:val="single" w:sz="4" w:space="0" w:color="auto"/>
              <w:left w:val="single" w:sz="4" w:space="0" w:color="auto"/>
              <w:bottom w:val="single" w:sz="4" w:space="0" w:color="auto"/>
              <w:right w:val="single" w:sz="4" w:space="0" w:color="auto"/>
            </w:tcBorders>
          </w:tcPr>
          <w:p w14:paraId="1E9AFA5C"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A836F6B"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5F562719"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726D203"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77536E17"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56B3609D" w14:textId="77777777" w:rsidR="00962EC7" w:rsidRPr="00E43675" w:rsidRDefault="00962EC7" w:rsidP="00F43CBA">
            <w:pPr>
              <w:pStyle w:val="Tabletext1"/>
              <w:keepNext/>
              <w:keepLines/>
              <w:jc w:val="center"/>
            </w:pPr>
          </w:p>
        </w:tc>
        <w:tc>
          <w:tcPr>
            <w:tcW w:w="328" w:type="pct"/>
            <w:tcBorders>
              <w:top w:val="single" w:sz="4" w:space="0" w:color="auto"/>
              <w:left w:val="single" w:sz="4" w:space="0" w:color="auto"/>
              <w:bottom w:val="single" w:sz="4" w:space="0" w:color="auto"/>
              <w:right w:val="single" w:sz="4" w:space="0" w:color="auto"/>
            </w:tcBorders>
          </w:tcPr>
          <w:p w14:paraId="3A8E5568"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016F3F9E" w14:textId="77777777" w:rsidR="00962EC7" w:rsidRPr="00E43675" w:rsidRDefault="00962EC7" w:rsidP="00F43CBA">
            <w:pPr>
              <w:pStyle w:val="Tabletext1"/>
              <w:keepNext/>
              <w:keepLines/>
              <w:jc w:val="center"/>
            </w:pPr>
          </w:p>
        </w:tc>
        <w:tc>
          <w:tcPr>
            <w:tcW w:w="327" w:type="pct"/>
            <w:tcBorders>
              <w:top w:val="single" w:sz="4" w:space="0" w:color="auto"/>
              <w:left w:val="single" w:sz="4" w:space="0" w:color="auto"/>
              <w:bottom w:val="single" w:sz="4" w:space="0" w:color="auto"/>
              <w:right w:val="single" w:sz="4" w:space="0" w:color="auto"/>
            </w:tcBorders>
          </w:tcPr>
          <w:p w14:paraId="23E832CB" w14:textId="1B2A9DB1" w:rsidR="00962EC7" w:rsidRPr="00E43675" w:rsidRDefault="00962EC7" w:rsidP="00F43CBA">
            <w:pPr>
              <w:pStyle w:val="Tabletext1"/>
              <w:keepNext/>
              <w:keepLines/>
              <w:jc w:val="center"/>
            </w:pPr>
            <w:r w:rsidRPr="00E43675">
              <w:t>1/47</w:t>
            </w:r>
            <w:r w:rsidR="006B7D2E">
              <w:t xml:space="preserve"> (2%)</w:t>
            </w:r>
          </w:p>
        </w:tc>
        <w:tc>
          <w:tcPr>
            <w:tcW w:w="319" w:type="pct"/>
            <w:tcBorders>
              <w:top w:val="single" w:sz="4" w:space="0" w:color="auto"/>
              <w:left w:val="single" w:sz="4" w:space="0" w:color="auto"/>
              <w:bottom w:val="single" w:sz="4" w:space="0" w:color="auto"/>
              <w:right w:val="single" w:sz="4" w:space="0" w:color="auto"/>
            </w:tcBorders>
          </w:tcPr>
          <w:p w14:paraId="1DF15789" w14:textId="77777777" w:rsidR="00962EC7" w:rsidRPr="00E43675" w:rsidRDefault="00962EC7" w:rsidP="00F43CBA">
            <w:pPr>
              <w:pStyle w:val="Tabletext1"/>
              <w:keepNext/>
              <w:keepLines/>
              <w:jc w:val="center"/>
            </w:pPr>
          </w:p>
        </w:tc>
        <w:tc>
          <w:tcPr>
            <w:tcW w:w="316" w:type="pct"/>
            <w:tcBorders>
              <w:top w:val="single" w:sz="4" w:space="0" w:color="auto"/>
              <w:left w:val="single" w:sz="4" w:space="0" w:color="auto"/>
              <w:bottom w:val="single" w:sz="4" w:space="0" w:color="auto"/>
              <w:right w:val="single" w:sz="4" w:space="0" w:color="auto"/>
            </w:tcBorders>
          </w:tcPr>
          <w:p w14:paraId="08BB999A" w14:textId="378F45DB" w:rsidR="00962EC7" w:rsidRPr="00E43675" w:rsidRDefault="00962EC7" w:rsidP="00F43CBA">
            <w:pPr>
              <w:pStyle w:val="Tabletext1"/>
              <w:keepNext/>
              <w:keepLines/>
              <w:jc w:val="center"/>
            </w:pPr>
            <w:r w:rsidRPr="00E43675">
              <w:t>1/47</w:t>
            </w:r>
            <w:r w:rsidR="006B7D2E">
              <w:t xml:space="preserve"> (2%)</w:t>
            </w:r>
          </w:p>
        </w:tc>
      </w:tr>
    </w:tbl>
    <w:p w14:paraId="2185BA6A" w14:textId="6FB3C66A" w:rsidR="00345275" w:rsidRDefault="00BD6F3B" w:rsidP="00EB30A3">
      <w:pPr>
        <w:pStyle w:val="TFAbbrevs18"/>
      </w:pPr>
      <w:r>
        <w:t>GI</w:t>
      </w:r>
      <w:r w:rsidR="0077492B">
        <w:t>=</w:t>
      </w:r>
      <w:r>
        <w:t xml:space="preserve">gastrointestinal; </w:t>
      </w:r>
      <w:r w:rsidR="008C671A">
        <w:t xml:space="preserve">HCC=hepatocellular carcinoma; </w:t>
      </w:r>
      <w:r w:rsidR="004F515B">
        <w:t>RILD</w:t>
      </w:r>
      <w:r w:rsidR="008C671A">
        <w:t>=</w:t>
      </w:r>
      <w:r w:rsidR="004F515B">
        <w:t>radiation-induced liver damage</w:t>
      </w:r>
    </w:p>
    <w:p w14:paraId="61BD1284" w14:textId="2535F1B0" w:rsidR="00EF1479" w:rsidRDefault="00EF1479" w:rsidP="0030758B">
      <w:pPr>
        <w:pStyle w:val="Heading4"/>
        <w:keepNext w:val="0"/>
      </w:pPr>
      <w:r>
        <w:t>Head and neck</w:t>
      </w:r>
    </w:p>
    <w:p w14:paraId="357FA6CC" w14:textId="32686C5A" w:rsidR="00EF1479" w:rsidRDefault="00EF1479" w:rsidP="00EF1479">
      <w:r>
        <w:t xml:space="preserve">Chen 2018 reported the rate of grade 3 acute toxicities in </w:t>
      </w:r>
      <w:r w:rsidR="002A5A21">
        <w:t xml:space="preserve">patients with </w:t>
      </w:r>
      <w:r>
        <w:t>head and neck cancer treated with MR</w:t>
      </w:r>
      <w:r w:rsidR="00E45215">
        <w:t>-</w:t>
      </w:r>
      <w:r>
        <w:t xml:space="preserve">IMRT. These toxicities are summarised in </w:t>
      </w:r>
      <w:r w:rsidR="00E45215">
        <w:fldChar w:fldCharType="begin"/>
      </w:r>
      <w:r w:rsidR="00E45215">
        <w:instrText xml:space="preserve"> REF _Ref55891384 \h </w:instrText>
      </w:r>
      <w:r w:rsidR="00E45215">
        <w:fldChar w:fldCharType="separate"/>
      </w:r>
      <w:r w:rsidR="00451350">
        <w:t xml:space="preserve">Table </w:t>
      </w:r>
      <w:r w:rsidR="00451350">
        <w:rPr>
          <w:noProof/>
        </w:rPr>
        <w:t>24</w:t>
      </w:r>
      <w:r w:rsidR="00E45215">
        <w:fldChar w:fldCharType="end"/>
      </w:r>
      <w:r w:rsidR="00E45215">
        <w:t>.</w:t>
      </w:r>
      <w:r w:rsidR="00EB30A3">
        <w:t xml:space="preserve"> Some degree of acute skin erythema, odynophagia, taste alterations or xerostomia occurred in essentially all patients. In the late toxicity setting, 11/18 (61%) of patients complained of some subjective degree of xerostomia. One patient was found to have oesophageal stricture</w:t>
      </w:r>
      <w:r w:rsidR="004A283B">
        <w:t xml:space="preserve"> and 17%</w:t>
      </w:r>
      <w:r w:rsidR="00EB30A3">
        <w:t xml:space="preserve"> of patients were gastrostomy tube-dependent at six months and 6% at one year. No cases of osteoradionecrosis, neurological toxicity or central nervous system toxicity were observed.</w:t>
      </w:r>
    </w:p>
    <w:p w14:paraId="067D193B" w14:textId="22412E96" w:rsidR="00EF1479" w:rsidRDefault="00EF1479" w:rsidP="008D7C53">
      <w:pPr>
        <w:pStyle w:val="Caption"/>
        <w:keepNext/>
      </w:pPr>
      <w:bookmarkStart w:id="368" w:name="_Ref55891384"/>
      <w:bookmarkStart w:id="369" w:name="_Toc89857895"/>
      <w:r>
        <w:t xml:space="preserve">Table </w:t>
      </w:r>
      <w:r w:rsidR="00211285">
        <w:fldChar w:fldCharType="begin"/>
      </w:r>
      <w:r w:rsidR="00211285">
        <w:instrText xml:space="preserve"> SEQ Table \* ARABIC </w:instrText>
      </w:r>
      <w:r w:rsidR="00211285">
        <w:fldChar w:fldCharType="separate"/>
      </w:r>
      <w:r w:rsidR="00451350">
        <w:rPr>
          <w:noProof/>
        </w:rPr>
        <w:t>24</w:t>
      </w:r>
      <w:r w:rsidR="00211285">
        <w:rPr>
          <w:noProof/>
        </w:rPr>
        <w:fldChar w:fldCharType="end"/>
      </w:r>
      <w:bookmarkEnd w:id="368"/>
      <w:r>
        <w:tab/>
      </w:r>
      <w:r w:rsidRPr="00E86441">
        <w:t>Results</w:t>
      </w:r>
      <w:r w:rsidRPr="00183E4D">
        <w:rPr>
          <w:snapToGrid w:val="0"/>
          <w:lang w:eastAsia="en-US"/>
        </w:rPr>
        <w:t xml:space="preserve"> of </w:t>
      </w:r>
      <w:r>
        <w:rPr>
          <w:snapToGrid w:val="0"/>
          <w:lang w:eastAsia="en-US"/>
        </w:rPr>
        <w:t>toxicity</w:t>
      </w:r>
      <w:r w:rsidRPr="00183E4D">
        <w:rPr>
          <w:snapToGrid w:val="0"/>
          <w:lang w:eastAsia="en-US"/>
        </w:rPr>
        <w:t xml:space="preserve"> across th</w:t>
      </w:r>
      <w:r w:rsidRPr="00846B88">
        <w:rPr>
          <w:snapToGrid w:val="0"/>
          <w:lang w:eastAsia="en-US"/>
        </w:rPr>
        <w:t>e studies</w:t>
      </w:r>
      <w:r>
        <w:rPr>
          <w:snapToGrid w:val="0"/>
          <w:lang w:eastAsia="en-US"/>
        </w:rPr>
        <w:t>, head and neck cancers, MR-IGRT</w:t>
      </w:r>
      <w:bookmarkEnd w:id="369"/>
    </w:p>
    <w:tbl>
      <w:tblPr>
        <w:tblStyle w:val="TableGrid1"/>
        <w:tblW w:w="5000" w:type="pct"/>
        <w:tblCellMar>
          <w:left w:w="28" w:type="dxa"/>
          <w:right w:w="28" w:type="dxa"/>
        </w:tblCellMar>
        <w:tblLook w:val="04A0" w:firstRow="1" w:lastRow="0" w:firstColumn="1" w:lastColumn="0" w:noHBand="0" w:noVBand="1"/>
        <w:tblCaption w:val="Table 24 Results of toxicity across the studies, head and neck cancers, MR-IGRT"/>
        <w:tblDescription w:val="This table provides results of toxicity in head and neck cancer for MR-IGRT."/>
      </w:tblPr>
      <w:tblGrid>
        <w:gridCol w:w="1653"/>
        <w:gridCol w:w="2813"/>
        <w:gridCol w:w="1138"/>
        <w:gridCol w:w="1138"/>
        <w:gridCol w:w="1138"/>
        <w:gridCol w:w="1136"/>
      </w:tblGrid>
      <w:tr w:rsidR="00F43CBA" w14:paraId="54DFC915" w14:textId="77777777" w:rsidTr="00F43CBA">
        <w:trPr>
          <w:cnfStyle w:val="100000000000" w:firstRow="1" w:lastRow="0" w:firstColumn="0" w:lastColumn="0" w:oddVBand="0" w:evenVBand="0" w:oddHBand="0" w:evenHBand="0" w:firstRowFirstColumn="0" w:firstRowLastColumn="0" w:lastRowFirstColumn="0" w:lastRowLastColumn="0"/>
          <w:tblHeader/>
        </w:trPr>
        <w:tc>
          <w:tcPr>
            <w:tcW w:w="917" w:type="pct"/>
            <w:tcBorders>
              <w:top w:val="single" w:sz="4" w:space="0" w:color="auto"/>
              <w:left w:val="single" w:sz="4" w:space="0" w:color="auto"/>
              <w:bottom w:val="nil"/>
              <w:right w:val="single" w:sz="4" w:space="0" w:color="auto"/>
            </w:tcBorders>
            <w:shd w:val="clear" w:color="auto" w:fill="auto"/>
          </w:tcPr>
          <w:p w14:paraId="62471545" w14:textId="77777777" w:rsidR="00F43CBA" w:rsidRPr="00F43CBA" w:rsidRDefault="00F43CBA" w:rsidP="00F43CBA">
            <w:pPr>
              <w:pStyle w:val="Tabletext1"/>
              <w:rPr>
                <w:b/>
                <w:bCs/>
                <w:snapToGrid w:val="0"/>
                <w:lang w:eastAsia="en-US"/>
              </w:rPr>
            </w:pPr>
            <w:r w:rsidRPr="00F43CBA">
              <w:rPr>
                <w:b/>
                <w:bCs/>
                <w:snapToGrid w:val="0"/>
                <w:lang w:eastAsia="en-US"/>
              </w:rPr>
              <w:t>Study ID</w:t>
            </w:r>
          </w:p>
        </w:tc>
        <w:tc>
          <w:tcPr>
            <w:tcW w:w="1560" w:type="pct"/>
            <w:tcBorders>
              <w:left w:val="single" w:sz="4" w:space="0" w:color="auto"/>
              <w:bottom w:val="single" w:sz="4" w:space="0" w:color="auto"/>
              <w:right w:val="single" w:sz="4" w:space="0" w:color="auto"/>
            </w:tcBorders>
          </w:tcPr>
          <w:p w14:paraId="5C07F186" w14:textId="77777777" w:rsidR="00F43CBA" w:rsidRPr="00F43CBA" w:rsidRDefault="00F43CBA" w:rsidP="00F43CBA">
            <w:pPr>
              <w:pStyle w:val="Tabletext1"/>
              <w:jc w:val="center"/>
              <w:rPr>
                <w:b/>
                <w:bCs/>
                <w:snapToGrid w:val="0"/>
                <w:lang w:eastAsia="en-US"/>
              </w:rPr>
            </w:pPr>
            <w:r w:rsidRPr="00F43CBA">
              <w:rPr>
                <w:b/>
                <w:bCs/>
                <w:snapToGrid w:val="0"/>
                <w:lang w:eastAsia="en-US"/>
              </w:rPr>
              <w:t>Toxicity</w:t>
            </w:r>
          </w:p>
        </w:tc>
        <w:tc>
          <w:tcPr>
            <w:tcW w:w="2523" w:type="pct"/>
            <w:gridSpan w:val="4"/>
            <w:tcBorders>
              <w:top w:val="single" w:sz="4" w:space="0" w:color="auto"/>
              <w:left w:val="single" w:sz="4" w:space="0" w:color="auto"/>
              <w:bottom w:val="single" w:sz="4" w:space="0" w:color="auto"/>
              <w:right w:val="single" w:sz="4" w:space="0" w:color="auto"/>
            </w:tcBorders>
            <w:shd w:val="clear" w:color="auto" w:fill="auto"/>
          </w:tcPr>
          <w:p w14:paraId="464E0AD2" w14:textId="1452089C" w:rsidR="00F43CBA" w:rsidRPr="00F43CBA" w:rsidRDefault="00F43CBA" w:rsidP="00F43CBA">
            <w:pPr>
              <w:pStyle w:val="Tabletext1"/>
              <w:jc w:val="center"/>
              <w:rPr>
                <w:b/>
                <w:bCs/>
                <w:snapToGrid w:val="0"/>
                <w:lang w:eastAsia="en-US"/>
              </w:rPr>
            </w:pPr>
            <w:r w:rsidRPr="00F43CBA">
              <w:rPr>
                <w:b/>
                <w:bCs/>
                <w:snapToGrid w:val="0"/>
                <w:lang w:eastAsia="en-US"/>
              </w:rPr>
              <w:t>Acute</w:t>
            </w:r>
          </w:p>
        </w:tc>
      </w:tr>
      <w:tr w:rsidR="00A545E7" w14:paraId="0F0BA7D7" w14:textId="77777777" w:rsidTr="00A545E7">
        <w:trPr>
          <w:cnfStyle w:val="100000000000" w:firstRow="1" w:lastRow="0" w:firstColumn="0" w:lastColumn="0" w:oddVBand="0" w:evenVBand="0" w:oddHBand="0" w:evenHBand="0" w:firstRowFirstColumn="0" w:firstRowLastColumn="0" w:lastRowFirstColumn="0" w:lastRowLastColumn="0"/>
          <w:tblHeader/>
        </w:trPr>
        <w:tc>
          <w:tcPr>
            <w:tcW w:w="917" w:type="pct"/>
            <w:tcBorders>
              <w:top w:val="nil"/>
              <w:left w:val="single" w:sz="4" w:space="0" w:color="auto"/>
              <w:bottom w:val="single" w:sz="4" w:space="0" w:color="auto"/>
              <w:right w:val="single" w:sz="4" w:space="0" w:color="auto"/>
            </w:tcBorders>
            <w:shd w:val="clear" w:color="auto" w:fill="auto"/>
          </w:tcPr>
          <w:p w14:paraId="28320AFD" w14:textId="77777777" w:rsidR="00A545E7" w:rsidRPr="00F43CBA" w:rsidRDefault="00A545E7" w:rsidP="00F43CBA">
            <w:pPr>
              <w:pStyle w:val="Tabletext1"/>
              <w:rPr>
                <w:b/>
                <w:bCs/>
                <w:snapToGrid w:val="0"/>
                <w:lang w:eastAsia="en-US"/>
              </w:rPr>
            </w:pPr>
          </w:p>
        </w:tc>
        <w:tc>
          <w:tcPr>
            <w:tcW w:w="1560" w:type="pct"/>
            <w:tcBorders>
              <w:left w:val="single" w:sz="4" w:space="0" w:color="auto"/>
            </w:tcBorders>
          </w:tcPr>
          <w:p w14:paraId="22DC5604" w14:textId="77777777" w:rsidR="00A545E7" w:rsidRPr="00F43CBA" w:rsidRDefault="00A545E7" w:rsidP="00F43CBA">
            <w:pPr>
              <w:pStyle w:val="Tabletext1"/>
              <w:jc w:val="center"/>
              <w:rPr>
                <w:b/>
                <w:bCs/>
                <w:snapToGrid w:val="0"/>
                <w:lang w:eastAsia="en-US"/>
              </w:rPr>
            </w:pPr>
            <w:r w:rsidRPr="00F43CBA">
              <w:rPr>
                <w:b/>
                <w:bCs/>
                <w:snapToGrid w:val="0"/>
                <w:lang w:eastAsia="en-US"/>
              </w:rPr>
              <w:t>Grade</w:t>
            </w:r>
          </w:p>
        </w:tc>
        <w:tc>
          <w:tcPr>
            <w:tcW w:w="631" w:type="pct"/>
            <w:tcBorders>
              <w:top w:val="single" w:sz="4" w:space="0" w:color="auto"/>
              <w:bottom w:val="single" w:sz="4" w:space="0" w:color="auto"/>
            </w:tcBorders>
            <w:shd w:val="clear" w:color="auto" w:fill="auto"/>
          </w:tcPr>
          <w:p w14:paraId="79DCA394" w14:textId="77777777" w:rsidR="00A545E7" w:rsidRPr="00F43CBA" w:rsidRDefault="00A545E7" w:rsidP="00F43CBA">
            <w:pPr>
              <w:pStyle w:val="Tabletext1"/>
              <w:jc w:val="center"/>
              <w:rPr>
                <w:b/>
                <w:bCs/>
                <w:snapToGrid w:val="0"/>
                <w:lang w:eastAsia="en-US"/>
              </w:rPr>
            </w:pPr>
            <w:r w:rsidRPr="00F43CBA">
              <w:rPr>
                <w:b/>
                <w:bCs/>
                <w:snapToGrid w:val="0"/>
                <w:lang w:eastAsia="en-US"/>
              </w:rPr>
              <w:t>0</w:t>
            </w:r>
          </w:p>
        </w:tc>
        <w:tc>
          <w:tcPr>
            <w:tcW w:w="631" w:type="pct"/>
            <w:tcBorders>
              <w:top w:val="single" w:sz="4" w:space="0" w:color="auto"/>
              <w:bottom w:val="single" w:sz="4" w:space="0" w:color="auto"/>
            </w:tcBorders>
          </w:tcPr>
          <w:p w14:paraId="207C5396" w14:textId="430E2E39" w:rsidR="00A545E7" w:rsidRPr="00F43CBA" w:rsidRDefault="00A545E7" w:rsidP="00F43CBA">
            <w:pPr>
              <w:pStyle w:val="Tabletext1"/>
              <w:jc w:val="center"/>
              <w:rPr>
                <w:b/>
                <w:bCs/>
                <w:snapToGrid w:val="0"/>
                <w:lang w:eastAsia="en-US"/>
              </w:rPr>
            </w:pPr>
            <w:r w:rsidRPr="00F43CBA">
              <w:rPr>
                <w:b/>
                <w:bCs/>
                <w:snapToGrid w:val="0"/>
                <w:lang w:eastAsia="en-US"/>
              </w:rPr>
              <w:t>1</w:t>
            </w:r>
          </w:p>
        </w:tc>
        <w:tc>
          <w:tcPr>
            <w:tcW w:w="631" w:type="pct"/>
            <w:tcBorders>
              <w:top w:val="single" w:sz="4" w:space="0" w:color="auto"/>
              <w:bottom w:val="single" w:sz="4" w:space="0" w:color="auto"/>
            </w:tcBorders>
          </w:tcPr>
          <w:p w14:paraId="5C9F6DD8" w14:textId="77777777" w:rsidR="00A545E7" w:rsidRPr="00F43CBA" w:rsidRDefault="00A545E7" w:rsidP="00F43CBA">
            <w:pPr>
              <w:pStyle w:val="Tabletext1"/>
              <w:jc w:val="center"/>
              <w:rPr>
                <w:b/>
                <w:bCs/>
                <w:snapToGrid w:val="0"/>
                <w:lang w:eastAsia="en-US"/>
              </w:rPr>
            </w:pPr>
            <w:r w:rsidRPr="00F43CBA">
              <w:rPr>
                <w:b/>
                <w:bCs/>
                <w:snapToGrid w:val="0"/>
                <w:lang w:eastAsia="en-US"/>
              </w:rPr>
              <w:t>2</w:t>
            </w:r>
          </w:p>
        </w:tc>
        <w:tc>
          <w:tcPr>
            <w:tcW w:w="630" w:type="pct"/>
            <w:tcBorders>
              <w:top w:val="single" w:sz="4" w:space="0" w:color="auto"/>
              <w:bottom w:val="single" w:sz="4" w:space="0" w:color="auto"/>
            </w:tcBorders>
          </w:tcPr>
          <w:p w14:paraId="6B45D4D4" w14:textId="77777777" w:rsidR="00A545E7" w:rsidRPr="00F43CBA" w:rsidRDefault="00A545E7" w:rsidP="00F43CBA">
            <w:pPr>
              <w:pStyle w:val="Tabletext1"/>
              <w:jc w:val="center"/>
              <w:rPr>
                <w:b/>
                <w:bCs/>
                <w:snapToGrid w:val="0"/>
                <w:lang w:eastAsia="en-US"/>
              </w:rPr>
            </w:pPr>
            <w:r w:rsidRPr="00F43CBA">
              <w:rPr>
                <w:b/>
                <w:bCs/>
                <w:snapToGrid w:val="0"/>
                <w:lang w:eastAsia="en-US"/>
              </w:rPr>
              <w:t>3</w:t>
            </w:r>
          </w:p>
        </w:tc>
      </w:tr>
      <w:tr w:rsidR="00A545E7" w14:paraId="13B72812" w14:textId="77777777" w:rsidTr="00A545E7">
        <w:trPr>
          <w:cnfStyle w:val="100000000000" w:firstRow="1" w:lastRow="0" w:firstColumn="0" w:lastColumn="0" w:oddVBand="0" w:evenVBand="0" w:oddHBand="0" w:evenHBand="0" w:firstRowFirstColumn="0" w:firstRowLastColumn="0" w:lastRowFirstColumn="0" w:lastRowLastColumn="0"/>
          <w:tblHeader/>
        </w:trPr>
        <w:tc>
          <w:tcPr>
            <w:tcW w:w="917" w:type="pct"/>
            <w:tcBorders>
              <w:top w:val="single" w:sz="4" w:space="0" w:color="auto"/>
              <w:left w:val="single" w:sz="4" w:space="0" w:color="auto"/>
              <w:bottom w:val="nil"/>
              <w:right w:val="single" w:sz="4" w:space="0" w:color="auto"/>
            </w:tcBorders>
            <w:shd w:val="clear" w:color="auto" w:fill="auto"/>
          </w:tcPr>
          <w:p w14:paraId="088BDF09" w14:textId="6B117F0D" w:rsidR="00A545E7" w:rsidRPr="00C92A79" w:rsidRDefault="00211285" w:rsidP="00F43CBA">
            <w:pPr>
              <w:pStyle w:val="Tabletext1"/>
              <w:rPr>
                <w:b/>
                <w:snapToGrid w:val="0"/>
                <w:lang w:eastAsia="en-US"/>
              </w:rPr>
            </w:pPr>
            <w:hyperlink w:anchor="_ENREF_21" w:tooltip="Chen, 2018 #24" w:history="1">
              <w:r w:rsidR="008B6FC0">
                <w:rPr>
                  <w:snapToGrid w:val="0"/>
                  <w:lang w:eastAsia="en-US"/>
                </w:rPr>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rPr>
                  <w:snapToGrid w:val="0"/>
                  <w:lang w:eastAsia="en-US"/>
                </w:rPr>
                <w:instrText xml:space="preserve"> ADDIN EN.CITE </w:instrText>
              </w:r>
              <w:r w:rsidR="008B6FC0">
                <w:rPr>
                  <w:snapToGrid w:val="0"/>
                  <w:lang w:eastAsia="en-US"/>
                </w:rPr>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rPr>
                  <w:snapToGrid w:val="0"/>
                  <w:lang w:eastAsia="en-US"/>
                </w:rPr>
                <w:instrText xml:space="preserve"> ADDIN EN.CITE.DATA </w:instrText>
              </w:r>
              <w:r w:rsidR="008B6FC0">
                <w:rPr>
                  <w:snapToGrid w:val="0"/>
                  <w:lang w:eastAsia="en-US"/>
                </w:rPr>
              </w:r>
              <w:r w:rsidR="008B6FC0">
                <w:rPr>
                  <w:snapToGrid w:val="0"/>
                  <w:lang w:eastAsia="en-US"/>
                </w:rPr>
                <w:fldChar w:fldCharType="end"/>
              </w:r>
              <w:r w:rsidR="008B6FC0">
                <w:rPr>
                  <w:snapToGrid w:val="0"/>
                  <w:lang w:eastAsia="en-US"/>
                </w:rPr>
              </w:r>
              <w:r w:rsidR="008B6FC0">
                <w:rPr>
                  <w:snapToGrid w:val="0"/>
                  <w:lang w:eastAsia="en-US"/>
                </w:rPr>
                <w:fldChar w:fldCharType="separate"/>
              </w:r>
              <w:r w:rsidR="008B6FC0">
                <w:rPr>
                  <w:noProof/>
                  <w:snapToGrid w:val="0"/>
                  <w:lang w:eastAsia="en-US"/>
                </w:rPr>
                <w:t>Chen et al. (2018)</w:t>
              </w:r>
              <w:r w:rsidR="008B6FC0">
                <w:rPr>
                  <w:snapToGrid w:val="0"/>
                  <w:lang w:eastAsia="en-US"/>
                </w:rPr>
                <w:fldChar w:fldCharType="end"/>
              </w:r>
            </w:hyperlink>
          </w:p>
        </w:tc>
        <w:tc>
          <w:tcPr>
            <w:tcW w:w="1560" w:type="pct"/>
            <w:tcBorders>
              <w:left w:val="single" w:sz="4" w:space="0" w:color="auto"/>
            </w:tcBorders>
          </w:tcPr>
          <w:p w14:paraId="78F8076D" w14:textId="07279B6A" w:rsidR="00A545E7" w:rsidRPr="00A545E7" w:rsidRDefault="00A545E7" w:rsidP="00F43CBA">
            <w:pPr>
              <w:pStyle w:val="Tabletext1"/>
              <w:jc w:val="center"/>
              <w:rPr>
                <w:b/>
                <w:bCs/>
                <w:snapToGrid w:val="0"/>
                <w:lang w:eastAsia="en-US"/>
              </w:rPr>
            </w:pPr>
            <w:r>
              <w:rPr>
                <w:snapToGrid w:val="0"/>
                <w:lang w:eastAsia="en-US"/>
              </w:rPr>
              <w:t>Any toxicity grade 3</w:t>
            </w:r>
          </w:p>
        </w:tc>
        <w:tc>
          <w:tcPr>
            <w:tcW w:w="631" w:type="pct"/>
            <w:tcBorders>
              <w:top w:val="single" w:sz="4" w:space="0" w:color="auto"/>
              <w:bottom w:val="single" w:sz="4" w:space="0" w:color="auto"/>
            </w:tcBorders>
            <w:shd w:val="clear" w:color="auto" w:fill="auto"/>
          </w:tcPr>
          <w:p w14:paraId="5E41D26A"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1E32030D"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7FABDBB1" w14:textId="77777777" w:rsidR="00A545E7" w:rsidRDefault="00A545E7" w:rsidP="00F43CBA">
            <w:pPr>
              <w:pStyle w:val="Tabletext1"/>
              <w:jc w:val="center"/>
              <w:rPr>
                <w:snapToGrid w:val="0"/>
                <w:lang w:eastAsia="en-US"/>
              </w:rPr>
            </w:pPr>
          </w:p>
        </w:tc>
        <w:tc>
          <w:tcPr>
            <w:tcW w:w="630" w:type="pct"/>
            <w:tcBorders>
              <w:top w:val="single" w:sz="4" w:space="0" w:color="auto"/>
              <w:bottom w:val="single" w:sz="4" w:space="0" w:color="auto"/>
            </w:tcBorders>
          </w:tcPr>
          <w:p w14:paraId="7F180A8F" w14:textId="260BF84D" w:rsidR="00A545E7" w:rsidRPr="00A545E7" w:rsidRDefault="00A545E7" w:rsidP="00F43CBA">
            <w:pPr>
              <w:pStyle w:val="Tabletext1"/>
              <w:jc w:val="center"/>
              <w:rPr>
                <w:b/>
                <w:bCs/>
                <w:snapToGrid w:val="0"/>
                <w:lang w:eastAsia="en-US"/>
              </w:rPr>
            </w:pPr>
            <w:r w:rsidRPr="00A545E7">
              <w:rPr>
                <w:snapToGrid w:val="0"/>
                <w:lang w:eastAsia="en-US"/>
              </w:rPr>
              <w:t>44%</w:t>
            </w:r>
          </w:p>
        </w:tc>
      </w:tr>
      <w:tr w:rsidR="00A545E7" w14:paraId="7E790165" w14:textId="77777777" w:rsidTr="00A545E7">
        <w:trPr>
          <w:cnfStyle w:val="100000000000" w:firstRow="1" w:lastRow="0" w:firstColumn="0" w:lastColumn="0" w:oddVBand="0" w:evenVBand="0" w:oddHBand="0" w:evenHBand="0" w:firstRowFirstColumn="0" w:firstRowLastColumn="0" w:lastRowFirstColumn="0" w:lastRowLastColumn="0"/>
          <w:tblHeader/>
        </w:trPr>
        <w:tc>
          <w:tcPr>
            <w:tcW w:w="917" w:type="pct"/>
            <w:tcBorders>
              <w:top w:val="nil"/>
              <w:left w:val="single" w:sz="4" w:space="0" w:color="auto"/>
              <w:bottom w:val="nil"/>
              <w:right w:val="single" w:sz="4" w:space="0" w:color="auto"/>
            </w:tcBorders>
            <w:shd w:val="clear" w:color="auto" w:fill="auto"/>
          </w:tcPr>
          <w:p w14:paraId="362707AF" w14:textId="39FF43E0" w:rsidR="00A545E7" w:rsidRPr="00B2301A" w:rsidRDefault="00A545E7" w:rsidP="00F43CBA">
            <w:pPr>
              <w:pStyle w:val="Tabletext1"/>
              <w:rPr>
                <w:snapToGrid w:val="0"/>
                <w:lang w:eastAsia="en-US"/>
              </w:rPr>
            </w:pPr>
          </w:p>
        </w:tc>
        <w:tc>
          <w:tcPr>
            <w:tcW w:w="1560" w:type="pct"/>
            <w:tcBorders>
              <w:left w:val="single" w:sz="4" w:space="0" w:color="auto"/>
            </w:tcBorders>
            <w:vAlign w:val="center"/>
          </w:tcPr>
          <w:p w14:paraId="125E8F48" w14:textId="18BE661D" w:rsidR="00A545E7" w:rsidRPr="00A545E7" w:rsidRDefault="00A545E7" w:rsidP="00F43CBA">
            <w:pPr>
              <w:pStyle w:val="Tabletext1"/>
              <w:jc w:val="center"/>
              <w:rPr>
                <w:b/>
                <w:bCs/>
                <w:snapToGrid w:val="0"/>
                <w:lang w:eastAsia="en-US"/>
              </w:rPr>
            </w:pPr>
            <w:r w:rsidRPr="00A545E7">
              <w:t>Skin desquamation</w:t>
            </w:r>
          </w:p>
        </w:tc>
        <w:tc>
          <w:tcPr>
            <w:tcW w:w="631" w:type="pct"/>
            <w:tcBorders>
              <w:top w:val="single" w:sz="4" w:space="0" w:color="auto"/>
              <w:bottom w:val="single" w:sz="4" w:space="0" w:color="auto"/>
            </w:tcBorders>
            <w:shd w:val="clear" w:color="auto" w:fill="auto"/>
          </w:tcPr>
          <w:p w14:paraId="50AB744E"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5C99A22F"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0CEFDAB7" w14:textId="77777777" w:rsidR="00A545E7" w:rsidRDefault="00A545E7" w:rsidP="00F43CBA">
            <w:pPr>
              <w:pStyle w:val="Tabletext1"/>
              <w:jc w:val="center"/>
              <w:rPr>
                <w:snapToGrid w:val="0"/>
                <w:lang w:eastAsia="en-US"/>
              </w:rPr>
            </w:pPr>
          </w:p>
        </w:tc>
        <w:tc>
          <w:tcPr>
            <w:tcW w:w="630" w:type="pct"/>
            <w:tcBorders>
              <w:top w:val="single" w:sz="4" w:space="0" w:color="auto"/>
              <w:bottom w:val="single" w:sz="4" w:space="0" w:color="auto"/>
            </w:tcBorders>
          </w:tcPr>
          <w:p w14:paraId="68A658B3" w14:textId="5BA86516" w:rsidR="00A545E7" w:rsidRPr="00A545E7" w:rsidRDefault="00A545E7" w:rsidP="00F43CBA">
            <w:pPr>
              <w:pStyle w:val="Tabletext1"/>
              <w:jc w:val="center"/>
              <w:rPr>
                <w:b/>
                <w:bCs/>
                <w:snapToGrid w:val="0"/>
                <w:lang w:eastAsia="en-US"/>
              </w:rPr>
            </w:pPr>
            <w:r w:rsidRPr="00A545E7">
              <w:t>6/18 (33%)</w:t>
            </w:r>
          </w:p>
        </w:tc>
      </w:tr>
      <w:tr w:rsidR="00A545E7" w14:paraId="12472CE5" w14:textId="77777777" w:rsidTr="00A545E7">
        <w:trPr>
          <w:cnfStyle w:val="100000000000" w:firstRow="1" w:lastRow="0" w:firstColumn="0" w:lastColumn="0" w:oddVBand="0" w:evenVBand="0" w:oddHBand="0" w:evenHBand="0" w:firstRowFirstColumn="0" w:firstRowLastColumn="0" w:lastRowFirstColumn="0" w:lastRowLastColumn="0"/>
          <w:tblHeader/>
        </w:trPr>
        <w:tc>
          <w:tcPr>
            <w:tcW w:w="917" w:type="pct"/>
            <w:tcBorders>
              <w:top w:val="nil"/>
              <w:left w:val="single" w:sz="4" w:space="0" w:color="auto"/>
              <w:bottom w:val="nil"/>
              <w:right w:val="single" w:sz="4" w:space="0" w:color="auto"/>
            </w:tcBorders>
            <w:shd w:val="clear" w:color="auto" w:fill="auto"/>
          </w:tcPr>
          <w:p w14:paraId="7D0F3E1A" w14:textId="77777777" w:rsidR="00A545E7" w:rsidRDefault="00A545E7" w:rsidP="00F43CBA">
            <w:pPr>
              <w:pStyle w:val="Tabletext1"/>
              <w:rPr>
                <w:snapToGrid w:val="0"/>
                <w:lang w:eastAsia="en-US"/>
              </w:rPr>
            </w:pPr>
          </w:p>
        </w:tc>
        <w:tc>
          <w:tcPr>
            <w:tcW w:w="1560" w:type="pct"/>
            <w:tcBorders>
              <w:left w:val="single" w:sz="4" w:space="0" w:color="auto"/>
            </w:tcBorders>
            <w:vAlign w:val="center"/>
          </w:tcPr>
          <w:p w14:paraId="4CCE6AE6" w14:textId="5B602E8A" w:rsidR="00A545E7" w:rsidRPr="00A545E7" w:rsidRDefault="00A545E7" w:rsidP="00F43CBA">
            <w:pPr>
              <w:pStyle w:val="Tabletext1"/>
              <w:jc w:val="center"/>
              <w:rPr>
                <w:b/>
                <w:bCs/>
                <w:snapToGrid w:val="0"/>
                <w:lang w:eastAsia="en-US"/>
              </w:rPr>
            </w:pPr>
            <w:r w:rsidRPr="00A545E7">
              <w:t>Odynophagia/dysphagia</w:t>
            </w:r>
          </w:p>
        </w:tc>
        <w:tc>
          <w:tcPr>
            <w:tcW w:w="631" w:type="pct"/>
            <w:tcBorders>
              <w:top w:val="single" w:sz="4" w:space="0" w:color="auto"/>
              <w:bottom w:val="single" w:sz="4" w:space="0" w:color="auto"/>
            </w:tcBorders>
            <w:shd w:val="clear" w:color="auto" w:fill="auto"/>
          </w:tcPr>
          <w:p w14:paraId="25E7D259"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497D5D2C"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696C4DB4" w14:textId="77777777" w:rsidR="00A545E7" w:rsidRDefault="00A545E7" w:rsidP="00F43CBA">
            <w:pPr>
              <w:pStyle w:val="Tabletext1"/>
              <w:jc w:val="center"/>
              <w:rPr>
                <w:snapToGrid w:val="0"/>
                <w:lang w:eastAsia="en-US"/>
              </w:rPr>
            </w:pPr>
          </w:p>
        </w:tc>
        <w:tc>
          <w:tcPr>
            <w:tcW w:w="630" w:type="pct"/>
            <w:tcBorders>
              <w:top w:val="single" w:sz="4" w:space="0" w:color="auto"/>
              <w:bottom w:val="single" w:sz="4" w:space="0" w:color="auto"/>
            </w:tcBorders>
          </w:tcPr>
          <w:p w14:paraId="7AEDE1BB" w14:textId="663ADD20" w:rsidR="00A545E7" w:rsidRPr="00A545E7" w:rsidRDefault="00A545E7" w:rsidP="00F43CBA">
            <w:pPr>
              <w:pStyle w:val="Tabletext1"/>
              <w:jc w:val="center"/>
              <w:rPr>
                <w:b/>
                <w:bCs/>
                <w:snapToGrid w:val="0"/>
                <w:lang w:eastAsia="en-US"/>
              </w:rPr>
            </w:pPr>
            <w:r w:rsidRPr="00A545E7">
              <w:t>6/18 (33%)</w:t>
            </w:r>
          </w:p>
        </w:tc>
      </w:tr>
      <w:tr w:rsidR="00A545E7" w14:paraId="643A7DF8" w14:textId="77777777" w:rsidTr="00A545E7">
        <w:trPr>
          <w:cnfStyle w:val="100000000000" w:firstRow="1" w:lastRow="0" w:firstColumn="0" w:lastColumn="0" w:oddVBand="0" w:evenVBand="0" w:oddHBand="0" w:evenHBand="0" w:firstRowFirstColumn="0" w:firstRowLastColumn="0" w:lastRowFirstColumn="0" w:lastRowLastColumn="0"/>
          <w:tblHeader/>
        </w:trPr>
        <w:tc>
          <w:tcPr>
            <w:tcW w:w="917" w:type="pct"/>
            <w:tcBorders>
              <w:top w:val="nil"/>
              <w:left w:val="single" w:sz="4" w:space="0" w:color="auto"/>
              <w:bottom w:val="nil"/>
              <w:right w:val="single" w:sz="4" w:space="0" w:color="auto"/>
            </w:tcBorders>
            <w:shd w:val="clear" w:color="auto" w:fill="auto"/>
          </w:tcPr>
          <w:p w14:paraId="7BFDBE98" w14:textId="77777777" w:rsidR="00A545E7" w:rsidRDefault="00A545E7" w:rsidP="00F43CBA">
            <w:pPr>
              <w:pStyle w:val="Tabletext1"/>
              <w:rPr>
                <w:snapToGrid w:val="0"/>
                <w:lang w:eastAsia="en-US"/>
              </w:rPr>
            </w:pPr>
          </w:p>
        </w:tc>
        <w:tc>
          <w:tcPr>
            <w:tcW w:w="1560" w:type="pct"/>
            <w:tcBorders>
              <w:left w:val="single" w:sz="4" w:space="0" w:color="auto"/>
            </w:tcBorders>
            <w:vAlign w:val="center"/>
          </w:tcPr>
          <w:p w14:paraId="5085BF7C" w14:textId="13E65354" w:rsidR="00A545E7" w:rsidRPr="00A545E7" w:rsidRDefault="00A545E7" w:rsidP="00F43CBA">
            <w:pPr>
              <w:pStyle w:val="Tabletext1"/>
              <w:jc w:val="center"/>
              <w:rPr>
                <w:b/>
                <w:bCs/>
                <w:snapToGrid w:val="0"/>
                <w:lang w:eastAsia="en-US"/>
              </w:rPr>
            </w:pPr>
            <w:r w:rsidRPr="00A545E7">
              <w:t>Mucositis</w:t>
            </w:r>
          </w:p>
        </w:tc>
        <w:tc>
          <w:tcPr>
            <w:tcW w:w="631" w:type="pct"/>
            <w:tcBorders>
              <w:top w:val="single" w:sz="4" w:space="0" w:color="auto"/>
              <w:bottom w:val="single" w:sz="4" w:space="0" w:color="auto"/>
            </w:tcBorders>
            <w:shd w:val="clear" w:color="auto" w:fill="auto"/>
          </w:tcPr>
          <w:p w14:paraId="360FD209"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17F982E1"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5A1EC2E2" w14:textId="77777777" w:rsidR="00A545E7" w:rsidRDefault="00A545E7" w:rsidP="00F43CBA">
            <w:pPr>
              <w:pStyle w:val="Tabletext1"/>
              <w:jc w:val="center"/>
              <w:rPr>
                <w:snapToGrid w:val="0"/>
                <w:lang w:eastAsia="en-US"/>
              </w:rPr>
            </w:pPr>
          </w:p>
        </w:tc>
        <w:tc>
          <w:tcPr>
            <w:tcW w:w="630" w:type="pct"/>
            <w:tcBorders>
              <w:top w:val="single" w:sz="4" w:space="0" w:color="auto"/>
              <w:bottom w:val="single" w:sz="4" w:space="0" w:color="auto"/>
            </w:tcBorders>
          </w:tcPr>
          <w:p w14:paraId="69274D70" w14:textId="7B41F02F" w:rsidR="00A545E7" w:rsidRPr="00A545E7" w:rsidRDefault="00A545E7" w:rsidP="00F43CBA">
            <w:pPr>
              <w:pStyle w:val="Tabletext1"/>
              <w:jc w:val="center"/>
              <w:rPr>
                <w:b/>
                <w:bCs/>
                <w:snapToGrid w:val="0"/>
                <w:lang w:eastAsia="en-US"/>
              </w:rPr>
            </w:pPr>
            <w:r w:rsidRPr="00A545E7">
              <w:t>5/18 (28%)</w:t>
            </w:r>
          </w:p>
        </w:tc>
      </w:tr>
      <w:tr w:rsidR="00A545E7" w14:paraId="2A72F5F5" w14:textId="77777777" w:rsidTr="00A545E7">
        <w:trPr>
          <w:cnfStyle w:val="100000000000" w:firstRow="1" w:lastRow="0" w:firstColumn="0" w:lastColumn="0" w:oddVBand="0" w:evenVBand="0" w:oddHBand="0" w:evenHBand="0" w:firstRowFirstColumn="0" w:firstRowLastColumn="0" w:lastRowFirstColumn="0" w:lastRowLastColumn="0"/>
          <w:tblHeader/>
        </w:trPr>
        <w:tc>
          <w:tcPr>
            <w:tcW w:w="917" w:type="pct"/>
            <w:tcBorders>
              <w:top w:val="nil"/>
              <w:left w:val="single" w:sz="4" w:space="0" w:color="auto"/>
              <w:bottom w:val="nil"/>
              <w:right w:val="single" w:sz="4" w:space="0" w:color="auto"/>
            </w:tcBorders>
            <w:shd w:val="clear" w:color="auto" w:fill="auto"/>
          </w:tcPr>
          <w:p w14:paraId="52D322F0" w14:textId="77777777" w:rsidR="00A545E7" w:rsidRDefault="00A545E7" w:rsidP="00F43CBA">
            <w:pPr>
              <w:pStyle w:val="Tabletext1"/>
              <w:rPr>
                <w:snapToGrid w:val="0"/>
                <w:lang w:eastAsia="en-US"/>
              </w:rPr>
            </w:pPr>
          </w:p>
        </w:tc>
        <w:tc>
          <w:tcPr>
            <w:tcW w:w="1560" w:type="pct"/>
            <w:tcBorders>
              <w:left w:val="single" w:sz="4" w:space="0" w:color="auto"/>
            </w:tcBorders>
            <w:vAlign w:val="center"/>
          </w:tcPr>
          <w:p w14:paraId="08F031A0" w14:textId="06178646" w:rsidR="00A545E7" w:rsidRPr="00A545E7" w:rsidRDefault="00A545E7" w:rsidP="00F43CBA">
            <w:pPr>
              <w:pStyle w:val="Tabletext1"/>
              <w:jc w:val="center"/>
              <w:rPr>
                <w:b/>
                <w:bCs/>
                <w:snapToGrid w:val="0"/>
                <w:lang w:eastAsia="en-US"/>
              </w:rPr>
            </w:pPr>
            <w:r w:rsidRPr="00A545E7">
              <w:t>Anorexia</w:t>
            </w:r>
          </w:p>
        </w:tc>
        <w:tc>
          <w:tcPr>
            <w:tcW w:w="631" w:type="pct"/>
            <w:tcBorders>
              <w:top w:val="single" w:sz="4" w:space="0" w:color="auto"/>
              <w:bottom w:val="single" w:sz="4" w:space="0" w:color="auto"/>
            </w:tcBorders>
            <w:shd w:val="clear" w:color="auto" w:fill="auto"/>
          </w:tcPr>
          <w:p w14:paraId="01AC71D7"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4F97E6BF"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117C1C96" w14:textId="77777777" w:rsidR="00A545E7" w:rsidRDefault="00A545E7" w:rsidP="00F43CBA">
            <w:pPr>
              <w:pStyle w:val="Tabletext1"/>
              <w:jc w:val="center"/>
              <w:rPr>
                <w:snapToGrid w:val="0"/>
                <w:lang w:eastAsia="en-US"/>
              </w:rPr>
            </w:pPr>
          </w:p>
        </w:tc>
        <w:tc>
          <w:tcPr>
            <w:tcW w:w="630" w:type="pct"/>
            <w:tcBorders>
              <w:top w:val="single" w:sz="4" w:space="0" w:color="auto"/>
              <w:bottom w:val="single" w:sz="4" w:space="0" w:color="auto"/>
            </w:tcBorders>
          </w:tcPr>
          <w:p w14:paraId="61615FE3" w14:textId="2BA839EE" w:rsidR="00A545E7" w:rsidRPr="00A545E7" w:rsidRDefault="00A545E7" w:rsidP="00F43CBA">
            <w:pPr>
              <w:pStyle w:val="Tabletext1"/>
              <w:jc w:val="center"/>
              <w:rPr>
                <w:b/>
                <w:bCs/>
                <w:snapToGrid w:val="0"/>
                <w:lang w:eastAsia="en-US"/>
              </w:rPr>
            </w:pPr>
            <w:r w:rsidRPr="00A545E7">
              <w:t>4/18 (22%)</w:t>
            </w:r>
          </w:p>
        </w:tc>
      </w:tr>
      <w:tr w:rsidR="00A545E7" w14:paraId="6B25DCC3" w14:textId="77777777" w:rsidTr="00A545E7">
        <w:trPr>
          <w:cnfStyle w:val="100000000000" w:firstRow="1" w:lastRow="0" w:firstColumn="0" w:lastColumn="0" w:oddVBand="0" w:evenVBand="0" w:oddHBand="0" w:evenHBand="0" w:firstRowFirstColumn="0" w:firstRowLastColumn="0" w:lastRowFirstColumn="0" w:lastRowLastColumn="0"/>
          <w:tblHeader/>
        </w:trPr>
        <w:tc>
          <w:tcPr>
            <w:tcW w:w="917" w:type="pct"/>
            <w:tcBorders>
              <w:top w:val="nil"/>
              <w:left w:val="single" w:sz="4" w:space="0" w:color="auto"/>
              <w:bottom w:val="single" w:sz="4" w:space="0" w:color="auto"/>
              <w:right w:val="single" w:sz="4" w:space="0" w:color="auto"/>
            </w:tcBorders>
            <w:shd w:val="clear" w:color="auto" w:fill="auto"/>
          </w:tcPr>
          <w:p w14:paraId="0210110B" w14:textId="77777777" w:rsidR="00A545E7" w:rsidRDefault="00A545E7" w:rsidP="00F43CBA">
            <w:pPr>
              <w:pStyle w:val="Tabletext1"/>
              <w:rPr>
                <w:snapToGrid w:val="0"/>
                <w:lang w:eastAsia="en-US"/>
              </w:rPr>
            </w:pPr>
          </w:p>
        </w:tc>
        <w:tc>
          <w:tcPr>
            <w:tcW w:w="1560" w:type="pct"/>
            <w:tcBorders>
              <w:left w:val="single" w:sz="4" w:space="0" w:color="auto"/>
              <w:bottom w:val="single" w:sz="4" w:space="0" w:color="auto"/>
            </w:tcBorders>
            <w:vAlign w:val="center"/>
          </w:tcPr>
          <w:p w14:paraId="3D6A9442" w14:textId="0A62573F" w:rsidR="00A545E7" w:rsidRPr="00A545E7" w:rsidRDefault="00A545E7" w:rsidP="00F43CBA">
            <w:pPr>
              <w:pStyle w:val="Tabletext1"/>
              <w:jc w:val="center"/>
              <w:rPr>
                <w:b/>
                <w:bCs/>
                <w:snapToGrid w:val="0"/>
                <w:lang w:eastAsia="en-US"/>
              </w:rPr>
            </w:pPr>
            <w:r w:rsidRPr="00A545E7">
              <w:t xml:space="preserve">Laryngeal </w:t>
            </w:r>
            <w:r>
              <w:t>o</w:t>
            </w:r>
            <w:r w:rsidRPr="00A545E7">
              <w:t>edema</w:t>
            </w:r>
          </w:p>
        </w:tc>
        <w:tc>
          <w:tcPr>
            <w:tcW w:w="631" w:type="pct"/>
            <w:tcBorders>
              <w:top w:val="single" w:sz="4" w:space="0" w:color="auto"/>
              <w:bottom w:val="single" w:sz="4" w:space="0" w:color="auto"/>
            </w:tcBorders>
            <w:shd w:val="clear" w:color="auto" w:fill="auto"/>
          </w:tcPr>
          <w:p w14:paraId="3CC689D6"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27A2A9C4" w14:textId="77777777" w:rsidR="00A545E7" w:rsidRDefault="00A545E7" w:rsidP="00F43CBA">
            <w:pPr>
              <w:pStyle w:val="Tabletext1"/>
              <w:jc w:val="center"/>
              <w:rPr>
                <w:snapToGrid w:val="0"/>
                <w:lang w:eastAsia="en-US"/>
              </w:rPr>
            </w:pPr>
          </w:p>
        </w:tc>
        <w:tc>
          <w:tcPr>
            <w:tcW w:w="631" w:type="pct"/>
            <w:tcBorders>
              <w:top w:val="single" w:sz="4" w:space="0" w:color="auto"/>
              <w:bottom w:val="single" w:sz="4" w:space="0" w:color="auto"/>
            </w:tcBorders>
          </w:tcPr>
          <w:p w14:paraId="26578192" w14:textId="77777777" w:rsidR="00A545E7" w:rsidRDefault="00A545E7" w:rsidP="00F43CBA">
            <w:pPr>
              <w:pStyle w:val="Tabletext1"/>
              <w:jc w:val="center"/>
              <w:rPr>
                <w:snapToGrid w:val="0"/>
                <w:lang w:eastAsia="en-US"/>
              </w:rPr>
            </w:pPr>
          </w:p>
        </w:tc>
        <w:tc>
          <w:tcPr>
            <w:tcW w:w="630" w:type="pct"/>
            <w:tcBorders>
              <w:top w:val="single" w:sz="4" w:space="0" w:color="auto"/>
              <w:bottom w:val="single" w:sz="4" w:space="0" w:color="auto"/>
            </w:tcBorders>
          </w:tcPr>
          <w:p w14:paraId="06128ED1" w14:textId="6FC326DD" w:rsidR="00A545E7" w:rsidRPr="00A545E7" w:rsidRDefault="00A545E7" w:rsidP="00F43CBA">
            <w:pPr>
              <w:pStyle w:val="Tabletext1"/>
              <w:jc w:val="center"/>
              <w:rPr>
                <w:b/>
                <w:bCs/>
                <w:snapToGrid w:val="0"/>
                <w:lang w:eastAsia="en-US"/>
              </w:rPr>
            </w:pPr>
            <w:r w:rsidRPr="00A545E7">
              <w:t>1/18 (6%)</w:t>
            </w:r>
          </w:p>
        </w:tc>
      </w:tr>
    </w:tbl>
    <w:p w14:paraId="23FC6446" w14:textId="0A502870" w:rsidR="00DA2D2A" w:rsidRDefault="007F4C2D" w:rsidP="00DA2D2A">
      <w:r>
        <w:lastRenderedPageBreak/>
        <w:t>One</w:t>
      </w:r>
      <w:r w:rsidR="00130E9E">
        <w:t xml:space="preserve"> stud</w:t>
      </w:r>
      <w:r>
        <w:t>y</w:t>
      </w:r>
      <w:r w:rsidR="00130E9E">
        <w:t xml:space="preserve"> </w:t>
      </w:r>
      <w:r w:rsidR="00DA2D2A">
        <w:t xml:space="preserve">reporting on the toxicity of CBCT-IGRT treatment of head and neck cancer </w:t>
      </w:r>
      <w:r w:rsidR="000C77B0">
        <w:fldChar w:fldCharType="begin"/>
      </w:r>
      <w:r w:rsidR="000C77B0">
        <w:instrText xml:space="preserve"> ADDIN EN.CITE &lt;EndNote&gt;&lt;Cite&gt;&lt;Author&gt;Navran&lt;/Author&gt;&lt;Year&gt;2019&lt;/Year&gt;&lt;RecNum&gt;62&lt;/RecNum&gt;&lt;DisplayText&gt;(Navran et al., 2019)&lt;/DisplayText&gt;&lt;record&gt;&lt;rec-number&gt;62&lt;/rec-number&gt;&lt;foreign-keys&gt;&lt;key app="EN" db-id="sx5wsdwv795wvue959xxw0ptaewvdezxxp05" timestamp="1604876396"&gt;62&lt;/key&gt;&lt;/foreign-keys&gt;&lt;ref-type name="Journal Article"&gt;17&lt;/ref-type&gt;&lt;contributors&gt;&lt;authors&gt;&lt;author&gt;Navran, A.&lt;/author&gt;&lt;author&gt;Heemsbergen, W.&lt;/author&gt;&lt;author&gt;Janssen, T.&lt;/author&gt;&lt;author&gt;Hamming-Vrieze, O.&lt;/author&gt;&lt;author&gt;Jonker, M.&lt;/author&gt;&lt;author&gt;Zuur, C.&lt;/author&gt;&lt;author&gt;Verheij, M.&lt;/author&gt;&lt;author&gt;Remeijer, P.&lt;/author&gt;&lt;author&gt;Sonke, J. J.&lt;/author&gt;&lt;author&gt;van den Brekel, M.&lt;/author&gt;&lt;author&gt;Al-Mamgani, A.&lt;/author&gt;&lt;/authors&gt;&lt;/contributors&gt;&lt;titles&gt;&lt;title&gt;The impact of margin reduction on outcome and toxicity in head and neck cancer patients treated with image-guided volumetric modulated arc therapy (VMAT)&lt;/title&gt;&lt;secondary-title&gt;Radiother Oncol&lt;/secondary-title&gt;&lt;/titles&gt;&lt;pages&gt;25-31&lt;/pages&gt;&lt;volume&gt;130&lt;/volume&gt;&lt;dates&gt;&lt;year&gt;2019&lt;/year&gt;&lt;/dates&gt;&lt;accession-num&gt;30005953&lt;/accession-num&gt;&lt;urls&gt;&lt;related-urls&gt;&lt;url&gt;http://ezproxy.library.usyd.edu.au/login?url=http://ovidsp.ovid.com/ovidweb.cgi?T=JS&amp;amp;CSC=Y&amp;amp;NEWS=N&amp;amp;PAGE=fulltext&amp;amp;D=medl&amp;amp;AN=30005953https://sydney.alma.exlibrisgroup.com/openurl/61USYD_INST/61USYD_INST:sydney?sid=OVID:medline&amp;amp;id=pmid:30005953&amp;amp;id=doi:10.1016&lt;/url&gt;&lt;/related-urls&gt;&lt;/urls&gt;&lt;electronic-resource-num&gt;https://dx.doi.org/10.1016/j.radonc.2018.06.032&lt;/electronic-resource-num&gt;&lt;/record&gt;&lt;/Cite&gt;&lt;/EndNote&gt;</w:instrText>
      </w:r>
      <w:r w:rsidR="000C77B0">
        <w:fldChar w:fldCharType="separate"/>
      </w:r>
      <w:r w:rsidR="000C77B0">
        <w:rPr>
          <w:noProof/>
        </w:rPr>
        <w:t>(</w:t>
      </w:r>
      <w:hyperlink w:anchor="_ENREF_55" w:tooltip="Navran, 2019 #62" w:history="1">
        <w:r w:rsidR="008B6FC0">
          <w:rPr>
            <w:noProof/>
          </w:rPr>
          <w:t>Navran et al., 2019</w:t>
        </w:r>
      </w:hyperlink>
      <w:r w:rsidR="000C77B0">
        <w:rPr>
          <w:noProof/>
        </w:rPr>
        <w:t>)</w:t>
      </w:r>
      <w:r w:rsidR="000C77B0">
        <w:fldChar w:fldCharType="end"/>
      </w:r>
      <w:r w:rsidR="00DA2D2A">
        <w:t xml:space="preserve"> </w:t>
      </w:r>
      <w:r>
        <w:t>was</w:t>
      </w:r>
      <w:r w:rsidR="00DA2D2A">
        <w:t xml:space="preserve"> identified for the naïve comparison. </w:t>
      </w:r>
      <w:r w:rsidR="001F2CF0">
        <w:t>Its</w:t>
      </w:r>
      <w:r w:rsidR="00DA2D2A">
        <w:t xml:space="preserve"> outcomes are summarised in</w:t>
      </w:r>
      <w:r w:rsidR="00BD3518">
        <w:t xml:space="preserve"> </w:t>
      </w:r>
      <w:r w:rsidR="003D7C80">
        <w:fldChar w:fldCharType="begin"/>
      </w:r>
      <w:r w:rsidR="003D7C80">
        <w:instrText xml:space="preserve"> REF _Ref55891825 \h </w:instrText>
      </w:r>
      <w:r w:rsidR="003D7C80">
        <w:fldChar w:fldCharType="separate"/>
      </w:r>
      <w:r w:rsidR="00451350">
        <w:t xml:space="preserve">Table </w:t>
      </w:r>
      <w:r w:rsidR="00451350">
        <w:rPr>
          <w:noProof/>
        </w:rPr>
        <w:t>25</w:t>
      </w:r>
      <w:r w:rsidR="003D7C80">
        <w:fldChar w:fldCharType="end"/>
      </w:r>
      <w:r w:rsidR="00DA2D2A">
        <w:t xml:space="preserve">. </w:t>
      </w:r>
    </w:p>
    <w:p w14:paraId="119A7744" w14:textId="4517E692" w:rsidR="003D7C80" w:rsidRDefault="003D7C80" w:rsidP="008D7C53">
      <w:pPr>
        <w:pStyle w:val="Caption"/>
        <w:keepNext/>
      </w:pPr>
      <w:bookmarkStart w:id="370" w:name="_Ref55891825"/>
      <w:bookmarkStart w:id="371" w:name="_Toc89857896"/>
      <w:r>
        <w:t xml:space="preserve">Table </w:t>
      </w:r>
      <w:r w:rsidR="00211285">
        <w:fldChar w:fldCharType="begin"/>
      </w:r>
      <w:r w:rsidR="00211285">
        <w:instrText xml:space="preserve"> SEQ</w:instrText>
      </w:r>
      <w:r w:rsidR="00211285">
        <w:instrText xml:space="preserve"> Table \* ARABIC </w:instrText>
      </w:r>
      <w:r w:rsidR="00211285">
        <w:fldChar w:fldCharType="separate"/>
      </w:r>
      <w:r w:rsidR="00451350">
        <w:rPr>
          <w:noProof/>
        </w:rPr>
        <w:t>25</w:t>
      </w:r>
      <w:r w:rsidR="00211285">
        <w:rPr>
          <w:noProof/>
        </w:rPr>
        <w:fldChar w:fldCharType="end"/>
      </w:r>
      <w:bookmarkEnd w:id="370"/>
      <w:r>
        <w:tab/>
      </w:r>
      <w:r w:rsidRPr="00E86441">
        <w:t>Results</w:t>
      </w:r>
      <w:r w:rsidRPr="00183E4D">
        <w:rPr>
          <w:snapToGrid w:val="0"/>
          <w:lang w:eastAsia="en-US"/>
        </w:rPr>
        <w:t xml:space="preserve"> of </w:t>
      </w:r>
      <w:r w:rsidR="00401026">
        <w:rPr>
          <w:snapToGrid w:val="0"/>
          <w:lang w:eastAsia="en-US"/>
        </w:rPr>
        <w:t xml:space="preserve">acute </w:t>
      </w:r>
      <w:r>
        <w:rPr>
          <w:snapToGrid w:val="0"/>
          <w:lang w:eastAsia="en-US"/>
        </w:rPr>
        <w:t>toxicity, head and neck cancers, CBCT-IGRT</w:t>
      </w:r>
      <w:bookmarkEnd w:id="371"/>
    </w:p>
    <w:tbl>
      <w:tblPr>
        <w:tblStyle w:val="TableGrid1"/>
        <w:tblW w:w="5000" w:type="pct"/>
        <w:tblCellMar>
          <w:left w:w="28" w:type="dxa"/>
          <w:right w:w="28" w:type="dxa"/>
        </w:tblCellMar>
        <w:tblLook w:val="04A0" w:firstRow="1" w:lastRow="0" w:firstColumn="1" w:lastColumn="0" w:noHBand="0" w:noVBand="1"/>
        <w:tblCaption w:val="Table 25 Results of acute toxicity, head and neck cancers, CBCT-IGRT"/>
        <w:tblDescription w:val="This study provides results of acute toxicity in head and neck cancers for CBCT-IGRT."/>
      </w:tblPr>
      <w:tblGrid>
        <w:gridCol w:w="1183"/>
        <w:gridCol w:w="1868"/>
        <w:gridCol w:w="750"/>
        <w:gridCol w:w="748"/>
        <w:gridCol w:w="748"/>
        <w:gridCol w:w="747"/>
        <w:gridCol w:w="747"/>
        <w:gridCol w:w="743"/>
        <w:gridCol w:w="741"/>
        <w:gridCol w:w="741"/>
      </w:tblGrid>
      <w:tr w:rsidR="00F43CBA" w14:paraId="3B5C493C" w14:textId="08E32AE7" w:rsidTr="00F43CBA">
        <w:trPr>
          <w:cnfStyle w:val="100000000000" w:firstRow="1" w:lastRow="0" w:firstColumn="0" w:lastColumn="0" w:oddVBand="0" w:evenVBand="0" w:oddHBand="0" w:evenHBand="0" w:firstRowFirstColumn="0" w:firstRowLastColumn="0" w:lastRowFirstColumn="0" w:lastRowLastColumn="0"/>
          <w:tblHeader/>
        </w:trPr>
        <w:tc>
          <w:tcPr>
            <w:tcW w:w="656" w:type="pct"/>
            <w:tcBorders>
              <w:top w:val="single" w:sz="4" w:space="0" w:color="auto"/>
              <w:left w:val="single" w:sz="4" w:space="0" w:color="auto"/>
              <w:bottom w:val="nil"/>
              <w:right w:val="single" w:sz="4" w:space="0" w:color="auto"/>
            </w:tcBorders>
            <w:shd w:val="clear" w:color="auto" w:fill="auto"/>
          </w:tcPr>
          <w:p w14:paraId="6DDE3415" w14:textId="77777777" w:rsidR="00F43CBA" w:rsidRPr="00F43CBA" w:rsidRDefault="00F43CBA" w:rsidP="00F43CBA">
            <w:pPr>
              <w:pStyle w:val="Tabletext1"/>
              <w:rPr>
                <w:b/>
                <w:bCs/>
                <w:snapToGrid w:val="0"/>
                <w:lang w:eastAsia="en-US"/>
              </w:rPr>
            </w:pPr>
            <w:r w:rsidRPr="00F43CBA">
              <w:rPr>
                <w:b/>
                <w:bCs/>
                <w:snapToGrid w:val="0"/>
                <w:lang w:eastAsia="en-US"/>
              </w:rPr>
              <w:t>Study ID</w:t>
            </w:r>
          </w:p>
        </w:tc>
        <w:tc>
          <w:tcPr>
            <w:tcW w:w="1036" w:type="pct"/>
            <w:tcBorders>
              <w:left w:val="single" w:sz="4" w:space="0" w:color="auto"/>
              <w:bottom w:val="single" w:sz="4" w:space="0" w:color="auto"/>
              <w:right w:val="single" w:sz="4" w:space="0" w:color="auto"/>
            </w:tcBorders>
          </w:tcPr>
          <w:p w14:paraId="0080F54E" w14:textId="34CB64EB" w:rsidR="00F43CBA" w:rsidRPr="00F43CBA" w:rsidRDefault="00F43CBA" w:rsidP="00F43CBA">
            <w:pPr>
              <w:pStyle w:val="Tabletext1"/>
              <w:rPr>
                <w:b/>
                <w:bCs/>
                <w:snapToGrid w:val="0"/>
                <w:lang w:eastAsia="en-US"/>
              </w:rPr>
            </w:pPr>
            <w:r w:rsidRPr="00F43CBA">
              <w:rPr>
                <w:b/>
                <w:bCs/>
                <w:snapToGrid w:val="0"/>
                <w:lang w:eastAsia="en-US"/>
              </w:rPr>
              <w:t>Acute toxicity</w:t>
            </w:r>
          </w:p>
        </w:tc>
        <w:tc>
          <w:tcPr>
            <w:tcW w:w="1660" w:type="pct"/>
            <w:gridSpan w:val="4"/>
            <w:tcBorders>
              <w:top w:val="single" w:sz="4" w:space="0" w:color="auto"/>
              <w:left w:val="single" w:sz="4" w:space="0" w:color="auto"/>
              <w:bottom w:val="single" w:sz="4" w:space="0" w:color="auto"/>
              <w:right w:val="single" w:sz="4" w:space="0" w:color="auto"/>
            </w:tcBorders>
            <w:shd w:val="clear" w:color="auto" w:fill="auto"/>
          </w:tcPr>
          <w:p w14:paraId="7EA281D8" w14:textId="42C49CD7" w:rsidR="00F43CBA" w:rsidRPr="00F43CBA" w:rsidRDefault="00F43CBA" w:rsidP="00F43CBA">
            <w:pPr>
              <w:pStyle w:val="Tabletext1"/>
              <w:jc w:val="center"/>
              <w:rPr>
                <w:b/>
                <w:bCs/>
                <w:snapToGrid w:val="0"/>
                <w:lang w:eastAsia="en-US"/>
              </w:rPr>
            </w:pPr>
            <w:r w:rsidRPr="00F43CBA">
              <w:rPr>
                <w:b/>
                <w:bCs/>
                <w:snapToGrid w:val="0"/>
                <w:lang w:eastAsia="en-US"/>
              </w:rPr>
              <w:t>3-mm CTV-PTV margin</w:t>
            </w:r>
          </w:p>
        </w:tc>
        <w:tc>
          <w:tcPr>
            <w:tcW w:w="1648" w:type="pct"/>
            <w:gridSpan w:val="4"/>
            <w:tcBorders>
              <w:top w:val="single" w:sz="4" w:space="0" w:color="auto"/>
              <w:left w:val="single" w:sz="4" w:space="0" w:color="auto"/>
              <w:bottom w:val="single" w:sz="4" w:space="0" w:color="auto"/>
              <w:right w:val="single" w:sz="4" w:space="0" w:color="auto"/>
            </w:tcBorders>
          </w:tcPr>
          <w:p w14:paraId="0DF18C5B" w14:textId="02AD1E91" w:rsidR="00F43CBA" w:rsidRPr="00F43CBA" w:rsidRDefault="00F43CBA" w:rsidP="00F43CBA">
            <w:pPr>
              <w:pStyle w:val="Tabletext1"/>
              <w:jc w:val="center"/>
              <w:rPr>
                <w:b/>
                <w:bCs/>
                <w:snapToGrid w:val="0"/>
                <w:lang w:eastAsia="en-US"/>
              </w:rPr>
            </w:pPr>
            <w:r w:rsidRPr="00F43CBA">
              <w:rPr>
                <w:b/>
                <w:bCs/>
                <w:snapToGrid w:val="0"/>
                <w:lang w:eastAsia="en-US"/>
              </w:rPr>
              <w:t>5-mm CTV-PTV margin</w:t>
            </w:r>
          </w:p>
        </w:tc>
      </w:tr>
      <w:tr w:rsidR="001A1B0A" w14:paraId="230069C0" w14:textId="59459183" w:rsidTr="00F43CBA">
        <w:trPr>
          <w:cnfStyle w:val="100000000000" w:firstRow="1" w:lastRow="0" w:firstColumn="0" w:lastColumn="0" w:oddVBand="0" w:evenVBand="0" w:oddHBand="0" w:evenHBand="0" w:firstRowFirstColumn="0" w:firstRowLastColumn="0" w:lastRowFirstColumn="0" w:lastRowLastColumn="0"/>
          <w:tblHeader/>
        </w:trPr>
        <w:tc>
          <w:tcPr>
            <w:tcW w:w="656" w:type="pct"/>
            <w:tcBorders>
              <w:top w:val="nil"/>
              <w:left w:val="single" w:sz="4" w:space="0" w:color="auto"/>
              <w:bottom w:val="single" w:sz="4" w:space="0" w:color="auto"/>
              <w:right w:val="single" w:sz="4" w:space="0" w:color="auto"/>
            </w:tcBorders>
            <w:shd w:val="clear" w:color="auto" w:fill="auto"/>
          </w:tcPr>
          <w:p w14:paraId="5E724FBF" w14:textId="77777777" w:rsidR="001A1B0A" w:rsidRPr="00F43CBA" w:rsidRDefault="001A1B0A" w:rsidP="00F43CBA">
            <w:pPr>
              <w:pStyle w:val="Tabletext1"/>
              <w:rPr>
                <w:b/>
                <w:bCs/>
                <w:snapToGrid w:val="0"/>
                <w:lang w:eastAsia="en-US"/>
              </w:rPr>
            </w:pPr>
          </w:p>
        </w:tc>
        <w:tc>
          <w:tcPr>
            <w:tcW w:w="1036" w:type="pct"/>
            <w:tcBorders>
              <w:left w:val="single" w:sz="4" w:space="0" w:color="auto"/>
            </w:tcBorders>
          </w:tcPr>
          <w:p w14:paraId="626A4121" w14:textId="77777777" w:rsidR="001A1B0A" w:rsidRPr="00F43CBA" w:rsidRDefault="001A1B0A" w:rsidP="00F43CBA">
            <w:pPr>
              <w:pStyle w:val="Tabletext1"/>
              <w:rPr>
                <w:b/>
                <w:bCs/>
                <w:snapToGrid w:val="0"/>
                <w:lang w:eastAsia="en-US"/>
              </w:rPr>
            </w:pPr>
            <w:r w:rsidRPr="00F43CBA">
              <w:rPr>
                <w:b/>
                <w:bCs/>
                <w:snapToGrid w:val="0"/>
                <w:lang w:eastAsia="en-US"/>
              </w:rPr>
              <w:t>Grade</w:t>
            </w:r>
          </w:p>
        </w:tc>
        <w:tc>
          <w:tcPr>
            <w:tcW w:w="416" w:type="pct"/>
            <w:tcBorders>
              <w:top w:val="single" w:sz="4" w:space="0" w:color="auto"/>
              <w:bottom w:val="single" w:sz="4" w:space="0" w:color="auto"/>
            </w:tcBorders>
            <w:shd w:val="clear" w:color="auto" w:fill="auto"/>
          </w:tcPr>
          <w:p w14:paraId="21517AAA" w14:textId="77777777" w:rsidR="001A1B0A" w:rsidRPr="00F43CBA" w:rsidRDefault="001A1B0A" w:rsidP="00F43CBA">
            <w:pPr>
              <w:pStyle w:val="Tabletext1"/>
              <w:jc w:val="center"/>
              <w:rPr>
                <w:b/>
                <w:bCs/>
                <w:snapToGrid w:val="0"/>
                <w:lang w:eastAsia="en-US"/>
              </w:rPr>
            </w:pPr>
            <w:r w:rsidRPr="00F43CBA">
              <w:rPr>
                <w:b/>
                <w:bCs/>
                <w:snapToGrid w:val="0"/>
                <w:lang w:eastAsia="en-US"/>
              </w:rPr>
              <w:t>0</w:t>
            </w:r>
          </w:p>
        </w:tc>
        <w:tc>
          <w:tcPr>
            <w:tcW w:w="415" w:type="pct"/>
            <w:tcBorders>
              <w:top w:val="single" w:sz="4" w:space="0" w:color="auto"/>
              <w:bottom w:val="single" w:sz="4" w:space="0" w:color="auto"/>
            </w:tcBorders>
          </w:tcPr>
          <w:p w14:paraId="4DDB7FE8" w14:textId="42D00046" w:rsidR="001A1B0A" w:rsidRPr="00F43CBA" w:rsidRDefault="001A1B0A" w:rsidP="00F43CBA">
            <w:pPr>
              <w:pStyle w:val="Tabletext1"/>
              <w:jc w:val="center"/>
              <w:rPr>
                <w:b/>
                <w:bCs/>
                <w:snapToGrid w:val="0"/>
                <w:lang w:eastAsia="en-US"/>
              </w:rPr>
            </w:pPr>
            <w:r w:rsidRPr="00F43CBA">
              <w:rPr>
                <w:b/>
                <w:bCs/>
                <w:snapToGrid w:val="0"/>
                <w:lang w:eastAsia="en-US"/>
              </w:rPr>
              <w:t>1</w:t>
            </w:r>
          </w:p>
        </w:tc>
        <w:tc>
          <w:tcPr>
            <w:tcW w:w="415" w:type="pct"/>
            <w:tcBorders>
              <w:top w:val="single" w:sz="4" w:space="0" w:color="auto"/>
              <w:bottom w:val="single" w:sz="4" w:space="0" w:color="auto"/>
            </w:tcBorders>
          </w:tcPr>
          <w:p w14:paraId="78C6D14D" w14:textId="77777777" w:rsidR="001A1B0A" w:rsidRPr="00F43CBA" w:rsidRDefault="001A1B0A" w:rsidP="00F43CBA">
            <w:pPr>
              <w:pStyle w:val="Tabletext1"/>
              <w:jc w:val="center"/>
              <w:rPr>
                <w:b/>
                <w:bCs/>
                <w:snapToGrid w:val="0"/>
                <w:lang w:eastAsia="en-US"/>
              </w:rPr>
            </w:pPr>
            <w:r w:rsidRPr="00F43CBA">
              <w:rPr>
                <w:b/>
                <w:bCs/>
                <w:snapToGrid w:val="0"/>
                <w:lang w:eastAsia="en-US"/>
              </w:rPr>
              <w:t>2</w:t>
            </w:r>
          </w:p>
        </w:tc>
        <w:tc>
          <w:tcPr>
            <w:tcW w:w="414" w:type="pct"/>
            <w:tcBorders>
              <w:top w:val="single" w:sz="4" w:space="0" w:color="auto"/>
              <w:bottom w:val="single" w:sz="4" w:space="0" w:color="auto"/>
            </w:tcBorders>
          </w:tcPr>
          <w:p w14:paraId="7E5877FF" w14:textId="77777777" w:rsidR="001A1B0A" w:rsidRPr="00F43CBA" w:rsidRDefault="001A1B0A" w:rsidP="00F43CBA">
            <w:pPr>
              <w:pStyle w:val="Tabletext1"/>
              <w:jc w:val="center"/>
              <w:rPr>
                <w:b/>
                <w:bCs/>
                <w:snapToGrid w:val="0"/>
                <w:lang w:eastAsia="en-US"/>
              </w:rPr>
            </w:pPr>
            <w:r w:rsidRPr="00F43CBA">
              <w:rPr>
                <w:b/>
                <w:bCs/>
                <w:snapToGrid w:val="0"/>
                <w:lang w:eastAsia="en-US"/>
              </w:rPr>
              <w:t>3</w:t>
            </w:r>
          </w:p>
        </w:tc>
        <w:tc>
          <w:tcPr>
            <w:tcW w:w="414" w:type="pct"/>
            <w:tcBorders>
              <w:top w:val="single" w:sz="4" w:space="0" w:color="auto"/>
              <w:bottom w:val="single" w:sz="4" w:space="0" w:color="auto"/>
            </w:tcBorders>
          </w:tcPr>
          <w:p w14:paraId="69506D40" w14:textId="1E55C259" w:rsidR="001A1B0A" w:rsidRPr="00F43CBA" w:rsidRDefault="001A1B0A" w:rsidP="00F43CBA">
            <w:pPr>
              <w:pStyle w:val="Tabletext1"/>
              <w:jc w:val="center"/>
              <w:rPr>
                <w:b/>
                <w:bCs/>
                <w:snapToGrid w:val="0"/>
                <w:lang w:eastAsia="en-US"/>
              </w:rPr>
            </w:pPr>
            <w:r w:rsidRPr="00F43CBA">
              <w:rPr>
                <w:b/>
                <w:bCs/>
                <w:snapToGrid w:val="0"/>
                <w:lang w:eastAsia="en-US"/>
              </w:rPr>
              <w:t>0</w:t>
            </w:r>
          </w:p>
        </w:tc>
        <w:tc>
          <w:tcPr>
            <w:tcW w:w="412" w:type="pct"/>
            <w:tcBorders>
              <w:top w:val="single" w:sz="4" w:space="0" w:color="auto"/>
              <w:bottom w:val="single" w:sz="4" w:space="0" w:color="auto"/>
            </w:tcBorders>
          </w:tcPr>
          <w:p w14:paraId="2A49B617" w14:textId="40A75805" w:rsidR="001A1B0A" w:rsidRPr="00F43CBA" w:rsidRDefault="001A1B0A" w:rsidP="00F43CBA">
            <w:pPr>
              <w:pStyle w:val="Tabletext1"/>
              <w:jc w:val="center"/>
              <w:rPr>
                <w:b/>
                <w:bCs/>
                <w:snapToGrid w:val="0"/>
                <w:lang w:eastAsia="en-US"/>
              </w:rPr>
            </w:pPr>
            <w:r w:rsidRPr="00F43CBA">
              <w:rPr>
                <w:b/>
                <w:bCs/>
                <w:snapToGrid w:val="0"/>
                <w:lang w:eastAsia="en-US"/>
              </w:rPr>
              <w:t>1</w:t>
            </w:r>
          </w:p>
        </w:tc>
        <w:tc>
          <w:tcPr>
            <w:tcW w:w="411" w:type="pct"/>
            <w:tcBorders>
              <w:top w:val="single" w:sz="4" w:space="0" w:color="auto"/>
              <w:bottom w:val="single" w:sz="4" w:space="0" w:color="auto"/>
            </w:tcBorders>
          </w:tcPr>
          <w:p w14:paraId="0CFD502F" w14:textId="32AE550B" w:rsidR="001A1B0A" w:rsidRPr="00F43CBA" w:rsidRDefault="001A1B0A" w:rsidP="00F43CBA">
            <w:pPr>
              <w:pStyle w:val="Tabletext1"/>
              <w:jc w:val="center"/>
              <w:rPr>
                <w:b/>
                <w:bCs/>
                <w:snapToGrid w:val="0"/>
                <w:lang w:eastAsia="en-US"/>
              </w:rPr>
            </w:pPr>
            <w:r w:rsidRPr="00F43CBA">
              <w:rPr>
                <w:b/>
                <w:bCs/>
                <w:snapToGrid w:val="0"/>
                <w:lang w:eastAsia="en-US"/>
              </w:rPr>
              <w:t>2</w:t>
            </w:r>
          </w:p>
        </w:tc>
        <w:tc>
          <w:tcPr>
            <w:tcW w:w="411" w:type="pct"/>
            <w:tcBorders>
              <w:top w:val="single" w:sz="4" w:space="0" w:color="auto"/>
              <w:bottom w:val="single" w:sz="4" w:space="0" w:color="auto"/>
            </w:tcBorders>
          </w:tcPr>
          <w:p w14:paraId="5CEC3278" w14:textId="65014868" w:rsidR="001A1B0A" w:rsidRPr="00F43CBA" w:rsidRDefault="001A1B0A" w:rsidP="00F43CBA">
            <w:pPr>
              <w:pStyle w:val="Tabletext1"/>
              <w:jc w:val="center"/>
              <w:rPr>
                <w:b/>
                <w:bCs/>
                <w:snapToGrid w:val="0"/>
                <w:lang w:eastAsia="en-US"/>
              </w:rPr>
            </w:pPr>
            <w:r w:rsidRPr="00F43CBA">
              <w:rPr>
                <w:b/>
                <w:bCs/>
                <w:snapToGrid w:val="0"/>
                <w:lang w:eastAsia="en-US"/>
              </w:rPr>
              <w:t>3</w:t>
            </w:r>
          </w:p>
        </w:tc>
      </w:tr>
      <w:tr w:rsidR="007F1BAA" w14:paraId="0712A981" w14:textId="5AFBF0FE" w:rsidTr="00F43CBA">
        <w:trPr>
          <w:cnfStyle w:val="100000000000" w:firstRow="1" w:lastRow="0" w:firstColumn="0" w:lastColumn="0" w:oddVBand="0" w:evenVBand="0" w:oddHBand="0" w:evenHBand="0" w:firstRowFirstColumn="0" w:firstRowLastColumn="0" w:lastRowFirstColumn="0" w:lastRowLastColumn="0"/>
          <w:tblHeader/>
        </w:trPr>
        <w:tc>
          <w:tcPr>
            <w:tcW w:w="656" w:type="pct"/>
            <w:tcBorders>
              <w:top w:val="single" w:sz="4" w:space="0" w:color="auto"/>
              <w:left w:val="single" w:sz="4" w:space="0" w:color="auto"/>
              <w:bottom w:val="nil"/>
              <w:right w:val="single" w:sz="4" w:space="0" w:color="auto"/>
            </w:tcBorders>
            <w:shd w:val="clear" w:color="auto" w:fill="auto"/>
          </w:tcPr>
          <w:p w14:paraId="61E5A4D1" w14:textId="402C1865" w:rsidR="007F1BAA" w:rsidRPr="000E28B6" w:rsidRDefault="00211285" w:rsidP="00F43CBA">
            <w:pPr>
              <w:pStyle w:val="Tabletext1"/>
              <w:rPr>
                <w:b/>
                <w:snapToGrid w:val="0"/>
                <w:lang w:eastAsia="en-US"/>
              </w:rPr>
            </w:pPr>
            <w:hyperlink w:anchor="_ENREF_55" w:tooltip="Navran, 2019 #62" w:history="1">
              <w:r w:rsidR="008B6FC0">
                <w:rPr>
                  <w:snapToGrid w:val="0"/>
                  <w:lang w:eastAsia="en-US"/>
                </w:rPr>
                <w:fldChar w:fldCharType="begin"/>
              </w:r>
              <w:r w:rsidR="008B6FC0">
                <w:rPr>
                  <w:snapToGrid w:val="0"/>
                  <w:lang w:eastAsia="en-US"/>
                </w:rPr>
                <w:instrText xml:space="preserve"> ADDIN EN.CITE &lt;EndNote&gt;&lt;Cite AuthorYear="1"&gt;&lt;Author&gt;Navran&lt;/Author&gt;&lt;Year&gt;2019&lt;/Year&gt;&lt;RecNum&gt;62&lt;/RecNum&gt;&lt;DisplayText&gt;Navran et al. (2019)&lt;/DisplayText&gt;&lt;record&gt;&lt;rec-number&gt;62&lt;/rec-number&gt;&lt;foreign-keys&gt;&lt;key app="EN" db-id="sx5wsdwv795wvue959xxw0ptaewvdezxxp05" timestamp="1604876396"&gt;62&lt;/key&gt;&lt;/foreign-keys&gt;&lt;ref-type name="Journal Article"&gt;17&lt;/ref-type&gt;&lt;contributors&gt;&lt;authors&gt;&lt;author&gt;Navran, A.&lt;/author&gt;&lt;author&gt;Heemsbergen, W.&lt;/author&gt;&lt;author&gt;Janssen, T.&lt;/author&gt;&lt;author&gt;Hamming-Vrieze, O.&lt;/author&gt;&lt;author&gt;Jonker, M.&lt;/author&gt;&lt;author&gt;Zuur, C.&lt;/author&gt;&lt;author&gt;Verheij, M.&lt;/author&gt;&lt;author&gt;Remeijer, P.&lt;/author&gt;&lt;author&gt;Sonke, J. J.&lt;/author&gt;&lt;author&gt;van den Brekel, M.&lt;/author&gt;&lt;author&gt;Al-Mamgani, A.&lt;/author&gt;&lt;/authors&gt;&lt;/contributors&gt;&lt;titles&gt;&lt;title&gt;The impact of margin reduction on outcome and toxicity in head and neck cancer patients treated with image-guided volumetric modulated arc therapy (VMAT)&lt;/title&gt;&lt;secondary-title&gt;Radiother Oncol&lt;/secondary-title&gt;&lt;/titles&gt;&lt;pages&gt;25-31&lt;/pages&gt;&lt;volume&gt;130&lt;/volume&gt;&lt;dates&gt;&lt;year&gt;2019&lt;/year&gt;&lt;/dates&gt;&lt;accession-num&gt;30005953&lt;/accession-num&gt;&lt;urls&gt;&lt;related-urls&gt;&lt;url&gt;http://ezproxy.library.usyd.edu.au/login?url=http://ovidsp.ovid.com/ovidweb.cgi?T=JS&amp;amp;CSC=Y&amp;amp;NEWS=N&amp;amp;PAGE=fulltext&amp;amp;D=medl&amp;amp;AN=30005953https://sydney.alma.exlibrisgroup.com/openurl/61USYD_INST/61USYD_INST:sydney?sid=OVID:medline&amp;amp;id=pmid:30005953&amp;amp;id=doi:10.1016&lt;/url&gt;&lt;/related-urls&gt;&lt;/urls&gt;&lt;electronic-resource-num&gt;https://dx.doi.org/10.1016/j.radonc.2018.06.032&lt;/electronic-resource-num&gt;&lt;/record&gt;&lt;/Cite&gt;&lt;/EndNote&gt;</w:instrText>
              </w:r>
              <w:r w:rsidR="008B6FC0">
                <w:rPr>
                  <w:snapToGrid w:val="0"/>
                  <w:lang w:eastAsia="en-US"/>
                </w:rPr>
                <w:fldChar w:fldCharType="separate"/>
              </w:r>
              <w:r w:rsidR="008B6FC0">
                <w:rPr>
                  <w:noProof/>
                  <w:snapToGrid w:val="0"/>
                  <w:lang w:eastAsia="en-US"/>
                </w:rPr>
                <w:t>Navran et al. (2019)</w:t>
              </w:r>
              <w:r w:rsidR="008B6FC0">
                <w:rPr>
                  <w:snapToGrid w:val="0"/>
                  <w:lang w:eastAsia="en-US"/>
                </w:rPr>
                <w:fldChar w:fldCharType="end"/>
              </w:r>
            </w:hyperlink>
          </w:p>
        </w:tc>
        <w:tc>
          <w:tcPr>
            <w:tcW w:w="1036" w:type="pct"/>
            <w:tcBorders>
              <w:left w:val="single" w:sz="4" w:space="0" w:color="auto"/>
            </w:tcBorders>
          </w:tcPr>
          <w:p w14:paraId="41F0DD5D" w14:textId="0EB32A46" w:rsidR="007F1BAA" w:rsidRPr="00DA0662" w:rsidRDefault="007F1BAA" w:rsidP="00F43CBA">
            <w:pPr>
              <w:pStyle w:val="Tabletext1"/>
              <w:rPr>
                <w:rFonts w:cs="Calibri"/>
                <w:b/>
                <w:bCs/>
                <w:color w:val="000000"/>
              </w:rPr>
            </w:pPr>
            <w:r w:rsidRPr="00656929">
              <w:rPr>
                <w:snapToGrid w:val="0"/>
                <w:lang w:eastAsia="en-US"/>
              </w:rPr>
              <w:t>Any acute toxicity</w:t>
            </w:r>
          </w:p>
        </w:tc>
        <w:tc>
          <w:tcPr>
            <w:tcW w:w="416" w:type="pct"/>
            <w:tcBorders>
              <w:top w:val="single" w:sz="4" w:space="0" w:color="auto"/>
              <w:bottom w:val="single" w:sz="4" w:space="0" w:color="auto"/>
            </w:tcBorders>
            <w:shd w:val="clear" w:color="auto" w:fill="auto"/>
          </w:tcPr>
          <w:p w14:paraId="506900CA" w14:textId="77777777" w:rsidR="007F1BAA" w:rsidRDefault="007F1BAA" w:rsidP="00F43CBA">
            <w:pPr>
              <w:pStyle w:val="Tabletext1"/>
              <w:jc w:val="center"/>
              <w:rPr>
                <w:snapToGrid w:val="0"/>
                <w:lang w:eastAsia="en-US"/>
              </w:rPr>
            </w:pPr>
          </w:p>
        </w:tc>
        <w:tc>
          <w:tcPr>
            <w:tcW w:w="415" w:type="pct"/>
            <w:tcBorders>
              <w:top w:val="single" w:sz="4" w:space="0" w:color="auto"/>
              <w:bottom w:val="single" w:sz="4" w:space="0" w:color="auto"/>
            </w:tcBorders>
          </w:tcPr>
          <w:p w14:paraId="67503493" w14:textId="77777777" w:rsidR="007F1BAA" w:rsidRDefault="007F1BAA" w:rsidP="00F43CBA">
            <w:pPr>
              <w:pStyle w:val="Tabletext1"/>
              <w:jc w:val="center"/>
              <w:rPr>
                <w:snapToGrid w:val="0"/>
                <w:lang w:eastAsia="en-US"/>
              </w:rPr>
            </w:pPr>
          </w:p>
        </w:tc>
        <w:tc>
          <w:tcPr>
            <w:tcW w:w="415" w:type="pct"/>
            <w:tcBorders>
              <w:top w:val="single" w:sz="4" w:space="0" w:color="auto"/>
              <w:bottom w:val="single" w:sz="4" w:space="0" w:color="auto"/>
            </w:tcBorders>
          </w:tcPr>
          <w:p w14:paraId="0AFDDA86" w14:textId="35E53316" w:rsidR="007F1BAA" w:rsidRDefault="007F1BAA" w:rsidP="00F43CBA">
            <w:pPr>
              <w:pStyle w:val="Tabletext1"/>
              <w:jc w:val="center"/>
              <w:rPr>
                <w:snapToGrid w:val="0"/>
                <w:lang w:eastAsia="en-US"/>
              </w:rPr>
            </w:pPr>
            <w:r>
              <w:rPr>
                <w:snapToGrid w:val="0"/>
                <w:lang w:eastAsia="en-US"/>
              </w:rPr>
              <w:t xml:space="preserve">Grade </w:t>
            </w:r>
            <w:r>
              <w:t xml:space="preserve">≥2: </w:t>
            </w:r>
            <w:r w:rsidR="001A1B0A">
              <w:rPr>
                <w:szCs w:val="22"/>
              </w:rPr>
              <w:t>98.6%</w:t>
            </w:r>
          </w:p>
        </w:tc>
        <w:tc>
          <w:tcPr>
            <w:tcW w:w="414" w:type="pct"/>
            <w:tcBorders>
              <w:top w:val="single" w:sz="4" w:space="0" w:color="auto"/>
              <w:bottom w:val="single" w:sz="4" w:space="0" w:color="auto"/>
            </w:tcBorders>
          </w:tcPr>
          <w:p w14:paraId="47B50877" w14:textId="6D569598" w:rsidR="007F1BAA" w:rsidRPr="00A545E7" w:rsidRDefault="001A1B0A" w:rsidP="00F43CBA">
            <w:pPr>
              <w:pStyle w:val="Tabletext1"/>
              <w:jc w:val="center"/>
              <w:rPr>
                <w:snapToGrid w:val="0"/>
                <w:lang w:eastAsia="en-US"/>
              </w:rPr>
            </w:pPr>
            <w:r>
              <w:rPr>
                <w:szCs w:val="22"/>
              </w:rPr>
              <w:t>53.8%</w:t>
            </w:r>
          </w:p>
        </w:tc>
        <w:tc>
          <w:tcPr>
            <w:tcW w:w="414" w:type="pct"/>
            <w:tcBorders>
              <w:top w:val="single" w:sz="4" w:space="0" w:color="auto"/>
              <w:bottom w:val="single" w:sz="4" w:space="0" w:color="auto"/>
            </w:tcBorders>
          </w:tcPr>
          <w:p w14:paraId="072AB316" w14:textId="77777777" w:rsidR="007F1BAA" w:rsidRPr="00A545E7" w:rsidRDefault="007F1BAA" w:rsidP="00F43CBA">
            <w:pPr>
              <w:pStyle w:val="Tabletext1"/>
              <w:jc w:val="center"/>
              <w:rPr>
                <w:b/>
                <w:bCs/>
                <w:snapToGrid w:val="0"/>
                <w:lang w:eastAsia="en-US"/>
              </w:rPr>
            </w:pPr>
          </w:p>
        </w:tc>
        <w:tc>
          <w:tcPr>
            <w:tcW w:w="412" w:type="pct"/>
            <w:tcBorders>
              <w:top w:val="single" w:sz="4" w:space="0" w:color="auto"/>
              <w:bottom w:val="single" w:sz="4" w:space="0" w:color="auto"/>
            </w:tcBorders>
          </w:tcPr>
          <w:p w14:paraId="05AFD40E" w14:textId="77777777" w:rsidR="007F1BAA" w:rsidRPr="00A545E7" w:rsidRDefault="007F1BAA" w:rsidP="00F43CBA">
            <w:pPr>
              <w:pStyle w:val="Tabletext1"/>
              <w:jc w:val="center"/>
              <w:rPr>
                <w:b/>
                <w:bCs/>
                <w:snapToGrid w:val="0"/>
                <w:lang w:eastAsia="en-US"/>
              </w:rPr>
            </w:pPr>
          </w:p>
        </w:tc>
        <w:tc>
          <w:tcPr>
            <w:tcW w:w="411" w:type="pct"/>
            <w:tcBorders>
              <w:top w:val="single" w:sz="4" w:space="0" w:color="auto"/>
              <w:bottom w:val="single" w:sz="4" w:space="0" w:color="auto"/>
            </w:tcBorders>
          </w:tcPr>
          <w:p w14:paraId="052894E0" w14:textId="4B8CA3ED" w:rsidR="007F1BAA" w:rsidRPr="001A1B0A" w:rsidRDefault="001A1B0A" w:rsidP="00F43CBA">
            <w:pPr>
              <w:pStyle w:val="Tabletext1"/>
              <w:jc w:val="center"/>
              <w:rPr>
                <w:b/>
                <w:bCs/>
                <w:snapToGrid w:val="0"/>
                <w:lang w:eastAsia="en-US"/>
              </w:rPr>
            </w:pPr>
            <w:r w:rsidRPr="00DB1693">
              <w:rPr>
                <w:snapToGrid w:val="0"/>
                <w:lang w:eastAsia="en-US"/>
              </w:rPr>
              <w:t xml:space="preserve">Grade </w:t>
            </w:r>
            <w:r w:rsidRPr="00DB1693">
              <w:rPr>
                <w:szCs w:val="22"/>
              </w:rPr>
              <w:t>≥2</w:t>
            </w:r>
            <w:r w:rsidRPr="00DB1693">
              <w:t>:</w:t>
            </w:r>
            <w:r>
              <w:t xml:space="preserve"> </w:t>
            </w:r>
            <w:r>
              <w:rPr>
                <w:szCs w:val="22"/>
              </w:rPr>
              <w:t>98.1%</w:t>
            </w:r>
          </w:p>
        </w:tc>
        <w:tc>
          <w:tcPr>
            <w:tcW w:w="411" w:type="pct"/>
            <w:tcBorders>
              <w:top w:val="single" w:sz="4" w:space="0" w:color="auto"/>
              <w:bottom w:val="single" w:sz="4" w:space="0" w:color="auto"/>
            </w:tcBorders>
          </w:tcPr>
          <w:p w14:paraId="0E592DD2" w14:textId="19D59DF6" w:rsidR="007F1BAA" w:rsidRDefault="001A1B0A" w:rsidP="00F43CBA">
            <w:pPr>
              <w:pStyle w:val="Tabletext1"/>
              <w:jc w:val="center"/>
              <w:rPr>
                <w:rFonts w:ascii="Calibri" w:hAnsi="Calibri" w:cs="Calibri"/>
                <w:color w:val="000000"/>
                <w:sz w:val="22"/>
              </w:rPr>
            </w:pPr>
            <w:r>
              <w:rPr>
                <w:szCs w:val="22"/>
              </w:rPr>
              <w:t>65.0%</w:t>
            </w:r>
          </w:p>
        </w:tc>
      </w:tr>
      <w:tr w:rsidR="007F1BAA" w14:paraId="3DC62256" w14:textId="7F9ECB7E" w:rsidTr="00F43CBA">
        <w:trPr>
          <w:cnfStyle w:val="100000000000" w:firstRow="1" w:lastRow="0" w:firstColumn="0" w:lastColumn="0" w:oddVBand="0" w:evenVBand="0" w:oddHBand="0" w:evenHBand="0" w:firstRowFirstColumn="0" w:firstRowLastColumn="0" w:lastRowFirstColumn="0" w:lastRowLastColumn="0"/>
          <w:tblHeader/>
        </w:trPr>
        <w:tc>
          <w:tcPr>
            <w:tcW w:w="656" w:type="pct"/>
            <w:tcBorders>
              <w:top w:val="nil"/>
              <w:left w:val="single" w:sz="4" w:space="0" w:color="auto"/>
              <w:bottom w:val="nil"/>
              <w:right w:val="single" w:sz="4" w:space="0" w:color="auto"/>
            </w:tcBorders>
            <w:shd w:val="clear" w:color="auto" w:fill="auto"/>
          </w:tcPr>
          <w:p w14:paraId="71FD7F65" w14:textId="77777777" w:rsidR="007F1BAA" w:rsidRPr="00B2301A" w:rsidRDefault="007F1BAA" w:rsidP="00F43CBA">
            <w:pPr>
              <w:pStyle w:val="Tabletext1"/>
              <w:rPr>
                <w:snapToGrid w:val="0"/>
                <w:lang w:eastAsia="en-US"/>
              </w:rPr>
            </w:pPr>
          </w:p>
        </w:tc>
        <w:tc>
          <w:tcPr>
            <w:tcW w:w="1036" w:type="pct"/>
            <w:tcBorders>
              <w:left w:val="single" w:sz="4" w:space="0" w:color="auto"/>
            </w:tcBorders>
          </w:tcPr>
          <w:p w14:paraId="250D351D" w14:textId="5EF678DD" w:rsidR="007F1BAA" w:rsidRPr="00A545E7" w:rsidRDefault="00DB1693" w:rsidP="00F43CBA">
            <w:pPr>
              <w:pStyle w:val="Tabletext1"/>
              <w:rPr>
                <w:b/>
                <w:bCs/>
                <w:snapToGrid w:val="0"/>
                <w:lang w:eastAsia="en-US"/>
              </w:rPr>
            </w:pPr>
            <w:r>
              <w:rPr>
                <w:snapToGrid w:val="0"/>
                <w:lang w:eastAsia="en-US"/>
              </w:rPr>
              <w:t>Dermatitis</w:t>
            </w:r>
          </w:p>
        </w:tc>
        <w:tc>
          <w:tcPr>
            <w:tcW w:w="416" w:type="pct"/>
            <w:tcBorders>
              <w:top w:val="single" w:sz="4" w:space="0" w:color="auto"/>
              <w:bottom w:val="single" w:sz="4" w:space="0" w:color="auto"/>
            </w:tcBorders>
            <w:shd w:val="clear" w:color="auto" w:fill="auto"/>
          </w:tcPr>
          <w:p w14:paraId="06BB50E9" w14:textId="77777777" w:rsidR="007F1BAA" w:rsidRDefault="007F1BAA" w:rsidP="00F43CBA">
            <w:pPr>
              <w:pStyle w:val="Tabletext1"/>
              <w:jc w:val="center"/>
              <w:rPr>
                <w:snapToGrid w:val="0"/>
                <w:lang w:eastAsia="en-US"/>
              </w:rPr>
            </w:pPr>
          </w:p>
        </w:tc>
        <w:tc>
          <w:tcPr>
            <w:tcW w:w="415" w:type="pct"/>
            <w:tcBorders>
              <w:top w:val="single" w:sz="4" w:space="0" w:color="auto"/>
              <w:bottom w:val="single" w:sz="4" w:space="0" w:color="auto"/>
            </w:tcBorders>
          </w:tcPr>
          <w:p w14:paraId="5B1BB709" w14:textId="77777777" w:rsidR="007F1BAA" w:rsidRDefault="007F1BAA" w:rsidP="00F43CBA">
            <w:pPr>
              <w:pStyle w:val="Tabletext1"/>
              <w:jc w:val="center"/>
              <w:rPr>
                <w:snapToGrid w:val="0"/>
                <w:lang w:eastAsia="en-US"/>
              </w:rPr>
            </w:pPr>
          </w:p>
        </w:tc>
        <w:tc>
          <w:tcPr>
            <w:tcW w:w="415" w:type="pct"/>
            <w:tcBorders>
              <w:top w:val="single" w:sz="4" w:space="0" w:color="auto"/>
              <w:bottom w:val="single" w:sz="4" w:space="0" w:color="auto"/>
            </w:tcBorders>
          </w:tcPr>
          <w:p w14:paraId="5149BD8B" w14:textId="56E7528C" w:rsidR="007F1BAA" w:rsidRPr="00DB1693" w:rsidRDefault="00DB1693" w:rsidP="00F43CBA">
            <w:pPr>
              <w:pStyle w:val="Tabletext1"/>
              <w:jc w:val="center"/>
              <w:rPr>
                <w:b/>
                <w:bCs/>
                <w:snapToGrid w:val="0"/>
                <w:lang w:eastAsia="en-US"/>
              </w:rPr>
            </w:pPr>
            <w:r w:rsidRPr="00DB1693">
              <w:rPr>
                <w:snapToGrid w:val="0"/>
                <w:lang w:eastAsia="en-US"/>
              </w:rPr>
              <w:t xml:space="preserve">Grade </w:t>
            </w:r>
            <w:r w:rsidRPr="00DB1693">
              <w:t>≥2:</w:t>
            </w:r>
            <w:r>
              <w:t xml:space="preserve"> 77.4%</w:t>
            </w:r>
          </w:p>
        </w:tc>
        <w:tc>
          <w:tcPr>
            <w:tcW w:w="414" w:type="pct"/>
            <w:tcBorders>
              <w:top w:val="single" w:sz="4" w:space="0" w:color="auto"/>
              <w:bottom w:val="single" w:sz="4" w:space="0" w:color="auto"/>
            </w:tcBorders>
          </w:tcPr>
          <w:p w14:paraId="14F95F35" w14:textId="5B0F07D9" w:rsidR="007F1BAA" w:rsidRPr="00DB1693" w:rsidRDefault="00EE05BB" w:rsidP="00F43CBA">
            <w:pPr>
              <w:pStyle w:val="Tabletext1"/>
              <w:jc w:val="center"/>
              <w:rPr>
                <w:b/>
                <w:bCs/>
                <w:snapToGrid w:val="0"/>
                <w:lang w:eastAsia="en-US"/>
              </w:rPr>
            </w:pPr>
            <w:r>
              <w:rPr>
                <w:snapToGrid w:val="0"/>
                <w:lang w:eastAsia="en-US"/>
              </w:rPr>
              <w:t>27.4%</w:t>
            </w:r>
          </w:p>
        </w:tc>
        <w:tc>
          <w:tcPr>
            <w:tcW w:w="414" w:type="pct"/>
            <w:tcBorders>
              <w:top w:val="single" w:sz="4" w:space="0" w:color="auto"/>
              <w:bottom w:val="single" w:sz="4" w:space="0" w:color="auto"/>
            </w:tcBorders>
          </w:tcPr>
          <w:p w14:paraId="3AFFD349" w14:textId="77777777" w:rsidR="007F1BAA" w:rsidRPr="00DB1693" w:rsidRDefault="007F1BAA" w:rsidP="00F43CBA">
            <w:pPr>
              <w:pStyle w:val="Tabletext1"/>
              <w:jc w:val="center"/>
              <w:rPr>
                <w:b/>
                <w:bCs/>
              </w:rPr>
            </w:pPr>
          </w:p>
        </w:tc>
        <w:tc>
          <w:tcPr>
            <w:tcW w:w="412" w:type="pct"/>
            <w:tcBorders>
              <w:top w:val="single" w:sz="4" w:space="0" w:color="auto"/>
              <w:bottom w:val="single" w:sz="4" w:space="0" w:color="auto"/>
            </w:tcBorders>
          </w:tcPr>
          <w:p w14:paraId="32A8DEA3" w14:textId="77777777" w:rsidR="007F1BAA" w:rsidRPr="00DB1693" w:rsidRDefault="007F1BAA" w:rsidP="00F43CBA">
            <w:pPr>
              <w:pStyle w:val="Tabletext1"/>
              <w:jc w:val="center"/>
              <w:rPr>
                <w:b/>
                <w:bCs/>
              </w:rPr>
            </w:pPr>
          </w:p>
        </w:tc>
        <w:tc>
          <w:tcPr>
            <w:tcW w:w="411" w:type="pct"/>
            <w:tcBorders>
              <w:top w:val="single" w:sz="4" w:space="0" w:color="auto"/>
              <w:bottom w:val="single" w:sz="4" w:space="0" w:color="auto"/>
            </w:tcBorders>
          </w:tcPr>
          <w:p w14:paraId="0D3E0C36" w14:textId="6E8AB1B9" w:rsidR="007F1BAA" w:rsidRPr="00DB1693" w:rsidRDefault="00DB1693" w:rsidP="00F43CBA">
            <w:pPr>
              <w:pStyle w:val="Tabletext1"/>
              <w:jc w:val="center"/>
              <w:rPr>
                <w:b/>
                <w:bCs/>
              </w:rPr>
            </w:pPr>
            <w:r w:rsidRPr="00DB1693">
              <w:rPr>
                <w:snapToGrid w:val="0"/>
                <w:lang w:eastAsia="en-US"/>
              </w:rPr>
              <w:t xml:space="preserve">Grade </w:t>
            </w:r>
            <w:r w:rsidRPr="00DB1693">
              <w:t>≥2:</w:t>
            </w:r>
            <w:r>
              <w:t xml:space="preserve"> 71.8%</w:t>
            </w:r>
          </w:p>
        </w:tc>
        <w:tc>
          <w:tcPr>
            <w:tcW w:w="411" w:type="pct"/>
            <w:tcBorders>
              <w:top w:val="single" w:sz="4" w:space="0" w:color="auto"/>
              <w:bottom w:val="single" w:sz="4" w:space="0" w:color="auto"/>
            </w:tcBorders>
          </w:tcPr>
          <w:p w14:paraId="09F18D6C" w14:textId="368E1007" w:rsidR="007F1BAA" w:rsidRPr="00DB1693" w:rsidRDefault="00EE05BB" w:rsidP="00F43CBA">
            <w:pPr>
              <w:pStyle w:val="Tabletext1"/>
              <w:jc w:val="center"/>
              <w:rPr>
                <w:b/>
                <w:bCs/>
              </w:rPr>
            </w:pPr>
            <w:r>
              <w:t>25.2%</w:t>
            </w:r>
          </w:p>
        </w:tc>
      </w:tr>
      <w:tr w:rsidR="00EE05BB" w14:paraId="795CFFE6" w14:textId="77777777" w:rsidTr="00F43CBA">
        <w:trPr>
          <w:cnfStyle w:val="100000000000" w:firstRow="1" w:lastRow="0" w:firstColumn="0" w:lastColumn="0" w:oddVBand="0" w:evenVBand="0" w:oddHBand="0" w:evenHBand="0" w:firstRowFirstColumn="0" w:firstRowLastColumn="0" w:lastRowFirstColumn="0" w:lastRowLastColumn="0"/>
          <w:tblHeader/>
        </w:trPr>
        <w:tc>
          <w:tcPr>
            <w:tcW w:w="656" w:type="pct"/>
            <w:tcBorders>
              <w:top w:val="nil"/>
              <w:left w:val="single" w:sz="4" w:space="0" w:color="auto"/>
              <w:bottom w:val="nil"/>
              <w:right w:val="single" w:sz="4" w:space="0" w:color="auto"/>
            </w:tcBorders>
            <w:shd w:val="clear" w:color="auto" w:fill="auto"/>
          </w:tcPr>
          <w:p w14:paraId="47D71A8E" w14:textId="77777777" w:rsidR="00EE05BB" w:rsidRDefault="00EE05BB" w:rsidP="00F43CBA">
            <w:pPr>
              <w:pStyle w:val="Tabletext1"/>
              <w:rPr>
                <w:snapToGrid w:val="0"/>
                <w:lang w:eastAsia="en-US"/>
              </w:rPr>
            </w:pPr>
          </w:p>
        </w:tc>
        <w:tc>
          <w:tcPr>
            <w:tcW w:w="1036" w:type="pct"/>
            <w:tcBorders>
              <w:left w:val="single" w:sz="4" w:space="0" w:color="auto"/>
            </w:tcBorders>
          </w:tcPr>
          <w:p w14:paraId="22228245" w14:textId="74BE5661" w:rsidR="00EE05BB" w:rsidRPr="00A545E7" w:rsidRDefault="00EE05BB" w:rsidP="00F43CBA">
            <w:pPr>
              <w:pStyle w:val="Tabletext1"/>
              <w:rPr>
                <w:b/>
                <w:bCs/>
              </w:rPr>
            </w:pPr>
            <w:r w:rsidRPr="00A545E7">
              <w:t>Mucositis</w:t>
            </w:r>
          </w:p>
        </w:tc>
        <w:tc>
          <w:tcPr>
            <w:tcW w:w="416" w:type="pct"/>
            <w:tcBorders>
              <w:top w:val="single" w:sz="4" w:space="0" w:color="auto"/>
              <w:bottom w:val="single" w:sz="4" w:space="0" w:color="auto"/>
            </w:tcBorders>
            <w:shd w:val="clear" w:color="auto" w:fill="auto"/>
          </w:tcPr>
          <w:p w14:paraId="20EC4BE3" w14:textId="77777777" w:rsidR="00EE05BB" w:rsidRDefault="00EE05BB" w:rsidP="00F43CBA">
            <w:pPr>
              <w:pStyle w:val="Tabletext1"/>
              <w:jc w:val="center"/>
              <w:rPr>
                <w:snapToGrid w:val="0"/>
                <w:lang w:eastAsia="en-US"/>
              </w:rPr>
            </w:pPr>
          </w:p>
        </w:tc>
        <w:tc>
          <w:tcPr>
            <w:tcW w:w="415" w:type="pct"/>
            <w:tcBorders>
              <w:top w:val="single" w:sz="4" w:space="0" w:color="auto"/>
              <w:bottom w:val="single" w:sz="4" w:space="0" w:color="auto"/>
            </w:tcBorders>
          </w:tcPr>
          <w:p w14:paraId="24280D7F" w14:textId="77777777" w:rsidR="00EE05BB" w:rsidRDefault="00EE05BB" w:rsidP="00F43CBA">
            <w:pPr>
              <w:pStyle w:val="Tabletext1"/>
              <w:jc w:val="center"/>
              <w:rPr>
                <w:snapToGrid w:val="0"/>
                <w:lang w:eastAsia="en-US"/>
              </w:rPr>
            </w:pPr>
          </w:p>
        </w:tc>
        <w:tc>
          <w:tcPr>
            <w:tcW w:w="415" w:type="pct"/>
            <w:tcBorders>
              <w:top w:val="single" w:sz="4" w:space="0" w:color="auto"/>
              <w:bottom w:val="single" w:sz="4" w:space="0" w:color="auto"/>
            </w:tcBorders>
          </w:tcPr>
          <w:p w14:paraId="2F9A864C" w14:textId="20B0FFC0" w:rsidR="00EE05BB" w:rsidRDefault="00EE05BB" w:rsidP="00F43CBA">
            <w:pPr>
              <w:pStyle w:val="Tabletext1"/>
              <w:jc w:val="center"/>
              <w:rPr>
                <w:snapToGrid w:val="0"/>
                <w:lang w:eastAsia="en-US"/>
              </w:rPr>
            </w:pPr>
            <w:r w:rsidRPr="00DB1693">
              <w:rPr>
                <w:snapToGrid w:val="0"/>
                <w:lang w:eastAsia="en-US"/>
              </w:rPr>
              <w:t xml:space="preserve">Grade </w:t>
            </w:r>
            <w:r w:rsidRPr="00DB1693">
              <w:t>≥2:</w:t>
            </w:r>
            <w:r>
              <w:t xml:space="preserve"> 74.5%</w:t>
            </w:r>
          </w:p>
        </w:tc>
        <w:tc>
          <w:tcPr>
            <w:tcW w:w="414" w:type="pct"/>
            <w:tcBorders>
              <w:top w:val="single" w:sz="4" w:space="0" w:color="auto"/>
              <w:bottom w:val="single" w:sz="4" w:space="0" w:color="auto"/>
            </w:tcBorders>
          </w:tcPr>
          <w:p w14:paraId="561EDE2F" w14:textId="77AB639E" w:rsidR="00EE05BB" w:rsidRPr="00A545E7" w:rsidRDefault="007C615F" w:rsidP="00F43CBA">
            <w:pPr>
              <w:pStyle w:val="Tabletext1"/>
              <w:jc w:val="center"/>
              <w:rPr>
                <w:b/>
                <w:bCs/>
              </w:rPr>
            </w:pPr>
            <w:r>
              <w:t>30.8%</w:t>
            </w:r>
          </w:p>
        </w:tc>
        <w:tc>
          <w:tcPr>
            <w:tcW w:w="414" w:type="pct"/>
            <w:tcBorders>
              <w:top w:val="single" w:sz="4" w:space="0" w:color="auto"/>
              <w:bottom w:val="single" w:sz="4" w:space="0" w:color="auto"/>
            </w:tcBorders>
          </w:tcPr>
          <w:p w14:paraId="793EA356" w14:textId="77777777" w:rsidR="00EE05BB" w:rsidRPr="00A545E7" w:rsidRDefault="00EE05BB" w:rsidP="00F43CBA">
            <w:pPr>
              <w:pStyle w:val="Tabletext1"/>
              <w:jc w:val="center"/>
              <w:rPr>
                <w:b/>
                <w:bCs/>
              </w:rPr>
            </w:pPr>
          </w:p>
        </w:tc>
        <w:tc>
          <w:tcPr>
            <w:tcW w:w="412" w:type="pct"/>
            <w:tcBorders>
              <w:top w:val="single" w:sz="4" w:space="0" w:color="auto"/>
              <w:bottom w:val="single" w:sz="4" w:space="0" w:color="auto"/>
            </w:tcBorders>
          </w:tcPr>
          <w:p w14:paraId="730D1A84" w14:textId="77777777" w:rsidR="00EE05BB" w:rsidRPr="00A545E7" w:rsidRDefault="00EE05BB" w:rsidP="00F43CBA">
            <w:pPr>
              <w:pStyle w:val="Tabletext1"/>
              <w:jc w:val="center"/>
              <w:rPr>
                <w:b/>
                <w:bCs/>
              </w:rPr>
            </w:pPr>
          </w:p>
        </w:tc>
        <w:tc>
          <w:tcPr>
            <w:tcW w:w="411" w:type="pct"/>
            <w:tcBorders>
              <w:top w:val="single" w:sz="4" w:space="0" w:color="auto"/>
              <w:bottom w:val="single" w:sz="4" w:space="0" w:color="auto"/>
            </w:tcBorders>
          </w:tcPr>
          <w:p w14:paraId="58BF38F5" w14:textId="474B1CD9" w:rsidR="00EE05BB" w:rsidRPr="00A545E7" w:rsidRDefault="00EE05BB" w:rsidP="00F43CBA">
            <w:pPr>
              <w:pStyle w:val="Tabletext1"/>
              <w:jc w:val="center"/>
              <w:rPr>
                <w:b/>
                <w:bCs/>
              </w:rPr>
            </w:pPr>
            <w:r w:rsidRPr="00DB1693">
              <w:rPr>
                <w:snapToGrid w:val="0"/>
                <w:lang w:eastAsia="en-US"/>
              </w:rPr>
              <w:t xml:space="preserve">Grade </w:t>
            </w:r>
            <w:r w:rsidRPr="00DB1693">
              <w:t>≥2:</w:t>
            </w:r>
            <w:r w:rsidR="007C615F">
              <w:t xml:space="preserve"> 78.2%</w:t>
            </w:r>
          </w:p>
        </w:tc>
        <w:tc>
          <w:tcPr>
            <w:tcW w:w="411" w:type="pct"/>
            <w:tcBorders>
              <w:top w:val="single" w:sz="4" w:space="0" w:color="auto"/>
              <w:bottom w:val="single" w:sz="4" w:space="0" w:color="auto"/>
            </w:tcBorders>
          </w:tcPr>
          <w:p w14:paraId="3AF8E459" w14:textId="43056D6C" w:rsidR="00EE05BB" w:rsidRPr="00A545E7" w:rsidRDefault="007C615F" w:rsidP="00F43CBA">
            <w:pPr>
              <w:pStyle w:val="Tabletext1"/>
              <w:jc w:val="center"/>
              <w:rPr>
                <w:b/>
                <w:bCs/>
              </w:rPr>
            </w:pPr>
            <w:r>
              <w:t>42.2%</w:t>
            </w:r>
          </w:p>
        </w:tc>
      </w:tr>
      <w:tr w:rsidR="007F1BAA" w14:paraId="4C2C59A7" w14:textId="3375BF58" w:rsidTr="00F43CBA">
        <w:trPr>
          <w:cnfStyle w:val="100000000000" w:firstRow="1" w:lastRow="0" w:firstColumn="0" w:lastColumn="0" w:oddVBand="0" w:evenVBand="0" w:oddHBand="0" w:evenHBand="0" w:firstRowFirstColumn="0" w:firstRowLastColumn="0" w:lastRowFirstColumn="0" w:lastRowLastColumn="0"/>
          <w:tblHeader/>
        </w:trPr>
        <w:tc>
          <w:tcPr>
            <w:tcW w:w="656" w:type="pct"/>
            <w:tcBorders>
              <w:top w:val="nil"/>
              <w:left w:val="single" w:sz="4" w:space="0" w:color="auto"/>
              <w:bottom w:val="nil"/>
              <w:right w:val="single" w:sz="4" w:space="0" w:color="auto"/>
            </w:tcBorders>
            <w:shd w:val="clear" w:color="auto" w:fill="auto"/>
          </w:tcPr>
          <w:p w14:paraId="75200BEA" w14:textId="77777777" w:rsidR="007F1BAA" w:rsidRDefault="007F1BAA" w:rsidP="00F43CBA">
            <w:pPr>
              <w:pStyle w:val="Tabletext1"/>
              <w:rPr>
                <w:snapToGrid w:val="0"/>
                <w:lang w:eastAsia="en-US"/>
              </w:rPr>
            </w:pPr>
          </w:p>
        </w:tc>
        <w:tc>
          <w:tcPr>
            <w:tcW w:w="1036" w:type="pct"/>
            <w:tcBorders>
              <w:left w:val="single" w:sz="4" w:space="0" w:color="auto"/>
            </w:tcBorders>
          </w:tcPr>
          <w:p w14:paraId="69760591" w14:textId="526FB263" w:rsidR="007F1BAA" w:rsidRPr="00A545E7" w:rsidRDefault="007C615F" w:rsidP="00F43CBA">
            <w:pPr>
              <w:pStyle w:val="Tabletext1"/>
              <w:rPr>
                <w:b/>
                <w:bCs/>
                <w:snapToGrid w:val="0"/>
                <w:lang w:eastAsia="en-US"/>
              </w:rPr>
            </w:pPr>
            <w:r>
              <w:t>D</w:t>
            </w:r>
            <w:r w:rsidR="007F1BAA" w:rsidRPr="00A545E7">
              <w:t>ysphagia</w:t>
            </w:r>
          </w:p>
        </w:tc>
        <w:tc>
          <w:tcPr>
            <w:tcW w:w="416" w:type="pct"/>
            <w:tcBorders>
              <w:top w:val="single" w:sz="4" w:space="0" w:color="auto"/>
              <w:bottom w:val="single" w:sz="4" w:space="0" w:color="auto"/>
            </w:tcBorders>
            <w:shd w:val="clear" w:color="auto" w:fill="auto"/>
          </w:tcPr>
          <w:p w14:paraId="6FC08BBA" w14:textId="77777777" w:rsidR="007F1BAA" w:rsidRDefault="007F1BAA" w:rsidP="00F43CBA">
            <w:pPr>
              <w:pStyle w:val="Tabletext1"/>
              <w:jc w:val="center"/>
              <w:rPr>
                <w:snapToGrid w:val="0"/>
                <w:lang w:eastAsia="en-US"/>
              </w:rPr>
            </w:pPr>
          </w:p>
        </w:tc>
        <w:tc>
          <w:tcPr>
            <w:tcW w:w="415" w:type="pct"/>
            <w:tcBorders>
              <w:top w:val="single" w:sz="4" w:space="0" w:color="auto"/>
              <w:bottom w:val="single" w:sz="4" w:space="0" w:color="auto"/>
            </w:tcBorders>
          </w:tcPr>
          <w:p w14:paraId="48BD48AB" w14:textId="77777777" w:rsidR="007F1BAA" w:rsidRDefault="007F1BAA" w:rsidP="00F43CBA">
            <w:pPr>
              <w:pStyle w:val="Tabletext1"/>
              <w:jc w:val="center"/>
              <w:rPr>
                <w:snapToGrid w:val="0"/>
                <w:lang w:eastAsia="en-US"/>
              </w:rPr>
            </w:pPr>
          </w:p>
        </w:tc>
        <w:tc>
          <w:tcPr>
            <w:tcW w:w="415" w:type="pct"/>
            <w:tcBorders>
              <w:top w:val="single" w:sz="4" w:space="0" w:color="auto"/>
              <w:bottom w:val="single" w:sz="4" w:space="0" w:color="auto"/>
            </w:tcBorders>
          </w:tcPr>
          <w:p w14:paraId="2099A9C1" w14:textId="3B643C18" w:rsidR="007F1BAA" w:rsidRDefault="00DA0662" w:rsidP="00F43CBA">
            <w:pPr>
              <w:pStyle w:val="Tabletext1"/>
              <w:jc w:val="center"/>
              <w:rPr>
                <w:snapToGrid w:val="0"/>
                <w:lang w:eastAsia="en-US"/>
              </w:rPr>
            </w:pPr>
            <w:r w:rsidRPr="00DB1693">
              <w:rPr>
                <w:snapToGrid w:val="0"/>
                <w:lang w:eastAsia="en-US"/>
              </w:rPr>
              <w:t xml:space="preserve">Grade </w:t>
            </w:r>
            <w:r w:rsidRPr="00DB1693">
              <w:t>≥2:</w:t>
            </w:r>
            <w:r w:rsidR="00656929">
              <w:t xml:space="preserve"> </w:t>
            </w:r>
            <w:r w:rsidR="00514CE4">
              <w:t>62.0%</w:t>
            </w:r>
          </w:p>
        </w:tc>
        <w:tc>
          <w:tcPr>
            <w:tcW w:w="414" w:type="pct"/>
            <w:tcBorders>
              <w:top w:val="single" w:sz="4" w:space="0" w:color="auto"/>
              <w:bottom w:val="single" w:sz="4" w:space="0" w:color="auto"/>
            </w:tcBorders>
          </w:tcPr>
          <w:p w14:paraId="42121E97" w14:textId="0AB9AE09" w:rsidR="007F1BAA" w:rsidRPr="00A545E7" w:rsidRDefault="00514CE4" w:rsidP="00F43CBA">
            <w:pPr>
              <w:pStyle w:val="Tabletext1"/>
              <w:jc w:val="center"/>
              <w:rPr>
                <w:b/>
                <w:bCs/>
                <w:snapToGrid w:val="0"/>
                <w:lang w:eastAsia="en-US"/>
              </w:rPr>
            </w:pPr>
            <w:r>
              <w:rPr>
                <w:snapToGrid w:val="0"/>
                <w:lang w:eastAsia="en-US"/>
              </w:rPr>
              <w:t>22.1%</w:t>
            </w:r>
          </w:p>
        </w:tc>
        <w:tc>
          <w:tcPr>
            <w:tcW w:w="414" w:type="pct"/>
            <w:tcBorders>
              <w:top w:val="single" w:sz="4" w:space="0" w:color="auto"/>
              <w:bottom w:val="single" w:sz="4" w:space="0" w:color="auto"/>
            </w:tcBorders>
          </w:tcPr>
          <w:p w14:paraId="5C3BB055" w14:textId="77777777" w:rsidR="007F1BAA" w:rsidRPr="00A545E7" w:rsidRDefault="007F1BAA" w:rsidP="00F43CBA">
            <w:pPr>
              <w:pStyle w:val="Tabletext1"/>
              <w:jc w:val="center"/>
              <w:rPr>
                <w:b/>
                <w:bCs/>
              </w:rPr>
            </w:pPr>
          </w:p>
        </w:tc>
        <w:tc>
          <w:tcPr>
            <w:tcW w:w="412" w:type="pct"/>
            <w:tcBorders>
              <w:top w:val="single" w:sz="4" w:space="0" w:color="auto"/>
              <w:bottom w:val="single" w:sz="4" w:space="0" w:color="auto"/>
            </w:tcBorders>
          </w:tcPr>
          <w:p w14:paraId="12A1C312" w14:textId="77777777" w:rsidR="007F1BAA" w:rsidRPr="00A545E7" w:rsidRDefault="007F1BAA" w:rsidP="00F43CBA">
            <w:pPr>
              <w:pStyle w:val="Tabletext1"/>
              <w:jc w:val="center"/>
              <w:rPr>
                <w:b/>
                <w:bCs/>
              </w:rPr>
            </w:pPr>
          </w:p>
        </w:tc>
        <w:tc>
          <w:tcPr>
            <w:tcW w:w="411" w:type="pct"/>
            <w:tcBorders>
              <w:top w:val="single" w:sz="4" w:space="0" w:color="auto"/>
              <w:bottom w:val="single" w:sz="4" w:space="0" w:color="auto"/>
            </w:tcBorders>
          </w:tcPr>
          <w:p w14:paraId="2B85E383" w14:textId="1442EC03" w:rsidR="007F1BAA" w:rsidRPr="00A545E7" w:rsidRDefault="00DA0662" w:rsidP="00F43CBA">
            <w:pPr>
              <w:pStyle w:val="Tabletext1"/>
              <w:jc w:val="center"/>
              <w:rPr>
                <w:b/>
                <w:bCs/>
              </w:rPr>
            </w:pPr>
            <w:r w:rsidRPr="00DB1693">
              <w:rPr>
                <w:snapToGrid w:val="0"/>
                <w:lang w:eastAsia="en-US"/>
              </w:rPr>
              <w:t xml:space="preserve">Grade </w:t>
            </w:r>
            <w:r w:rsidRPr="00DB1693">
              <w:t>≥2:</w:t>
            </w:r>
            <w:r w:rsidR="00514CE4">
              <w:t xml:space="preserve"> 71.4%</w:t>
            </w:r>
          </w:p>
        </w:tc>
        <w:tc>
          <w:tcPr>
            <w:tcW w:w="411" w:type="pct"/>
            <w:tcBorders>
              <w:top w:val="single" w:sz="4" w:space="0" w:color="auto"/>
              <w:bottom w:val="single" w:sz="4" w:space="0" w:color="auto"/>
            </w:tcBorders>
          </w:tcPr>
          <w:p w14:paraId="473A5DE6" w14:textId="60A15958" w:rsidR="007F1BAA" w:rsidRPr="00A545E7" w:rsidRDefault="00514CE4" w:rsidP="00F43CBA">
            <w:pPr>
              <w:pStyle w:val="Tabletext1"/>
              <w:jc w:val="center"/>
              <w:rPr>
                <w:b/>
                <w:bCs/>
              </w:rPr>
            </w:pPr>
            <w:r>
              <w:t>33.5%</w:t>
            </w:r>
          </w:p>
        </w:tc>
      </w:tr>
      <w:tr w:rsidR="007F1BAA" w14:paraId="16A98B3D" w14:textId="319DBB4B" w:rsidTr="00F43CBA">
        <w:trPr>
          <w:cnfStyle w:val="100000000000" w:firstRow="1" w:lastRow="0" w:firstColumn="0" w:lastColumn="0" w:oddVBand="0" w:evenVBand="0" w:oddHBand="0" w:evenHBand="0" w:firstRowFirstColumn="0" w:firstRowLastColumn="0" w:lastRowFirstColumn="0" w:lastRowLastColumn="0"/>
          <w:tblHeader/>
        </w:trPr>
        <w:tc>
          <w:tcPr>
            <w:tcW w:w="656" w:type="pct"/>
            <w:tcBorders>
              <w:top w:val="nil"/>
              <w:left w:val="single" w:sz="4" w:space="0" w:color="auto"/>
              <w:bottom w:val="single" w:sz="4" w:space="0" w:color="auto"/>
              <w:right w:val="single" w:sz="4" w:space="0" w:color="auto"/>
            </w:tcBorders>
            <w:shd w:val="clear" w:color="auto" w:fill="auto"/>
          </w:tcPr>
          <w:p w14:paraId="5C782A7E" w14:textId="77777777" w:rsidR="007F1BAA" w:rsidRDefault="007F1BAA" w:rsidP="00F43CBA">
            <w:pPr>
              <w:pStyle w:val="Tabletext1"/>
              <w:rPr>
                <w:snapToGrid w:val="0"/>
                <w:lang w:eastAsia="en-US"/>
              </w:rPr>
            </w:pPr>
          </w:p>
        </w:tc>
        <w:tc>
          <w:tcPr>
            <w:tcW w:w="1036" w:type="pct"/>
            <w:tcBorders>
              <w:left w:val="single" w:sz="4" w:space="0" w:color="auto"/>
            </w:tcBorders>
            <w:vAlign w:val="center"/>
          </w:tcPr>
          <w:p w14:paraId="090300EA" w14:textId="46AAB32A" w:rsidR="007F1BAA" w:rsidRPr="00A545E7" w:rsidRDefault="00656929" w:rsidP="00F43CBA">
            <w:pPr>
              <w:pStyle w:val="Tabletext1"/>
              <w:rPr>
                <w:b/>
                <w:bCs/>
                <w:snapToGrid w:val="0"/>
                <w:lang w:eastAsia="en-US"/>
              </w:rPr>
            </w:pPr>
            <w:r>
              <w:rPr>
                <w:snapToGrid w:val="0"/>
                <w:lang w:eastAsia="en-US"/>
              </w:rPr>
              <w:t>Xerostomia</w:t>
            </w:r>
          </w:p>
        </w:tc>
        <w:tc>
          <w:tcPr>
            <w:tcW w:w="416" w:type="pct"/>
            <w:tcBorders>
              <w:top w:val="single" w:sz="4" w:space="0" w:color="auto"/>
              <w:bottom w:val="single" w:sz="4" w:space="0" w:color="auto"/>
            </w:tcBorders>
            <w:shd w:val="clear" w:color="auto" w:fill="auto"/>
          </w:tcPr>
          <w:p w14:paraId="5346BC04" w14:textId="77777777" w:rsidR="007F1BAA" w:rsidRDefault="007F1BAA" w:rsidP="00F43CBA">
            <w:pPr>
              <w:pStyle w:val="Tabletext1"/>
              <w:jc w:val="center"/>
              <w:rPr>
                <w:snapToGrid w:val="0"/>
                <w:lang w:eastAsia="en-US"/>
              </w:rPr>
            </w:pPr>
          </w:p>
        </w:tc>
        <w:tc>
          <w:tcPr>
            <w:tcW w:w="415" w:type="pct"/>
            <w:tcBorders>
              <w:top w:val="single" w:sz="4" w:space="0" w:color="auto"/>
              <w:bottom w:val="single" w:sz="4" w:space="0" w:color="auto"/>
            </w:tcBorders>
          </w:tcPr>
          <w:p w14:paraId="5BA7C955" w14:textId="77777777" w:rsidR="007F1BAA" w:rsidRDefault="007F1BAA" w:rsidP="00F43CBA">
            <w:pPr>
              <w:pStyle w:val="Tabletext1"/>
              <w:jc w:val="center"/>
              <w:rPr>
                <w:snapToGrid w:val="0"/>
                <w:lang w:eastAsia="en-US"/>
              </w:rPr>
            </w:pPr>
          </w:p>
        </w:tc>
        <w:tc>
          <w:tcPr>
            <w:tcW w:w="415" w:type="pct"/>
            <w:tcBorders>
              <w:top w:val="single" w:sz="4" w:space="0" w:color="auto"/>
              <w:bottom w:val="single" w:sz="4" w:space="0" w:color="auto"/>
            </w:tcBorders>
          </w:tcPr>
          <w:p w14:paraId="4EE3A096" w14:textId="43BBA84F" w:rsidR="007F1BAA" w:rsidRDefault="00B2486A" w:rsidP="00F43CBA">
            <w:pPr>
              <w:pStyle w:val="Tabletext1"/>
              <w:jc w:val="center"/>
              <w:rPr>
                <w:snapToGrid w:val="0"/>
                <w:lang w:eastAsia="en-US"/>
              </w:rPr>
            </w:pPr>
            <w:r w:rsidRPr="00DB1693">
              <w:rPr>
                <w:snapToGrid w:val="0"/>
                <w:lang w:eastAsia="en-US"/>
              </w:rPr>
              <w:t xml:space="preserve">Grade </w:t>
            </w:r>
            <w:r w:rsidRPr="00DB1693">
              <w:t>≥2:</w:t>
            </w:r>
            <w:r>
              <w:t xml:space="preserve"> </w:t>
            </w:r>
            <w:r w:rsidRPr="00B2486A">
              <w:rPr>
                <w:snapToGrid w:val="0"/>
                <w:lang w:eastAsia="en-US"/>
              </w:rPr>
              <w:t>33.7%</w:t>
            </w:r>
          </w:p>
        </w:tc>
        <w:tc>
          <w:tcPr>
            <w:tcW w:w="414" w:type="pct"/>
            <w:tcBorders>
              <w:top w:val="single" w:sz="4" w:space="0" w:color="auto"/>
              <w:bottom w:val="single" w:sz="4" w:space="0" w:color="auto"/>
            </w:tcBorders>
          </w:tcPr>
          <w:p w14:paraId="0D948B1D" w14:textId="0C278BE9" w:rsidR="007F1BAA" w:rsidRPr="00A545E7" w:rsidRDefault="007F1BAA" w:rsidP="00F43CBA">
            <w:pPr>
              <w:pStyle w:val="Tabletext1"/>
              <w:jc w:val="center"/>
              <w:rPr>
                <w:b/>
                <w:bCs/>
                <w:snapToGrid w:val="0"/>
                <w:lang w:eastAsia="en-US"/>
              </w:rPr>
            </w:pPr>
          </w:p>
        </w:tc>
        <w:tc>
          <w:tcPr>
            <w:tcW w:w="414" w:type="pct"/>
            <w:tcBorders>
              <w:top w:val="single" w:sz="4" w:space="0" w:color="auto"/>
              <w:bottom w:val="single" w:sz="4" w:space="0" w:color="auto"/>
            </w:tcBorders>
          </w:tcPr>
          <w:p w14:paraId="4A108C03" w14:textId="77777777" w:rsidR="007F1BAA" w:rsidRPr="00A545E7" w:rsidRDefault="007F1BAA" w:rsidP="00F43CBA">
            <w:pPr>
              <w:pStyle w:val="Tabletext1"/>
              <w:jc w:val="center"/>
              <w:rPr>
                <w:b/>
                <w:bCs/>
              </w:rPr>
            </w:pPr>
          </w:p>
        </w:tc>
        <w:tc>
          <w:tcPr>
            <w:tcW w:w="412" w:type="pct"/>
            <w:tcBorders>
              <w:top w:val="single" w:sz="4" w:space="0" w:color="auto"/>
              <w:bottom w:val="single" w:sz="4" w:space="0" w:color="auto"/>
            </w:tcBorders>
          </w:tcPr>
          <w:p w14:paraId="2526118C" w14:textId="77777777" w:rsidR="007F1BAA" w:rsidRPr="00A545E7" w:rsidRDefault="007F1BAA" w:rsidP="00F43CBA">
            <w:pPr>
              <w:pStyle w:val="Tabletext1"/>
              <w:jc w:val="center"/>
              <w:rPr>
                <w:b/>
                <w:bCs/>
              </w:rPr>
            </w:pPr>
          </w:p>
        </w:tc>
        <w:tc>
          <w:tcPr>
            <w:tcW w:w="411" w:type="pct"/>
            <w:tcBorders>
              <w:top w:val="single" w:sz="4" w:space="0" w:color="auto"/>
              <w:bottom w:val="single" w:sz="4" w:space="0" w:color="auto"/>
            </w:tcBorders>
          </w:tcPr>
          <w:p w14:paraId="04F949C3" w14:textId="1134C7C0" w:rsidR="007F1BAA" w:rsidRPr="00A545E7" w:rsidRDefault="00B2486A" w:rsidP="00F43CBA">
            <w:pPr>
              <w:pStyle w:val="Tabletext1"/>
              <w:jc w:val="center"/>
              <w:rPr>
                <w:b/>
                <w:bCs/>
              </w:rPr>
            </w:pPr>
            <w:r w:rsidRPr="00DB1693">
              <w:rPr>
                <w:snapToGrid w:val="0"/>
                <w:lang w:eastAsia="en-US"/>
              </w:rPr>
              <w:t xml:space="preserve">Grade </w:t>
            </w:r>
            <w:r w:rsidRPr="00DB1693">
              <w:t>≥2:</w:t>
            </w:r>
            <w:r>
              <w:t xml:space="preserve"> 37.9%</w:t>
            </w:r>
          </w:p>
        </w:tc>
        <w:tc>
          <w:tcPr>
            <w:tcW w:w="411" w:type="pct"/>
            <w:tcBorders>
              <w:top w:val="single" w:sz="4" w:space="0" w:color="auto"/>
              <w:bottom w:val="single" w:sz="4" w:space="0" w:color="auto"/>
            </w:tcBorders>
          </w:tcPr>
          <w:p w14:paraId="0B270244" w14:textId="77777777" w:rsidR="007F1BAA" w:rsidRPr="00A545E7" w:rsidRDefault="007F1BAA" w:rsidP="00F43CBA">
            <w:pPr>
              <w:pStyle w:val="Tabletext1"/>
              <w:jc w:val="center"/>
              <w:rPr>
                <w:b/>
                <w:bCs/>
              </w:rPr>
            </w:pPr>
          </w:p>
        </w:tc>
      </w:tr>
    </w:tbl>
    <w:p w14:paraId="4C6D9BBC" w14:textId="65BF6B73" w:rsidR="00DA2D2A" w:rsidRDefault="005A66B0" w:rsidP="0099553A">
      <w:pPr>
        <w:pStyle w:val="Tablenotes0"/>
      </w:pPr>
      <w:r>
        <w:t>CTV</w:t>
      </w:r>
      <w:r w:rsidR="000E28B6">
        <w:t>=</w:t>
      </w:r>
      <w:r>
        <w:t>clinical target volume; PTV</w:t>
      </w:r>
      <w:r w:rsidR="000E28B6">
        <w:t>=</w:t>
      </w:r>
      <w:r w:rsidR="0099553A">
        <w:t>planning target volume</w:t>
      </w:r>
    </w:p>
    <w:p w14:paraId="72E03CE3" w14:textId="224D474E" w:rsidR="00501C91" w:rsidRDefault="00501C91" w:rsidP="0081053C">
      <w:pPr>
        <w:pStyle w:val="Heading4"/>
      </w:pPr>
      <w:r>
        <w:t>Mixed cancer population</w:t>
      </w:r>
    </w:p>
    <w:p w14:paraId="7D680E5F" w14:textId="6910A80F" w:rsidR="0030758B" w:rsidRPr="0030758B" w:rsidRDefault="0030758B" w:rsidP="0081053C">
      <w:pPr>
        <w:keepNext/>
      </w:pPr>
      <w:r>
        <w:t>Acute toxicity rates from</w:t>
      </w:r>
      <w:r w:rsidR="000E4521">
        <w:t xml:space="preserve"> </w:t>
      </w:r>
      <w:r w:rsidR="004D14E9">
        <w:t>case series</w:t>
      </w:r>
      <w:r w:rsidR="000E4521">
        <w:t xml:space="preserve"> that included</w:t>
      </w:r>
      <w:r>
        <w:t xml:space="preserve"> a mixed cancer population were reported </w:t>
      </w:r>
      <w:r w:rsidR="0094775A">
        <w:t xml:space="preserve">by </w:t>
      </w:r>
      <w:hyperlink w:anchor="_ENREF_48" w:tooltip="Kluter, 2020 #20" w:history="1">
        <w:r w:rsidR="008B6FC0">
          <w:fldChar w:fldCharType="begin"/>
        </w:r>
        <w:r w:rsidR="008B6FC0">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fldChar w:fldCharType="separate"/>
        </w:r>
        <w:r w:rsidR="008B6FC0">
          <w:rPr>
            <w:noProof/>
          </w:rPr>
          <w:t>Kluter et al. (2020)</w:t>
        </w:r>
        <w:r w:rsidR="008B6FC0">
          <w:fldChar w:fldCharType="end"/>
        </w:r>
      </w:hyperlink>
      <w:r>
        <w:t>.</w:t>
      </w:r>
      <w:r w:rsidR="00EB7A29">
        <w:t xml:space="preserve"> </w:t>
      </w:r>
      <w:r w:rsidR="006B3AF7">
        <w:t>Twenty of the 43 included</w:t>
      </w:r>
      <w:r w:rsidR="00D72EF8" w:rsidRPr="00D72EF8">
        <w:t xml:space="preserve"> patients (47%)</w:t>
      </w:r>
      <w:r w:rsidR="00F94818">
        <w:t xml:space="preserve"> were eventually able to </w:t>
      </w:r>
      <w:r w:rsidR="00641CC0">
        <w:t>undergo</w:t>
      </w:r>
      <w:r w:rsidR="00F94818">
        <w:t xml:space="preserve"> MR-guided SBRT</w:t>
      </w:r>
      <w:r w:rsidR="00A03169">
        <w:t>, and the most common treated sites included lymph node metastases and liver lesions</w:t>
      </w:r>
      <w:r w:rsidR="00EB7A29">
        <w:t xml:space="preserve">. </w:t>
      </w:r>
      <w:r w:rsidR="000E4521">
        <w:t xml:space="preserve">No grade </w:t>
      </w:r>
      <w:r w:rsidR="00641CC0">
        <w:rPr>
          <w:rFonts w:cs="Calibri"/>
        </w:rPr>
        <w:t>≥</w:t>
      </w:r>
      <w:r w:rsidR="000E4521">
        <w:t>3</w:t>
      </w:r>
      <w:r w:rsidR="00D72EF8">
        <w:t xml:space="preserve"> acute</w:t>
      </w:r>
      <w:r w:rsidR="000E4521">
        <w:t xml:space="preserve"> toxicities were </w:t>
      </w:r>
      <w:r w:rsidR="00D72EF8">
        <w:t xml:space="preserve">observed in the included patient population. Four patients reported grade 2 fatigue and </w:t>
      </w:r>
      <w:r w:rsidR="00322FD5">
        <w:t>various grade 1 toxicities were reported</w:t>
      </w:r>
      <w:r w:rsidR="00012305">
        <w:t>,</w:t>
      </w:r>
      <w:r w:rsidR="00322FD5">
        <w:t xml:space="preserve"> with fatigue (n=19) and nausea (n=12) noted as </w:t>
      </w:r>
      <w:r w:rsidR="00012305">
        <w:t xml:space="preserve">the </w:t>
      </w:r>
      <w:r w:rsidR="00322FD5">
        <w:t xml:space="preserve">most common. All acute toxicities observed in the study are listed in </w:t>
      </w:r>
      <w:r w:rsidR="00322FD5">
        <w:fldChar w:fldCharType="begin"/>
      </w:r>
      <w:r w:rsidR="00322FD5">
        <w:instrText xml:space="preserve"> REF _Ref55476779 \h </w:instrText>
      </w:r>
      <w:r w:rsidR="00322FD5">
        <w:fldChar w:fldCharType="separate"/>
      </w:r>
      <w:r w:rsidR="00451350" w:rsidRPr="00E86441">
        <w:t xml:space="preserve">Table </w:t>
      </w:r>
      <w:r w:rsidR="00451350">
        <w:rPr>
          <w:noProof/>
        </w:rPr>
        <w:t>26</w:t>
      </w:r>
      <w:r w:rsidR="00322FD5">
        <w:fldChar w:fldCharType="end"/>
      </w:r>
      <w:r w:rsidR="00322FD5">
        <w:t>.</w:t>
      </w:r>
    </w:p>
    <w:p w14:paraId="1FB55D1A" w14:textId="07EBE766" w:rsidR="00166FC9" w:rsidRPr="00183E4D" w:rsidRDefault="00166FC9" w:rsidP="0030758B">
      <w:pPr>
        <w:pStyle w:val="Caption"/>
        <w:keepNext/>
        <w:rPr>
          <w:snapToGrid w:val="0"/>
          <w:lang w:eastAsia="en-US"/>
        </w:rPr>
      </w:pPr>
      <w:bookmarkStart w:id="372" w:name="_Ref55476779"/>
      <w:bookmarkStart w:id="373" w:name="_Toc89857897"/>
      <w:r w:rsidRPr="00E86441">
        <w:t xml:space="preserve">Table </w:t>
      </w:r>
      <w:r w:rsidR="00211285">
        <w:fldChar w:fldCharType="begin"/>
      </w:r>
      <w:r w:rsidR="00211285">
        <w:instrText xml:space="preserve"> SEQ Table \* ARABIC </w:instrText>
      </w:r>
      <w:r w:rsidR="00211285">
        <w:fldChar w:fldCharType="separate"/>
      </w:r>
      <w:r w:rsidR="00451350">
        <w:rPr>
          <w:noProof/>
        </w:rPr>
        <w:t>26</w:t>
      </w:r>
      <w:r w:rsidR="00211285">
        <w:rPr>
          <w:noProof/>
        </w:rPr>
        <w:fldChar w:fldCharType="end"/>
      </w:r>
      <w:bookmarkEnd w:id="372"/>
      <w:r w:rsidRPr="00E86441">
        <w:tab/>
        <w:t>Results</w:t>
      </w:r>
      <w:r w:rsidRPr="00183E4D">
        <w:rPr>
          <w:snapToGrid w:val="0"/>
          <w:lang w:eastAsia="en-US"/>
        </w:rPr>
        <w:t xml:space="preserve"> of </w:t>
      </w:r>
      <w:r>
        <w:rPr>
          <w:snapToGrid w:val="0"/>
          <w:lang w:eastAsia="en-US"/>
        </w:rPr>
        <w:t>toxicity</w:t>
      </w:r>
      <w:r w:rsidRPr="00183E4D">
        <w:rPr>
          <w:snapToGrid w:val="0"/>
          <w:lang w:eastAsia="en-US"/>
        </w:rPr>
        <w:t xml:space="preserve"> across th</w:t>
      </w:r>
      <w:r w:rsidRPr="00846B88">
        <w:rPr>
          <w:snapToGrid w:val="0"/>
          <w:lang w:eastAsia="en-US"/>
        </w:rPr>
        <w:t>e studies</w:t>
      </w:r>
      <w:r w:rsidR="00E43675">
        <w:rPr>
          <w:snapToGrid w:val="0"/>
          <w:lang w:eastAsia="en-US"/>
        </w:rPr>
        <w:t>, mixed cancer population, MR-IGRT</w:t>
      </w:r>
      <w:bookmarkEnd w:id="373"/>
    </w:p>
    <w:tbl>
      <w:tblPr>
        <w:tblStyle w:val="TableGrid1"/>
        <w:tblW w:w="5000" w:type="pct"/>
        <w:tblCellMar>
          <w:left w:w="28" w:type="dxa"/>
          <w:right w:w="28" w:type="dxa"/>
        </w:tblCellMar>
        <w:tblLook w:val="04A0" w:firstRow="1" w:lastRow="0" w:firstColumn="1" w:lastColumn="0" w:noHBand="0" w:noVBand="1"/>
        <w:tblCaption w:val="Table 26 Results of toxicity across the studies, mixed cancer population, MR-IGRT"/>
        <w:tblDescription w:val="This table provides results of toxicity in mixed cancer population for MR-IGRT. "/>
      </w:tblPr>
      <w:tblGrid>
        <w:gridCol w:w="2565"/>
        <w:gridCol w:w="2447"/>
        <w:gridCol w:w="2002"/>
        <w:gridCol w:w="2002"/>
      </w:tblGrid>
      <w:tr w:rsidR="00F43CBA" w:rsidRPr="00B2301A" w14:paraId="7BF5FF67" w14:textId="591A4C72" w:rsidTr="00F43CBA">
        <w:trPr>
          <w:cnfStyle w:val="100000000000" w:firstRow="1" w:lastRow="0" w:firstColumn="0" w:lastColumn="0" w:oddVBand="0" w:evenVBand="0" w:oddHBand="0" w:evenHBand="0" w:firstRowFirstColumn="0" w:firstRowLastColumn="0" w:lastRowFirstColumn="0" w:lastRowLastColumn="0"/>
          <w:tblHeader/>
        </w:trPr>
        <w:tc>
          <w:tcPr>
            <w:tcW w:w="1422" w:type="pct"/>
            <w:tcBorders>
              <w:top w:val="single" w:sz="4" w:space="0" w:color="auto"/>
              <w:left w:val="single" w:sz="4" w:space="0" w:color="auto"/>
              <w:bottom w:val="nil"/>
              <w:right w:val="single" w:sz="4" w:space="0" w:color="auto"/>
            </w:tcBorders>
            <w:shd w:val="clear" w:color="auto" w:fill="auto"/>
          </w:tcPr>
          <w:p w14:paraId="0BC18238" w14:textId="042764CB" w:rsidR="00F43CBA" w:rsidRPr="00F43CBA" w:rsidRDefault="00F43CBA" w:rsidP="00F43CBA">
            <w:pPr>
              <w:pStyle w:val="Tabletext1"/>
              <w:rPr>
                <w:b/>
                <w:bCs/>
                <w:snapToGrid w:val="0"/>
                <w:lang w:eastAsia="en-US"/>
              </w:rPr>
            </w:pPr>
            <w:r w:rsidRPr="00F43CBA">
              <w:rPr>
                <w:b/>
                <w:bCs/>
                <w:snapToGrid w:val="0"/>
                <w:lang w:eastAsia="en-US"/>
              </w:rPr>
              <w:t>Study ID</w:t>
            </w:r>
          </w:p>
        </w:tc>
        <w:tc>
          <w:tcPr>
            <w:tcW w:w="1357" w:type="pct"/>
            <w:tcBorders>
              <w:left w:val="single" w:sz="4" w:space="0" w:color="auto"/>
              <w:bottom w:val="single" w:sz="4" w:space="0" w:color="auto"/>
              <w:right w:val="single" w:sz="4" w:space="0" w:color="auto"/>
            </w:tcBorders>
          </w:tcPr>
          <w:p w14:paraId="19AD54AB" w14:textId="7CC74A34" w:rsidR="00F43CBA" w:rsidRPr="00F43CBA" w:rsidRDefault="00F43CBA" w:rsidP="00F43CBA">
            <w:pPr>
              <w:pStyle w:val="Tabletext1"/>
              <w:jc w:val="center"/>
              <w:rPr>
                <w:b/>
                <w:bCs/>
                <w:snapToGrid w:val="0"/>
                <w:lang w:eastAsia="en-US"/>
              </w:rPr>
            </w:pPr>
            <w:r w:rsidRPr="00F43CBA">
              <w:rPr>
                <w:b/>
                <w:bCs/>
                <w:snapToGrid w:val="0"/>
                <w:lang w:eastAsia="en-US"/>
              </w:rPr>
              <w:t>Toxicity</w:t>
            </w:r>
          </w:p>
        </w:tc>
        <w:tc>
          <w:tcPr>
            <w:tcW w:w="2220" w:type="pct"/>
            <w:gridSpan w:val="2"/>
            <w:tcBorders>
              <w:top w:val="single" w:sz="4" w:space="0" w:color="auto"/>
              <w:left w:val="single" w:sz="4" w:space="0" w:color="auto"/>
              <w:bottom w:val="single" w:sz="4" w:space="0" w:color="auto"/>
              <w:right w:val="single" w:sz="4" w:space="0" w:color="auto"/>
            </w:tcBorders>
            <w:shd w:val="clear" w:color="auto" w:fill="auto"/>
          </w:tcPr>
          <w:p w14:paraId="60F3A3AE" w14:textId="4C77A2C9" w:rsidR="00F43CBA" w:rsidRPr="00F43CBA" w:rsidRDefault="00F43CBA" w:rsidP="00F43CBA">
            <w:pPr>
              <w:pStyle w:val="Tabletext1"/>
              <w:jc w:val="center"/>
              <w:rPr>
                <w:b/>
                <w:bCs/>
                <w:snapToGrid w:val="0"/>
                <w:lang w:eastAsia="en-US"/>
              </w:rPr>
            </w:pPr>
            <w:r w:rsidRPr="00F43CBA">
              <w:rPr>
                <w:b/>
                <w:bCs/>
                <w:snapToGrid w:val="0"/>
                <w:lang w:eastAsia="en-US"/>
              </w:rPr>
              <w:t>Acute</w:t>
            </w:r>
          </w:p>
        </w:tc>
      </w:tr>
      <w:tr w:rsidR="00E43675" w:rsidRPr="00B2301A" w14:paraId="653FC50C" w14:textId="77777777" w:rsidTr="00EB30A3">
        <w:trPr>
          <w:cnfStyle w:val="100000000000" w:firstRow="1" w:lastRow="0" w:firstColumn="0" w:lastColumn="0" w:oddVBand="0" w:evenVBand="0" w:oddHBand="0" w:evenHBand="0" w:firstRowFirstColumn="0" w:firstRowLastColumn="0" w:lastRowFirstColumn="0" w:lastRowLastColumn="0"/>
          <w:tblHeader/>
        </w:trPr>
        <w:tc>
          <w:tcPr>
            <w:tcW w:w="1422" w:type="pct"/>
            <w:tcBorders>
              <w:top w:val="nil"/>
              <w:left w:val="single" w:sz="4" w:space="0" w:color="auto"/>
              <w:bottom w:val="single" w:sz="4" w:space="0" w:color="auto"/>
              <w:right w:val="single" w:sz="4" w:space="0" w:color="auto"/>
            </w:tcBorders>
            <w:shd w:val="clear" w:color="auto" w:fill="auto"/>
          </w:tcPr>
          <w:p w14:paraId="26568123" w14:textId="77777777" w:rsidR="00E43675" w:rsidRPr="00F43CBA" w:rsidRDefault="00E43675" w:rsidP="00F43CBA">
            <w:pPr>
              <w:pStyle w:val="Tabletext1"/>
              <w:rPr>
                <w:b/>
                <w:bCs/>
                <w:snapToGrid w:val="0"/>
                <w:lang w:eastAsia="en-US"/>
              </w:rPr>
            </w:pPr>
          </w:p>
        </w:tc>
        <w:tc>
          <w:tcPr>
            <w:tcW w:w="1357" w:type="pct"/>
            <w:tcBorders>
              <w:left w:val="single" w:sz="4" w:space="0" w:color="auto"/>
              <w:bottom w:val="single" w:sz="4" w:space="0" w:color="auto"/>
            </w:tcBorders>
          </w:tcPr>
          <w:p w14:paraId="5FA4D722" w14:textId="4F42A396" w:rsidR="00E43675" w:rsidRPr="00F43CBA" w:rsidRDefault="00E43675" w:rsidP="00F43CBA">
            <w:pPr>
              <w:pStyle w:val="Tabletext1"/>
              <w:jc w:val="center"/>
              <w:rPr>
                <w:b/>
                <w:bCs/>
                <w:snapToGrid w:val="0"/>
                <w:lang w:eastAsia="en-US"/>
              </w:rPr>
            </w:pPr>
            <w:r w:rsidRPr="00F43CBA">
              <w:rPr>
                <w:b/>
                <w:bCs/>
                <w:snapToGrid w:val="0"/>
                <w:lang w:eastAsia="en-US"/>
              </w:rPr>
              <w:t>Grade</w:t>
            </w:r>
          </w:p>
        </w:tc>
        <w:tc>
          <w:tcPr>
            <w:tcW w:w="1110" w:type="pct"/>
            <w:tcBorders>
              <w:top w:val="single" w:sz="4" w:space="0" w:color="auto"/>
              <w:bottom w:val="single" w:sz="4" w:space="0" w:color="auto"/>
            </w:tcBorders>
            <w:shd w:val="clear" w:color="auto" w:fill="auto"/>
          </w:tcPr>
          <w:p w14:paraId="51DE0EC3" w14:textId="5A7759D0" w:rsidR="00E43675" w:rsidRPr="00F43CBA" w:rsidRDefault="00E43675" w:rsidP="00F43CBA">
            <w:pPr>
              <w:pStyle w:val="Tabletext1"/>
              <w:jc w:val="center"/>
              <w:rPr>
                <w:b/>
                <w:bCs/>
                <w:snapToGrid w:val="0"/>
                <w:lang w:eastAsia="en-US"/>
              </w:rPr>
            </w:pPr>
            <w:r w:rsidRPr="00F43CBA">
              <w:rPr>
                <w:b/>
                <w:bCs/>
                <w:snapToGrid w:val="0"/>
                <w:lang w:eastAsia="en-US"/>
              </w:rPr>
              <w:t>1</w:t>
            </w:r>
          </w:p>
        </w:tc>
        <w:tc>
          <w:tcPr>
            <w:tcW w:w="1110" w:type="pct"/>
            <w:tcBorders>
              <w:top w:val="single" w:sz="4" w:space="0" w:color="auto"/>
              <w:bottom w:val="single" w:sz="4" w:space="0" w:color="auto"/>
            </w:tcBorders>
          </w:tcPr>
          <w:p w14:paraId="4EE93FC2" w14:textId="2FBD7574" w:rsidR="00E43675" w:rsidRPr="00F43CBA" w:rsidRDefault="00E43675" w:rsidP="00F43CBA">
            <w:pPr>
              <w:pStyle w:val="Tabletext1"/>
              <w:jc w:val="center"/>
              <w:rPr>
                <w:b/>
                <w:bCs/>
                <w:snapToGrid w:val="0"/>
                <w:lang w:eastAsia="en-US"/>
              </w:rPr>
            </w:pPr>
            <w:r w:rsidRPr="00F43CBA">
              <w:rPr>
                <w:b/>
                <w:bCs/>
                <w:snapToGrid w:val="0"/>
                <w:lang w:eastAsia="en-US"/>
              </w:rPr>
              <w:t>2</w:t>
            </w:r>
          </w:p>
        </w:tc>
      </w:tr>
      <w:tr w:rsidR="00E43675" w:rsidRPr="00B2301A" w14:paraId="2DB213DF" w14:textId="1BFAB50B" w:rsidTr="00EB30A3">
        <w:tc>
          <w:tcPr>
            <w:tcW w:w="1422" w:type="pct"/>
            <w:tcBorders>
              <w:top w:val="single" w:sz="4" w:space="0" w:color="auto"/>
              <w:bottom w:val="nil"/>
            </w:tcBorders>
            <w:shd w:val="clear" w:color="auto" w:fill="auto"/>
          </w:tcPr>
          <w:p w14:paraId="512468F8" w14:textId="3F0C46AE" w:rsidR="00E43675" w:rsidRDefault="00211285" w:rsidP="00F43CBA">
            <w:pPr>
              <w:pStyle w:val="Tabletext1"/>
              <w:rPr>
                <w:snapToGrid w:val="0"/>
              </w:rPr>
            </w:pPr>
            <w:hyperlink w:anchor="_ENREF_48" w:tooltip="Kluter, 2020 #20" w:history="1">
              <w:r w:rsidR="008B6FC0">
                <w:rPr>
                  <w:snapToGrid w:val="0"/>
                </w:rPr>
                <w:fldChar w:fldCharType="begin"/>
              </w:r>
              <w:r w:rsidR="008B6FC0">
                <w:rPr>
                  <w:snapToGrid w:val="0"/>
                </w:rPr>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rPr>
                  <w:snapToGrid w:val="0"/>
                </w:rPr>
                <w:fldChar w:fldCharType="separate"/>
              </w:r>
              <w:r w:rsidR="008B6FC0">
                <w:rPr>
                  <w:noProof/>
                  <w:snapToGrid w:val="0"/>
                </w:rPr>
                <w:t>Kluter et al. (2020)</w:t>
              </w:r>
              <w:r w:rsidR="008B6FC0">
                <w:rPr>
                  <w:snapToGrid w:val="0"/>
                </w:rPr>
                <w:fldChar w:fldCharType="end"/>
              </w:r>
            </w:hyperlink>
          </w:p>
        </w:tc>
        <w:tc>
          <w:tcPr>
            <w:tcW w:w="1357" w:type="pct"/>
            <w:vAlign w:val="center"/>
          </w:tcPr>
          <w:p w14:paraId="7CDBE182" w14:textId="5A5C7C7D" w:rsidR="00E43675" w:rsidRDefault="00E43675" w:rsidP="00F43CBA">
            <w:pPr>
              <w:pStyle w:val="Tabletext1"/>
              <w:jc w:val="center"/>
            </w:pPr>
            <w:r>
              <w:t>Fatigue</w:t>
            </w:r>
          </w:p>
        </w:tc>
        <w:tc>
          <w:tcPr>
            <w:tcW w:w="1110" w:type="pct"/>
            <w:shd w:val="clear" w:color="auto" w:fill="auto"/>
          </w:tcPr>
          <w:p w14:paraId="1A673C41" w14:textId="1BA27FB7" w:rsidR="00E43675" w:rsidRDefault="00E43675" w:rsidP="00F43CBA">
            <w:pPr>
              <w:pStyle w:val="Tabletext1"/>
              <w:jc w:val="center"/>
            </w:pPr>
            <w:r>
              <w:t>19/43</w:t>
            </w:r>
            <w:r w:rsidR="00F95B70">
              <w:t xml:space="preserve"> (44%)</w:t>
            </w:r>
          </w:p>
        </w:tc>
        <w:tc>
          <w:tcPr>
            <w:tcW w:w="1110" w:type="pct"/>
          </w:tcPr>
          <w:p w14:paraId="7C00154C" w14:textId="760C555B" w:rsidR="00E43675" w:rsidRDefault="00E43675" w:rsidP="00F43CBA">
            <w:pPr>
              <w:pStyle w:val="Tabletext1"/>
              <w:jc w:val="center"/>
            </w:pPr>
            <w:r>
              <w:t>4/43</w:t>
            </w:r>
            <w:r w:rsidR="00F95B70">
              <w:t xml:space="preserve"> </w:t>
            </w:r>
            <w:r w:rsidR="006C5412">
              <w:t>(9%)</w:t>
            </w:r>
          </w:p>
        </w:tc>
      </w:tr>
      <w:tr w:rsidR="00E43675" w:rsidRPr="00B2301A" w14:paraId="678F572A" w14:textId="2A3E0E8E" w:rsidTr="00EB30A3">
        <w:tc>
          <w:tcPr>
            <w:tcW w:w="1422" w:type="pct"/>
            <w:tcBorders>
              <w:top w:val="nil"/>
              <w:bottom w:val="nil"/>
            </w:tcBorders>
            <w:shd w:val="clear" w:color="auto" w:fill="auto"/>
          </w:tcPr>
          <w:p w14:paraId="3729FD23" w14:textId="00912FE6" w:rsidR="00E43675" w:rsidRDefault="00E43675" w:rsidP="00F43CBA">
            <w:pPr>
              <w:pStyle w:val="Tabletext1"/>
              <w:rPr>
                <w:snapToGrid w:val="0"/>
              </w:rPr>
            </w:pPr>
          </w:p>
        </w:tc>
        <w:tc>
          <w:tcPr>
            <w:tcW w:w="1357" w:type="pct"/>
            <w:vAlign w:val="center"/>
          </w:tcPr>
          <w:p w14:paraId="60E0EE5F" w14:textId="0CD648F2" w:rsidR="00E43675" w:rsidRDefault="00E43675" w:rsidP="00F43CBA">
            <w:pPr>
              <w:pStyle w:val="Tabletext1"/>
              <w:jc w:val="center"/>
            </w:pPr>
            <w:r>
              <w:t>Nausea</w:t>
            </w:r>
          </w:p>
        </w:tc>
        <w:tc>
          <w:tcPr>
            <w:tcW w:w="1110" w:type="pct"/>
            <w:shd w:val="clear" w:color="auto" w:fill="auto"/>
          </w:tcPr>
          <w:p w14:paraId="3025975E" w14:textId="6EC51722" w:rsidR="00E43675" w:rsidRDefault="00E43675" w:rsidP="00F43CBA">
            <w:pPr>
              <w:pStyle w:val="Tabletext1"/>
              <w:jc w:val="center"/>
            </w:pPr>
            <w:r>
              <w:t>12/43</w:t>
            </w:r>
            <w:r w:rsidR="000B6E5D">
              <w:t xml:space="preserve"> (</w:t>
            </w:r>
            <w:r w:rsidR="00B473B8">
              <w:t>28%)</w:t>
            </w:r>
          </w:p>
        </w:tc>
        <w:tc>
          <w:tcPr>
            <w:tcW w:w="1110" w:type="pct"/>
          </w:tcPr>
          <w:p w14:paraId="29C12080" w14:textId="77777777" w:rsidR="00E43675" w:rsidRDefault="00E43675" w:rsidP="00F43CBA">
            <w:pPr>
              <w:pStyle w:val="Tabletext1"/>
              <w:jc w:val="center"/>
            </w:pPr>
          </w:p>
        </w:tc>
      </w:tr>
      <w:tr w:rsidR="00E43675" w:rsidRPr="00B2301A" w14:paraId="68E4D8C2" w14:textId="710889D7" w:rsidTr="00EB30A3">
        <w:tc>
          <w:tcPr>
            <w:tcW w:w="1422" w:type="pct"/>
            <w:tcBorders>
              <w:top w:val="nil"/>
              <w:bottom w:val="nil"/>
            </w:tcBorders>
            <w:shd w:val="clear" w:color="auto" w:fill="auto"/>
          </w:tcPr>
          <w:p w14:paraId="5072FFC7" w14:textId="2D691469" w:rsidR="00E43675" w:rsidRDefault="00E43675" w:rsidP="00F43CBA">
            <w:pPr>
              <w:pStyle w:val="Tabletext1"/>
              <w:rPr>
                <w:snapToGrid w:val="0"/>
              </w:rPr>
            </w:pPr>
          </w:p>
        </w:tc>
        <w:tc>
          <w:tcPr>
            <w:tcW w:w="1357" w:type="pct"/>
            <w:vAlign w:val="center"/>
          </w:tcPr>
          <w:p w14:paraId="66CB54AD" w14:textId="431BEE0B" w:rsidR="00E43675" w:rsidRDefault="00E43675" w:rsidP="00F43CBA">
            <w:pPr>
              <w:pStyle w:val="Tabletext1"/>
              <w:jc w:val="center"/>
            </w:pPr>
            <w:r>
              <w:t>Coughing</w:t>
            </w:r>
          </w:p>
        </w:tc>
        <w:tc>
          <w:tcPr>
            <w:tcW w:w="1110" w:type="pct"/>
            <w:shd w:val="clear" w:color="auto" w:fill="auto"/>
          </w:tcPr>
          <w:p w14:paraId="217C5375" w14:textId="639CE42B" w:rsidR="00E43675" w:rsidRDefault="00E43675" w:rsidP="00F43CBA">
            <w:pPr>
              <w:pStyle w:val="Tabletext1"/>
              <w:jc w:val="center"/>
            </w:pPr>
            <w:r>
              <w:t>7/43</w:t>
            </w:r>
            <w:r w:rsidR="00B473B8">
              <w:t xml:space="preserve"> (16%)</w:t>
            </w:r>
          </w:p>
        </w:tc>
        <w:tc>
          <w:tcPr>
            <w:tcW w:w="1110" w:type="pct"/>
          </w:tcPr>
          <w:p w14:paraId="6F9CF7E9" w14:textId="77777777" w:rsidR="00E43675" w:rsidRDefault="00E43675" w:rsidP="00F43CBA">
            <w:pPr>
              <w:pStyle w:val="Tabletext1"/>
              <w:jc w:val="center"/>
            </w:pPr>
          </w:p>
        </w:tc>
      </w:tr>
      <w:tr w:rsidR="00E43675" w:rsidRPr="00B2301A" w14:paraId="4CD0B35D" w14:textId="73DF9AC1" w:rsidTr="00EB30A3">
        <w:tc>
          <w:tcPr>
            <w:tcW w:w="1422" w:type="pct"/>
            <w:tcBorders>
              <w:top w:val="nil"/>
              <w:bottom w:val="nil"/>
            </w:tcBorders>
            <w:shd w:val="clear" w:color="auto" w:fill="auto"/>
            <w:vAlign w:val="center"/>
          </w:tcPr>
          <w:p w14:paraId="308472CD" w14:textId="77777777" w:rsidR="00E43675" w:rsidRDefault="00E43675" w:rsidP="00F43CBA">
            <w:pPr>
              <w:pStyle w:val="Tabletext1"/>
              <w:rPr>
                <w:snapToGrid w:val="0"/>
              </w:rPr>
            </w:pPr>
          </w:p>
        </w:tc>
        <w:tc>
          <w:tcPr>
            <w:tcW w:w="1357" w:type="pct"/>
            <w:vAlign w:val="center"/>
          </w:tcPr>
          <w:p w14:paraId="6434DEF0" w14:textId="5785614B" w:rsidR="00E43675" w:rsidRDefault="00E43675" w:rsidP="00F43CBA">
            <w:pPr>
              <w:pStyle w:val="Tabletext1"/>
              <w:jc w:val="center"/>
            </w:pPr>
            <w:r>
              <w:t>Flatulence</w:t>
            </w:r>
          </w:p>
        </w:tc>
        <w:tc>
          <w:tcPr>
            <w:tcW w:w="1110" w:type="pct"/>
            <w:shd w:val="clear" w:color="auto" w:fill="auto"/>
          </w:tcPr>
          <w:p w14:paraId="5B598D6E" w14:textId="751F6592" w:rsidR="00E43675" w:rsidRDefault="00E43675" w:rsidP="00F43CBA">
            <w:pPr>
              <w:pStyle w:val="Tabletext1"/>
              <w:jc w:val="center"/>
            </w:pPr>
            <w:r>
              <w:t>6/43</w:t>
            </w:r>
            <w:r w:rsidR="00B473B8">
              <w:t xml:space="preserve"> </w:t>
            </w:r>
            <w:r w:rsidR="00D34B37">
              <w:t>(14%)</w:t>
            </w:r>
          </w:p>
        </w:tc>
        <w:tc>
          <w:tcPr>
            <w:tcW w:w="1110" w:type="pct"/>
          </w:tcPr>
          <w:p w14:paraId="6440DAB8" w14:textId="77777777" w:rsidR="00E43675" w:rsidRDefault="00E43675" w:rsidP="00F43CBA">
            <w:pPr>
              <w:pStyle w:val="Tabletext1"/>
              <w:jc w:val="center"/>
            </w:pPr>
          </w:p>
        </w:tc>
      </w:tr>
      <w:tr w:rsidR="00E43675" w:rsidRPr="00B2301A" w14:paraId="2CB68FE0" w14:textId="2713A162" w:rsidTr="00EB30A3">
        <w:tc>
          <w:tcPr>
            <w:tcW w:w="1422" w:type="pct"/>
            <w:tcBorders>
              <w:top w:val="nil"/>
              <w:bottom w:val="nil"/>
            </w:tcBorders>
            <w:shd w:val="clear" w:color="auto" w:fill="auto"/>
            <w:vAlign w:val="center"/>
          </w:tcPr>
          <w:p w14:paraId="69920324" w14:textId="56CFAE8F" w:rsidR="00E43675" w:rsidRDefault="00E43675" w:rsidP="00F43CBA">
            <w:pPr>
              <w:pStyle w:val="Tabletext1"/>
              <w:rPr>
                <w:snapToGrid w:val="0"/>
              </w:rPr>
            </w:pPr>
          </w:p>
        </w:tc>
        <w:tc>
          <w:tcPr>
            <w:tcW w:w="1357" w:type="pct"/>
            <w:vAlign w:val="center"/>
          </w:tcPr>
          <w:p w14:paraId="218F6AE6" w14:textId="73332547" w:rsidR="00E43675" w:rsidRDefault="00E43675" w:rsidP="00F43CBA">
            <w:pPr>
              <w:pStyle w:val="Tabletext1"/>
              <w:jc w:val="center"/>
            </w:pPr>
            <w:r>
              <w:t>Diarrhea</w:t>
            </w:r>
          </w:p>
        </w:tc>
        <w:tc>
          <w:tcPr>
            <w:tcW w:w="1110" w:type="pct"/>
            <w:shd w:val="clear" w:color="auto" w:fill="auto"/>
          </w:tcPr>
          <w:p w14:paraId="1604C5D6" w14:textId="723DFB2F" w:rsidR="00E43675" w:rsidRDefault="00E43675" w:rsidP="00F43CBA">
            <w:pPr>
              <w:pStyle w:val="Tabletext1"/>
              <w:jc w:val="center"/>
            </w:pPr>
            <w:r>
              <w:t>4/43</w:t>
            </w:r>
            <w:r w:rsidR="00D34B37">
              <w:t xml:space="preserve"> </w:t>
            </w:r>
            <w:r w:rsidR="006C76A3">
              <w:t>(9%)</w:t>
            </w:r>
          </w:p>
        </w:tc>
        <w:tc>
          <w:tcPr>
            <w:tcW w:w="1110" w:type="pct"/>
          </w:tcPr>
          <w:p w14:paraId="3722EC97" w14:textId="77777777" w:rsidR="00E43675" w:rsidRDefault="00E43675" w:rsidP="00F43CBA">
            <w:pPr>
              <w:pStyle w:val="Tabletext1"/>
              <w:jc w:val="center"/>
            </w:pPr>
          </w:p>
        </w:tc>
      </w:tr>
      <w:tr w:rsidR="00E43675" w:rsidRPr="00B2301A" w14:paraId="1F23E1A3" w14:textId="51DB3B57" w:rsidTr="00EB30A3">
        <w:tc>
          <w:tcPr>
            <w:tcW w:w="1422" w:type="pct"/>
            <w:tcBorders>
              <w:top w:val="nil"/>
              <w:bottom w:val="nil"/>
            </w:tcBorders>
            <w:shd w:val="clear" w:color="auto" w:fill="auto"/>
            <w:vAlign w:val="center"/>
          </w:tcPr>
          <w:p w14:paraId="013FAD0A" w14:textId="5CAE548B" w:rsidR="00E43675" w:rsidRDefault="00E43675" w:rsidP="00F43CBA">
            <w:pPr>
              <w:pStyle w:val="Tabletext1"/>
              <w:rPr>
                <w:snapToGrid w:val="0"/>
              </w:rPr>
            </w:pPr>
          </w:p>
        </w:tc>
        <w:tc>
          <w:tcPr>
            <w:tcW w:w="1357" w:type="pct"/>
            <w:vAlign w:val="center"/>
          </w:tcPr>
          <w:p w14:paraId="02DE17BA" w14:textId="25E447F6" w:rsidR="00E43675" w:rsidRDefault="00E43675" w:rsidP="00F43CBA">
            <w:pPr>
              <w:pStyle w:val="Tabletext1"/>
              <w:jc w:val="center"/>
            </w:pPr>
            <w:r>
              <w:t>Dyspn</w:t>
            </w:r>
            <w:r w:rsidR="006A6FD9">
              <w:t>o</w:t>
            </w:r>
            <w:r>
              <w:t>ea</w:t>
            </w:r>
          </w:p>
        </w:tc>
        <w:tc>
          <w:tcPr>
            <w:tcW w:w="1110" w:type="pct"/>
            <w:shd w:val="clear" w:color="auto" w:fill="auto"/>
          </w:tcPr>
          <w:p w14:paraId="1D40EBCD" w14:textId="5AE1EA7D" w:rsidR="00E43675" w:rsidRDefault="00E43675" w:rsidP="00F43CBA">
            <w:pPr>
              <w:pStyle w:val="Tabletext1"/>
              <w:jc w:val="center"/>
            </w:pPr>
            <w:r>
              <w:t>2/43</w:t>
            </w:r>
            <w:r w:rsidR="004E1646">
              <w:t xml:space="preserve"> (5%)</w:t>
            </w:r>
          </w:p>
        </w:tc>
        <w:tc>
          <w:tcPr>
            <w:tcW w:w="1110" w:type="pct"/>
          </w:tcPr>
          <w:p w14:paraId="62805451" w14:textId="77777777" w:rsidR="00E43675" w:rsidRDefault="00E43675" w:rsidP="00F43CBA">
            <w:pPr>
              <w:pStyle w:val="Tabletext1"/>
              <w:jc w:val="center"/>
            </w:pPr>
          </w:p>
        </w:tc>
      </w:tr>
      <w:tr w:rsidR="00E43675" w:rsidRPr="00B2301A" w14:paraId="164E3008" w14:textId="702F8DDA" w:rsidTr="00EB30A3">
        <w:tc>
          <w:tcPr>
            <w:tcW w:w="1422" w:type="pct"/>
            <w:tcBorders>
              <w:top w:val="nil"/>
              <w:bottom w:val="nil"/>
            </w:tcBorders>
            <w:shd w:val="clear" w:color="auto" w:fill="auto"/>
            <w:vAlign w:val="center"/>
          </w:tcPr>
          <w:p w14:paraId="15ADB797" w14:textId="1D864277" w:rsidR="00E43675" w:rsidRDefault="00E43675" w:rsidP="00F43CBA">
            <w:pPr>
              <w:pStyle w:val="Tabletext1"/>
              <w:rPr>
                <w:snapToGrid w:val="0"/>
              </w:rPr>
            </w:pPr>
          </w:p>
        </w:tc>
        <w:tc>
          <w:tcPr>
            <w:tcW w:w="1357" w:type="pct"/>
            <w:vAlign w:val="center"/>
          </w:tcPr>
          <w:p w14:paraId="4468D4CD" w14:textId="6AB653C4" w:rsidR="00E43675" w:rsidRDefault="00E43675" w:rsidP="00F43CBA">
            <w:pPr>
              <w:pStyle w:val="Tabletext1"/>
              <w:jc w:val="center"/>
            </w:pPr>
            <w:r>
              <w:t>D</w:t>
            </w:r>
            <w:r w:rsidRPr="00C863DE">
              <w:t>yspepsia</w:t>
            </w:r>
          </w:p>
        </w:tc>
        <w:tc>
          <w:tcPr>
            <w:tcW w:w="1110" w:type="pct"/>
            <w:shd w:val="clear" w:color="auto" w:fill="auto"/>
          </w:tcPr>
          <w:p w14:paraId="04B8981D" w14:textId="2B3D7B40" w:rsidR="00E43675" w:rsidRDefault="00E43675" w:rsidP="00F43CBA">
            <w:pPr>
              <w:pStyle w:val="Tabletext1"/>
              <w:jc w:val="center"/>
            </w:pPr>
            <w:r>
              <w:t>7/43</w:t>
            </w:r>
            <w:r w:rsidR="006348BC">
              <w:t xml:space="preserve"> (16%)</w:t>
            </w:r>
          </w:p>
        </w:tc>
        <w:tc>
          <w:tcPr>
            <w:tcW w:w="1110" w:type="pct"/>
          </w:tcPr>
          <w:p w14:paraId="6B61C9A5" w14:textId="77777777" w:rsidR="00E43675" w:rsidRDefault="00E43675" w:rsidP="00F43CBA">
            <w:pPr>
              <w:pStyle w:val="Tabletext1"/>
              <w:jc w:val="center"/>
            </w:pPr>
          </w:p>
        </w:tc>
      </w:tr>
      <w:tr w:rsidR="00E43675" w:rsidRPr="00B2301A" w14:paraId="367F8CA9" w14:textId="2181BD0C" w:rsidTr="00D81AD5">
        <w:tc>
          <w:tcPr>
            <w:tcW w:w="1422" w:type="pct"/>
            <w:tcBorders>
              <w:top w:val="nil"/>
              <w:bottom w:val="nil"/>
            </w:tcBorders>
            <w:shd w:val="clear" w:color="auto" w:fill="auto"/>
            <w:vAlign w:val="center"/>
          </w:tcPr>
          <w:p w14:paraId="738A6525" w14:textId="0A9E53E4" w:rsidR="00E43675" w:rsidRDefault="00E43675" w:rsidP="00F43CBA">
            <w:pPr>
              <w:pStyle w:val="Tabletext1"/>
              <w:rPr>
                <w:snapToGrid w:val="0"/>
              </w:rPr>
            </w:pPr>
          </w:p>
        </w:tc>
        <w:tc>
          <w:tcPr>
            <w:tcW w:w="1357" w:type="pct"/>
            <w:vAlign w:val="center"/>
          </w:tcPr>
          <w:p w14:paraId="1F5739CC" w14:textId="60A0EE18" w:rsidR="00E43675" w:rsidRDefault="00E43675" w:rsidP="00F43CBA">
            <w:pPr>
              <w:pStyle w:val="Tabletext1"/>
              <w:jc w:val="center"/>
            </w:pPr>
            <w:r>
              <w:t>Pain in thoracic wall</w:t>
            </w:r>
          </w:p>
        </w:tc>
        <w:tc>
          <w:tcPr>
            <w:tcW w:w="1110" w:type="pct"/>
            <w:shd w:val="clear" w:color="auto" w:fill="auto"/>
          </w:tcPr>
          <w:p w14:paraId="70511C9A" w14:textId="3DE68AB0" w:rsidR="00E43675" w:rsidRDefault="00E43675" w:rsidP="00F43CBA">
            <w:pPr>
              <w:pStyle w:val="Tabletext1"/>
              <w:jc w:val="center"/>
            </w:pPr>
            <w:r>
              <w:t>2/43</w:t>
            </w:r>
            <w:r w:rsidR="004E1646">
              <w:t xml:space="preserve"> (5%)</w:t>
            </w:r>
          </w:p>
        </w:tc>
        <w:tc>
          <w:tcPr>
            <w:tcW w:w="1110" w:type="pct"/>
          </w:tcPr>
          <w:p w14:paraId="093E43D0" w14:textId="77777777" w:rsidR="00E43675" w:rsidRDefault="00E43675" w:rsidP="00F43CBA">
            <w:pPr>
              <w:pStyle w:val="Tabletext1"/>
              <w:jc w:val="center"/>
            </w:pPr>
          </w:p>
        </w:tc>
      </w:tr>
      <w:tr w:rsidR="00EB30A3" w:rsidRPr="00B2301A" w14:paraId="3D2197B6" w14:textId="77777777" w:rsidTr="00EB30A3">
        <w:tc>
          <w:tcPr>
            <w:tcW w:w="1422" w:type="pct"/>
            <w:tcBorders>
              <w:top w:val="nil"/>
              <w:bottom w:val="single" w:sz="4" w:space="0" w:color="auto"/>
            </w:tcBorders>
            <w:shd w:val="clear" w:color="auto" w:fill="auto"/>
            <w:vAlign w:val="center"/>
          </w:tcPr>
          <w:p w14:paraId="2BDDF0C7" w14:textId="77777777" w:rsidR="00EB30A3" w:rsidRDefault="00EB30A3" w:rsidP="00F43CBA">
            <w:pPr>
              <w:pStyle w:val="Tabletext1"/>
              <w:rPr>
                <w:snapToGrid w:val="0"/>
              </w:rPr>
            </w:pPr>
          </w:p>
        </w:tc>
        <w:tc>
          <w:tcPr>
            <w:tcW w:w="1357" w:type="pct"/>
            <w:vAlign w:val="center"/>
          </w:tcPr>
          <w:p w14:paraId="7C6AD60F" w14:textId="232C3B7B" w:rsidR="00EB30A3" w:rsidRDefault="00EB30A3" w:rsidP="00F43CBA">
            <w:pPr>
              <w:pStyle w:val="Tabletext1"/>
              <w:jc w:val="center"/>
            </w:pPr>
            <w:r>
              <w:t>Dysphagia</w:t>
            </w:r>
          </w:p>
        </w:tc>
        <w:tc>
          <w:tcPr>
            <w:tcW w:w="1110" w:type="pct"/>
            <w:shd w:val="clear" w:color="auto" w:fill="auto"/>
          </w:tcPr>
          <w:p w14:paraId="29A30080" w14:textId="72F2A816" w:rsidR="00EB30A3" w:rsidRDefault="00EB30A3" w:rsidP="00F43CBA">
            <w:pPr>
              <w:pStyle w:val="Tabletext1"/>
              <w:jc w:val="center"/>
            </w:pPr>
            <w:r>
              <w:t>1/43 (2%)</w:t>
            </w:r>
          </w:p>
        </w:tc>
        <w:tc>
          <w:tcPr>
            <w:tcW w:w="1110" w:type="pct"/>
          </w:tcPr>
          <w:p w14:paraId="6D56FC7F" w14:textId="77777777" w:rsidR="00EB30A3" w:rsidRDefault="00EB30A3" w:rsidP="00F43CBA">
            <w:pPr>
              <w:pStyle w:val="Tabletext1"/>
              <w:jc w:val="center"/>
            </w:pPr>
          </w:p>
        </w:tc>
      </w:tr>
    </w:tbl>
    <w:p w14:paraId="101902F9" w14:textId="04E8DFD3" w:rsidR="00244612" w:rsidRDefault="00244612" w:rsidP="00244612">
      <w:r>
        <w:t xml:space="preserve">Due to the </w:t>
      </w:r>
      <w:r w:rsidR="00DB7349">
        <w:t>population</w:t>
      </w:r>
      <w:r>
        <w:t xml:space="preserve"> heterogeneity</w:t>
      </w:r>
      <w:r w:rsidR="00B473B8">
        <w:t xml:space="preserve"> and lack of detail in reporting</w:t>
      </w:r>
      <w:r>
        <w:t xml:space="preserve">, no naïve comparison was attempted </w:t>
      </w:r>
      <w:r w:rsidR="001223AD">
        <w:t>for the mixed cancer population.</w:t>
      </w:r>
    </w:p>
    <w:p w14:paraId="2F18DB9D" w14:textId="74D9F216" w:rsidR="00BA5C1C" w:rsidRDefault="00BA5C1C" w:rsidP="00BA5C1C">
      <w:pPr>
        <w:pStyle w:val="Heading3"/>
      </w:pPr>
      <w:bookmarkStart w:id="374" w:name="_Toc59018779"/>
      <w:bookmarkStart w:id="375" w:name="_Toc59020323"/>
      <w:bookmarkStart w:id="376" w:name="_Toc59439545"/>
      <w:bookmarkStart w:id="377" w:name="_Toc89857817"/>
      <w:r>
        <w:t>Patient</w:t>
      </w:r>
      <w:r w:rsidR="00A30932">
        <w:t xml:space="preserve"> tolerance</w:t>
      </w:r>
      <w:bookmarkEnd w:id="374"/>
      <w:bookmarkEnd w:id="375"/>
      <w:bookmarkEnd w:id="376"/>
      <w:bookmarkEnd w:id="377"/>
      <w:r w:rsidR="00A30932">
        <w:t xml:space="preserve"> </w:t>
      </w:r>
    </w:p>
    <w:p w14:paraId="5286C278" w14:textId="612A0739" w:rsidR="00BA5C1C" w:rsidRDefault="003E3285" w:rsidP="00BA5C1C">
      <w:r>
        <w:t>Three</w:t>
      </w:r>
      <w:r w:rsidR="00A30932">
        <w:t xml:space="preserve"> </w:t>
      </w:r>
      <w:r w:rsidR="004D14E9">
        <w:t>case series</w:t>
      </w:r>
      <w:r w:rsidR="00A30932">
        <w:t xml:space="preserve"> reported on pat</w:t>
      </w:r>
      <w:r w:rsidR="00C1707B">
        <w:t>i</w:t>
      </w:r>
      <w:r w:rsidR="00A30932">
        <w:t>ent experiences and complaints of undergoing treatment with MR-IGRT</w:t>
      </w:r>
      <w:r>
        <w:t xml:space="preserve"> </w:t>
      </w:r>
      <w:r w:rsidR="000C77B0">
        <w:fldChar w:fldCharType="begin">
          <w:fldData xml:space="preserve">PEVuZE5vdGU+PENpdGU+PEF1dGhvcj5LbHV0ZXI8L0F1dGhvcj48WWVhcj4yMDIwPC9ZZWFyPjxS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=
</w:fldData>
        </w:fldChar>
      </w:r>
      <w:r w:rsidR="000C77B0">
        <w:instrText xml:space="preserve"> ADDIN EN.CITE </w:instrText>
      </w:r>
      <w:r w:rsidR="000C77B0">
        <w:fldChar w:fldCharType="begin">
          <w:fldData xml:space="preserve">PEVuZE5vdGU+PENpdGU+PEF1dGhvcj5LbHV0ZXI8L0F1dGhvcj48WWVhcj4yMDIwPC9ZZWFyPjxS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=
</w:fldData>
        </w:fldChar>
      </w:r>
      <w:r w:rsidR="000C77B0">
        <w:instrText xml:space="preserve"> ADDIN EN.CITE.DATA </w:instrText>
      </w:r>
      <w:r w:rsidR="000C77B0">
        <w:fldChar w:fldCharType="end"/>
      </w:r>
      <w:r w:rsidR="000C77B0">
        <w:fldChar w:fldCharType="separate"/>
      </w:r>
      <w:r w:rsidR="000C77B0">
        <w:rPr>
          <w:noProof/>
        </w:rPr>
        <w:t>(</w:t>
      </w:r>
      <w:hyperlink w:anchor="_ENREF_48" w:tooltip="Kluter, 2020 #20" w:history="1">
        <w:r w:rsidR="008B6FC0">
          <w:rPr>
            <w:noProof/>
          </w:rPr>
          <w:t>Kluter et al., 2020</w:t>
        </w:r>
      </w:hyperlink>
      <w:r w:rsidR="000C77B0">
        <w:rPr>
          <w:noProof/>
        </w:rPr>
        <w:t xml:space="preserve">; </w:t>
      </w:r>
      <w:hyperlink w:anchor="_ENREF_70" w:tooltip="Tetar, 2018 #26" w:history="1">
        <w:r w:rsidR="001F781A">
          <w:rPr>
            <w:noProof/>
          </w:rPr>
          <w:t xml:space="preserve">S. </w:t>
        </w:r>
        <w:r w:rsidR="008B6FC0">
          <w:rPr>
            <w:noProof/>
          </w:rPr>
          <w:t>Tetar et al., 2018</w:t>
        </w:r>
      </w:hyperlink>
      <w:r w:rsidR="000C77B0">
        <w:rPr>
          <w:noProof/>
        </w:rPr>
        <w:t xml:space="preserve">; </w:t>
      </w:r>
      <w:hyperlink w:anchor="_ENREF_71" w:tooltip="Tetar, 2019 #23" w:history="1">
        <w:r w:rsidR="001F781A">
          <w:rPr>
            <w:noProof/>
          </w:rPr>
          <w:t xml:space="preserve">S. U. </w:t>
        </w:r>
        <w:r w:rsidR="008B6FC0">
          <w:rPr>
            <w:noProof/>
          </w:rPr>
          <w:t>Tetar et al., 2019</w:t>
        </w:r>
      </w:hyperlink>
      <w:r w:rsidR="000C77B0">
        <w:rPr>
          <w:noProof/>
        </w:rPr>
        <w:t>)</w:t>
      </w:r>
      <w:r w:rsidR="000C77B0">
        <w:fldChar w:fldCharType="end"/>
      </w:r>
      <w:r w:rsidR="00A30932">
        <w:t xml:space="preserve">. </w:t>
      </w:r>
      <w:r>
        <w:t>All three</w:t>
      </w:r>
      <w:r w:rsidR="00A30932">
        <w:t xml:space="preserve"> studies utilised an in-house developed patient-reported outcome questionnaire (PRO-Q) including questions on potential MR-related complaints and experiences. </w:t>
      </w:r>
    </w:p>
    <w:p w14:paraId="50D4D7B1" w14:textId="3AFA80DB" w:rsidR="00B316B3" w:rsidRDefault="00B316B3" w:rsidP="00D866C2">
      <w:r>
        <w:t xml:space="preserve">In a </w:t>
      </w:r>
      <w:r w:rsidR="004D14E9">
        <w:t>case series</w:t>
      </w:r>
      <w:r>
        <w:t xml:space="preserve"> reported by </w:t>
      </w:r>
      <w:hyperlink w:anchor="_ENREF_48" w:tooltip="Kluter, 2020 #20" w:history="1">
        <w:r w:rsidR="008B6FC0">
          <w:fldChar w:fldCharType="begin"/>
        </w:r>
        <w:r w:rsidR="008B6FC0">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fldChar w:fldCharType="separate"/>
        </w:r>
        <w:r w:rsidR="008B6FC0">
          <w:rPr>
            <w:noProof/>
          </w:rPr>
          <w:t>Kluter et al. (2020)</w:t>
        </w:r>
        <w:r w:rsidR="008B6FC0">
          <w:fldChar w:fldCharType="end"/>
        </w:r>
      </w:hyperlink>
      <w:r w:rsidR="007934EA">
        <w:t>,</w:t>
      </w:r>
      <w:r w:rsidDel="002A5A21">
        <w:t xml:space="preserve"> </w:t>
      </w:r>
      <w:r>
        <w:t xml:space="preserve">patients </w:t>
      </w:r>
      <w:r w:rsidR="002A5A21">
        <w:t xml:space="preserve">with cancer </w:t>
      </w:r>
      <w:r>
        <w:t>treated with MRI</w:t>
      </w:r>
      <w:r w:rsidR="007934EA">
        <w:t>-</w:t>
      </w:r>
      <w:r>
        <w:t>guided SBRT were asked to complete an in-house developed PRO-Q after each fraction. The results presented in the study report compare ratings after first fraction and at the end of treatment</w:t>
      </w:r>
      <w:r w:rsidR="00EB0DC4">
        <w:t xml:space="preserve">. These are </w:t>
      </w:r>
      <w:r>
        <w:t xml:space="preserve">summarised in </w:t>
      </w:r>
      <w:r w:rsidR="00EB0DC4">
        <w:fldChar w:fldCharType="begin"/>
      </w:r>
      <w:r w:rsidR="00EB0DC4">
        <w:instrText xml:space="preserve"> REF _Ref55554083 \h </w:instrText>
      </w:r>
      <w:r w:rsidR="00EB0DC4">
        <w:fldChar w:fldCharType="separate"/>
      </w:r>
      <w:r w:rsidR="00451350">
        <w:t xml:space="preserve">Table </w:t>
      </w:r>
      <w:r w:rsidR="00451350">
        <w:rPr>
          <w:noProof/>
        </w:rPr>
        <w:t>27</w:t>
      </w:r>
      <w:r w:rsidR="00EB0DC4">
        <w:fldChar w:fldCharType="end"/>
      </w:r>
      <w:r w:rsidR="00EB0DC4">
        <w:t>.</w:t>
      </w:r>
      <w:r w:rsidR="00D866C2">
        <w:t xml:space="preserve"> Authors further report that 65% </w:t>
      </w:r>
      <w:r w:rsidR="00D038E7">
        <w:t xml:space="preserve">of patients </w:t>
      </w:r>
      <w:r w:rsidR="00D866C2">
        <w:t xml:space="preserve">reported some degree of potential MR-related complaints at least once (score ≥4). </w:t>
      </w:r>
      <w:r w:rsidR="00D038E7">
        <w:t>The m</w:t>
      </w:r>
      <w:r w:rsidR="00D866C2">
        <w:t xml:space="preserve">ain complaints were </w:t>
      </w:r>
      <w:r w:rsidR="00767C8A">
        <w:t>related to</w:t>
      </w:r>
      <w:r w:rsidR="00D866C2">
        <w:t xml:space="preserve"> the </w:t>
      </w:r>
      <w:r w:rsidR="00FD7002">
        <w:t>unsuitable</w:t>
      </w:r>
      <w:r w:rsidR="00D866C2">
        <w:t xml:space="preserve"> temperature in the room (24%) and of </w:t>
      </w:r>
      <w:r w:rsidR="00FD7002">
        <w:t>feeling too warm or too cold in</w:t>
      </w:r>
      <w:r w:rsidR="00D866C2">
        <w:t xml:space="preserve"> some particular body parts (27%). Furthermore, 18% of the patients experienced </w:t>
      </w:r>
      <w:r w:rsidR="0003107C">
        <w:t>paraesthesia</w:t>
      </w:r>
      <w:r w:rsidR="00D866C2">
        <w:t xml:space="preserve"> during treatment</w:t>
      </w:r>
      <w:r w:rsidR="0003107C">
        <w:t>,</w:t>
      </w:r>
      <w:r w:rsidR="00D866C2">
        <w:t xml:space="preserve"> and 12% rated the positioning as well as having to lie still for at least half an hour during treatment negatively (score ≥4).</w:t>
      </w:r>
    </w:p>
    <w:p w14:paraId="391E56A3" w14:textId="372E33CA" w:rsidR="00EB0DC4" w:rsidRDefault="00EB0DC4" w:rsidP="00EB0DC4">
      <w:pPr>
        <w:pStyle w:val="Caption"/>
        <w:keepNext/>
      </w:pPr>
      <w:bookmarkStart w:id="378" w:name="_Ref55554083"/>
      <w:bookmarkStart w:id="379" w:name="_Toc89857898"/>
      <w:r>
        <w:t xml:space="preserve">Table </w:t>
      </w:r>
      <w:r w:rsidR="00211285">
        <w:fldChar w:fldCharType="begin"/>
      </w:r>
      <w:r w:rsidR="00211285">
        <w:instrText xml:space="preserve"> SEQ Tab</w:instrText>
      </w:r>
      <w:r w:rsidR="00211285">
        <w:instrText xml:space="preserve">le \* ARABIC </w:instrText>
      </w:r>
      <w:r w:rsidR="00211285">
        <w:fldChar w:fldCharType="separate"/>
      </w:r>
      <w:r w:rsidR="00451350">
        <w:rPr>
          <w:noProof/>
        </w:rPr>
        <w:t>27</w:t>
      </w:r>
      <w:r w:rsidR="00211285">
        <w:rPr>
          <w:noProof/>
        </w:rPr>
        <w:fldChar w:fldCharType="end"/>
      </w:r>
      <w:bookmarkEnd w:id="378"/>
      <w:r>
        <w:tab/>
      </w:r>
      <w:r w:rsidRPr="003244B5">
        <w:rPr>
          <w:noProof/>
        </w:rPr>
        <w:t>Results of the patient-reported outcome questionnaires</w:t>
      </w:r>
      <w:r w:rsidR="009D1602">
        <w:rPr>
          <w:noProof/>
        </w:rPr>
        <w:t xml:space="preserve">, </w:t>
      </w:r>
      <w:hyperlink w:anchor="_ENREF_48" w:tooltip="Kluter, 2020 #20" w:history="1">
        <w:r w:rsidR="008B6FC0">
          <w:rPr>
            <w:noProof/>
          </w:rPr>
          <w:fldChar w:fldCharType="begin"/>
        </w:r>
        <w:r w:rsidR="008B6FC0">
          <w:rPr>
            <w:noProof/>
          </w:rPr>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rPr>
            <w:noProof/>
          </w:rPr>
          <w:fldChar w:fldCharType="separate"/>
        </w:r>
        <w:r w:rsidR="008B6FC0">
          <w:rPr>
            <w:noProof/>
          </w:rPr>
          <w:t>Kluter et al. (2020)</w:t>
        </w:r>
        <w:bookmarkEnd w:id="379"/>
        <w:r w:rsidR="008B6FC0">
          <w:rPr>
            <w:noProof/>
          </w:rPr>
          <w:fldChar w:fldCharType="end"/>
        </w:r>
      </w:hyperlink>
    </w:p>
    <w:tbl>
      <w:tblPr>
        <w:tblStyle w:val="TableGrid"/>
        <w:tblW w:w="5000" w:type="pct"/>
        <w:tblLook w:val="04A0" w:firstRow="1" w:lastRow="0" w:firstColumn="1" w:lastColumn="0" w:noHBand="0" w:noVBand="1"/>
        <w:tblCaption w:val="Table 27 Results of the patient-reported outcome questionnaires, Kluter, 2020"/>
        <w:tblDescription w:val="This table provides results of patient-reported outcome questionnaires from Kluter, 2020."/>
      </w:tblPr>
      <w:tblGrid>
        <w:gridCol w:w="4207"/>
        <w:gridCol w:w="1884"/>
        <w:gridCol w:w="1870"/>
        <w:gridCol w:w="1055"/>
      </w:tblGrid>
      <w:tr w:rsidR="00B316B3" w:rsidRPr="003244B5" w14:paraId="4CD79C95" w14:textId="77777777" w:rsidTr="00F43CBA">
        <w:trPr>
          <w:cantSplit/>
          <w:trHeight w:val="460"/>
          <w:tblHeader/>
        </w:trPr>
        <w:tc>
          <w:tcPr>
            <w:tcW w:w="2333" w:type="pct"/>
            <w:hideMark/>
          </w:tcPr>
          <w:p w14:paraId="7A04F637" w14:textId="5CFF6D5C" w:rsidR="00B316B3" w:rsidRPr="00D866C2" w:rsidRDefault="00B316B3" w:rsidP="00EB0DC4">
            <w:pPr>
              <w:pStyle w:val="Tabletext1"/>
              <w:keepNext/>
              <w:ind w:left="33"/>
              <w:rPr>
                <w:b/>
                <w:bCs/>
                <w:noProof/>
              </w:rPr>
            </w:pPr>
            <w:bookmarkStart w:id="380" w:name="_Hlk55553476"/>
            <w:r w:rsidRPr="00D866C2">
              <w:rPr>
                <w:b/>
                <w:bCs/>
                <w:noProof/>
              </w:rPr>
              <w:t>How do you rate</w:t>
            </w:r>
            <w:r w:rsidR="00D866C2">
              <w:rPr>
                <w:b/>
                <w:bCs/>
                <w:noProof/>
                <w:vertAlign w:val="superscript"/>
              </w:rPr>
              <w:t>a</w:t>
            </w:r>
            <w:r w:rsidRPr="00D866C2">
              <w:rPr>
                <w:b/>
                <w:bCs/>
                <w:noProof/>
              </w:rPr>
              <w:t xml:space="preserve"> ...</w:t>
            </w:r>
          </w:p>
        </w:tc>
        <w:tc>
          <w:tcPr>
            <w:tcW w:w="1045" w:type="pct"/>
            <w:hideMark/>
          </w:tcPr>
          <w:p w14:paraId="19D0D222" w14:textId="7455D3A8" w:rsidR="00B316B3" w:rsidRDefault="00B316B3" w:rsidP="005E18C3">
            <w:pPr>
              <w:pStyle w:val="Tabletext1"/>
              <w:keepNext/>
              <w:ind w:left="0"/>
              <w:jc w:val="center"/>
              <w:rPr>
                <w:b/>
                <w:bCs/>
                <w:noProof/>
              </w:rPr>
            </w:pPr>
            <w:r w:rsidRPr="00D866C2">
              <w:rPr>
                <w:b/>
                <w:bCs/>
                <w:noProof/>
              </w:rPr>
              <w:t>After the first fraction (</w:t>
            </w:r>
            <w:r w:rsidR="004D14E9" w:rsidRPr="004D14E9">
              <w:rPr>
                <w:b/>
                <w:bCs/>
                <w:noProof/>
              </w:rPr>
              <w:t>N</w:t>
            </w:r>
            <w:r w:rsidRPr="004D14E9">
              <w:rPr>
                <w:b/>
                <w:bCs/>
                <w:noProof/>
              </w:rPr>
              <w:t xml:space="preserve"> = 34</w:t>
            </w:r>
            <w:r w:rsidRPr="00D866C2">
              <w:rPr>
                <w:b/>
                <w:bCs/>
                <w:noProof/>
              </w:rPr>
              <w:t>)</w:t>
            </w:r>
          </w:p>
          <w:p w14:paraId="2B668B40" w14:textId="7B1A14C6" w:rsidR="00D866C2" w:rsidRPr="00D866C2" w:rsidRDefault="00D866C2" w:rsidP="005E18C3">
            <w:pPr>
              <w:pStyle w:val="Tabletext1"/>
              <w:keepNext/>
              <w:ind w:left="0"/>
              <w:jc w:val="center"/>
              <w:rPr>
                <w:b/>
                <w:bCs/>
                <w:noProof/>
              </w:rPr>
            </w:pPr>
            <w:r w:rsidRPr="00D866C2">
              <w:rPr>
                <w:b/>
                <w:bCs/>
                <w:noProof/>
              </w:rPr>
              <w:t>Mean (range)</w:t>
            </w:r>
          </w:p>
        </w:tc>
        <w:tc>
          <w:tcPr>
            <w:tcW w:w="1037" w:type="pct"/>
            <w:hideMark/>
          </w:tcPr>
          <w:p w14:paraId="66CE27A8" w14:textId="448F4AC0" w:rsidR="00B316B3" w:rsidRDefault="00B316B3" w:rsidP="005E18C3">
            <w:pPr>
              <w:pStyle w:val="Tabletext1"/>
              <w:keepNext/>
              <w:ind w:left="0"/>
              <w:jc w:val="center"/>
              <w:rPr>
                <w:b/>
                <w:bCs/>
                <w:noProof/>
              </w:rPr>
            </w:pPr>
            <w:r w:rsidRPr="00D866C2">
              <w:rPr>
                <w:b/>
                <w:bCs/>
                <w:noProof/>
              </w:rPr>
              <w:t>At the end of treatment (</w:t>
            </w:r>
            <w:r w:rsidR="004D14E9" w:rsidRPr="004D14E9">
              <w:rPr>
                <w:b/>
                <w:bCs/>
                <w:noProof/>
              </w:rPr>
              <w:t>N</w:t>
            </w:r>
            <w:r w:rsidRPr="004D14E9">
              <w:rPr>
                <w:b/>
                <w:bCs/>
                <w:noProof/>
              </w:rPr>
              <w:t xml:space="preserve"> </w:t>
            </w:r>
            <w:r w:rsidRPr="00D866C2">
              <w:rPr>
                <w:b/>
                <w:bCs/>
                <w:noProof/>
              </w:rPr>
              <w:t>= 34)</w:t>
            </w:r>
          </w:p>
          <w:p w14:paraId="17F8E60D" w14:textId="0DD449DA" w:rsidR="00D866C2" w:rsidRPr="00D866C2" w:rsidRDefault="00D866C2" w:rsidP="005E18C3">
            <w:pPr>
              <w:pStyle w:val="Tabletext1"/>
              <w:keepNext/>
              <w:ind w:left="0"/>
              <w:jc w:val="center"/>
              <w:rPr>
                <w:b/>
                <w:bCs/>
                <w:noProof/>
              </w:rPr>
            </w:pPr>
            <w:r w:rsidRPr="00D866C2">
              <w:rPr>
                <w:b/>
                <w:bCs/>
                <w:noProof/>
              </w:rPr>
              <w:t>Mean (range)</w:t>
            </w:r>
          </w:p>
        </w:tc>
        <w:tc>
          <w:tcPr>
            <w:tcW w:w="585" w:type="pct"/>
            <w:hideMark/>
          </w:tcPr>
          <w:p w14:paraId="429E455B" w14:textId="77777777" w:rsidR="00B316B3" w:rsidRPr="00D866C2" w:rsidRDefault="00B316B3" w:rsidP="005E18C3">
            <w:pPr>
              <w:pStyle w:val="Tabletext1"/>
              <w:keepNext/>
              <w:ind w:left="0"/>
              <w:jc w:val="center"/>
              <w:rPr>
                <w:b/>
                <w:bCs/>
                <w:noProof/>
              </w:rPr>
            </w:pPr>
            <w:r w:rsidRPr="00D866C2">
              <w:rPr>
                <w:b/>
                <w:bCs/>
                <w:i/>
                <w:iCs/>
                <w:noProof/>
              </w:rPr>
              <w:t>p-value</w:t>
            </w:r>
          </w:p>
        </w:tc>
      </w:tr>
      <w:tr w:rsidR="00B316B3" w:rsidRPr="003244B5" w14:paraId="23425C19" w14:textId="77777777" w:rsidTr="005E18C3">
        <w:trPr>
          <w:trHeight w:val="260"/>
        </w:trPr>
        <w:tc>
          <w:tcPr>
            <w:tcW w:w="2333" w:type="pct"/>
            <w:hideMark/>
          </w:tcPr>
          <w:p w14:paraId="0C8BF05F" w14:textId="77777777" w:rsidR="00B316B3" w:rsidRPr="003244B5" w:rsidRDefault="00B316B3" w:rsidP="00B316B3">
            <w:pPr>
              <w:pStyle w:val="Tabletext1"/>
              <w:ind w:left="33"/>
              <w:rPr>
                <w:noProof/>
              </w:rPr>
            </w:pPr>
            <w:r w:rsidRPr="003244B5">
              <w:rPr>
                <w:noProof/>
              </w:rPr>
              <w:t>... the treatment at the MRlinac in total?</w:t>
            </w:r>
          </w:p>
        </w:tc>
        <w:tc>
          <w:tcPr>
            <w:tcW w:w="1045" w:type="pct"/>
            <w:hideMark/>
          </w:tcPr>
          <w:p w14:paraId="6F91175E" w14:textId="77777777" w:rsidR="00B316B3" w:rsidRPr="003244B5" w:rsidRDefault="00B316B3" w:rsidP="005E18C3">
            <w:pPr>
              <w:pStyle w:val="Tabletext1"/>
              <w:ind w:left="0"/>
              <w:jc w:val="center"/>
              <w:rPr>
                <w:noProof/>
              </w:rPr>
            </w:pPr>
            <w:r w:rsidRPr="003244B5">
              <w:rPr>
                <w:noProof/>
              </w:rPr>
              <w:t>1.3 (1–4)</w:t>
            </w:r>
          </w:p>
        </w:tc>
        <w:tc>
          <w:tcPr>
            <w:tcW w:w="1037" w:type="pct"/>
            <w:hideMark/>
          </w:tcPr>
          <w:p w14:paraId="2C3A6D75" w14:textId="77777777" w:rsidR="00B316B3" w:rsidRPr="003244B5" w:rsidRDefault="00B316B3" w:rsidP="005E18C3">
            <w:pPr>
              <w:pStyle w:val="Tabletext1"/>
              <w:ind w:left="0"/>
              <w:jc w:val="center"/>
              <w:rPr>
                <w:noProof/>
              </w:rPr>
            </w:pPr>
            <w:r w:rsidRPr="003244B5">
              <w:rPr>
                <w:noProof/>
              </w:rPr>
              <w:t>1.4 (1–3)</w:t>
            </w:r>
          </w:p>
        </w:tc>
        <w:tc>
          <w:tcPr>
            <w:tcW w:w="585" w:type="pct"/>
            <w:noWrap/>
            <w:hideMark/>
          </w:tcPr>
          <w:p w14:paraId="5885E22A" w14:textId="77777777" w:rsidR="00B316B3" w:rsidRPr="003244B5" w:rsidRDefault="00B316B3" w:rsidP="005E18C3">
            <w:pPr>
              <w:pStyle w:val="Tabletext1"/>
              <w:ind w:left="0"/>
              <w:jc w:val="center"/>
              <w:rPr>
                <w:noProof/>
              </w:rPr>
            </w:pPr>
            <w:r w:rsidRPr="003244B5">
              <w:rPr>
                <w:noProof/>
              </w:rPr>
              <w:t>0.739</w:t>
            </w:r>
          </w:p>
        </w:tc>
      </w:tr>
      <w:tr w:rsidR="00B316B3" w:rsidRPr="003244B5" w14:paraId="569BE017" w14:textId="77777777" w:rsidTr="005E18C3">
        <w:trPr>
          <w:trHeight w:val="240"/>
        </w:trPr>
        <w:tc>
          <w:tcPr>
            <w:tcW w:w="2333" w:type="pct"/>
            <w:hideMark/>
          </w:tcPr>
          <w:p w14:paraId="43D3E1B4" w14:textId="77777777" w:rsidR="00B316B3" w:rsidRPr="003244B5" w:rsidRDefault="00B316B3" w:rsidP="00B316B3">
            <w:pPr>
              <w:pStyle w:val="Tabletext1"/>
              <w:ind w:left="33"/>
              <w:rPr>
                <w:noProof/>
              </w:rPr>
            </w:pPr>
            <w:r w:rsidRPr="003244B5">
              <w:rPr>
                <w:noProof/>
              </w:rPr>
              <w:t>... the information provided by the staff before treatment?</w:t>
            </w:r>
          </w:p>
        </w:tc>
        <w:tc>
          <w:tcPr>
            <w:tcW w:w="1045" w:type="pct"/>
            <w:hideMark/>
          </w:tcPr>
          <w:p w14:paraId="3286A031" w14:textId="77777777" w:rsidR="00B316B3" w:rsidRPr="003244B5" w:rsidRDefault="00B316B3" w:rsidP="005E18C3">
            <w:pPr>
              <w:pStyle w:val="Tabletext1"/>
              <w:ind w:left="0"/>
              <w:jc w:val="center"/>
              <w:rPr>
                <w:noProof/>
              </w:rPr>
            </w:pPr>
            <w:r w:rsidRPr="003244B5">
              <w:rPr>
                <w:noProof/>
              </w:rPr>
              <w:t>1.1 (1–2)</w:t>
            </w:r>
          </w:p>
        </w:tc>
        <w:tc>
          <w:tcPr>
            <w:tcW w:w="1037" w:type="pct"/>
            <w:hideMark/>
          </w:tcPr>
          <w:p w14:paraId="71BC3D8E" w14:textId="77777777" w:rsidR="00B316B3" w:rsidRPr="003244B5" w:rsidRDefault="00B316B3" w:rsidP="005E18C3">
            <w:pPr>
              <w:pStyle w:val="Tabletext1"/>
              <w:ind w:left="0"/>
              <w:jc w:val="center"/>
              <w:rPr>
                <w:noProof/>
              </w:rPr>
            </w:pPr>
            <w:r w:rsidRPr="003244B5">
              <w:rPr>
                <w:noProof/>
              </w:rPr>
              <w:t>1.1 (1–2)</w:t>
            </w:r>
          </w:p>
        </w:tc>
        <w:tc>
          <w:tcPr>
            <w:tcW w:w="585" w:type="pct"/>
            <w:noWrap/>
            <w:hideMark/>
          </w:tcPr>
          <w:p w14:paraId="5D9274E8" w14:textId="77777777" w:rsidR="00B316B3" w:rsidRPr="003244B5" w:rsidRDefault="00B316B3" w:rsidP="005E18C3">
            <w:pPr>
              <w:pStyle w:val="Tabletext1"/>
              <w:ind w:left="0"/>
              <w:jc w:val="center"/>
              <w:rPr>
                <w:noProof/>
              </w:rPr>
            </w:pPr>
            <w:r w:rsidRPr="003244B5">
              <w:rPr>
                <w:noProof/>
              </w:rPr>
              <w:t>1.000</w:t>
            </w:r>
          </w:p>
        </w:tc>
      </w:tr>
      <w:tr w:rsidR="00B316B3" w:rsidRPr="003244B5" w14:paraId="5DF7FA47" w14:textId="77777777" w:rsidTr="005E18C3">
        <w:trPr>
          <w:trHeight w:val="260"/>
        </w:trPr>
        <w:tc>
          <w:tcPr>
            <w:tcW w:w="2333" w:type="pct"/>
            <w:hideMark/>
          </w:tcPr>
          <w:p w14:paraId="34F0BD34" w14:textId="77777777" w:rsidR="00B316B3" w:rsidRPr="003244B5" w:rsidRDefault="00B316B3" w:rsidP="00B316B3">
            <w:pPr>
              <w:pStyle w:val="Tabletext1"/>
              <w:ind w:left="33"/>
              <w:rPr>
                <w:noProof/>
              </w:rPr>
            </w:pPr>
            <w:r w:rsidRPr="003244B5">
              <w:rPr>
                <w:noProof/>
              </w:rPr>
              <w:t>... the friendliness of the staff?</w:t>
            </w:r>
          </w:p>
        </w:tc>
        <w:tc>
          <w:tcPr>
            <w:tcW w:w="1045" w:type="pct"/>
            <w:hideMark/>
          </w:tcPr>
          <w:p w14:paraId="12974E7B" w14:textId="77777777" w:rsidR="00B316B3" w:rsidRPr="003244B5" w:rsidRDefault="00B316B3" w:rsidP="005E18C3">
            <w:pPr>
              <w:pStyle w:val="Tabletext1"/>
              <w:ind w:left="0"/>
              <w:jc w:val="center"/>
              <w:rPr>
                <w:noProof/>
              </w:rPr>
            </w:pPr>
            <w:r w:rsidRPr="003244B5">
              <w:rPr>
                <w:noProof/>
              </w:rPr>
              <w:t>1.0 (1–2)</w:t>
            </w:r>
          </w:p>
        </w:tc>
        <w:tc>
          <w:tcPr>
            <w:tcW w:w="1037" w:type="pct"/>
            <w:hideMark/>
          </w:tcPr>
          <w:p w14:paraId="51AA8F50" w14:textId="77777777" w:rsidR="00B316B3" w:rsidRPr="003244B5" w:rsidRDefault="00B316B3" w:rsidP="005E18C3">
            <w:pPr>
              <w:pStyle w:val="Tabletext1"/>
              <w:ind w:left="0"/>
              <w:jc w:val="center"/>
              <w:rPr>
                <w:noProof/>
              </w:rPr>
            </w:pPr>
            <w:r w:rsidRPr="003244B5">
              <w:rPr>
                <w:noProof/>
              </w:rPr>
              <w:t>1.0 (1–2)</w:t>
            </w:r>
          </w:p>
        </w:tc>
        <w:tc>
          <w:tcPr>
            <w:tcW w:w="585" w:type="pct"/>
            <w:noWrap/>
            <w:hideMark/>
          </w:tcPr>
          <w:p w14:paraId="1748C69C" w14:textId="77777777" w:rsidR="00B316B3" w:rsidRPr="003244B5" w:rsidRDefault="00B316B3" w:rsidP="005E18C3">
            <w:pPr>
              <w:pStyle w:val="Tabletext1"/>
              <w:ind w:left="0"/>
              <w:jc w:val="center"/>
              <w:rPr>
                <w:noProof/>
              </w:rPr>
            </w:pPr>
            <w:r w:rsidRPr="003244B5">
              <w:rPr>
                <w:noProof/>
              </w:rPr>
              <w:t>0.317</w:t>
            </w:r>
          </w:p>
        </w:tc>
      </w:tr>
      <w:tr w:rsidR="00B316B3" w:rsidRPr="003244B5" w14:paraId="676C6902" w14:textId="77777777" w:rsidTr="005E18C3">
        <w:trPr>
          <w:trHeight w:val="240"/>
        </w:trPr>
        <w:tc>
          <w:tcPr>
            <w:tcW w:w="2333" w:type="pct"/>
            <w:hideMark/>
          </w:tcPr>
          <w:p w14:paraId="0D496B0F" w14:textId="77777777" w:rsidR="00B316B3" w:rsidRPr="003244B5" w:rsidRDefault="00B316B3" w:rsidP="00B316B3">
            <w:pPr>
              <w:pStyle w:val="Tabletext1"/>
              <w:ind w:left="33"/>
              <w:rPr>
                <w:noProof/>
              </w:rPr>
            </w:pPr>
            <w:r w:rsidRPr="003244B5">
              <w:rPr>
                <w:noProof/>
              </w:rPr>
              <w:t>... the duration of treatment?</w:t>
            </w:r>
          </w:p>
        </w:tc>
        <w:tc>
          <w:tcPr>
            <w:tcW w:w="1045" w:type="pct"/>
            <w:hideMark/>
          </w:tcPr>
          <w:p w14:paraId="549CDC30" w14:textId="77777777" w:rsidR="00B316B3" w:rsidRPr="003244B5" w:rsidRDefault="00B316B3" w:rsidP="005E18C3">
            <w:pPr>
              <w:pStyle w:val="Tabletext1"/>
              <w:ind w:left="0"/>
              <w:jc w:val="center"/>
              <w:rPr>
                <w:noProof/>
              </w:rPr>
            </w:pPr>
            <w:r w:rsidRPr="003244B5">
              <w:rPr>
                <w:noProof/>
              </w:rPr>
              <w:t>2.2 (2–5)</w:t>
            </w:r>
          </w:p>
        </w:tc>
        <w:tc>
          <w:tcPr>
            <w:tcW w:w="1037" w:type="pct"/>
            <w:hideMark/>
          </w:tcPr>
          <w:p w14:paraId="20B8110E" w14:textId="77777777" w:rsidR="00B316B3" w:rsidRPr="003244B5" w:rsidRDefault="00B316B3" w:rsidP="005E18C3">
            <w:pPr>
              <w:pStyle w:val="Tabletext1"/>
              <w:ind w:left="0"/>
              <w:jc w:val="center"/>
              <w:rPr>
                <w:noProof/>
              </w:rPr>
            </w:pPr>
            <w:r w:rsidRPr="003244B5">
              <w:rPr>
                <w:noProof/>
              </w:rPr>
              <w:t>2.1 (2–4)</w:t>
            </w:r>
          </w:p>
        </w:tc>
        <w:tc>
          <w:tcPr>
            <w:tcW w:w="585" w:type="pct"/>
            <w:noWrap/>
            <w:hideMark/>
          </w:tcPr>
          <w:p w14:paraId="507303FA" w14:textId="77777777" w:rsidR="00B316B3" w:rsidRPr="003244B5" w:rsidRDefault="00B316B3" w:rsidP="005E18C3">
            <w:pPr>
              <w:pStyle w:val="Tabletext1"/>
              <w:ind w:left="0"/>
              <w:jc w:val="center"/>
              <w:rPr>
                <w:noProof/>
              </w:rPr>
            </w:pPr>
            <w:r w:rsidRPr="003244B5">
              <w:rPr>
                <w:noProof/>
              </w:rPr>
              <w:t>0.741</w:t>
            </w:r>
          </w:p>
        </w:tc>
      </w:tr>
      <w:tr w:rsidR="00B316B3" w:rsidRPr="003244B5" w14:paraId="2DEC7C85" w14:textId="77777777" w:rsidTr="005E18C3">
        <w:trPr>
          <w:trHeight w:val="260"/>
        </w:trPr>
        <w:tc>
          <w:tcPr>
            <w:tcW w:w="2333" w:type="pct"/>
            <w:hideMark/>
          </w:tcPr>
          <w:p w14:paraId="45054DBD" w14:textId="77777777" w:rsidR="00B316B3" w:rsidRPr="003244B5" w:rsidRDefault="00B316B3" w:rsidP="00B316B3">
            <w:pPr>
              <w:pStyle w:val="Tabletext1"/>
              <w:ind w:left="33"/>
              <w:rPr>
                <w:noProof/>
              </w:rPr>
            </w:pPr>
            <w:r w:rsidRPr="003244B5">
              <w:rPr>
                <w:noProof/>
              </w:rPr>
              <w:t>... the size of the MRI bore?</w:t>
            </w:r>
          </w:p>
        </w:tc>
        <w:tc>
          <w:tcPr>
            <w:tcW w:w="1045" w:type="pct"/>
            <w:hideMark/>
          </w:tcPr>
          <w:p w14:paraId="77842798" w14:textId="77777777" w:rsidR="00B316B3" w:rsidRPr="003244B5" w:rsidRDefault="00B316B3" w:rsidP="005E18C3">
            <w:pPr>
              <w:pStyle w:val="Tabletext1"/>
              <w:ind w:left="0"/>
              <w:jc w:val="center"/>
              <w:rPr>
                <w:noProof/>
              </w:rPr>
            </w:pPr>
            <w:r w:rsidRPr="003244B5">
              <w:rPr>
                <w:noProof/>
              </w:rPr>
              <w:t>1.9 (1–4)</w:t>
            </w:r>
          </w:p>
        </w:tc>
        <w:tc>
          <w:tcPr>
            <w:tcW w:w="1037" w:type="pct"/>
            <w:hideMark/>
          </w:tcPr>
          <w:p w14:paraId="23EFED8E" w14:textId="77777777" w:rsidR="00B316B3" w:rsidRPr="003244B5" w:rsidRDefault="00B316B3" w:rsidP="005E18C3">
            <w:pPr>
              <w:pStyle w:val="Tabletext1"/>
              <w:ind w:left="0"/>
              <w:jc w:val="center"/>
              <w:rPr>
                <w:noProof/>
              </w:rPr>
            </w:pPr>
            <w:r w:rsidRPr="003244B5">
              <w:rPr>
                <w:noProof/>
              </w:rPr>
              <w:t>1.8 (1–4)</w:t>
            </w:r>
          </w:p>
        </w:tc>
        <w:tc>
          <w:tcPr>
            <w:tcW w:w="585" w:type="pct"/>
            <w:noWrap/>
            <w:hideMark/>
          </w:tcPr>
          <w:p w14:paraId="46791376" w14:textId="77777777" w:rsidR="00B316B3" w:rsidRPr="003244B5" w:rsidRDefault="00B316B3" w:rsidP="005E18C3">
            <w:pPr>
              <w:pStyle w:val="Tabletext1"/>
              <w:ind w:left="0"/>
              <w:jc w:val="center"/>
              <w:rPr>
                <w:noProof/>
              </w:rPr>
            </w:pPr>
            <w:r w:rsidRPr="003244B5">
              <w:rPr>
                <w:noProof/>
              </w:rPr>
              <w:t>1.000</w:t>
            </w:r>
          </w:p>
        </w:tc>
      </w:tr>
      <w:tr w:rsidR="00B316B3" w:rsidRPr="003244B5" w14:paraId="419FDC71" w14:textId="77777777" w:rsidTr="005E18C3">
        <w:trPr>
          <w:trHeight w:val="240"/>
        </w:trPr>
        <w:tc>
          <w:tcPr>
            <w:tcW w:w="2333" w:type="pct"/>
            <w:hideMark/>
          </w:tcPr>
          <w:p w14:paraId="6471CE4F" w14:textId="77777777" w:rsidR="00B316B3" w:rsidRPr="003244B5" w:rsidRDefault="00B316B3" w:rsidP="00B316B3">
            <w:pPr>
              <w:pStyle w:val="Tabletext1"/>
              <w:ind w:left="33"/>
              <w:rPr>
                <w:noProof/>
              </w:rPr>
            </w:pPr>
            <w:r w:rsidRPr="003244B5">
              <w:rPr>
                <w:noProof/>
              </w:rPr>
              <w:t>... the positioning during RT?</w:t>
            </w:r>
          </w:p>
        </w:tc>
        <w:tc>
          <w:tcPr>
            <w:tcW w:w="1045" w:type="pct"/>
            <w:hideMark/>
          </w:tcPr>
          <w:p w14:paraId="7D049E49" w14:textId="77777777" w:rsidR="00B316B3" w:rsidRPr="003244B5" w:rsidRDefault="00B316B3" w:rsidP="005E18C3">
            <w:pPr>
              <w:pStyle w:val="Tabletext1"/>
              <w:ind w:left="0"/>
              <w:jc w:val="center"/>
              <w:rPr>
                <w:noProof/>
              </w:rPr>
            </w:pPr>
            <w:r w:rsidRPr="003244B5">
              <w:rPr>
                <w:noProof/>
              </w:rPr>
              <w:t>2.2 (1–4)</w:t>
            </w:r>
          </w:p>
        </w:tc>
        <w:tc>
          <w:tcPr>
            <w:tcW w:w="1037" w:type="pct"/>
            <w:hideMark/>
          </w:tcPr>
          <w:p w14:paraId="353964CF" w14:textId="77777777" w:rsidR="00B316B3" w:rsidRPr="003244B5" w:rsidRDefault="00B316B3" w:rsidP="005E18C3">
            <w:pPr>
              <w:pStyle w:val="Tabletext1"/>
              <w:ind w:left="0"/>
              <w:jc w:val="center"/>
              <w:rPr>
                <w:noProof/>
              </w:rPr>
            </w:pPr>
            <w:r w:rsidRPr="003244B5">
              <w:rPr>
                <w:noProof/>
              </w:rPr>
              <w:t>2.2 (1–4)</w:t>
            </w:r>
          </w:p>
        </w:tc>
        <w:tc>
          <w:tcPr>
            <w:tcW w:w="585" w:type="pct"/>
            <w:noWrap/>
            <w:hideMark/>
          </w:tcPr>
          <w:p w14:paraId="75DD30A3" w14:textId="77777777" w:rsidR="00B316B3" w:rsidRPr="003244B5" w:rsidRDefault="00B316B3" w:rsidP="005E18C3">
            <w:pPr>
              <w:pStyle w:val="Tabletext1"/>
              <w:ind w:left="0"/>
              <w:jc w:val="center"/>
              <w:rPr>
                <w:noProof/>
              </w:rPr>
            </w:pPr>
            <w:r w:rsidRPr="003244B5">
              <w:rPr>
                <w:noProof/>
              </w:rPr>
              <w:t>0.604</w:t>
            </w:r>
          </w:p>
        </w:tc>
      </w:tr>
      <w:tr w:rsidR="00B316B3" w:rsidRPr="003244B5" w14:paraId="0EC0CE05" w14:textId="77777777" w:rsidTr="005E18C3">
        <w:trPr>
          <w:trHeight w:val="260"/>
        </w:trPr>
        <w:tc>
          <w:tcPr>
            <w:tcW w:w="2333" w:type="pct"/>
            <w:hideMark/>
          </w:tcPr>
          <w:p w14:paraId="2CD8C560" w14:textId="77777777" w:rsidR="00B316B3" w:rsidRPr="003244B5" w:rsidRDefault="00B316B3" w:rsidP="00B316B3">
            <w:pPr>
              <w:pStyle w:val="Tabletext1"/>
              <w:ind w:left="33"/>
              <w:rPr>
                <w:noProof/>
              </w:rPr>
            </w:pPr>
            <w:r w:rsidRPr="003244B5">
              <w:rPr>
                <w:noProof/>
              </w:rPr>
              <w:t>... having to lie still?</w:t>
            </w:r>
          </w:p>
        </w:tc>
        <w:tc>
          <w:tcPr>
            <w:tcW w:w="1045" w:type="pct"/>
            <w:hideMark/>
          </w:tcPr>
          <w:p w14:paraId="1318C40D" w14:textId="77777777" w:rsidR="00B316B3" w:rsidRPr="003244B5" w:rsidRDefault="00B316B3" w:rsidP="005E18C3">
            <w:pPr>
              <w:pStyle w:val="Tabletext1"/>
              <w:ind w:left="0"/>
              <w:jc w:val="center"/>
              <w:rPr>
                <w:noProof/>
              </w:rPr>
            </w:pPr>
            <w:r w:rsidRPr="003244B5">
              <w:rPr>
                <w:noProof/>
              </w:rPr>
              <w:t>2.0 (1–3)</w:t>
            </w:r>
          </w:p>
        </w:tc>
        <w:tc>
          <w:tcPr>
            <w:tcW w:w="1037" w:type="pct"/>
            <w:hideMark/>
          </w:tcPr>
          <w:p w14:paraId="3825E7D6" w14:textId="77777777" w:rsidR="00B316B3" w:rsidRPr="003244B5" w:rsidRDefault="00B316B3" w:rsidP="005E18C3">
            <w:pPr>
              <w:pStyle w:val="Tabletext1"/>
              <w:ind w:left="0"/>
              <w:jc w:val="center"/>
              <w:rPr>
                <w:noProof/>
              </w:rPr>
            </w:pPr>
            <w:r w:rsidRPr="003244B5">
              <w:rPr>
                <w:noProof/>
              </w:rPr>
              <w:t>1.8 (1–4)</w:t>
            </w:r>
          </w:p>
        </w:tc>
        <w:tc>
          <w:tcPr>
            <w:tcW w:w="585" w:type="pct"/>
            <w:noWrap/>
            <w:hideMark/>
          </w:tcPr>
          <w:p w14:paraId="213BD0AA" w14:textId="77777777" w:rsidR="00B316B3" w:rsidRPr="003244B5" w:rsidRDefault="00B316B3" w:rsidP="005E18C3">
            <w:pPr>
              <w:pStyle w:val="Tabletext1"/>
              <w:ind w:left="0"/>
              <w:jc w:val="center"/>
              <w:rPr>
                <w:noProof/>
              </w:rPr>
            </w:pPr>
            <w:r w:rsidRPr="003244B5">
              <w:rPr>
                <w:noProof/>
              </w:rPr>
              <w:t>0.662</w:t>
            </w:r>
          </w:p>
        </w:tc>
      </w:tr>
      <w:tr w:rsidR="00B316B3" w:rsidRPr="003244B5" w14:paraId="4505C098" w14:textId="77777777" w:rsidTr="005E18C3">
        <w:trPr>
          <w:trHeight w:val="240"/>
        </w:trPr>
        <w:tc>
          <w:tcPr>
            <w:tcW w:w="2333" w:type="pct"/>
            <w:hideMark/>
          </w:tcPr>
          <w:p w14:paraId="15AC5B81" w14:textId="77777777" w:rsidR="00B316B3" w:rsidRPr="003244B5" w:rsidRDefault="00B316B3" w:rsidP="00B316B3">
            <w:pPr>
              <w:pStyle w:val="Tabletext1"/>
              <w:ind w:left="33"/>
              <w:rPr>
                <w:noProof/>
              </w:rPr>
            </w:pPr>
            <w:r w:rsidRPr="003244B5">
              <w:rPr>
                <w:noProof/>
              </w:rPr>
              <w:t>... the noise in the MRI?</w:t>
            </w:r>
          </w:p>
        </w:tc>
        <w:tc>
          <w:tcPr>
            <w:tcW w:w="1045" w:type="pct"/>
            <w:hideMark/>
          </w:tcPr>
          <w:p w14:paraId="103F147F" w14:textId="77777777" w:rsidR="00B316B3" w:rsidRPr="003244B5" w:rsidRDefault="00B316B3" w:rsidP="005E18C3">
            <w:pPr>
              <w:pStyle w:val="Tabletext1"/>
              <w:ind w:left="0"/>
              <w:jc w:val="center"/>
              <w:rPr>
                <w:noProof/>
              </w:rPr>
            </w:pPr>
            <w:r w:rsidRPr="003244B5">
              <w:rPr>
                <w:noProof/>
              </w:rPr>
              <w:t>2.1 (1–4)</w:t>
            </w:r>
          </w:p>
        </w:tc>
        <w:tc>
          <w:tcPr>
            <w:tcW w:w="1037" w:type="pct"/>
            <w:hideMark/>
          </w:tcPr>
          <w:p w14:paraId="5F01FB31" w14:textId="77777777" w:rsidR="00B316B3" w:rsidRPr="003244B5" w:rsidRDefault="00B316B3" w:rsidP="005E18C3">
            <w:pPr>
              <w:pStyle w:val="Tabletext1"/>
              <w:ind w:left="0"/>
              <w:jc w:val="center"/>
              <w:rPr>
                <w:noProof/>
              </w:rPr>
            </w:pPr>
            <w:r w:rsidRPr="003244B5">
              <w:rPr>
                <w:noProof/>
              </w:rPr>
              <w:t>2.0 (1–3)</w:t>
            </w:r>
          </w:p>
        </w:tc>
        <w:tc>
          <w:tcPr>
            <w:tcW w:w="585" w:type="pct"/>
            <w:noWrap/>
            <w:hideMark/>
          </w:tcPr>
          <w:p w14:paraId="6A0E6356" w14:textId="77777777" w:rsidR="00B316B3" w:rsidRPr="003244B5" w:rsidRDefault="00B316B3" w:rsidP="005E18C3">
            <w:pPr>
              <w:pStyle w:val="Tabletext1"/>
              <w:ind w:left="0"/>
              <w:jc w:val="center"/>
              <w:rPr>
                <w:noProof/>
              </w:rPr>
            </w:pPr>
            <w:r w:rsidRPr="003244B5">
              <w:rPr>
                <w:noProof/>
              </w:rPr>
              <w:t>0.817</w:t>
            </w:r>
          </w:p>
        </w:tc>
      </w:tr>
      <w:tr w:rsidR="00B316B3" w:rsidRPr="003244B5" w14:paraId="69E19DB1" w14:textId="77777777" w:rsidTr="005E18C3">
        <w:trPr>
          <w:trHeight w:val="260"/>
        </w:trPr>
        <w:tc>
          <w:tcPr>
            <w:tcW w:w="2333" w:type="pct"/>
            <w:hideMark/>
          </w:tcPr>
          <w:p w14:paraId="08BA65B5" w14:textId="77777777" w:rsidR="00B316B3" w:rsidRPr="003244B5" w:rsidRDefault="00B316B3" w:rsidP="00B316B3">
            <w:pPr>
              <w:pStyle w:val="Tabletext1"/>
              <w:ind w:left="33"/>
              <w:rPr>
                <w:noProof/>
              </w:rPr>
            </w:pPr>
            <w:r w:rsidRPr="003244B5">
              <w:rPr>
                <w:noProof/>
              </w:rPr>
              <w:t>... the temperature in the MRI?</w:t>
            </w:r>
          </w:p>
        </w:tc>
        <w:tc>
          <w:tcPr>
            <w:tcW w:w="1045" w:type="pct"/>
            <w:hideMark/>
          </w:tcPr>
          <w:p w14:paraId="71DC861A" w14:textId="77777777" w:rsidR="00B316B3" w:rsidRPr="003244B5" w:rsidRDefault="00B316B3" w:rsidP="005E18C3">
            <w:pPr>
              <w:pStyle w:val="Tabletext1"/>
              <w:ind w:left="0"/>
              <w:jc w:val="center"/>
              <w:rPr>
                <w:noProof/>
              </w:rPr>
            </w:pPr>
            <w:r w:rsidRPr="003244B5">
              <w:rPr>
                <w:noProof/>
              </w:rPr>
              <w:t>3.6 (1–4)</w:t>
            </w:r>
          </w:p>
        </w:tc>
        <w:tc>
          <w:tcPr>
            <w:tcW w:w="1037" w:type="pct"/>
            <w:hideMark/>
          </w:tcPr>
          <w:p w14:paraId="341179E0" w14:textId="77777777" w:rsidR="00B316B3" w:rsidRPr="003244B5" w:rsidRDefault="00B316B3" w:rsidP="005E18C3">
            <w:pPr>
              <w:pStyle w:val="Tabletext1"/>
              <w:ind w:left="0"/>
              <w:jc w:val="center"/>
              <w:rPr>
                <w:noProof/>
              </w:rPr>
            </w:pPr>
            <w:r w:rsidRPr="003244B5">
              <w:rPr>
                <w:noProof/>
              </w:rPr>
              <w:t>3.4 (1–3)</w:t>
            </w:r>
          </w:p>
        </w:tc>
        <w:tc>
          <w:tcPr>
            <w:tcW w:w="585" w:type="pct"/>
            <w:noWrap/>
            <w:hideMark/>
          </w:tcPr>
          <w:p w14:paraId="1D7D458B" w14:textId="77777777" w:rsidR="00B316B3" w:rsidRPr="003244B5" w:rsidRDefault="00B316B3" w:rsidP="005E18C3">
            <w:pPr>
              <w:pStyle w:val="Tabletext1"/>
              <w:ind w:left="0"/>
              <w:jc w:val="center"/>
              <w:rPr>
                <w:noProof/>
              </w:rPr>
            </w:pPr>
            <w:r w:rsidRPr="003244B5">
              <w:rPr>
                <w:noProof/>
              </w:rPr>
              <w:t>0.067</w:t>
            </w:r>
          </w:p>
        </w:tc>
      </w:tr>
      <w:tr w:rsidR="00B316B3" w:rsidRPr="003244B5" w14:paraId="12F5E6A2" w14:textId="77777777" w:rsidTr="005E18C3">
        <w:trPr>
          <w:trHeight w:val="240"/>
        </w:trPr>
        <w:tc>
          <w:tcPr>
            <w:tcW w:w="2333" w:type="pct"/>
            <w:hideMark/>
          </w:tcPr>
          <w:p w14:paraId="0F6B71FC" w14:textId="77777777" w:rsidR="00B316B3" w:rsidRPr="003244B5" w:rsidRDefault="00B316B3" w:rsidP="00B316B3">
            <w:pPr>
              <w:pStyle w:val="Tabletext1"/>
              <w:ind w:left="33"/>
              <w:rPr>
                <w:noProof/>
              </w:rPr>
            </w:pPr>
            <w:r w:rsidRPr="003244B5">
              <w:rPr>
                <w:noProof/>
              </w:rPr>
              <w:t>... the local temperature of your body parts?</w:t>
            </w:r>
          </w:p>
        </w:tc>
        <w:tc>
          <w:tcPr>
            <w:tcW w:w="1045" w:type="pct"/>
            <w:hideMark/>
          </w:tcPr>
          <w:p w14:paraId="28008C7E" w14:textId="77777777" w:rsidR="00B316B3" w:rsidRPr="003244B5" w:rsidRDefault="00B316B3" w:rsidP="005E18C3">
            <w:pPr>
              <w:pStyle w:val="Tabletext1"/>
              <w:ind w:left="0"/>
              <w:jc w:val="center"/>
              <w:rPr>
                <w:noProof/>
              </w:rPr>
            </w:pPr>
            <w:r w:rsidRPr="003244B5">
              <w:rPr>
                <w:noProof/>
              </w:rPr>
              <w:t>3.5 (1–3)</w:t>
            </w:r>
          </w:p>
        </w:tc>
        <w:tc>
          <w:tcPr>
            <w:tcW w:w="1037" w:type="pct"/>
            <w:hideMark/>
          </w:tcPr>
          <w:p w14:paraId="381A7D3D" w14:textId="77777777" w:rsidR="00B316B3" w:rsidRPr="003244B5" w:rsidRDefault="00B316B3" w:rsidP="005E18C3">
            <w:pPr>
              <w:pStyle w:val="Tabletext1"/>
              <w:ind w:left="0"/>
              <w:jc w:val="center"/>
              <w:rPr>
                <w:noProof/>
              </w:rPr>
            </w:pPr>
            <w:r w:rsidRPr="003244B5">
              <w:rPr>
                <w:noProof/>
              </w:rPr>
              <w:t>3.2 (1–4)</w:t>
            </w:r>
          </w:p>
        </w:tc>
        <w:tc>
          <w:tcPr>
            <w:tcW w:w="585" w:type="pct"/>
            <w:noWrap/>
            <w:hideMark/>
          </w:tcPr>
          <w:p w14:paraId="6B43613A" w14:textId="77777777" w:rsidR="00B316B3" w:rsidRPr="003244B5" w:rsidRDefault="00B316B3" w:rsidP="005E18C3">
            <w:pPr>
              <w:pStyle w:val="Tabletext1"/>
              <w:ind w:left="0"/>
              <w:jc w:val="center"/>
              <w:rPr>
                <w:noProof/>
              </w:rPr>
            </w:pPr>
            <w:r w:rsidRPr="003244B5">
              <w:rPr>
                <w:noProof/>
              </w:rPr>
              <w:t>0.302</w:t>
            </w:r>
          </w:p>
        </w:tc>
      </w:tr>
      <w:tr w:rsidR="00B316B3" w:rsidRPr="003244B5" w14:paraId="6D7E0297" w14:textId="77777777" w:rsidTr="005E18C3">
        <w:trPr>
          <w:trHeight w:val="260"/>
        </w:trPr>
        <w:tc>
          <w:tcPr>
            <w:tcW w:w="2333" w:type="pct"/>
            <w:hideMark/>
          </w:tcPr>
          <w:p w14:paraId="7E9D925D" w14:textId="77777777" w:rsidR="00B316B3" w:rsidRPr="003244B5" w:rsidRDefault="00B316B3" w:rsidP="00B316B3">
            <w:pPr>
              <w:pStyle w:val="Tabletext1"/>
              <w:ind w:left="33"/>
              <w:rPr>
                <w:noProof/>
              </w:rPr>
            </w:pPr>
            <w:r w:rsidRPr="003244B5">
              <w:rPr>
                <w:noProof/>
              </w:rPr>
              <w:t>... potential tingling sensations in your fingers and toes?</w:t>
            </w:r>
          </w:p>
        </w:tc>
        <w:tc>
          <w:tcPr>
            <w:tcW w:w="1045" w:type="pct"/>
            <w:hideMark/>
          </w:tcPr>
          <w:p w14:paraId="7E04FEDB" w14:textId="77777777" w:rsidR="00B316B3" w:rsidRPr="003244B5" w:rsidRDefault="00B316B3" w:rsidP="005E18C3">
            <w:pPr>
              <w:pStyle w:val="Tabletext1"/>
              <w:ind w:left="0"/>
              <w:jc w:val="center"/>
              <w:rPr>
                <w:noProof/>
              </w:rPr>
            </w:pPr>
            <w:r w:rsidRPr="003244B5">
              <w:rPr>
                <w:noProof/>
              </w:rPr>
              <w:t>1.9 (1–4)</w:t>
            </w:r>
          </w:p>
        </w:tc>
        <w:tc>
          <w:tcPr>
            <w:tcW w:w="1037" w:type="pct"/>
            <w:hideMark/>
          </w:tcPr>
          <w:p w14:paraId="20B2082E" w14:textId="77777777" w:rsidR="00B316B3" w:rsidRPr="003244B5" w:rsidRDefault="00B316B3" w:rsidP="005E18C3">
            <w:pPr>
              <w:pStyle w:val="Tabletext1"/>
              <w:ind w:left="0"/>
              <w:jc w:val="center"/>
              <w:rPr>
                <w:noProof/>
              </w:rPr>
            </w:pPr>
            <w:r w:rsidRPr="003244B5">
              <w:rPr>
                <w:noProof/>
              </w:rPr>
              <w:t>1.7 (1–4)</w:t>
            </w:r>
          </w:p>
        </w:tc>
        <w:tc>
          <w:tcPr>
            <w:tcW w:w="585" w:type="pct"/>
            <w:noWrap/>
            <w:hideMark/>
          </w:tcPr>
          <w:p w14:paraId="68F0807C" w14:textId="77777777" w:rsidR="00B316B3" w:rsidRPr="003244B5" w:rsidRDefault="00B316B3" w:rsidP="005E18C3">
            <w:pPr>
              <w:pStyle w:val="Tabletext1"/>
              <w:ind w:left="0"/>
              <w:jc w:val="center"/>
              <w:rPr>
                <w:noProof/>
              </w:rPr>
            </w:pPr>
            <w:r w:rsidRPr="003244B5">
              <w:rPr>
                <w:noProof/>
              </w:rPr>
              <w:t>0.090</w:t>
            </w:r>
          </w:p>
        </w:tc>
      </w:tr>
      <w:tr w:rsidR="00B316B3" w:rsidRPr="003244B5" w14:paraId="1C05DDC2" w14:textId="77777777" w:rsidTr="005E18C3">
        <w:trPr>
          <w:trHeight w:val="240"/>
        </w:trPr>
        <w:tc>
          <w:tcPr>
            <w:tcW w:w="2333" w:type="pct"/>
            <w:hideMark/>
          </w:tcPr>
          <w:p w14:paraId="16364A20" w14:textId="77777777" w:rsidR="00B316B3" w:rsidRPr="003244B5" w:rsidRDefault="00B316B3" w:rsidP="00B316B3">
            <w:pPr>
              <w:pStyle w:val="Tabletext1"/>
              <w:ind w:left="33"/>
              <w:rPr>
                <w:noProof/>
              </w:rPr>
            </w:pPr>
            <w:r w:rsidRPr="003244B5">
              <w:rPr>
                <w:noProof/>
              </w:rPr>
              <w:t>... the breathing instructions?</w:t>
            </w:r>
          </w:p>
        </w:tc>
        <w:tc>
          <w:tcPr>
            <w:tcW w:w="1045" w:type="pct"/>
            <w:hideMark/>
          </w:tcPr>
          <w:p w14:paraId="3BC67D6D" w14:textId="77777777" w:rsidR="00B316B3" w:rsidRPr="003244B5" w:rsidRDefault="00B316B3" w:rsidP="005E18C3">
            <w:pPr>
              <w:pStyle w:val="Tabletext1"/>
              <w:ind w:left="0"/>
              <w:jc w:val="center"/>
              <w:rPr>
                <w:noProof/>
              </w:rPr>
            </w:pPr>
            <w:r w:rsidRPr="003244B5">
              <w:rPr>
                <w:noProof/>
              </w:rPr>
              <w:t>1.1 (1–3)</w:t>
            </w:r>
          </w:p>
        </w:tc>
        <w:tc>
          <w:tcPr>
            <w:tcW w:w="1037" w:type="pct"/>
            <w:hideMark/>
          </w:tcPr>
          <w:p w14:paraId="48C6833B" w14:textId="77777777" w:rsidR="00B316B3" w:rsidRPr="003244B5" w:rsidRDefault="00B316B3" w:rsidP="005E18C3">
            <w:pPr>
              <w:pStyle w:val="Tabletext1"/>
              <w:ind w:left="0"/>
              <w:jc w:val="center"/>
              <w:rPr>
                <w:noProof/>
              </w:rPr>
            </w:pPr>
            <w:r w:rsidRPr="003244B5">
              <w:rPr>
                <w:noProof/>
              </w:rPr>
              <w:t>1.2 (1–2)</w:t>
            </w:r>
          </w:p>
        </w:tc>
        <w:tc>
          <w:tcPr>
            <w:tcW w:w="585" w:type="pct"/>
            <w:noWrap/>
            <w:hideMark/>
          </w:tcPr>
          <w:p w14:paraId="02A556F6" w14:textId="77777777" w:rsidR="00B316B3" w:rsidRPr="003244B5" w:rsidRDefault="00B316B3" w:rsidP="005E18C3">
            <w:pPr>
              <w:pStyle w:val="Tabletext1"/>
              <w:ind w:left="0"/>
              <w:jc w:val="center"/>
              <w:rPr>
                <w:noProof/>
              </w:rPr>
            </w:pPr>
            <w:r w:rsidRPr="003244B5">
              <w:rPr>
                <w:noProof/>
              </w:rPr>
              <w:t>0.102</w:t>
            </w:r>
          </w:p>
        </w:tc>
      </w:tr>
      <w:tr w:rsidR="00B316B3" w:rsidRPr="003244B5" w14:paraId="3D75439B" w14:textId="77777777" w:rsidTr="005E18C3">
        <w:trPr>
          <w:trHeight w:val="240"/>
        </w:trPr>
        <w:tc>
          <w:tcPr>
            <w:tcW w:w="2333" w:type="pct"/>
            <w:hideMark/>
          </w:tcPr>
          <w:p w14:paraId="28190C69" w14:textId="77777777" w:rsidR="00B316B3" w:rsidRPr="003244B5" w:rsidRDefault="00B316B3" w:rsidP="00B316B3">
            <w:pPr>
              <w:pStyle w:val="Tabletext1"/>
              <w:ind w:left="33"/>
              <w:rPr>
                <w:noProof/>
              </w:rPr>
            </w:pPr>
            <w:r w:rsidRPr="003244B5">
              <w:rPr>
                <w:noProof/>
              </w:rPr>
              <w:t>... holding your breath during RT?</w:t>
            </w:r>
          </w:p>
        </w:tc>
        <w:tc>
          <w:tcPr>
            <w:tcW w:w="1045" w:type="pct"/>
            <w:hideMark/>
          </w:tcPr>
          <w:p w14:paraId="63FDD3B6" w14:textId="77777777" w:rsidR="00B316B3" w:rsidRPr="003244B5" w:rsidRDefault="00B316B3" w:rsidP="005E18C3">
            <w:pPr>
              <w:pStyle w:val="Tabletext1"/>
              <w:ind w:left="0"/>
              <w:jc w:val="center"/>
              <w:rPr>
                <w:noProof/>
              </w:rPr>
            </w:pPr>
            <w:r w:rsidRPr="003244B5">
              <w:rPr>
                <w:noProof/>
              </w:rPr>
              <w:t>1.4 (1–3)</w:t>
            </w:r>
          </w:p>
        </w:tc>
        <w:tc>
          <w:tcPr>
            <w:tcW w:w="1037" w:type="pct"/>
            <w:hideMark/>
          </w:tcPr>
          <w:p w14:paraId="1BAFD678" w14:textId="77777777" w:rsidR="00B316B3" w:rsidRPr="003244B5" w:rsidRDefault="00B316B3" w:rsidP="005E18C3">
            <w:pPr>
              <w:pStyle w:val="Tabletext1"/>
              <w:ind w:left="0"/>
              <w:jc w:val="center"/>
              <w:rPr>
                <w:noProof/>
              </w:rPr>
            </w:pPr>
            <w:r w:rsidRPr="003244B5">
              <w:rPr>
                <w:noProof/>
              </w:rPr>
              <w:t>1.5 (1–3)</w:t>
            </w:r>
          </w:p>
        </w:tc>
        <w:tc>
          <w:tcPr>
            <w:tcW w:w="585" w:type="pct"/>
            <w:noWrap/>
            <w:hideMark/>
          </w:tcPr>
          <w:p w14:paraId="43C37BE8" w14:textId="77777777" w:rsidR="00B316B3" w:rsidRPr="003244B5" w:rsidRDefault="00B316B3" w:rsidP="005E18C3">
            <w:pPr>
              <w:pStyle w:val="Tabletext1"/>
              <w:ind w:left="0"/>
              <w:jc w:val="center"/>
              <w:rPr>
                <w:noProof/>
              </w:rPr>
            </w:pPr>
            <w:r w:rsidRPr="003244B5">
              <w:rPr>
                <w:noProof/>
              </w:rPr>
              <w:t>0.305</w:t>
            </w:r>
          </w:p>
        </w:tc>
      </w:tr>
      <w:tr w:rsidR="00B316B3" w:rsidRPr="003244B5" w14:paraId="46EDED96" w14:textId="77777777" w:rsidTr="005E18C3">
        <w:trPr>
          <w:trHeight w:val="260"/>
        </w:trPr>
        <w:tc>
          <w:tcPr>
            <w:tcW w:w="2333" w:type="pct"/>
            <w:hideMark/>
          </w:tcPr>
          <w:p w14:paraId="56AF605B" w14:textId="77777777" w:rsidR="00B316B3" w:rsidRPr="003244B5" w:rsidRDefault="00B316B3" w:rsidP="00B316B3">
            <w:pPr>
              <w:pStyle w:val="Tabletext1"/>
              <w:ind w:left="33"/>
              <w:rPr>
                <w:noProof/>
              </w:rPr>
            </w:pPr>
            <w:r w:rsidRPr="003244B5">
              <w:rPr>
                <w:noProof/>
              </w:rPr>
              <w:lastRenderedPageBreak/>
              <w:t>Were you anxious during treatment?</w:t>
            </w:r>
          </w:p>
        </w:tc>
        <w:tc>
          <w:tcPr>
            <w:tcW w:w="1045" w:type="pct"/>
            <w:hideMark/>
          </w:tcPr>
          <w:p w14:paraId="2110751A" w14:textId="77777777" w:rsidR="00B316B3" w:rsidRPr="003244B5" w:rsidRDefault="00B316B3" w:rsidP="005E18C3">
            <w:pPr>
              <w:pStyle w:val="Tabletext1"/>
              <w:ind w:left="0"/>
              <w:jc w:val="center"/>
              <w:rPr>
                <w:noProof/>
              </w:rPr>
            </w:pPr>
            <w:r w:rsidRPr="003244B5">
              <w:rPr>
                <w:noProof/>
              </w:rPr>
              <w:t>1.4 (1–3)</w:t>
            </w:r>
          </w:p>
        </w:tc>
        <w:tc>
          <w:tcPr>
            <w:tcW w:w="1037" w:type="pct"/>
            <w:hideMark/>
          </w:tcPr>
          <w:p w14:paraId="0F692B75" w14:textId="77777777" w:rsidR="00B316B3" w:rsidRPr="003244B5" w:rsidRDefault="00B316B3" w:rsidP="005E18C3">
            <w:pPr>
              <w:pStyle w:val="Tabletext1"/>
              <w:ind w:left="0"/>
              <w:jc w:val="center"/>
              <w:rPr>
                <w:noProof/>
              </w:rPr>
            </w:pPr>
            <w:r w:rsidRPr="003244B5">
              <w:rPr>
                <w:noProof/>
              </w:rPr>
              <w:t>1.3 (1–3)</w:t>
            </w:r>
          </w:p>
        </w:tc>
        <w:tc>
          <w:tcPr>
            <w:tcW w:w="585" w:type="pct"/>
            <w:noWrap/>
            <w:hideMark/>
          </w:tcPr>
          <w:p w14:paraId="50B4E625" w14:textId="77777777" w:rsidR="00B316B3" w:rsidRPr="003244B5" w:rsidRDefault="00B316B3" w:rsidP="005E18C3">
            <w:pPr>
              <w:pStyle w:val="Tabletext1"/>
              <w:ind w:left="0"/>
              <w:jc w:val="center"/>
              <w:rPr>
                <w:noProof/>
              </w:rPr>
            </w:pPr>
            <w:r w:rsidRPr="003244B5">
              <w:rPr>
                <w:noProof/>
              </w:rPr>
              <w:t>0.157</w:t>
            </w:r>
          </w:p>
        </w:tc>
      </w:tr>
      <w:tr w:rsidR="00B316B3" w:rsidRPr="003244B5" w14:paraId="6AE331C5" w14:textId="77777777" w:rsidTr="005E18C3">
        <w:trPr>
          <w:trHeight w:val="240"/>
        </w:trPr>
        <w:tc>
          <w:tcPr>
            <w:tcW w:w="2333" w:type="pct"/>
            <w:hideMark/>
          </w:tcPr>
          <w:p w14:paraId="30C06CA8" w14:textId="77777777" w:rsidR="00B316B3" w:rsidRPr="003244B5" w:rsidRDefault="00B316B3" w:rsidP="00B316B3">
            <w:pPr>
              <w:pStyle w:val="Tabletext1"/>
              <w:ind w:left="33"/>
              <w:rPr>
                <w:noProof/>
              </w:rPr>
            </w:pPr>
            <w:r w:rsidRPr="003244B5">
              <w:rPr>
                <w:noProof/>
              </w:rPr>
              <w:t>Respiratory gated dose delivery (</w:t>
            </w:r>
            <w:r w:rsidRPr="003244B5">
              <w:rPr>
                <w:i/>
                <w:iCs/>
                <w:noProof/>
              </w:rPr>
              <w:t xml:space="preserve">N </w:t>
            </w:r>
            <w:r w:rsidRPr="003244B5">
              <w:rPr>
                <w:noProof/>
              </w:rPr>
              <w:t>= 22)</w:t>
            </w:r>
          </w:p>
        </w:tc>
        <w:tc>
          <w:tcPr>
            <w:tcW w:w="1045" w:type="pct"/>
            <w:hideMark/>
          </w:tcPr>
          <w:p w14:paraId="611548B7" w14:textId="77777777" w:rsidR="00B316B3" w:rsidRPr="003244B5" w:rsidRDefault="00B316B3" w:rsidP="005E18C3">
            <w:pPr>
              <w:pStyle w:val="Tabletext1"/>
              <w:ind w:left="0"/>
              <w:jc w:val="center"/>
              <w:rPr>
                <w:noProof/>
              </w:rPr>
            </w:pPr>
          </w:p>
        </w:tc>
        <w:tc>
          <w:tcPr>
            <w:tcW w:w="1037" w:type="pct"/>
            <w:hideMark/>
          </w:tcPr>
          <w:p w14:paraId="08936C9A" w14:textId="77777777" w:rsidR="00B316B3" w:rsidRPr="003244B5" w:rsidRDefault="00B316B3" w:rsidP="005E18C3">
            <w:pPr>
              <w:pStyle w:val="Tabletext1"/>
              <w:ind w:left="0"/>
              <w:jc w:val="center"/>
              <w:rPr>
                <w:noProof/>
              </w:rPr>
            </w:pPr>
          </w:p>
        </w:tc>
        <w:tc>
          <w:tcPr>
            <w:tcW w:w="585" w:type="pct"/>
            <w:hideMark/>
          </w:tcPr>
          <w:p w14:paraId="1AB9F470" w14:textId="77777777" w:rsidR="00B316B3" w:rsidRPr="003244B5" w:rsidRDefault="00B316B3" w:rsidP="005E18C3">
            <w:pPr>
              <w:pStyle w:val="Tabletext1"/>
              <w:ind w:left="0"/>
              <w:jc w:val="center"/>
              <w:rPr>
                <w:noProof/>
              </w:rPr>
            </w:pPr>
          </w:p>
        </w:tc>
      </w:tr>
      <w:tr w:rsidR="00B316B3" w:rsidRPr="003244B5" w14:paraId="1CF74F1B" w14:textId="77777777" w:rsidTr="005E18C3">
        <w:trPr>
          <w:trHeight w:val="260"/>
        </w:trPr>
        <w:tc>
          <w:tcPr>
            <w:tcW w:w="2333" w:type="pct"/>
            <w:hideMark/>
          </w:tcPr>
          <w:p w14:paraId="28F93E8A" w14:textId="77777777" w:rsidR="00B316B3" w:rsidRPr="003244B5" w:rsidRDefault="00B316B3" w:rsidP="00B316B3">
            <w:pPr>
              <w:pStyle w:val="Tabletext1"/>
              <w:ind w:left="33"/>
              <w:rPr>
                <w:noProof/>
              </w:rPr>
            </w:pPr>
            <w:r w:rsidRPr="003244B5">
              <w:rPr>
                <w:noProof/>
              </w:rPr>
              <w:t>Was it difficult to control the target by holding your breath?</w:t>
            </w:r>
          </w:p>
        </w:tc>
        <w:tc>
          <w:tcPr>
            <w:tcW w:w="1045" w:type="pct"/>
            <w:hideMark/>
          </w:tcPr>
          <w:p w14:paraId="7CE1043A" w14:textId="77777777" w:rsidR="00B316B3" w:rsidRPr="003244B5" w:rsidRDefault="00B316B3" w:rsidP="005E18C3">
            <w:pPr>
              <w:pStyle w:val="Tabletext1"/>
              <w:ind w:left="0"/>
              <w:jc w:val="center"/>
              <w:rPr>
                <w:noProof/>
              </w:rPr>
            </w:pPr>
            <w:r w:rsidRPr="003244B5">
              <w:rPr>
                <w:noProof/>
              </w:rPr>
              <w:t>1.3 (1–3)</w:t>
            </w:r>
          </w:p>
        </w:tc>
        <w:tc>
          <w:tcPr>
            <w:tcW w:w="1037" w:type="pct"/>
            <w:hideMark/>
          </w:tcPr>
          <w:p w14:paraId="5F6C2BF1" w14:textId="77777777" w:rsidR="00B316B3" w:rsidRPr="003244B5" w:rsidRDefault="00B316B3" w:rsidP="005E18C3">
            <w:pPr>
              <w:pStyle w:val="Tabletext1"/>
              <w:ind w:left="0"/>
              <w:jc w:val="center"/>
              <w:rPr>
                <w:noProof/>
              </w:rPr>
            </w:pPr>
            <w:r w:rsidRPr="003244B5">
              <w:rPr>
                <w:noProof/>
              </w:rPr>
              <w:t>1.2 (1–2)</w:t>
            </w:r>
          </w:p>
        </w:tc>
        <w:tc>
          <w:tcPr>
            <w:tcW w:w="585" w:type="pct"/>
            <w:noWrap/>
            <w:hideMark/>
          </w:tcPr>
          <w:p w14:paraId="53DE9497" w14:textId="77777777" w:rsidR="00B316B3" w:rsidRPr="003244B5" w:rsidRDefault="00B316B3" w:rsidP="005E18C3">
            <w:pPr>
              <w:pStyle w:val="Tabletext1"/>
              <w:ind w:left="0"/>
              <w:jc w:val="center"/>
              <w:rPr>
                <w:noProof/>
              </w:rPr>
            </w:pPr>
            <w:r w:rsidRPr="003244B5">
              <w:rPr>
                <w:noProof/>
              </w:rPr>
              <w:t>0.739</w:t>
            </w:r>
          </w:p>
        </w:tc>
      </w:tr>
      <w:tr w:rsidR="00B316B3" w:rsidRPr="003244B5" w14:paraId="7EC2F44D" w14:textId="77777777" w:rsidTr="005E18C3">
        <w:trPr>
          <w:trHeight w:val="240"/>
        </w:trPr>
        <w:tc>
          <w:tcPr>
            <w:tcW w:w="2333" w:type="pct"/>
            <w:hideMark/>
          </w:tcPr>
          <w:p w14:paraId="56A28803" w14:textId="77777777" w:rsidR="00B316B3" w:rsidRPr="003244B5" w:rsidRDefault="00B316B3" w:rsidP="00B316B3">
            <w:pPr>
              <w:pStyle w:val="Tabletext1"/>
              <w:ind w:left="33"/>
              <w:rPr>
                <w:noProof/>
              </w:rPr>
            </w:pPr>
            <w:r w:rsidRPr="003244B5">
              <w:rPr>
                <w:noProof/>
              </w:rPr>
              <w:t>Was it confronting to watch your tumor on the monitor?</w:t>
            </w:r>
          </w:p>
        </w:tc>
        <w:tc>
          <w:tcPr>
            <w:tcW w:w="1045" w:type="pct"/>
            <w:hideMark/>
          </w:tcPr>
          <w:p w14:paraId="3448C6B0" w14:textId="77777777" w:rsidR="00B316B3" w:rsidRPr="003244B5" w:rsidRDefault="00B316B3" w:rsidP="005E18C3">
            <w:pPr>
              <w:pStyle w:val="Tabletext1"/>
              <w:ind w:left="0"/>
              <w:jc w:val="center"/>
              <w:rPr>
                <w:noProof/>
              </w:rPr>
            </w:pPr>
            <w:r w:rsidRPr="003244B5">
              <w:rPr>
                <w:noProof/>
              </w:rPr>
              <w:t>1.2 (1–2)</w:t>
            </w:r>
          </w:p>
        </w:tc>
        <w:tc>
          <w:tcPr>
            <w:tcW w:w="1037" w:type="pct"/>
            <w:hideMark/>
          </w:tcPr>
          <w:p w14:paraId="66FB217B" w14:textId="77777777" w:rsidR="00B316B3" w:rsidRPr="003244B5" w:rsidRDefault="00B316B3" w:rsidP="005E18C3">
            <w:pPr>
              <w:pStyle w:val="Tabletext1"/>
              <w:ind w:left="0"/>
              <w:jc w:val="center"/>
              <w:rPr>
                <w:noProof/>
              </w:rPr>
            </w:pPr>
            <w:r w:rsidRPr="003244B5">
              <w:rPr>
                <w:noProof/>
              </w:rPr>
              <w:t>1.1 (1–2)</w:t>
            </w:r>
          </w:p>
        </w:tc>
        <w:tc>
          <w:tcPr>
            <w:tcW w:w="585" w:type="pct"/>
            <w:noWrap/>
            <w:hideMark/>
          </w:tcPr>
          <w:p w14:paraId="4B4059D4" w14:textId="77777777" w:rsidR="00B316B3" w:rsidRPr="003244B5" w:rsidRDefault="00B316B3" w:rsidP="005E18C3">
            <w:pPr>
              <w:pStyle w:val="Tabletext1"/>
              <w:ind w:left="0"/>
              <w:jc w:val="center"/>
              <w:rPr>
                <w:noProof/>
              </w:rPr>
            </w:pPr>
            <w:r w:rsidRPr="003244B5">
              <w:rPr>
                <w:noProof/>
              </w:rPr>
              <w:t>0.564</w:t>
            </w:r>
          </w:p>
        </w:tc>
      </w:tr>
      <w:tr w:rsidR="00B316B3" w:rsidRPr="003244B5" w14:paraId="6F2C1C43" w14:textId="77777777" w:rsidTr="005E18C3">
        <w:trPr>
          <w:trHeight w:val="460"/>
        </w:trPr>
        <w:tc>
          <w:tcPr>
            <w:tcW w:w="2333" w:type="pct"/>
            <w:hideMark/>
          </w:tcPr>
          <w:p w14:paraId="18232975" w14:textId="77777777" w:rsidR="00B316B3" w:rsidRPr="003244B5" w:rsidRDefault="00B316B3" w:rsidP="00B316B3">
            <w:pPr>
              <w:pStyle w:val="Tabletext1"/>
              <w:ind w:left="33"/>
              <w:rPr>
                <w:noProof/>
              </w:rPr>
            </w:pPr>
            <w:r w:rsidRPr="003244B5">
              <w:rPr>
                <w:noProof/>
              </w:rPr>
              <w:t>How did you like the possibility to have an active role in control- ling the duration of treatment?</w:t>
            </w:r>
          </w:p>
        </w:tc>
        <w:tc>
          <w:tcPr>
            <w:tcW w:w="1045" w:type="pct"/>
            <w:hideMark/>
          </w:tcPr>
          <w:p w14:paraId="17FA2E2B" w14:textId="77777777" w:rsidR="00B316B3" w:rsidRPr="003244B5" w:rsidRDefault="00B316B3" w:rsidP="005E18C3">
            <w:pPr>
              <w:pStyle w:val="Tabletext1"/>
              <w:ind w:left="0"/>
              <w:jc w:val="center"/>
              <w:rPr>
                <w:noProof/>
              </w:rPr>
            </w:pPr>
            <w:r w:rsidRPr="003244B5">
              <w:rPr>
                <w:noProof/>
              </w:rPr>
              <w:t>1.2 (1–2)</w:t>
            </w:r>
          </w:p>
        </w:tc>
        <w:tc>
          <w:tcPr>
            <w:tcW w:w="1037" w:type="pct"/>
            <w:hideMark/>
          </w:tcPr>
          <w:p w14:paraId="73C9F817" w14:textId="77777777" w:rsidR="00B316B3" w:rsidRPr="003244B5" w:rsidRDefault="00B316B3" w:rsidP="005E18C3">
            <w:pPr>
              <w:pStyle w:val="Tabletext1"/>
              <w:ind w:left="0"/>
              <w:jc w:val="center"/>
              <w:rPr>
                <w:noProof/>
              </w:rPr>
            </w:pPr>
            <w:r w:rsidRPr="003244B5">
              <w:rPr>
                <w:noProof/>
              </w:rPr>
              <w:t>1.1 (1–2)</w:t>
            </w:r>
          </w:p>
        </w:tc>
        <w:tc>
          <w:tcPr>
            <w:tcW w:w="585" w:type="pct"/>
            <w:noWrap/>
            <w:hideMark/>
          </w:tcPr>
          <w:p w14:paraId="263F8DB5" w14:textId="77777777" w:rsidR="00B316B3" w:rsidRPr="003244B5" w:rsidRDefault="00B316B3" w:rsidP="005E18C3">
            <w:pPr>
              <w:pStyle w:val="Tabletext1"/>
              <w:ind w:left="0"/>
              <w:jc w:val="center"/>
              <w:rPr>
                <w:noProof/>
              </w:rPr>
            </w:pPr>
            <w:r w:rsidRPr="003244B5">
              <w:rPr>
                <w:noProof/>
              </w:rPr>
              <w:t>1.000</w:t>
            </w:r>
          </w:p>
        </w:tc>
      </w:tr>
    </w:tbl>
    <w:bookmarkEnd w:id="380"/>
    <w:p w14:paraId="2487DCF7" w14:textId="6F88DE95" w:rsidR="00B316B3" w:rsidRDefault="00D866C2" w:rsidP="00040981">
      <w:pPr>
        <w:pStyle w:val="TFAbbrevs18"/>
      </w:pPr>
      <w:r>
        <w:rPr>
          <w:vertAlign w:val="superscript"/>
        </w:rPr>
        <w:t>a</w:t>
      </w:r>
      <w:r w:rsidR="0098105D">
        <w:rPr>
          <w:vertAlign w:val="superscript"/>
        </w:rPr>
        <w:t xml:space="preserve"> </w:t>
      </w:r>
      <w:r>
        <w:t xml:space="preserve">Items were scored using a five-point scale with higher score indicating </w:t>
      </w:r>
      <w:r w:rsidRPr="00C75AE0">
        <w:t>more</w:t>
      </w:r>
      <w:r>
        <w:t xml:space="preserve"> concern.</w:t>
      </w:r>
    </w:p>
    <w:p w14:paraId="7F898E37" w14:textId="60D0EE93" w:rsidR="00EC31D6" w:rsidRDefault="00EC31D6" w:rsidP="00C61AF5">
      <w:r>
        <w:t xml:space="preserve">In another </w:t>
      </w:r>
      <w:r w:rsidR="0003107C">
        <w:t>cross-sectional</w:t>
      </w:r>
      <w:r>
        <w:t xml:space="preserve"> study by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rsidR="00C61AF5">
        <w:t xml:space="preserve"> potential</w:t>
      </w:r>
      <w:r>
        <w:t xml:space="preserve"> </w:t>
      </w:r>
      <w:r w:rsidR="00C61AF5" w:rsidRPr="00C61AF5">
        <w:t>MR-</w:t>
      </w:r>
      <w:r w:rsidR="00231F4D">
        <w:t xml:space="preserve">IGRT </w:t>
      </w:r>
      <w:r w:rsidR="00C61AF5" w:rsidRPr="00C61AF5">
        <w:t>related complaints and experiences, such as anxiety, temperature, and noise</w:t>
      </w:r>
      <w:r w:rsidR="00C61AF5">
        <w:t xml:space="preserve"> were assessed through study’s own in-house PRO-Q. Questionnaires</w:t>
      </w:r>
      <w:r w:rsidR="00C61AF5" w:rsidRPr="00C61AF5">
        <w:t xml:space="preserve"> were collected once</w:t>
      </w:r>
      <w:r w:rsidR="00F44C6C">
        <w:t>,</w:t>
      </w:r>
      <w:r w:rsidR="00C61AF5" w:rsidRPr="00C61AF5">
        <w:t xml:space="preserve"> immediately following the last </w:t>
      </w:r>
      <w:r w:rsidR="00C61AF5">
        <w:t>SBRT</w:t>
      </w:r>
      <w:r w:rsidR="00C61AF5" w:rsidRPr="00C61AF5">
        <w:t xml:space="preserve"> fraction.</w:t>
      </w:r>
      <w:r w:rsidR="00C61AF5">
        <w:t xml:space="preserve"> </w:t>
      </w:r>
      <w:r>
        <w:t xml:space="preserve">Some degree of anxiety during </w:t>
      </w:r>
      <w:r w:rsidR="00C61AF5">
        <w:t>treatment</w:t>
      </w:r>
      <w:r>
        <w:t xml:space="preserve"> delivery was reported by 25</w:t>
      </w:r>
      <w:r w:rsidR="00C61AF5">
        <w:t>/150</w:t>
      </w:r>
      <w:r>
        <w:t xml:space="preserve"> </w:t>
      </w:r>
      <w:r w:rsidR="00C61AF5">
        <w:t xml:space="preserve">(17%) </w:t>
      </w:r>
      <w:r>
        <w:t>patients, with seven of these patients (5%) reporting anxiety to be considerable. None of the patients needed medication for anxiety.</w:t>
      </w:r>
      <w:r w:rsidR="00C61AF5">
        <w:t xml:space="preserve">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rsidR="00C61AF5">
        <w:t xml:space="preserve"> </w:t>
      </w:r>
      <w:r w:rsidR="003119FC">
        <w:t>noted</w:t>
      </w:r>
      <w:r w:rsidR="00C61AF5">
        <w:t xml:space="preserve"> that </w:t>
      </w:r>
      <w:r w:rsidR="00231F4D">
        <w:t>89/150 (</w:t>
      </w:r>
      <w:r w:rsidR="00C61AF5">
        <w:t>80%</w:t>
      </w:r>
      <w:r w:rsidR="00231F4D">
        <w:t>)</w:t>
      </w:r>
      <w:r w:rsidR="00C61AF5">
        <w:t xml:space="preserve"> patients reported at least some degree of one of the potential MR-related complaints included in the questionnaire. However, only 44/150 (29%) scored at least one of the</w:t>
      </w:r>
      <w:r w:rsidR="00CC4D97">
        <w:t>m</w:t>
      </w:r>
      <w:r w:rsidR="00C61AF5">
        <w:t xml:space="preserve"> as considerable.</w:t>
      </w:r>
      <w:r w:rsidR="00355ABF">
        <w:t xml:space="preserve"> </w:t>
      </w:r>
      <w:r w:rsidR="00CC4D97">
        <w:t>The p</w:t>
      </w:r>
      <w:r w:rsidR="00355ABF">
        <w:t xml:space="preserve">roportion of patients reporting each of </w:t>
      </w:r>
      <w:r w:rsidR="00CC4D97">
        <w:t xml:space="preserve">the </w:t>
      </w:r>
      <w:r w:rsidR="00355ABF">
        <w:t xml:space="preserve">seven assessed MR-related complaints in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rsidR="00355ABF">
        <w:t xml:space="preserve"> </w:t>
      </w:r>
      <w:r w:rsidR="003119FC">
        <w:t>are</w:t>
      </w:r>
      <w:r w:rsidR="00355ABF">
        <w:t xml:space="preserve"> summarised in </w:t>
      </w:r>
      <w:r w:rsidR="00355ABF">
        <w:fldChar w:fldCharType="begin"/>
      </w:r>
      <w:r w:rsidR="00355ABF">
        <w:instrText xml:space="preserve"> REF _Ref55556902 \h </w:instrText>
      </w:r>
      <w:r w:rsidR="00355ABF">
        <w:fldChar w:fldCharType="separate"/>
      </w:r>
      <w:r w:rsidR="00451350">
        <w:t xml:space="preserve">Table </w:t>
      </w:r>
      <w:r w:rsidR="00451350">
        <w:rPr>
          <w:noProof/>
        </w:rPr>
        <w:t>28</w:t>
      </w:r>
      <w:r w:rsidR="00355ABF">
        <w:fldChar w:fldCharType="end"/>
      </w:r>
      <w:r w:rsidR="00355ABF">
        <w:t>.</w:t>
      </w:r>
    </w:p>
    <w:p w14:paraId="0F2E6F36" w14:textId="4A5D64BA" w:rsidR="00EC31D6" w:rsidRDefault="00C61AF5" w:rsidP="0098105D">
      <w:pPr>
        <w:pStyle w:val="Caption"/>
        <w:keepNext/>
      </w:pPr>
      <w:bookmarkStart w:id="381" w:name="_Ref55556902"/>
      <w:bookmarkStart w:id="382" w:name="_Toc89857899"/>
      <w:r>
        <w:t xml:space="preserve">Table </w:t>
      </w:r>
      <w:r w:rsidR="00211285">
        <w:fldChar w:fldCharType="begin"/>
      </w:r>
      <w:r w:rsidR="00211285">
        <w:instrText xml:space="preserve"> SEQ Table \* ARABIC </w:instrText>
      </w:r>
      <w:r w:rsidR="00211285">
        <w:fldChar w:fldCharType="separate"/>
      </w:r>
      <w:r w:rsidR="00451350">
        <w:rPr>
          <w:noProof/>
        </w:rPr>
        <w:t>28</w:t>
      </w:r>
      <w:r w:rsidR="00211285">
        <w:rPr>
          <w:noProof/>
        </w:rPr>
        <w:fldChar w:fldCharType="end"/>
      </w:r>
      <w:bookmarkEnd w:id="381"/>
      <w:r>
        <w:tab/>
        <w:t>MR</w:t>
      </w:r>
      <w:r w:rsidR="00231F4D">
        <w:t xml:space="preserve">-IGRT </w:t>
      </w:r>
      <w:r>
        <w:t>related complaints</w:t>
      </w:r>
      <w:r w:rsidR="007A528B">
        <w:t xml:space="preserve">,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bookmarkEnd w:id="382"/>
        <w:r w:rsidR="001F781A">
          <w:fldChar w:fldCharType="end"/>
        </w:r>
      </w:hyperlink>
    </w:p>
    <w:tbl>
      <w:tblPr>
        <w:tblStyle w:val="TableGrid"/>
        <w:tblW w:w="0" w:type="auto"/>
        <w:tblLook w:val="04A0" w:firstRow="1" w:lastRow="0" w:firstColumn="1" w:lastColumn="0" w:noHBand="0" w:noVBand="1"/>
        <w:tblCaption w:val="Table 28 MR-IGRT related complaints, Tetar, 2018 "/>
        <w:tblDescription w:val="This table provides MR-IGRT related complaints from Tetar 2018."/>
      </w:tblPr>
      <w:tblGrid>
        <w:gridCol w:w="3005"/>
        <w:gridCol w:w="3005"/>
        <w:gridCol w:w="3006"/>
      </w:tblGrid>
      <w:tr w:rsidR="00C61AF5" w14:paraId="131CEA92" w14:textId="77777777" w:rsidTr="00D81AD5">
        <w:trPr>
          <w:tblHeader/>
        </w:trPr>
        <w:tc>
          <w:tcPr>
            <w:tcW w:w="3005" w:type="dxa"/>
          </w:tcPr>
          <w:p w14:paraId="71A772E5" w14:textId="7A693F1F" w:rsidR="00C61AF5" w:rsidRPr="0098105D" w:rsidRDefault="00C61AF5" w:rsidP="00812851">
            <w:pPr>
              <w:pStyle w:val="TableHeading"/>
              <w:ind w:left="22"/>
              <w:jc w:val="both"/>
              <w:rPr>
                <w:vertAlign w:val="superscript"/>
              </w:rPr>
            </w:pPr>
            <w:r>
              <w:t>MR-related complaints</w:t>
            </w:r>
            <w:r w:rsidR="0098105D">
              <w:rPr>
                <w:vertAlign w:val="superscript"/>
              </w:rPr>
              <w:t>a</w:t>
            </w:r>
          </w:p>
        </w:tc>
        <w:tc>
          <w:tcPr>
            <w:tcW w:w="3005" w:type="dxa"/>
          </w:tcPr>
          <w:p w14:paraId="5320FA74" w14:textId="4EB75C5B" w:rsidR="00C61AF5" w:rsidRDefault="00C61AF5" w:rsidP="00812851">
            <w:pPr>
              <w:pStyle w:val="TableHeading"/>
              <w:ind w:left="22"/>
              <w:jc w:val="center"/>
            </w:pPr>
            <w:r>
              <w:t>Troubled a little (</w:t>
            </w:r>
            <w:r w:rsidR="00F20C3D">
              <w:t>N</w:t>
            </w:r>
            <w:r>
              <w:t>=150)</w:t>
            </w:r>
          </w:p>
          <w:p w14:paraId="3FEFABF5" w14:textId="17B892D3" w:rsidR="00C61AF5" w:rsidRDefault="00C61AF5" w:rsidP="00812851">
            <w:pPr>
              <w:pStyle w:val="TableHeading"/>
              <w:ind w:left="22"/>
              <w:jc w:val="center"/>
            </w:pPr>
            <w:r>
              <w:t>n (%)</w:t>
            </w:r>
          </w:p>
        </w:tc>
        <w:tc>
          <w:tcPr>
            <w:tcW w:w="3006" w:type="dxa"/>
          </w:tcPr>
          <w:p w14:paraId="52A5B3E0" w14:textId="36BCE753" w:rsidR="00C61AF5" w:rsidRDefault="00C61AF5" w:rsidP="00812851">
            <w:pPr>
              <w:pStyle w:val="TableHeading"/>
              <w:ind w:left="22"/>
              <w:jc w:val="center"/>
            </w:pPr>
            <w:r>
              <w:t>Considerably troubled (</w:t>
            </w:r>
            <w:r w:rsidR="00F20C3D">
              <w:t>N</w:t>
            </w:r>
            <w:r>
              <w:t>=150)</w:t>
            </w:r>
          </w:p>
          <w:p w14:paraId="68A4BE14" w14:textId="39F27B22" w:rsidR="00C61AF5" w:rsidRDefault="00C61AF5" w:rsidP="00812851">
            <w:pPr>
              <w:pStyle w:val="TableHeading"/>
              <w:ind w:left="22"/>
              <w:jc w:val="center"/>
            </w:pPr>
            <w:r>
              <w:t>n (%)</w:t>
            </w:r>
          </w:p>
        </w:tc>
      </w:tr>
      <w:tr w:rsidR="00EB2411" w14:paraId="7CCCAD0F" w14:textId="77777777" w:rsidTr="00EB2411">
        <w:tc>
          <w:tcPr>
            <w:tcW w:w="3005" w:type="dxa"/>
          </w:tcPr>
          <w:p w14:paraId="5B1FB5BA" w14:textId="18E38B61" w:rsidR="00EB2411" w:rsidRDefault="00EB2411" w:rsidP="00812851">
            <w:pPr>
              <w:pStyle w:val="Tabletext1"/>
              <w:ind w:left="22"/>
              <w:jc w:val="both"/>
            </w:pPr>
            <w:r>
              <w:t>Noise</w:t>
            </w:r>
          </w:p>
        </w:tc>
        <w:tc>
          <w:tcPr>
            <w:tcW w:w="3005" w:type="dxa"/>
          </w:tcPr>
          <w:p w14:paraId="6A8B954E" w14:textId="310CF9CF" w:rsidR="00EB2411" w:rsidRDefault="00EC31D6" w:rsidP="00812851">
            <w:pPr>
              <w:pStyle w:val="Tabletext1"/>
              <w:ind w:left="22"/>
              <w:jc w:val="center"/>
            </w:pPr>
            <w:r>
              <w:t>90 (60%)</w:t>
            </w:r>
          </w:p>
        </w:tc>
        <w:tc>
          <w:tcPr>
            <w:tcW w:w="3006" w:type="dxa"/>
          </w:tcPr>
          <w:p w14:paraId="07EBD164" w14:textId="1BD2656C" w:rsidR="00EB2411" w:rsidRDefault="00EC31D6" w:rsidP="00812851">
            <w:pPr>
              <w:pStyle w:val="Tabletext1"/>
              <w:ind w:left="22"/>
              <w:jc w:val="center"/>
            </w:pPr>
            <w:r>
              <w:t>26 (17%)</w:t>
            </w:r>
          </w:p>
        </w:tc>
      </w:tr>
      <w:tr w:rsidR="00EB2411" w14:paraId="33D42DD7" w14:textId="77777777" w:rsidTr="00EB2411">
        <w:tc>
          <w:tcPr>
            <w:tcW w:w="3005" w:type="dxa"/>
          </w:tcPr>
          <w:p w14:paraId="53182071" w14:textId="43AD58DE" w:rsidR="00EB2411" w:rsidRDefault="00EB2411" w:rsidP="00812851">
            <w:pPr>
              <w:pStyle w:val="Tabletext1"/>
              <w:ind w:left="22"/>
              <w:jc w:val="both"/>
            </w:pPr>
            <w:r>
              <w:t>Cold</w:t>
            </w:r>
          </w:p>
        </w:tc>
        <w:tc>
          <w:tcPr>
            <w:tcW w:w="3005" w:type="dxa"/>
          </w:tcPr>
          <w:p w14:paraId="5FA182F7" w14:textId="267CBF4D" w:rsidR="00EB2411" w:rsidRDefault="00EC31D6" w:rsidP="00812851">
            <w:pPr>
              <w:pStyle w:val="Tabletext1"/>
              <w:ind w:left="22"/>
              <w:jc w:val="center"/>
            </w:pPr>
            <w:r>
              <w:t>44 (29%)</w:t>
            </w:r>
          </w:p>
        </w:tc>
        <w:tc>
          <w:tcPr>
            <w:tcW w:w="3006" w:type="dxa"/>
          </w:tcPr>
          <w:p w14:paraId="522A177E" w14:textId="02136AAB" w:rsidR="00EB2411" w:rsidRDefault="00EC31D6" w:rsidP="00812851">
            <w:pPr>
              <w:pStyle w:val="Tabletext1"/>
              <w:ind w:left="22"/>
              <w:jc w:val="center"/>
            </w:pPr>
            <w:r>
              <w:t>15 (10%)</w:t>
            </w:r>
          </w:p>
        </w:tc>
      </w:tr>
      <w:tr w:rsidR="00EB2411" w14:paraId="267B9C23" w14:textId="77777777" w:rsidTr="00EB2411">
        <w:tc>
          <w:tcPr>
            <w:tcW w:w="3005" w:type="dxa"/>
          </w:tcPr>
          <w:p w14:paraId="6DEF6E9D" w14:textId="209062BC" w:rsidR="00EB2411" w:rsidRDefault="00EB2411" w:rsidP="00812851">
            <w:pPr>
              <w:pStyle w:val="Tabletext1"/>
              <w:ind w:left="22"/>
              <w:jc w:val="both"/>
            </w:pPr>
            <w:r>
              <w:t>Paraesthesia</w:t>
            </w:r>
          </w:p>
        </w:tc>
        <w:tc>
          <w:tcPr>
            <w:tcW w:w="3005" w:type="dxa"/>
          </w:tcPr>
          <w:p w14:paraId="15737140" w14:textId="5FC9781C" w:rsidR="00EB2411" w:rsidRDefault="00EC31D6" w:rsidP="00812851">
            <w:pPr>
              <w:pStyle w:val="Tabletext1"/>
              <w:ind w:left="22"/>
              <w:jc w:val="center"/>
            </w:pPr>
            <w:r>
              <w:t>42 (28%)</w:t>
            </w:r>
          </w:p>
        </w:tc>
        <w:tc>
          <w:tcPr>
            <w:tcW w:w="3006" w:type="dxa"/>
          </w:tcPr>
          <w:p w14:paraId="08CC739A" w14:textId="3F3DB55F" w:rsidR="00EB2411" w:rsidRDefault="00EC31D6" w:rsidP="00812851">
            <w:pPr>
              <w:pStyle w:val="Tabletext1"/>
              <w:ind w:left="22"/>
              <w:jc w:val="center"/>
            </w:pPr>
            <w:r>
              <w:t>9 (6%)</w:t>
            </w:r>
          </w:p>
        </w:tc>
      </w:tr>
      <w:tr w:rsidR="00EB2411" w14:paraId="21FAFD79" w14:textId="77777777" w:rsidTr="00EB2411">
        <w:tc>
          <w:tcPr>
            <w:tcW w:w="3005" w:type="dxa"/>
          </w:tcPr>
          <w:p w14:paraId="6F219F3D" w14:textId="485CAE06" w:rsidR="00EB2411" w:rsidRDefault="00EB2411" w:rsidP="00812851">
            <w:pPr>
              <w:pStyle w:val="Tabletext1"/>
              <w:ind w:left="22"/>
              <w:jc w:val="both"/>
            </w:pPr>
            <w:r>
              <w:t>Dizziness</w:t>
            </w:r>
          </w:p>
        </w:tc>
        <w:tc>
          <w:tcPr>
            <w:tcW w:w="3005" w:type="dxa"/>
          </w:tcPr>
          <w:p w14:paraId="77E6CDA9" w14:textId="59C3BF45" w:rsidR="00EB2411" w:rsidRDefault="00EC31D6" w:rsidP="00812851">
            <w:pPr>
              <w:pStyle w:val="Tabletext1"/>
              <w:ind w:left="22"/>
              <w:jc w:val="center"/>
            </w:pPr>
            <w:r>
              <w:t>16 (11%)</w:t>
            </w:r>
          </w:p>
        </w:tc>
        <w:tc>
          <w:tcPr>
            <w:tcW w:w="3006" w:type="dxa"/>
          </w:tcPr>
          <w:p w14:paraId="6C6CB8D0" w14:textId="0D5AFD00" w:rsidR="00EB2411" w:rsidRDefault="00EC31D6" w:rsidP="00812851">
            <w:pPr>
              <w:pStyle w:val="Tabletext1"/>
              <w:ind w:left="22"/>
              <w:jc w:val="center"/>
            </w:pPr>
            <w:r>
              <w:t>2 (1%)</w:t>
            </w:r>
          </w:p>
        </w:tc>
      </w:tr>
      <w:tr w:rsidR="00EB2411" w14:paraId="6DCBE2EB" w14:textId="77777777" w:rsidTr="00EB2411">
        <w:tc>
          <w:tcPr>
            <w:tcW w:w="3005" w:type="dxa"/>
          </w:tcPr>
          <w:p w14:paraId="34DAD2D0" w14:textId="23425DBD" w:rsidR="00EB2411" w:rsidRDefault="00EB2411" w:rsidP="00812851">
            <w:pPr>
              <w:pStyle w:val="Tabletext1"/>
              <w:ind w:left="22"/>
              <w:jc w:val="both"/>
            </w:pPr>
            <w:r>
              <w:t>Local heat sensations</w:t>
            </w:r>
          </w:p>
        </w:tc>
        <w:tc>
          <w:tcPr>
            <w:tcW w:w="3005" w:type="dxa"/>
          </w:tcPr>
          <w:p w14:paraId="49D656D2" w14:textId="598A54EE" w:rsidR="00EB2411" w:rsidRDefault="00EC31D6" w:rsidP="00812851">
            <w:pPr>
              <w:pStyle w:val="Tabletext1"/>
              <w:ind w:left="22"/>
              <w:jc w:val="center"/>
            </w:pPr>
            <w:r>
              <w:t>13 (9%)</w:t>
            </w:r>
          </w:p>
        </w:tc>
        <w:tc>
          <w:tcPr>
            <w:tcW w:w="3006" w:type="dxa"/>
          </w:tcPr>
          <w:p w14:paraId="3ECD8749" w14:textId="6AA315BF" w:rsidR="00EB2411" w:rsidRDefault="00EC31D6" w:rsidP="00812851">
            <w:pPr>
              <w:pStyle w:val="Tabletext1"/>
              <w:ind w:left="22"/>
              <w:jc w:val="center"/>
            </w:pPr>
            <w:r>
              <w:t>2 (1%)</w:t>
            </w:r>
          </w:p>
        </w:tc>
      </w:tr>
      <w:tr w:rsidR="00EB2411" w14:paraId="5E1432A2" w14:textId="77777777" w:rsidTr="00EB2411">
        <w:tc>
          <w:tcPr>
            <w:tcW w:w="3005" w:type="dxa"/>
          </w:tcPr>
          <w:p w14:paraId="41CD44B0" w14:textId="31BE7433" w:rsidR="00EB2411" w:rsidRDefault="00EB2411" w:rsidP="00812851">
            <w:pPr>
              <w:pStyle w:val="Tabletext1"/>
              <w:ind w:left="22"/>
              <w:jc w:val="both"/>
            </w:pPr>
            <w:r>
              <w:t>Metallic taste</w:t>
            </w:r>
          </w:p>
        </w:tc>
        <w:tc>
          <w:tcPr>
            <w:tcW w:w="3005" w:type="dxa"/>
          </w:tcPr>
          <w:p w14:paraId="7AD0DC64" w14:textId="78C75277" w:rsidR="00EB2411" w:rsidRDefault="00EC31D6" w:rsidP="00812851">
            <w:pPr>
              <w:pStyle w:val="Tabletext1"/>
              <w:ind w:left="22"/>
              <w:jc w:val="center"/>
            </w:pPr>
            <w:r>
              <w:t>3 (2%)</w:t>
            </w:r>
          </w:p>
        </w:tc>
        <w:tc>
          <w:tcPr>
            <w:tcW w:w="3006" w:type="dxa"/>
          </w:tcPr>
          <w:p w14:paraId="39A3DAF8" w14:textId="0D862D1C" w:rsidR="00EB2411" w:rsidRDefault="00EC31D6" w:rsidP="00812851">
            <w:pPr>
              <w:pStyle w:val="Tabletext1"/>
              <w:ind w:left="22"/>
              <w:jc w:val="center"/>
            </w:pPr>
            <w:r>
              <w:t>-</w:t>
            </w:r>
          </w:p>
        </w:tc>
      </w:tr>
      <w:tr w:rsidR="00EB2411" w14:paraId="0A427B96" w14:textId="77777777" w:rsidTr="00EB2411">
        <w:tc>
          <w:tcPr>
            <w:tcW w:w="3005" w:type="dxa"/>
          </w:tcPr>
          <w:p w14:paraId="47E76930" w14:textId="3A37CED5" w:rsidR="00EB2411" w:rsidRDefault="00EB2411" w:rsidP="00812851">
            <w:pPr>
              <w:pStyle w:val="Tabletext1"/>
              <w:ind w:left="22"/>
              <w:jc w:val="both"/>
            </w:pPr>
            <w:r>
              <w:t>Light flashes</w:t>
            </w:r>
          </w:p>
        </w:tc>
        <w:tc>
          <w:tcPr>
            <w:tcW w:w="3005" w:type="dxa"/>
          </w:tcPr>
          <w:p w14:paraId="13BB2557" w14:textId="1819F63B" w:rsidR="00EB2411" w:rsidRDefault="00EC31D6" w:rsidP="00812851">
            <w:pPr>
              <w:pStyle w:val="Tabletext1"/>
              <w:ind w:left="22"/>
              <w:jc w:val="center"/>
            </w:pPr>
            <w:r>
              <w:t>3 (2%)</w:t>
            </w:r>
          </w:p>
        </w:tc>
        <w:tc>
          <w:tcPr>
            <w:tcW w:w="3006" w:type="dxa"/>
          </w:tcPr>
          <w:p w14:paraId="0D94385A" w14:textId="6F7D5426" w:rsidR="00EB2411" w:rsidRDefault="00EC31D6" w:rsidP="00812851">
            <w:pPr>
              <w:pStyle w:val="Tabletext1"/>
              <w:ind w:left="22"/>
              <w:jc w:val="center"/>
            </w:pPr>
            <w:r>
              <w:t>-</w:t>
            </w:r>
          </w:p>
        </w:tc>
      </w:tr>
    </w:tbl>
    <w:p w14:paraId="336E3F4E" w14:textId="7BEE1FEA" w:rsidR="00553FB1" w:rsidRPr="00BA5C1C" w:rsidRDefault="00EC2883" w:rsidP="00812851">
      <w:pPr>
        <w:pStyle w:val="Tablenotes0"/>
        <w:jc w:val="left"/>
      </w:pPr>
      <w:r>
        <w:t xml:space="preserve">Source: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rsidR="009D1602">
        <w:t xml:space="preserve">, </w:t>
      </w:r>
      <w:r>
        <w:t>p 8</w:t>
      </w:r>
      <w:r w:rsidR="00812851">
        <w:br/>
      </w:r>
      <w:r w:rsidR="0098105D">
        <w:rPr>
          <w:vertAlign w:val="superscript"/>
        </w:rPr>
        <w:t xml:space="preserve">a </w:t>
      </w:r>
      <w:r w:rsidR="00EB2411">
        <w:t xml:space="preserve">Items could be scored on a 4-point scale as: “not at all”, “a little”, “moderate”, and “very much”. the scores “moderate” and “very much” for any question were combined and denominated “considerable” in this manuscript. </w:t>
      </w:r>
      <w:r w:rsidR="00C56908">
        <w:br/>
      </w:r>
    </w:p>
    <w:p w14:paraId="2384C51A" w14:textId="3A3F071F" w:rsidR="00BA5C1C" w:rsidRDefault="0047416E" w:rsidP="00CB4DB7">
      <w:r>
        <w:t xml:space="preserve">The population evaluated by </w:t>
      </w:r>
      <w:hyperlink w:anchor="_ENREF_71" w:tooltip="Tetar, 2019 #23" w:history="1">
        <w:r w:rsidR="001F781A">
          <w:fldChar w:fldCharType="begin"/>
        </w:r>
        <w:r w:rsidR="001F781A">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1F781A">
          <w:fldChar w:fldCharType="separate"/>
        </w:r>
        <w:r w:rsidR="001F781A">
          <w:rPr>
            <w:noProof/>
          </w:rPr>
          <w:t>S. U. Tetar et al. (2019)</w:t>
        </w:r>
        <w:r w:rsidR="001F781A">
          <w:fldChar w:fldCharType="end"/>
        </w:r>
      </w:hyperlink>
      <w:r>
        <w:t xml:space="preserve"> include</w:t>
      </w:r>
      <w:r w:rsidR="00700768">
        <w:t>d</w:t>
      </w:r>
      <w:r>
        <w:t xml:space="preserve"> only </w:t>
      </w:r>
      <w:r w:rsidR="00FA559F">
        <w:t xml:space="preserve">patients with </w:t>
      </w:r>
      <w:r>
        <w:t>prostate cancer</w:t>
      </w:r>
      <w:r w:rsidR="007167BA">
        <w:t>,</w:t>
      </w:r>
      <w:r>
        <w:t xml:space="preserve"> with 68 out of 89 of these assumed to be included in </w:t>
      </w:r>
      <w:r w:rsidR="007167BA">
        <w:t xml:space="preserve">another study published by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t xml:space="preserve">. </w:t>
      </w:r>
      <w:r w:rsidR="007167BA">
        <w:t>The f</w:t>
      </w:r>
      <w:r>
        <w:t xml:space="preserve">indings from the 2019 study of </w:t>
      </w:r>
      <w:r w:rsidR="00FA559F">
        <w:t xml:space="preserve">patients with </w:t>
      </w:r>
      <w:r>
        <w:t xml:space="preserve">prostate cancer </w:t>
      </w:r>
      <w:r w:rsidR="00700768">
        <w:t xml:space="preserve">were </w:t>
      </w:r>
      <w:r>
        <w:t xml:space="preserve">therefore very </w:t>
      </w:r>
      <w:r w:rsidR="00700768">
        <w:t>comparable</w:t>
      </w:r>
      <w:r>
        <w:t xml:space="preserve"> to the findings presented in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t xml:space="preserve"> and </w:t>
      </w:r>
      <w:r w:rsidR="00F3752C">
        <w:t xml:space="preserve">were presented as a graph in </w:t>
      </w:r>
      <w:hyperlink w:anchor="_ENREF_71" w:tooltip="Tetar, 2019 #23" w:history="1">
        <w:r w:rsidR="001F781A">
          <w:fldChar w:fldCharType="begin"/>
        </w:r>
        <w:r w:rsidR="001F781A">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1F781A">
          <w:fldChar w:fldCharType="separate"/>
        </w:r>
        <w:r w:rsidR="001F781A">
          <w:rPr>
            <w:noProof/>
          </w:rPr>
          <w:t>S. U. Tetar et al. (2019)</w:t>
        </w:r>
        <w:r w:rsidR="001F781A">
          <w:fldChar w:fldCharType="end"/>
        </w:r>
      </w:hyperlink>
      <w:r w:rsidR="00F3752C">
        <w:t xml:space="preserve"> (see </w:t>
      </w:r>
      <w:r w:rsidR="00CB4DB7">
        <w:fldChar w:fldCharType="begin"/>
      </w:r>
      <w:r w:rsidR="00CB4DB7">
        <w:instrText xml:space="preserve"> REF _Ref55562888 \h </w:instrText>
      </w:r>
      <w:r w:rsidR="00CB4DB7">
        <w:fldChar w:fldCharType="separate"/>
      </w:r>
      <w:r w:rsidR="00451350">
        <w:t xml:space="preserve">Figure </w:t>
      </w:r>
      <w:r w:rsidR="00451350">
        <w:rPr>
          <w:noProof/>
        </w:rPr>
        <w:t>6</w:t>
      </w:r>
      <w:r w:rsidR="00CB4DB7">
        <w:fldChar w:fldCharType="end"/>
      </w:r>
      <w:r w:rsidR="00CB4DB7">
        <w:t>).</w:t>
      </w:r>
    </w:p>
    <w:p w14:paraId="6E6E77B4" w14:textId="59450D5D" w:rsidR="00CB4DB7" w:rsidRDefault="00211285" w:rsidP="00CB4DB7">
      <w:r w:rsidRPr="00211285">
        <w:lastRenderedPageBreak/>
        <w:drawing>
          <wp:inline distT="0" distB="0" distL="0" distR="0" wp14:anchorId="2DB340AE" wp14:editId="50AF8526">
            <wp:extent cx="5731510" cy="4132580"/>
            <wp:effectExtent l="0" t="0" r="2540" b="1270"/>
            <wp:docPr id="6" name="Picture 6" descr="Figure 6 Patient reported complaints during MR-IGRT for prostate cancer (N=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Patient reported complaints during MR-IGRT for prostate cancer (N=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132580"/>
                    </a:xfrm>
                    <a:prstGeom prst="rect">
                      <a:avLst/>
                    </a:prstGeom>
                    <a:noFill/>
                    <a:ln>
                      <a:noFill/>
                    </a:ln>
                  </pic:spPr>
                </pic:pic>
              </a:graphicData>
            </a:graphic>
          </wp:inline>
        </w:drawing>
      </w:r>
    </w:p>
    <w:p w14:paraId="14DEA241" w14:textId="5FB54653" w:rsidR="00C56908" w:rsidRDefault="00F3752C" w:rsidP="00C56908">
      <w:pPr>
        <w:pStyle w:val="Caption"/>
      </w:pPr>
      <w:bookmarkStart w:id="383" w:name="_Ref55562888"/>
      <w:bookmarkStart w:id="384" w:name="_Toc89857965"/>
      <w:r>
        <w:t xml:space="preserve">Figure </w:t>
      </w:r>
      <w:r w:rsidR="00211285">
        <w:fldChar w:fldCharType="begin"/>
      </w:r>
      <w:r w:rsidR="00211285">
        <w:instrText xml:space="preserve"> SEQ Figure \* ARABIC </w:instrText>
      </w:r>
      <w:r w:rsidR="00211285">
        <w:fldChar w:fldCharType="separate"/>
      </w:r>
      <w:r w:rsidR="00451350">
        <w:rPr>
          <w:noProof/>
        </w:rPr>
        <w:t>6</w:t>
      </w:r>
      <w:r w:rsidR="00211285">
        <w:rPr>
          <w:noProof/>
        </w:rPr>
        <w:fldChar w:fldCharType="end"/>
      </w:r>
      <w:bookmarkEnd w:id="383"/>
      <w:r>
        <w:tab/>
        <w:t>Patient reported complaints during MR-IGRT for prostate cancer (N=89)</w:t>
      </w:r>
      <w:bookmarkEnd w:id="384"/>
    </w:p>
    <w:p w14:paraId="13283745" w14:textId="1F00F739" w:rsidR="0047416E" w:rsidRDefault="00C56908" w:rsidP="00B23E99">
      <w:pPr>
        <w:pStyle w:val="TFAbbrevs18"/>
      </w:pPr>
      <w:r>
        <w:t xml:space="preserve">Source: </w:t>
      </w:r>
      <w:hyperlink w:anchor="_ENREF_71" w:tooltip="Tetar, 2019 #23" w:history="1">
        <w:r w:rsidR="001F781A">
          <w:fldChar w:fldCharType="begin"/>
        </w:r>
        <w:r w:rsidR="001F781A">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1F781A">
          <w:fldChar w:fldCharType="separate"/>
        </w:r>
        <w:r w:rsidR="001F781A">
          <w:rPr>
            <w:noProof/>
          </w:rPr>
          <w:t>S. U. Tetar et al. (2019)</w:t>
        </w:r>
        <w:r w:rsidR="001F781A">
          <w:fldChar w:fldCharType="end"/>
        </w:r>
      </w:hyperlink>
      <w:r w:rsidR="009D1602">
        <w:t xml:space="preserve">, </w:t>
      </w:r>
      <w:r>
        <w:t>p 75</w:t>
      </w:r>
    </w:p>
    <w:p w14:paraId="338D97E8" w14:textId="2C1EB59E" w:rsidR="00E43675" w:rsidRDefault="00E43675" w:rsidP="00F3752C">
      <w:r>
        <w:t>No studies on patient tolerance of CBCT-IGRT were identified.</w:t>
      </w:r>
    </w:p>
    <w:p w14:paraId="196DE171" w14:textId="77777777" w:rsidR="000213A9" w:rsidRDefault="000213A9" w:rsidP="00F3752C"/>
    <w:p w14:paraId="4F5450F7" w14:textId="70B2E0FB" w:rsidR="000213A9" w:rsidRDefault="000213A9" w:rsidP="00F3752C">
      <w:pPr>
        <w:sectPr w:rsidR="000213A9" w:rsidSect="007E10A9">
          <w:pgSz w:w="11906" w:h="16838"/>
          <w:pgMar w:top="1440" w:right="1440" w:bottom="1440" w:left="1440" w:header="720" w:footer="720" w:gutter="0"/>
          <w:cols w:space="720"/>
        </w:sectPr>
      </w:pPr>
    </w:p>
    <w:p w14:paraId="4F65B3BD" w14:textId="77777777" w:rsidR="008F59A8" w:rsidRPr="00183E4D" w:rsidRDefault="008F59A8" w:rsidP="00DF343F">
      <w:pPr>
        <w:pStyle w:val="Heading2"/>
        <w:jc w:val="both"/>
      </w:pPr>
      <w:bookmarkStart w:id="385" w:name="_Toc379118084"/>
      <w:bookmarkStart w:id="386" w:name="_Toc381796469"/>
      <w:bookmarkStart w:id="387" w:name="_Toc59018780"/>
      <w:bookmarkStart w:id="388" w:name="_Toc59020324"/>
      <w:bookmarkStart w:id="389" w:name="_Toc59439546"/>
      <w:bookmarkStart w:id="390" w:name="_Toc89857818"/>
      <w:r w:rsidRPr="00183E4D">
        <w:t>Is it effective?</w:t>
      </w:r>
      <w:bookmarkEnd w:id="385"/>
      <w:bookmarkEnd w:id="386"/>
      <w:bookmarkEnd w:id="387"/>
      <w:bookmarkEnd w:id="388"/>
      <w:bookmarkEnd w:id="389"/>
      <w:bookmarkEnd w:id="390"/>
      <w:r w:rsidRPr="00183E4D">
        <w:t xml:space="preserve"> </w:t>
      </w:r>
    </w:p>
    <w:p w14:paraId="48704261" w14:textId="347BE115" w:rsidR="006066D3" w:rsidRPr="00812851" w:rsidRDefault="00A56D77" w:rsidP="006066D3">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812851">
        <w:rPr>
          <w:rFonts w:asciiTheme="minorHAnsi" w:hAnsiTheme="minorHAnsi" w:cstheme="minorHAnsi"/>
        </w:rPr>
        <w:t xml:space="preserve">Summary – </w:t>
      </w:r>
      <w:r w:rsidR="006066D3" w:rsidRPr="00812851">
        <w:rPr>
          <w:rFonts w:asciiTheme="minorHAnsi" w:hAnsiTheme="minorHAnsi" w:cstheme="minorHAnsi"/>
        </w:rPr>
        <w:t>What is the effectiveness of MR-IGRT, compared to CBCT-guided radiation therapy, in persons with cancer who undergo EBRT?</w:t>
      </w:r>
    </w:p>
    <w:p w14:paraId="1A90034E" w14:textId="55BE52F0" w:rsidR="001526A4" w:rsidRPr="00812851" w:rsidRDefault="001526A4" w:rsidP="006066D3">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812851">
        <w:rPr>
          <w:rFonts w:asciiTheme="minorHAnsi" w:hAnsiTheme="minorHAnsi" w:cstheme="minorHAnsi"/>
        </w:rPr>
        <w:t xml:space="preserve">Dosimetric outcomes </w:t>
      </w:r>
    </w:p>
    <w:p w14:paraId="40D32A2B" w14:textId="6AABB365" w:rsidR="001526A4" w:rsidRPr="00812851" w:rsidRDefault="001526A4" w:rsidP="006066D3">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812851">
        <w:rPr>
          <w:rFonts w:asciiTheme="minorHAnsi" w:hAnsiTheme="minorHAnsi" w:cstheme="minorHAnsi"/>
          <w:b w:val="0"/>
          <w:bCs/>
        </w:rPr>
        <w:t>One comparative cohort study compared the PTV and the clinically relevant dos</w:t>
      </w:r>
      <w:r w:rsidR="0068123B" w:rsidRPr="00812851">
        <w:rPr>
          <w:rFonts w:asciiTheme="minorHAnsi" w:hAnsiTheme="minorHAnsi" w:cstheme="minorHAnsi"/>
          <w:b w:val="0"/>
          <w:bCs/>
        </w:rPr>
        <w:t>e-volu</w:t>
      </w:r>
      <w:r w:rsidRPr="00812851">
        <w:rPr>
          <w:rFonts w:asciiTheme="minorHAnsi" w:hAnsiTheme="minorHAnsi" w:cstheme="minorHAnsi"/>
          <w:b w:val="0"/>
          <w:bCs/>
        </w:rPr>
        <w:t xml:space="preserve">metric parameters between the MR-IGRT and CBCT-IGRT plans of </w:t>
      </w:r>
      <w:r w:rsidR="00FA559F" w:rsidRPr="00812851">
        <w:rPr>
          <w:rFonts w:asciiTheme="minorHAnsi" w:hAnsiTheme="minorHAnsi" w:cstheme="minorHAnsi"/>
          <w:b w:val="0"/>
          <w:bCs/>
        </w:rPr>
        <w:t xml:space="preserve">patients with </w:t>
      </w:r>
      <w:r w:rsidRPr="00812851">
        <w:rPr>
          <w:rFonts w:asciiTheme="minorHAnsi" w:hAnsiTheme="minorHAnsi" w:cstheme="minorHAnsi"/>
          <w:b w:val="0"/>
          <w:bCs/>
        </w:rPr>
        <w:t xml:space="preserve">lung cancer. Dosimetric parameters were </w:t>
      </w:r>
      <w:r w:rsidR="00350483" w:rsidRPr="00812851">
        <w:rPr>
          <w:rFonts w:asciiTheme="minorHAnsi" w:hAnsiTheme="minorHAnsi" w:cstheme="minorHAnsi"/>
          <w:b w:val="0"/>
        </w:rPr>
        <w:t xml:space="preserve">significantly more favourable </w:t>
      </w:r>
      <w:r w:rsidRPr="00812851">
        <w:rPr>
          <w:rFonts w:asciiTheme="minorHAnsi" w:hAnsiTheme="minorHAnsi" w:cstheme="minorHAnsi"/>
          <w:b w:val="0"/>
        </w:rPr>
        <w:t xml:space="preserve">in the </w:t>
      </w:r>
      <w:r w:rsidR="00ED0866" w:rsidRPr="00812851">
        <w:rPr>
          <w:rFonts w:asciiTheme="minorHAnsi" w:hAnsiTheme="minorHAnsi" w:cstheme="minorHAnsi"/>
          <w:b w:val="0"/>
          <w:bCs/>
        </w:rPr>
        <w:t>CBCT</w:t>
      </w:r>
      <w:r w:rsidRPr="00812851">
        <w:rPr>
          <w:rFonts w:asciiTheme="minorHAnsi" w:hAnsiTheme="minorHAnsi" w:cstheme="minorHAnsi"/>
          <w:b w:val="0"/>
        </w:rPr>
        <w:t>-</w:t>
      </w:r>
      <w:r w:rsidR="00EC6BE3" w:rsidRPr="00812851">
        <w:rPr>
          <w:rFonts w:asciiTheme="minorHAnsi" w:hAnsiTheme="minorHAnsi" w:cstheme="minorHAnsi"/>
          <w:b w:val="0"/>
        </w:rPr>
        <w:t>IGRT</w:t>
      </w:r>
      <w:r w:rsidRPr="00812851">
        <w:rPr>
          <w:rFonts w:asciiTheme="minorHAnsi" w:hAnsiTheme="minorHAnsi" w:cstheme="minorHAnsi"/>
          <w:b w:val="0"/>
        </w:rPr>
        <w:t xml:space="preserve"> group. Two simulation studies compared MR-IGRT and CBCT-IGR</w:t>
      </w:r>
      <w:r w:rsidRPr="00812851">
        <w:rPr>
          <w:rFonts w:asciiTheme="minorHAnsi" w:hAnsiTheme="minorHAnsi" w:cstheme="minorHAnsi"/>
          <w:b w:val="0"/>
          <w:bCs/>
        </w:rPr>
        <w:t>T plans for patients that had previously undergone radiotherapy treatment for cancer. In one study all MR-IGRT plans fulfilled the clinical acceptance criteria while a minimal decrease in plan homogeneity was found for MR-</w:t>
      </w:r>
      <w:r w:rsidR="005D68DA" w:rsidRPr="00812851">
        <w:rPr>
          <w:rFonts w:asciiTheme="minorHAnsi" w:hAnsiTheme="minorHAnsi" w:cstheme="minorHAnsi"/>
          <w:b w:val="0"/>
          <w:bCs/>
        </w:rPr>
        <w:t>IGRT</w:t>
      </w:r>
      <w:r w:rsidRPr="00812851">
        <w:rPr>
          <w:rFonts w:asciiTheme="minorHAnsi" w:hAnsiTheme="minorHAnsi" w:cstheme="minorHAnsi"/>
          <w:b w:val="0"/>
          <w:bCs/>
        </w:rPr>
        <w:t xml:space="preserve"> plans compared to current clinical practice for all included patients. In the other simulation study MR-IGRT treatment resulted in a reduction of violations to the </w:t>
      </w:r>
      <w:r w:rsidR="00825776" w:rsidRPr="00812851">
        <w:rPr>
          <w:rFonts w:asciiTheme="minorHAnsi" w:hAnsiTheme="minorHAnsi" w:cstheme="minorHAnsi"/>
          <w:b w:val="0"/>
          <w:bCs/>
        </w:rPr>
        <w:t>organs at risk (</w:t>
      </w:r>
      <w:r w:rsidRPr="00812851">
        <w:rPr>
          <w:rFonts w:asciiTheme="minorHAnsi" w:hAnsiTheme="minorHAnsi" w:cstheme="minorHAnsi"/>
          <w:b w:val="0"/>
          <w:bCs/>
        </w:rPr>
        <w:t>OAR</w:t>
      </w:r>
      <w:r w:rsidR="00825776" w:rsidRPr="00812851">
        <w:rPr>
          <w:rFonts w:asciiTheme="minorHAnsi" w:hAnsiTheme="minorHAnsi" w:cstheme="minorHAnsi"/>
          <w:b w:val="0"/>
          <w:bCs/>
        </w:rPr>
        <w:t>s)</w:t>
      </w:r>
      <w:r w:rsidRPr="00812851">
        <w:rPr>
          <w:rFonts w:asciiTheme="minorHAnsi" w:hAnsiTheme="minorHAnsi" w:cstheme="minorHAnsi"/>
          <w:b w:val="0"/>
          <w:bCs/>
        </w:rPr>
        <w:t>.</w:t>
      </w:r>
    </w:p>
    <w:p w14:paraId="56FA4E07" w14:textId="6CD5C6E3" w:rsidR="001526A4" w:rsidRPr="00812851" w:rsidRDefault="001526A4" w:rsidP="006066D3">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812851">
        <w:rPr>
          <w:rFonts w:asciiTheme="minorHAnsi" w:hAnsiTheme="minorHAnsi" w:cstheme="minorHAnsi"/>
        </w:rPr>
        <w:t>Survival outcomes</w:t>
      </w:r>
    </w:p>
    <w:p w14:paraId="11CDE272" w14:textId="265601A5" w:rsidR="00A56D77" w:rsidRPr="00812851" w:rsidRDefault="00E52825"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rPr>
      </w:pPr>
      <w:r w:rsidRPr="00812851">
        <w:rPr>
          <w:rFonts w:asciiTheme="minorHAnsi" w:hAnsiTheme="minorHAnsi" w:cstheme="minorHAnsi"/>
          <w:b w:val="0"/>
          <w:bCs/>
        </w:rPr>
        <w:t xml:space="preserve">No comparative evidence was found for </w:t>
      </w:r>
      <w:r w:rsidR="00283CB7" w:rsidRPr="00812851">
        <w:rPr>
          <w:rFonts w:asciiTheme="minorHAnsi" w:hAnsiTheme="minorHAnsi" w:cstheme="minorHAnsi"/>
          <w:b w:val="0"/>
          <w:bCs/>
        </w:rPr>
        <w:t xml:space="preserve">survival outcomes. </w:t>
      </w:r>
      <w:r w:rsidRPr="00812851">
        <w:rPr>
          <w:rFonts w:asciiTheme="minorHAnsi" w:hAnsiTheme="minorHAnsi" w:cstheme="minorHAnsi"/>
          <w:b w:val="0"/>
          <w:bCs/>
        </w:rPr>
        <w:t xml:space="preserve">Four case series reported </w:t>
      </w:r>
      <w:r w:rsidR="00AE7CD2" w:rsidRPr="00812851">
        <w:rPr>
          <w:rFonts w:asciiTheme="minorHAnsi" w:hAnsiTheme="minorHAnsi" w:cstheme="minorHAnsi"/>
          <w:b w:val="0"/>
          <w:bCs/>
        </w:rPr>
        <w:t xml:space="preserve">on </w:t>
      </w:r>
      <w:r w:rsidRPr="00812851">
        <w:rPr>
          <w:rFonts w:asciiTheme="minorHAnsi" w:hAnsiTheme="minorHAnsi" w:cstheme="minorHAnsi"/>
          <w:b w:val="0"/>
          <w:bCs/>
        </w:rPr>
        <w:t>survival after MR-IGRT</w:t>
      </w:r>
      <w:r w:rsidR="00053572" w:rsidRPr="00812851">
        <w:rPr>
          <w:rFonts w:asciiTheme="minorHAnsi" w:hAnsiTheme="minorHAnsi" w:cstheme="minorHAnsi"/>
          <w:b w:val="0"/>
          <w:bCs/>
        </w:rPr>
        <w:t xml:space="preserve"> treatment.</w:t>
      </w:r>
      <w:r w:rsidR="004774BB" w:rsidRPr="00812851">
        <w:rPr>
          <w:rFonts w:asciiTheme="minorHAnsi" w:hAnsiTheme="minorHAnsi" w:cstheme="minorHAnsi"/>
          <w:b w:val="0"/>
          <w:bCs/>
        </w:rPr>
        <w:t xml:space="preserve"> </w:t>
      </w:r>
      <w:r w:rsidR="00C73A54" w:rsidRPr="00812851">
        <w:rPr>
          <w:rFonts w:asciiTheme="minorHAnsi" w:hAnsiTheme="minorHAnsi" w:cstheme="minorHAnsi"/>
          <w:b w:val="0"/>
          <w:bCs/>
        </w:rPr>
        <w:t>A n</w:t>
      </w:r>
      <w:r w:rsidR="009612D1" w:rsidRPr="00812851">
        <w:rPr>
          <w:rFonts w:asciiTheme="minorHAnsi" w:hAnsiTheme="minorHAnsi" w:cstheme="minorHAnsi"/>
          <w:b w:val="0"/>
          <w:bCs/>
        </w:rPr>
        <w:t>aïve comparison w</w:t>
      </w:r>
      <w:r w:rsidR="007231B1" w:rsidRPr="00812851">
        <w:rPr>
          <w:rFonts w:asciiTheme="minorHAnsi" w:hAnsiTheme="minorHAnsi" w:cstheme="minorHAnsi"/>
          <w:b w:val="0"/>
          <w:bCs/>
        </w:rPr>
        <w:t xml:space="preserve">ith </w:t>
      </w:r>
      <w:r w:rsidR="00BF30DA" w:rsidRPr="00812851">
        <w:rPr>
          <w:rFonts w:asciiTheme="minorHAnsi" w:hAnsiTheme="minorHAnsi" w:cstheme="minorHAnsi"/>
          <w:b w:val="0"/>
          <w:bCs/>
        </w:rPr>
        <w:t>studies on the effectiveness of CBCT-IGRT was attempted</w:t>
      </w:r>
      <w:r w:rsidR="00E41018" w:rsidRPr="00812851">
        <w:rPr>
          <w:rFonts w:asciiTheme="minorHAnsi" w:hAnsiTheme="minorHAnsi" w:cstheme="minorHAnsi"/>
          <w:b w:val="0"/>
          <w:bCs/>
        </w:rPr>
        <w:t>. D</w:t>
      </w:r>
      <w:r w:rsidR="001278FA" w:rsidRPr="00812851">
        <w:rPr>
          <w:rFonts w:asciiTheme="minorHAnsi" w:hAnsiTheme="minorHAnsi" w:cstheme="minorHAnsi"/>
          <w:b w:val="0"/>
          <w:bCs/>
        </w:rPr>
        <w:t>ue to low methodologic quality of included studies</w:t>
      </w:r>
      <w:r w:rsidR="00F971D2" w:rsidRPr="00812851">
        <w:rPr>
          <w:rFonts w:asciiTheme="minorHAnsi" w:hAnsiTheme="minorHAnsi" w:cstheme="minorHAnsi"/>
          <w:b w:val="0"/>
          <w:bCs/>
        </w:rPr>
        <w:t>,</w:t>
      </w:r>
      <w:r w:rsidR="007A56B8" w:rsidRPr="00812851">
        <w:rPr>
          <w:rFonts w:asciiTheme="minorHAnsi" w:hAnsiTheme="minorHAnsi" w:cstheme="minorHAnsi"/>
          <w:b w:val="0"/>
          <w:bCs/>
        </w:rPr>
        <w:t xml:space="preserve"> </w:t>
      </w:r>
      <w:r w:rsidR="00F971D2" w:rsidRPr="00812851">
        <w:rPr>
          <w:rFonts w:asciiTheme="minorHAnsi" w:hAnsiTheme="minorHAnsi" w:cstheme="minorHAnsi"/>
          <w:b w:val="0"/>
          <w:bCs/>
        </w:rPr>
        <w:t>considerable</w:t>
      </w:r>
      <w:r w:rsidR="007A56B8" w:rsidRPr="00812851">
        <w:rPr>
          <w:rFonts w:asciiTheme="minorHAnsi" w:hAnsiTheme="minorHAnsi" w:cstheme="minorHAnsi"/>
          <w:b w:val="0"/>
          <w:bCs/>
        </w:rPr>
        <w:t xml:space="preserve"> </w:t>
      </w:r>
      <w:r w:rsidR="001278FA" w:rsidRPr="00812851">
        <w:rPr>
          <w:rFonts w:asciiTheme="minorHAnsi" w:hAnsiTheme="minorHAnsi" w:cstheme="minorHAnsi"/>
          <w:b w:val="0"/>
          <w:bCs/>
        </w:rPr>
        <w:t>heterogeneity in patient populations</w:t>
      </w:r>
      <w:r w:rsidR="00E41018" w:rsidRPr="00812851">
        <w:rPr>
          <w:rFonts w:asciiTheme="minorHAnsi" w:hAnsiTheme="minorHAnsi" w:cstheme="minorHAnsi"/>
          <w:b w:val="0"/>
          <w:bCs/>
        </w:rPr>
        <w:t xml:space="preserve"> and treatment </w:t>
      </w:r>
      <w:r w:rsidR="00F971D2" w:rsidRPr="00812851">
        <w:rPr>
          <w:rFonts w:asciiTheme="minorHAnsi" w:hAnsiTheme="minorHAnsi" w:cstheme="minorHAnsi"/>
          <w:b w:val="0"/>
          <w:bCs/>
        </w:rPr>
        <w:t>modalities,</w:t>
      </w:r>
      <w:r w:rsidR="001278FA" w:rsidRPr="00812851">
        <w:rPr>
          <w:rFonts w:asciiTheme="minorHAnsi" w:hAnsiTheme="minorHAnsi" w:cstheme="minorHAnsi"/>
          <w:b w:val="0"/>
          <w:bCs/>
        </w:rPr>
        <w:t xml:space="preserve"> and a </w:t>
      </w:r>
      <w:r w:rsidR="007A56B8" w:rsidRPr="00812851">
        <w:rPr>
          <w:rFonts w:asciiTheme="minorHAnsi" w:hAnsiTheme="minorHAnsi" w:cstheme="minorHAnsi"/>
          <w:b w:val="0"/>
          <w:bCs/>
        </w:rPr>
        <w:t>large variability in outcome assessment and reporting</w:t>
      </w:r>
      <w:r w:rsidR="001278FA" w:rsidRPr="00812851">
        <w:rPr>
          <w:rFonts w:asciiTheme="minorHAnsi" w:hAnsiTheme="minorHAnsi" w:cstheme="minorHAnsi"/>
          <w:b w:val="0"/>
          <w:bCs/>
        </w:rPr>
        <w:t xml:space="preserve">, </w:t>
      </w:r>
      <w:r w:rsidR="0090602F" w:rsidRPr="00812851">
        <w:rPr>
          <w:rFonts w:asciiTheme="minorHAnsi" w:hAnsiTheme="minorHAnsi" w:cstheme="minorHAnsi"/>
          <w:b w:val="0"/>
          <w:bCs/>
        </w:rPr>
        <w:t>its valu</w:t>
      </w:r>
      <w:r w:rsidR="00E41018" w:rsidRPr="00812851">
        <w:rPr>
          <w:rFonts w:asciiTheme="minorHAnsi" w:hAnsiTheme="minorHAnsi" w:cstheme="minorHAnsi"/>
          <w:b w:val="0"/>
          <w:bCs/>
        </w:rPr>
        <w:t>e is very limited.</w:t>
      </w:r>
    </w:p>
    <w:p w14:paraId="220BD836" w14:textId="7F78F9E8" w:rsidR="00971BF4" w:rsidRPr="00812851" w:rsidRDefault="00971BF4" w:rsidP="00971BF4">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812851">
        <w:rPr>
          <w:rFonts w:asciiTheme="minorHAnsi" w:hAnsiTheme="minorHAnsi" w:cstheme="minorHAnsi"/>
        </w:rPr>
        <w:t>Lung cancer</w:t>
      </w:r>
    </w:p>
    <w:p w14:paraId="7780CC7A" w14:textId="36707E9B" w:rsidR="00971BF4" w:rsidRPr="00812851" w:rsidRDefault="00971BF4" w:rsidP="00971BF4">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812851">
        <w:rPr>
          <w:rFonts w:asciiTheme="minorHAnsi" w:hAnsiTheme="minorHAnsi" w:cstheme="minorHAnsi"/>
          <w:b w:val="0"/>
          <w:bCs/>
        </w:rPr>
        <w:t>Overall local control in patients treated with MR-IGRT for lung malignancies at one year was reported to be 95.6% (95% confidence interval, CI, 89.8%-100.0%). The overall survival was 82.8% (95% CI 7</w:t>
      </w:r>
      <w:r w:rsidR="00D81AD5" w:rsidRPr="00812851">
        <w:rPr>
          <w:rFonts w:asciiTheme="minorHAnsi" w:hAnsiTheme="minorHAnsi" w:cstheme="minorHAnsi"/>
          <w:b w:val="0"/>
          <w:bCs/>
        </w:rPr>
        <w:t>0.1</w:t>
      </w:r>
      <w:r w:rsidRPr="00812851">
        <w:rPr>
          <w:rFonts w:asciiTheme="minorHAnsi" w:hAnsiTheme="minorHAnsi" w:cstheme="minorHAnsi"/>
          <w:b w:val="0"/>
          <w:bCs/>
        </w:rPr>
        <w:t>%-97.</w:t>
      </w:r>
      <w:r w:rsidR="00D81AD5" w:rsidRPr="00812851">
        <w:rPr>
          <w:rFonts w:asciiTheme="minorHAnsi" w:hAnsiTheme="minorHAnsi" w:cstheme="minorHAnsi"/>
          <w:b w:val="0"/>
          <w:bCs/>
        </w:rPr>
        <w:t>7</w:t>
      </w:r>
      <w:r w:rsidRPr="00812851">
        <w:rPr>
          <w:rFonts w:asciiTheme="minorHAnsi" w:hAnsiTheme="minorHAnsi" w:cstheme="minorHAnsi"/>
          <w:b w:val="0"/>
          <w:bCs/>
        </w:rPr>
        <w:t>%) for</w:t>
      </w:r>
      <w:r w:rsidR="00832FC6" w:rsidRPr="00812851">
        <w:rPr>
          <w:rFonts w:asciiTheme="minorHAnsi" w:hAnsiTheme="minorHAnsi" w:cstheme="minorHAnsi"/>
          <w:b w:val="0"/>
          <w:bCs/>
        </w:rPr>
        <w:t xml:space="preserve"> patients with</w:t>
      </w:r>
      <w:r w:rsidRPr="00812851">
        <w:rPr>
          <w:rFonts w:asciiTheme="minorHAnsi" w:hAnsiTheme="minorHAnsi" w:cstheme="minorHAnsi"/>
          <w:b w:val="0"/>
          <w:bCs/>
        </w:rPr>
        <w:t xml:space="preserve"> early-stage primary lung cancer and 95.2% (95% CI 86.6%-100.0%) for patients with lung metastases.</w:t>
      </w:r>
    </w:p>
    <w:p w14:paraId="23316E1E" w14:textId="14B5D282" w:rsidR="00971BF4" w:rsidRPr="00812851" w:rsidRDefault="00971BF4" w:rsidP="00971BF4">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rPr>
      </w:pPr>
      <w:r w:rsidRPr="00812851">
        <w:rPr>
          <w:rFonts w:asciiTheme="minorHAnsi" w:hAnsiTheme="minorHAnsi" w:cstheme="minorHAnsi"/>
          <w:b w:val="0"/>
        </w:rPr>
        <w:t xml:space="preserve">Nine studies reported survival outcomes after CBCT-IGRT treatment of lung malignancies. Local control </w:t>
      </w:r>
      <w:r w:rsidR="00FA6693" w:rsidRPr="00812851">
        <w:rPr>
          <w:rFonts w:asciiTheme="minorHAnsi" w:hAnsiTheme="minorHAnsi" w:cstheme="minorHAnsi"/>
          <w:b w:val="0"/>
        </w:rPr>
        <w:t xml:space="preserve">rate </w:t>
      </w:r>
      <w:r w:rsidRPr="00812851">
        <w:rPr>
          <w:rFonts w:asciiTheme="minorHAnsi" w:hAnsiTheme="minorHAnsi" w:cstheme="minorHAnsi"/>
          <w:b w:val="0"/>
        </w:rPr>
        <w:t>at one year was reported to be 97% in one study.</w:t>
      </w:r>
      <w:r w:rsidR="00811A0F" w:rsidRPr="00812851">
        <w:rPr>
          <w:rFonts w:asciiTheme="minorHAnsi" w:hAnsiTheme="minorHAnsi" w:cstheme="minorHAnsi"/>
          <w:b w:val="0"/>
        </w:rPr>
        <w:t xml:space="preserve"> One-year overall survival ranged between </w:t>
      </w:r>
      <w:r w:rsidR="00D9732A" w:rsidRPr="00812851">
        <w:rPr>
          <w:rFonts w:asciiTheme="minorHAnsi" w:hAnsiTheme="minorHAnsi" w:cstheme="minorHAnsi"/>
          <w:b w:val="0"/>
        </w:rPr>
        <w:t xml:space="preserve">67-87%, decreasing to </w:t>
      </w:r>
      <w:r w:rsidR="00B81FAE" w:rsidRPr="00812851">
        <w:rPr>
          <w:rFonts w:asciiTheme="minorHAnsi" w:hAnsiTheme="minorHAnsi" w:cstheme="minorHAnsi"/>
          <w:b w:val="0"/>
        </w:rPr>
        <w:t>44-6</w:t>
      </w:r>
      <w:r w:rsidR="00A25DDA" w:rsidRPr="00812851">
        <w:rPr>
          <w:rFonts w:asciiTheme="minorHAnsi" w:hAnsiTheme="minorHAnsi" w:cstheme="minorHAnsi"/>
          <w:b w:val="0"/>
        </w:rPr>
        <w:t>3</w:t>
      </w:r>
      <w:r w:rsidR="00B81FAE" w:rsidRPr="00812851">
        <w:rPr>
          <w:rFonts w:asciiTheme="minorHAnsi" w:hAnsiTheme="minorHAnsi" w:cstheme="minorHAnsi"/>
          <w:b w:val="0"/>
        </w:rPr>
        <w:t xml:space="preserve">% at 3 years and </w:t>
      </w:r>
      <w:r w:rsidR="00816A61" w:rsidRPr="00812851">
        <w:rPr>
          <w:rFonts w:asciiTheme="minorHAnsi" w:hAnsiTheme="minorHAnsi" w:cstheme="minorHAnsi"/>
          <w:b w:val="0"/>
        </w:rPr>
        <w:t xml:space="preserve">to </w:t>
      </w:r>
      <w:r w:rsidR="00FA6693" w:rsidRPr="00812851">
        <w:rPr>
          <w:rFonts w:asciiTheme="minorHAnsi" w:hAnsiTheme="minorHAnsi" w:cstheme="minorHAnsi"/>
          <w:b w:val="0"/>
        </w:rPr>
        <w:t xml:space="preserve">42% at </w:t>
      </w:r>
      <w:r w:rsidR="004828BA" w:rsidRPr="00812851">
        <w:rPr>
          <w:rFonts w:asciiTheme="minorHAnsi" w:hAnsiTheme="minorHAnsi" w:cstheme="minorHAnsi"/>
          <w:b w:val="0"/>
        </w:rPr>
        <w:t xml:space="preserve">5 </w:t>
      </w:r>
      <w:r w:rsidR="00FA6693" w:rsidRPr="00812851">
        <w:rPr>
          <w:rFonts w:asciiTheme="minorHAnsi" w:hAnsiTheme="minorHAnsi" w:cstheme="minorHAnsi"/>
          <w:b w:val="0"/>
        </w:rPr>
        <w:t>years.</w:t>
      </w:r>
    </w:p>
    <w:p w14:paraId="60D24E2E" w14:textId="63194369" w:rsidR="00971BF4" w:rsidRPr="00812851" w:rsidRDefault="00863FF2" w:rsidP="00D347A1">
      <w:pPr>
        <w:pStyle w:val="Summaryboxheading"/>
        <w:keepNext/>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812851">
        <w:rPr>
          <w:rFonts w:asciiTheme="minorHAnsi" w:hAnsiTheme="minorHAnsi" w:cstheme="minorHAnsi"/>
        </w:rPr>
        <w:t>Abdominal malignancies</w:t>
      </w:r>
    </w:p>
    <w:p w14:paraId="29A5CAAB" w14:textId="1B13348C" w:rsidR="00863FF2" w:rsidRPr="00812851" w:rsidRDefault="007B019C" w:rsidP="00D347A1">
      <w:pPr>
        <w:pStyle w:val="Summaryboxheading"/>
        <w:keepNext/>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812851">
        <w:rPr>
          <w:rFonts w:asciiTheme="minorHAnsi" w:hAnsiTheme="minorHAnsi" w:cstheme="minorHAnsi"/>
          <w:b w:val="0"/>
          <w:bCs/>
        </w:rPr>
        <w:t>In patients with hepatocellular carcinoma treated with MR-IGRT, freedom from local progression at median follow-up (21.2 months) was 80.4%</w:t>
      </w:r>
      <w:r w:rsidR="007410D3" w:rsidRPr="00812851">
        <w:rPr>
          <w:rFonts w:asciiTheme="minorHAnsi" w:hAnsiTheme="minorHAnsi" w:cstheme="minorHAnsi"/>
          <w:b w:val="0"/>
          <w:bCs/>
        </w:rPr>
        <w:t xml:space="preserve">, progression-free survival at median follow-up was 35%, and </w:t>
      </w:r>
      <w:r w:rsidR="001A721A" w:rsidRPr="00812851">
        <w:rPr>
          <w:rFonts w:asciiTheme="minorHAnsi" w:hAnsiTheme="minorHAnsi" w:cstheme="minorHAnsi"/>
          <w:b w:val="0"/>
          <w:bCs/>
        </w:rPr>
        <w:t>one</w:t>
      </w:r>
      <w:r w:rsidR="007410D3" w:rsidRPr="00812851">
        <w:rPr>
          <w:rFonts w:asciiTheme="minorHAnsi" w:hAnsiTheme="minorHAnsi" w:cstheme="minorHAnsi"/>
          <w:b w:val="0"/>
          <w:bCs/>
        </w:rPr>
        <w:t xml:space="preserve"> and </w:t>
      </w:r>
      <w:r w:rsidR="001A721A" w:rsidRPr="00812851">
        <w:rPr>
          <w:rFonts w:asciiTheme="minorHAnsi" w:hAnsiTheme="minorHAnsi" w:cstheme="minorHAnsi"/>
          <w:b w:val="0"/>
          <w:bCs/>
        </w:rPr>
        <w:t>two year</w:t>
      </w:r>
      <w:r w:rsidR="007410D3" w:rsidRPr="00812851">
        <w:rPr>
          <w:rFonts w:asciiTheme="minorHAnsi" w:hAnsiTheme="minorHAnsi" w:cstheme="minorHAnsi"/>
          <w:b w:val="0"/>
          <w:bCs/>
        </w:rPr>
        <w:t xml:space="preserve"> overall survival was 69% and 60%, respectively. </w:t>
      </w:r>
    </w:p>
    <w:p w14:paraId="7504A3BF" w14:textId="5D693DA1" w:rsidR="00FC561E" w:rsidRPr="00812851" w:rsidRDefault="00FC561E"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812851">
        <w:rPr>
          <w:rFonts w:asciiTheme="minorHAnsi" w:hAnsiTheme="minorHAnsi" w:cstheme="minorHAnsi"/>
          <w:b w:val="0"/>
          <w:bCs/>
        </w:rPr>
        <w:lastRenderedPageBreak/>
        <w:t xml:space="preserve">The survival outcomes of patients with </w:t>
      </w:r>
      <w:r w:rsidR="00532578" w:rsidRPr="00812851">
        <w:rPr>
          <w:rFonts w:asciiTheme="minorHAnsi" w:hAnsiTheme="minorHAnsi" w:cstheme="minorHAnsi"/>
          <w:b w:val="0"/>
          <w:bCs/>
        </w:rPr>
        <w:t xml:space="preserve">hepatocellular carcinoma </w:t>
      </w:r>
      <w:r w:rsidRPr="00812851">
        <w:rPr>
          <w:rFonts w:asciiTheme="minorHAnsi" w:hAnsiTheme="minorHAnsi" w:cstheme="minorHAnsi"/>
          <w:b w:val="0"/>
          <w:bCs/>
        </w:rPr>
        <w:t xml:space="preserve">treated with CBCT-IGRT were similar, with freedom from local progression of 85.7% and 76.3% at </w:t>
      </w:r>
      <w:r w:rsidR="004828BA" w:rsidRPr="00812851">
        <w:rPr>
          <w:rFonts w:asciiTheme="minorHAnsi" w:hAnsiTheme="minorHAnsi" w:cstheme="minorHAnsi"/>
          <w:b w:val="0"/>
          <w:bCs/>
        </w:rPr>
        <w:t xml:space="preserve">1 </w:t>
      </w:r>
      <w:r w:rsidRPr="00812851">
        <w:rPr>
          <w:rFonts w:asciiTheme="minorHAnsi" w:hAnsiTheme="minorHAnsi" w:cstheme="minorHAnsi"/>
          <w:b w:val="0"/>
          <w:bCs/>
        </w:rPr>
        <w:t>and</w:t>
      </w:r>
      <w:r w:rsidRPr="00812851" w:rsidDel="004828BA">
        <w:rPr>
          <w:rFonts w:asciiTheme="minorHAnsi" w:hAnsiTheme="minorHAnsi" w:cstheme="minorHAnsi"/>
          <w:b w:val="0"/>
          <w:bCs/>
        </w:rPr>
        <w:t xml:space="preserve"> </w:t>
      </w:r>
      <w:r w:rsidR="004828BA" w:rsidRPr="00812851">
        <w:rPr>
          <w:rFonts w:asciiTheme="minorHAnsi" w:hAnsiTheme="minorHAnsi" w:cstheme="minorHAnsi"/>
          <w:b w:val="0"/>
          <w:bCs/>
        </w:rPr>
        <w:t xml:space="preserve">2 </w:t>
      </w:r>
      <w:r w:rsidRPr="00812851">
        <w:rPr>
          <w:rFonts w:asciiTheme="minorHAnsi" w:hAnsiTheme="minorHAnsi" w:cstheme="minorHAnsi"/>
          <w:b w:val="0"/>
          <w:bCs/>
        </w:rPr>
        <w:t xml:space="preserve">years, respectively, progression-free survival of </w:t>
      </w:r>
      <w:r w:rsidR="00E03732" w:rsidRPr="00812851">
        <w:rPr>
          <w:rFonts w:asciiTheme="minorHAnsi" w:hAnsiTheme="minorHAnsi" w:cstheme="minorHAnsi"/>
          <w:b w:val="0"/>
          <w:bCs/>
        </w:rPr>
        <w:t xml:space="preserve">37.8% and 35.6% at </w:t>
      </w:r>
      <w:r w:rsidR="004828BA" w:rsidRPr="00812851">
        <w:rPr>
          <w:rFonts w:asciiTheme="minorHAnsi" w:hAnsiTheme="minorHAnsi" w:cstheme="minorHAnsi"/>
          <w:b w:val="0"/>
          <w:bCs/>
        </w:rPr>
        <w:t xml:space="preserve">1 </w:t>
      </w:r>
      <w:r w:rsidR="00E03732" w:rsidRPr="00812851">
        <w:rPr>
          <w:rFonts w:asciiTheme="minorHAnsi" w:hAnsiTheme="minorHAnsi" w:cstheme="minorHAnsi"/>
          <w:b w:val="0"/>
          <w:bCs/>
        </w:rPr>
        <w:t>and</w:t>
      </w:r>
      <w:r w:rsidR="00E03732" w:rsidRPr="00812851" w:rsidDel="004828BA">
        <w:rPr>
          <w:rFonts w:asciiTheme="minorHAnsi" w:hAnsiTheme="minorHAnsi" w:cstheme="minorHAnsi"/>
          <w:b w:val="0"/>
          <w:bCs/>
        </w:rPr>
        <w:t xml:space="preserve"> </w:t>
      </w:r>
      <w:r w:rsidR="004828BA" w:rsidRPr="00812851">
        <w:rPr>
          <w:rFonts w:asciiTheme="minorHAnsi" w:hAnsiTheme="minorHAnsi" w:cstheme="minorHAnsi"/>
          <w:b w:val="0"/>
          <w:bCs/>
        </w:rPr>
        <w:t xml:space="preserve">2 </w:t>
      </w:r>
      <w:r w:rsidR="00E03732" w:rsidRPr="00812851">
        <w:rPr>
          <w:rFonts w:asciiTheme="minorHAnsi" w:hAnsiTheme="minorHAnsi" w:cstheme="minorHAnsi"/>
          <w:b w:val="0"/>
          <w:bCs/>
        </w:rPr>
        <w:t xml:space="preserve">years, respectively, and overall survival ranging between 77-88.5% at one year and 60-75% at </w:t>
      </w:r>
      <w:r w:rsidR="004A2293" w:rsidRPr="00812851">
        <w:rPr>
          <w:rFonts w:asciiTheme="minorHAnsi" w:hAnsiTheme="minorHAnsi" w:cstheme="minorHAnsi"/>
          <w:b w:val="0"/>
          <w:bCs/>
        </w:rPr>
        <w:t xml:space="preserve">2 </w:t>
      </w:r>
      <w:r w:rsidR="00E03732" w:rsidRPr="00812851">
        <w:rPr>
          <w:rFonts w:asciiTheme="minorHAnsi" w:hAnsiTheme="minorHAnsi" w:cstheme="minorHAnsi"/>
          <w:b w:val="0"/>
          <w:bCs/>
        </w:rPr>
        <w:t>years.</w:t>
      </w:r>
    </w:p>
    <w:p w14:paraId="65B0125F" w14:textId="7F443931" w:rsidR="00E03732" w:rsidRPr="00812851" w:rsidRDefault="00E03732"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812851">
        <w:rPr>
          <w:rFonts w:asciiTheme="minorHAnsi" w:hAnsiTheme="minorHAnsi" w:cstheme="minorHAnsi"/>
          <w:b w:val="0"/>
          <w:bCs/>
        </w:rPr>
        <w:t>Th</w:t>
      </w:r>
      <w:r w:rsidR="000A7C38" w:rsidRPr="00812851">
        <w:rPr>
          <w:rFonts w:asciiTheme="minorHAnsi" w:hAnsiTheme="minorHAnsi" w:cstheme="minorHAnsi"/>
          <w:b w:val="0"/>
          <w:bCs/>
        </w:rPr>
        <w:t>re</w:t>
      </w:r>
      <w:r w:rsidRPr="00812851">
        <w:rPr>
          <w:rFonts w:asciiTheme="minorHAnsi" w:hAnsiTheme="minorHAnsi" w:cstheme="minorHAnsi"/>
          <w:b w:val="0"/>
          <w:bCs/>
        </w:rPr>
        <w:t>e</w:t>
      </w:r>
      <w:r w:rsidR="000A48D1" w:rsidRPr="00812851">
        <w:rPr>
          <w:rFonts w:asciiTheme="minorHAnsi" w:hAnsiTheme="minorHAnsi" w:cstheme="minorHAnsi"/>
          <w:b w:val="0"/>
          <w:bCs/>
        </w:rPr>
        <w:t xml:space="preserve">- and </w:t>
      </w:r>
      <w:r w:rsidR="0081053C" w:rsidRPr="00812851">
        <w:rPr>
          <w:rFonts w:asciiTheme="minorHAnsi" w:hAnsiTheme="minorHAnsi" w:cstheme="minorHAnsi"/>
          <w:b w:val="0"/>
          <w:bCs/>
        </w:rPr>
        <w:t>six</w:t>
      </w:r>
      <w:r w:rsidR="000A48D1" w:rsidRPr="00812851">
        <w:rPr>
          <w:rFonts w:asciiTheme="minorHAnsi" w:hAnsiTheme="minorHAnsi" w:cstheme="minorHAnsi"/>
          <w:b w:val="0"/>
          <w:bCs/>
        </w:rPr>
        <w:t xml:space="preserve">-month progression-free survival of patients with unresectable abdominal cancers treated with MR-IGRT was reported to be 95% and 89%, respectively, with </w:t>
      </w:r>
      <w:r w:rsidR="0081053C" w:rsidRPr="00812851">
        <w:rPr>
          <w:rFonts w:asciiTheme="minorHAnsi" w:hAnsiTheme="minorHAnsi" w:cstheme="minorHAnsi"/>
          <w:b w:val="0"/>
          <w:bCs/>
        </w:rPr>
        <w:t>one</w:t>
      </w:r>
      <w:r w:rsidR="000A48D1" w:rsidRPr="00812851">
        <w:rPr>
          <w:rFonts w:asciiTheme="minorHAnsi" w:hAnsiTheme="minorHAnsi" w:cstheme="minorHAnsi"/>
          <w:b w:val="0"/>
          <w:bCs/>
        </w:rPr>
        <w:t xml:space="preserve">-year overall </w:t>
      </w:r>
      <w:r w:rsidRPr="00812851">
        <w:rPr>
          <w:rFonts w:asciiTheme="minorHAnsi" w:hAnsiTheme="minorHAnsi" w:cstheme="minorHAnsi"/>
          <w:b w:val="0"/>
          <w:bCs/>
        </w:rPr>
        <w:t xml:space="preserve">survival </w:t>
      </w:r>
      <w:r w:rsidR="000A48D1" w:rsidRPr="00812851">
        <w:rPr>
          <w:rFonts w:asciiTheme="minorHAnsi" w:hAnsiTheme="minorHAnsi" w:cstheme="minorHAnsi"/>
          <w:b w:val="0"/>
          <w:bCs/>
        </w:rPr>
        <w:t>of 75%.</w:t>
      </w:r>
    </w:p>
    <w:p w14:paraId="5B779228" w14:textId="7F574A57" w:rsidR="000A48D1" w:rsidRPr="00812851" w:rsidRDefault="000A48D1"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812851">
        <w:rPr>
          <w:rFonts w:asciiTheme="minorHAnsi" w:hAnsiTheme="minorHAnsi" w:cstheme="minorHAnsi"/>
        </w:rPr>
        <w:t>Head and neck cancer</w:t>
      </w:r>
    </w:p>
    <w:p w14:paraId="5091CCE5" w14:textId="2777EB04" w:rsidR="000A48D1" w:rsidRPr="00812851" w:rsidRDefault="003441E0"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812851">
        <w:rPr>
          <w:rFonts w:asciiTheme="minorHAnsi" w:hAnsiTheme="minorHAnsi" w:cstheme="minorHAnsi"/>
          <w:b w:val="0"/>
          <w:bCs/>
        </w:rPr>
        <w:t xml:space="preserve">One prospective case series of </w:t>
      </w:r>
      <w:r w:rsidR="00FA559F" w:rsidRPr="00812851">
        <w:rPr>
          <w:rFonts w:asciiTheme="minorHAnsi" w:hAnsiTheme="minorHAnsi" w:cstheme="minorHAnsi"/>
          <w:b w:val="0"/>
          <w:bCs/>
        </w:rPr>
        <w:t xml:space="preserve">patients with </w:t>
      </w:r>
      <w:r w:rsidRPr="00812851">
        <w:rPr>
          <w:rFonts w:asciiTheme="minorHAnsi" w:hAnsiTheme="minorHAnsi" w:cstheme="minorHAnsi"/>
          <w:b w:val="0"/>
          <w:bCs/>
        </w:rPr>
        <w:t xml:space="preserve">head and neck cancer treated with MR-IGRT reported the locoregional control at </w:t>
      </w:r>
      <w:r w:rsidR="004828BA" w:rsidRPr="00812851">
        <w:rPr>
          <w:rFonts w:asciiTheme="minorHAnsi" w:hAnsiTheme="minorHAnsi" w:cstheme="minorHAnsi"/>
          <w:b w:val="0"/>
          <w:bCs/>
        </w:rPr>
        <w:t xml:space="preserve">1 </w:t>
      </w:r>
      <w:r w:rsidRPr="00812851">
        <w:rPr>
          <w:rFonts w:asciiTheme="minorHAnsi" w:hAnsiTheme="minorHAnsi" w:cstheme="minorHAnsi"/>
          <w:b w:val="0"/>
          <w:bCs/>
        </w:rPr>
        <w:t xml:space="preserve">year was 95%, and the </w:t>
      </w:r>
      <w:r w:rsidR="001A721A" w:rsidRPr="00812851">
        <w:rPr>
          <w:rFonts w:asciiTheme="minorHAnsi" w:hAnsiTheme="minorHAnsi" w:cstheme="minorHAnsi"/>
          <w:b w:val="0"/>
          <w:bCs/>
        </w:rPr>
        <w:t>one year</w:t>
      </w:r>
      <w:r w:rsidRPr="00812851">
        <w:rPr>
          <w:rFonts w:asciiTheme="minorHAnsi" w:hAnsiTheme="minorHAnsi" w:cstheme="minorHAnsi"/>
          <w:b w:val="0"/>
          <w:bCs/>
        </w:rPr>
        <w:t xml:space="preserve"> progression-free and overall survival rates were 95% and 96%, respectively.</w:t>
      </w:r>
    </w:p>
    <w:p w14:paraId="4580BECB" w14:textId="3DF69043" w:rsidR="003441E0" w:rsidRPr="00812851" w:rsidRDefault="003441E0"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812851">
        <w:rPr>
          <w:rFonts w:asciiTheme="minorHAnsi" w:hAnsiTheme="minorHAnsi" w:cstheme="minorHAnsi"/>
          <w:b w:val="0"/>
          <w:bCs/>
        </w:rPr>
        <w:t xml:space="preserve">One </w:t>
      </w:r>
      <w:r w:rsidR="006A6587" w:rsidRPr="00812851">
        <w:rPr>
          <w:rFonts w:asciiTheme="minorHAnsi" w:hAnsiTheme="minorHAnsi" w:cstheme="minorHAnsi"/>
          <w:b w:val="0"/>
          <w:bCs/>
        </w:rPr>
        <w:t xml:space="preserve">cohort study reported </w:t>
      </w:r>
      <w:r w:rsidR="001A721A" w:rsidRPr="00812851">
        <w:rPr>
          <w:rFonts w:asciiTheme="minorHAnsi" w:hAnsiTheme="minorHAnsi" w:cstheme="minorHAnsi"/>
          <w:b w:val="0"/>
          <w:bCs/>
        </w:rPr>
        <w:t>two year</w:t>
      </w:r>
      <w:r w:rsidR="006A6587" w:rsidRPr="00812851">
        <w:rPr>
          <w:rFonts w:asciiTheme="minorHAnsi" w:hAnsiTheme="minorHAnsi" w:cstheme="minorHAnsi"/>
          <w:b w:val="0"/>
          <w:bCs/>
        </w:rPr>
        <w:t xml:space="preserve"> survival outcomes of head and neck cancer treatment with CBCT-IGRT stratified by different target margin sizes. Overall survival was 75%, with </w:t>
      </w:r>
      <w:r w:rsidR="001A721A" w:rsidRPr="00812851">
        <w:rPr>
          <w:rFonts w:asciiTheme="minorHAnsi" w:hAnsiTheme="minorHAnsi" w:cstheme="minorHAnsi"/>
          <w:b w:val="0"/>
          <w:bCs/>
        </w:rPr>
        <w:t>two year</w:t>
      </w:r>
      <w:r w:rsidR="006A6587" w:rsidRPr="00812851">
        <w:rPr>
          <w:rFonts w:asciiTheme="minorHAnsi" w:hAnsiTheme="minorHAnsi" w:cstheme="minorHAnsi"/>
          <w:b w:val="0"/>
          <w:bCs/>
        </w:rPr>
        <w:t xml:space="preserve"> locoregional control rate of 79-80%.</w:t>
      </w:r>
    </w:p>
    <w:p w14:paraId="7BF436AF" w14:textId="5802BAF0" w:rsidR="00A56D77" w:rsidRPr="00812851" w:rsidRDefault="00CF2E60"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812851">
        <w:rPr>
          <w:rFonts w:asciiTheme="minorHAnsi" w:hAnsiTheme="minorHAnsi" w:cstheme="minorHAnsi"/>
        </w:rPr>
        <w:t>Quality of life</w:t>
      </w:r>
      <w:r w:rsidR="00D53922" w:rsidRPr="00812851">
        <w:rPr>
          <w:rFonts w:asciiTheme="minorHAnsi" w:hAnsiTheme="minorHAnsi" w:cstheme="minorHAnsi"/>
        </w:rPr>
        <w:t xml:space="preserve"> </w:t>
      </w:r>
    </w:p>
    <w:p w14:paraId="45513D5E" w14:textId="1DED6DAF" w:rsidR="00CF2E60" w:rsidRPr="00812851" w:rsidRDefault="00D53922"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rPr>
      </w:pPr>
      <w:r w:rsidRPr="00812851">
        <w:rPr>
          <w:rFonts w:asciiTheme="minorHAnsi" w:hAnsiTheme="minorHAnsi" w:cstheme="minorHAnsi"/>
          <w:b w:val="0"/>
          <w:bCs/>
        </w:rPr>
        <w:t xml:space="preserve">No comparative evidence was found for QoL. </w:t>
      </w:r>
      <w:r w:rsidR="00D519F6" w:rsidRPr="00812851">
        <w:rPr>
          <w:rFonts w:asciiTheme="minorHAnsi" w:hAnsiTheme="minorHAnsi" w:cstheme="minorHAnsi"/>
          <w:b w:val="0"/>
          <w:bCs/>
        </w:rPr>
        <w:t xml:space="preserve">Two studies in </w:t>
      </w:r>
      <w:r w:rsidR="00FA559F" w:rsidRPr="00812851">
        <w:rPr>
          <w:rFonts w:asciiTheme="minorHAnsi" w:hAnsiTheme="minorHAnsi" w:cstheme="minorHAnsi"/>
          <w:b w:val="0"/>
          <w:bCs/>
        </w:rPr>
        <w:t xml:space="preserve">patients with </w:t>
      </w:r>
      <w:r w:rsidR="00D519F6" w:rsidRPr="00812851">
        <w:rPr>
          <w:rFonts w:asciiTheme="minorHAnsi" w:hAnsiTheme="minorHAnsi" w:cstheme="minorHAnsi"/>
          <w:b w:val="0"/>
          <w:bCs/>
        </w:rPr>
        <w:t xml:space="preserve">unresectable abdominal cancer and </w:t>
      </w:r>
      <w:r w:rsidR="00FA559F" w:rsidRPr="00812851">
        <w:rPr>
          <w:rFonts w:asciiTheme="minorHAnsi" w:hAnsiTheme="minorHAnsi" w:cstheme="minorHAnsi"/>
          <w:b w:val="0"/>
          <w:bCs/>
        </w:rPr>
        <w:t xml:space="preserve">with </w:t>
      </w:r>
      <w:r w:rsidR="00D519F6" w:rsidRPr="00812851">
        <w:rPr>
          <w:rFonts w:asciiTheme="minorHAnsi" w:hAnsiTheme="minorHAnsi" w:cstheme="minorHAnsi"/>
          <w:b w:val="0"/>
          <w:bCs/>
        </w:rPr>
        <w:t xml:space="preserve">prostate cancer treated with MR-IGRT reported no differences in QoL scores </w:t>
      </w:r>
      <w:r w:rsidR="006A4AF0" w:rsidRPr="00812851">
        <w:rPr>
          <w:rFonts w:asciiTheme="minorHAnsi" w:hAnsiTheme="minorHAnsi" w:cstheme="minorHAnsi"/>
          <w:b w:val="0"/>
          <w:bCs/>
        </w:rPr>
        <w:t xml:space="preserve">on the same questionnaire (EORTC QLQ-C30) </w:t>
      </w:r>
      <w:r w:rsidR="00D519F6" w:rsidRPr="00812851">
        <w:rPr>
          <w:rFonts w:asciiTheme="minorHAnsi" w:hAnsiTheme="minorHAnsi" w:cstheme="minorHAnsi"/>
          <w:b w:val="0"/>
          <w:bCs/>
        </w:rPr>
        <w:t>over the course of radiotherapy treatment.</w:t>
      </w:r>
    </w:p>
    <w:p w14:paraId="4D49026A" w14:textId="38959304" w:rsidR="00294C20" w:rsidRPr="00812851" w:rsidRDefault="00294C20" w:rsidP="005C061E">
      <w:pPr>
        <w:pStyle w:val="Summaryboxheading"/>
        <w:pBdr>
          <w:top w:val="single" w:sz="4" w:space="1" w:color="auto"/>
          <w:left w:val="single" w:sz="4" w:space="4" w:color="auto"/>
          <w:bottom w:val="single" w:sz="4" w:space="1" w:color="auto"/>
          <w:right w:val="single" w:sz="4" w:space="4" w:color="auto"/>
        </w:pBdr>
        <w:jc w:val="both"/>
        <w:rPr>
          <w:rFonts w:asciiTheme="minorHAnsi" w:hAnsiTheme="minorHAnsi" w:cstheme="minorHAnsi"/>
          <w:b w:val="0"/>
          <w:bCs/>
        </w:rPr>
      </w:pPr>
      <w:r w:rsidRPr="00812851">
        <w:rPr>
          <w:rFonts w:asciiTheme="minorHAnsi" w:hAnsiTheme="minorHAnsi" w:cstheme="minorHAnsi"/>
          <w:b w:val="0"/>
          <w:bCs/>
        </w:rPr>
        <w:t xml:space="preserve">One study reported QoL </w:t>
      </w:r>
      <w:r w:rsidR="007725E3" w:rsidRPr="00812851">
        <w:rPr>
          <w:rFonts w:asciiTheme="minorHAnsi" w:hAnsiTheme="minorHAnsi" w:cstheme="minorHAnsi"/>
          <w:b w:val="0"/>
          <w:bCs/>
        </w:rPr>
        <w:t>scores</w:t>
      </w:r>
      <w:r w:rsidRPr="00812851">
        <w:rPr>
          <w:rFonts w:asciiTheme="minorHAnsi" w:hAnsiTheme="minorHAnsi" w:cstheme="minorHAnsi"/>
          <w:b w:val="0"/>
          <w:bCs/>
        </w:rPr>
        <w:t xml:space="preserve"> after CBCT-IGRT </w:t>
      </w:r>
      <w:r w:rsidR="00CC660F" w:rsidRPr="00812851">
        <w:rPr>
          <w:rFonts w:asciiTheme="minorHAnsi" w:hAnsiTheme="minorHAnsi" w:cstheme="minorHAnsi"/>
          <w:b w:val="0"/>
          <w:bCs/>
        </w:rPr>
        <w:t>in patients with</w:t>
      </w:r>
      <w:r w:rsidRPr="00812851">
        <w:rPr>
          <w:rFonts w:asciiTheme="minorHAnsi" w:hAnsiTheme="minorHAnsi" w:cstheme="minorHAnsi"/>
          <w:b w:val="0"/>
          <w:bCs/>
        </w:rPr>
        <w:t xml:space="preserve"> prostate cancer</w:t>
      </w:r>
      <w:r w:rsidR="006F7D9B" w:rsidRPr="00812851">
        <w:rPr>
          <w:rFonts w:asciiTheme="minorHAnsi" w:hAnsiTheme="minorHAnsi" w:cstheme="minorHAnsi"/>
          <w:b w:val="0"/>
          <w:bCs/>
        </w:rPr>
        <w:t>. Ho</w:t>
      </w:r>
      <w:r w:rsidR="00221BE9" w:rsidRPr="00812851">
        <w:rPr>
          <w:rFonts w:asciiTheme="minorHAnsi" w:hAnsiTheme="minorHAnsi" w:cstheme="minorHAnsi"/>
          <w:b w:val="0"/>
          <w:bCs/>
        </w:rPr>
        <w:t>wever</w:t>
      </w:r>
      <w:r w:rsidR="006F7D9B" w:rsidRPr="00812851">
        <w:rPr>
          <w:rFonts w:asciiTheme="minorHAnsi" w:hAnsiTheme="minorHAnsi" w:cstheme="minorHAnsi"/>
          <w:b w:val="0"/>
          <w:bCs/>
        </w:rPr>
        <w:t>, as</w:t>
      </w:r>
      <w:r w:rsidR="00221BE9" w:rsidRPr="00812851">
        <w:rPr>
          <w:rFonts w:asciiTheme="minorHAnsi" w:hAnsiTheme="minorHAnsi" w:cstheme="minorHAnsi"/>
          <w:b w:val="0"/>
          <w:bCs/>
        </w:rPr>
        <w:t xml:space="preserve"> no baseline</w:t>
      </w:r>
      <w:r w:rsidR="007725E3" w:rsidRPr="00812851">
        <w:rPr>
          <w:rFonts w:asciiTheme="minorHAnsi" w:hAnsiTheme="minorHAnsi" w:cstheme="minorHAnsi"/>
          <w:b w:val="0"/>
          <w:bCs/>
        </w:rPr>
        <w:t xml:space="preserve"> </w:t>
      </w:r>
      <w:r w:rsidR="006F7D9B" w:rsidRPr="00812851">
        <w:rPr>
          <w:rFonts w:asciiTheme="minorHAnsi" w:hAnsiTheme="minorHAnsi" w:cstheme="minorHAnsi"/>
          <w:b w:val="0"/>
          <w:bCs/>
        </w:rPr>
        <w:t>measurement</w:t>
      </w:r>
      <w:r w:rsidR="007725E3" w:rsidRPr="00812851">
        <w:rPr>
          <w:rFonts w:asciiTheme="minorHAnsi" w:hAnsiTheme="minorHAnsi" w:cstheme="minorHAnsi"/>
          <w:b w:val="0"/>
          <w:bCs/>
        </w:rPr>
        <w:t xml:space="preserve">s </w:t>
      </w:r>
      <w:r w:rsidR="00221BE9" w:rsidRPr="00812851">
        <w:rPr>
          <w:rFonts w:asciiTheme="minorHAnsi" w:hAnsiTheme="minorHAnsi" w:cstheme="minorHAnsi"/>
          <w:b w:val="0"/>
          <w:bCs/>
        </w:rPr>
        <w:t>were provided</w:t>
      </w:r>
      <w:r w:rsidR="006F7D9B" w:rsidRPr="00812851">
        <w:rPr>
          <w:rFonts w:asciiTheme="minorHAnsi" w:hAnsiTheme="minorHAnsi" w:cstheme="minorHAnsi"/>
          <w:b w:val="0"/>
          <w:bCs/>
        </w:rPr>
        <w:t>,</w:t>
      </w:r>
      <w:r w:rsidR="00221BE9" w:rsidRPr="00812851">
        <w:rPr>
          <w:rFonts w:asciiTheme="minorHAnsi" w:hAnsiTheme="minorHAnsi" w:cstheme="minorHAnsi"/>
          <w:b w:val="0"/>
          <w:bCs/>
        </w:rPr>
        <w:t xml:space="preserve"> it is not clear if QoL</w:t>
      </w:r>
      <w:r w:rsidR="007725E3" w:rsidRPr="00812851">
        <w:rPr>
          <w:rFonts w:asciiTheme="minorHAnsi" w:hAnsiTheme="minorHAnsi" w:cstheme="minorHAnsi"/>
          <w:b w:val="0"/>
          <w:bCs/>
        </w:rPr>
        <w:t xml:space="preserve"> scores</w:t>
      </w:r>
      <w:r w:rsidR="00221BE9" w:rsidRPr="00812851">
        <w:rPr>
          <w:rFonts w:asciiTheme="minorHAnsi" w:hAnsiTheme="minorHAnsi" w:cstheme="minorHAnsi"/>
          <w:b w:val="0"/>
          <w:bCs/>
        </w:rPr>
        <w:t xml:space="preserve"> </w:t>
      </w:r>
      <w:r w:rsidR="006F7D9B" w:rsidRPr="00812851">
        <w:rPr>
          <w:rFonts w:asciiTheme="minorHAnsi" w:hAnsiTheme="minorHAnsi" w:cstheme="minorHAnsi"/>
          <w:b w:val="0"/>
          <w:bCs/>
        </w:rPr>
        <w:t>changed</w:t>
      </w:r>
      <w:r w:rsidR="00221BE9" w:rsidRPr="00812851">
        <w:rPr>
          <w:rFonts w:asciiTheme="minorHAnsi" w:hAnsiTheme="minorHAnsi" w:cstheme="minorHAnsi"/>
          <w:b w:val="0"/>
          <w:bCs/>
        </w:rPr>
        <w:t xml:space="preserve"> during treatment</w:t>
      </w:r>
      <w:r w:rsidR="007725E3" w:rsidRPr="00812851">
        <w:rPr>
          <w:rFonts w:asciiTheme="minorHAnsi" w:hAnsiTheme="minorHAnsi" w:cstheme="minorHAnsi"/>
          <w:b w:val="0"/>
          <w:bCs/>
        </w:rPr>
        <w:t xml:space="preserve">. </w:t>
      </w:r>
    </w:p>
    <w:p w14:paraId="2C04C979" w14:textId="7F4E8F85" w:rsidR="00E54FA2" w:rsidRPr="00E54FA2" w:rsidRDefault="00E54FA2" w:rsidP="00E54FA2">
      <w:bookmarkStart w:id="391" w:name="_Toc395200782"/>
      <w:r>
        <w:t xml:space="preserve">No comparative studies </w:t>
      </w:r>
      <w:r w:rsidR="000E166D">
        <w:t>of</w:t>
      </w:r>
      <w:r>
        <w:t xml:space="preserve"> the </w:t>
      </w:r>
      <w:r w:rsidR="000E166D">
        <w:t>clinical</w:t>
      </w:r>
      <w:r>
        <w:t xml:space="preserve"> effectiveness</w:t>
      </w:r>
      <w:r w:rsidR="005E18C3">
        <w:t xml:space="preserve"> </w:t>
      </w:r>
      <w:r w:rsidR="00785EF2">
        <w:t>of MR-IGRT versus CBCT-guided IGRT</w:t>
      </w:r>
      <w:r>
        <w:t xml:space="preserve"> were identified in the literature search.</w:t>
      </w:r>
      <w:r w:rsidR="00782EF1">
        <w:t xml:space="preserve"> A naïve comparison of MR-IGRT </w:t>
      </w:r>
      <w:r w:rsidR="00EB67BA">
        <w:t xml:space="preserve">and CBCT-guided IGRT was therefore attempted for the patient-relevant outcomes of survival and </w:t>
      </w:r>
      <w:r w:rsidR="00947BC8">
        <w:t xml:space="preserve">quality of life. </w:t>
      </w:r>
    </w:p>
    <w:p w14:paraId="7E9E1DC8" w14:textId="6AF6B1DC" w:rsidR="00947BC8" w:rsidRPr="00E54FA2" w:rsidRDefault="00BF1AC8" w:rsidP="00E54FA2">
      <w:r>
        <w:t xml:space="preserve">Additionally, given the lack of comparative evidence for clinical effectiveness, </w:t>
      </w:r>
      <w:r w:rsidR="00567E01">
        <w:t xml:space="preserve">four </w:t>
      </w:r>
      <w:r w:rsidR="00947BC8">
        <w:t xml:space="preserve">studies </w:t>
      </w:r>
      <w:r>
        <w:t>comparing the</w:t>
      </w:r>
      <w:r w:rsidR="00947BC8">
        <w:t xml:space="preserve"> dosimetric </w:t>
      </w:r>
      <w:r>
        <w:t xml:space="preserve">parameters of MR-IGRT and CBCT-IGRT were identified and included in this assessment. </w:t>
      </w:r>
    </w:p>
    <w:p w14:paraId="5199A806" w14:textId="77777777" w:rsidR="00EF1479" w:rsidRDefault="00EF1479" w:rsidP="00EF1479">
      <w:pPr>
        <w:pStyle w:val="Heading3"/>
        <w:jc w:val="both"/>
      </w:pPr>
      <w:bookmarkStart w:id="392" w:name="_Toc59018781"/>
      <w:bookmarkStart w:id="393" w:name="_Toc59020325"/>
      <w:bookmarkStart w:id="394" w:name="_Toc59439547"/>
      <w:bookmarkStart w:id="395" w:name="_Toc89857819"/>
      <w:bookmarkEnd w:id="391"/>
      <w:r>
        <w:t>Dosimetric outcomes</w:t>
      </w:r>
      <w:bookmarkEnd w:id="392"/>
      <w:bookmarkEnd w:id="393"/>
      <w:bookmarkEnd w:id="394"/>
      <w:bookmarkEnd w:id="395"/>
    </w:p>
    <w:p w14:paraId="4E951AF4" w14:textId="403B3D6C" w:rsidR="00F97C7D" w:rsidRDefault="00211285" w:rsidP="00F97C7D">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6B0EAF">
        <w:t xml:space="preserve"> compared the</w:t>
      </w:r>
      <w:r w:rsidR="000546A8">
        <w:t xml:space="preserve"> PTV and the clinically relevant dosimetric parameters in lung between the MR-linac and CBCT-linac</w:t>
      </w:r>
      <w:r w:rsidR="006B0EAF">
        <w:t xml:space="preserve"> plans</w:t>
      </w:r>
      <w:r w:rsidR="000546A8">
        <w:t xml:space="preserve">. </w:t>
      </w:r>
      <w:r w:rsidR="00F97C7D">
        <w:t xml:space="preserve">These parameters are summarised in </w:t>
      </w:r>
      <w:r w:rsidR="00F97C7D">
        <w:fldChar w:fldCharType="begin"/>
      </w:r>
      <w:r w:rsidR="00F97C7D">
        <w:instrText xml:space="preserve"> REF _Ref55901639 \h </w:instrText>
      </w:r>
      <w:r w:rsidR="00F97C7D">
        <w:fldChar w:fldCharType="separate"/>
      </w:r>
      <w:r w:rsidR="00451350">
        <w:t xml:space="preserve">Table </w:t>
      </w:r>
      <w:r w:rsidR="00451350">
        <w:rPr>
          <w:noProof/>
        </w:rPr>
        <w:t>29</w:t>
      </w:r>
      <w:r w:rsidR="00F97C7D">
        <w:fldChar w:fldCharType="end"/>
      </w:r>
      <w:r w:rsidR="00F97C7D">
        <w:t xml:space="preserve">. </w:t>
      </w:r>
      <w:r w:rsidR="000546A8">
        <w:t xml:space="preserve"> </w:t>
      </w:r>
      <w:r w:rsidR="00F4038D">
        <w:t>P</w:t>
      </w:r>
      <w:r w:rsidR="001D6695">
        <w:t>lanning target volume (P</w:t>
      </w:r>
      <w:r w:rsidR="00F4038D">
        <w:t>TV</w:t>
      </w:r>
      <w:r w:rsidR="001D6695">
        <w:t>)</w:t>
      </w:r>
      <w:r w:rsidR="00F4038D">
        <w:t xml:space="preserve"> </w:t>
      </w:r>
      <w:r w:rsidR="00B50B1B">
        <w:t xml:space="preserve">was </w:t>
      </w:r>
      <w:r w:rsidR="00591AAC">
        <w:t>smaller in the MR-lin</w:t>
      </w:r>
      <w:r w:rsidR="001077FF">
        <w:t>a</w:t>
      </w:r>
      <w:r w:rsidR="00591AAC">
        <w:t xml:space="preserve">c </w:t>
      </w:r>
      <w:r w:rsidR="00631C48">
        <w:t>plans</w:t>
      </w:r>
      <w:r w:rsidR="001077FF">
        <w:t xml:space="preserve"> </w:t>
      </w:r>
      <w:r w:rsidR="00F4038D">
        <w:t>(p=0.036)</w:t>
      </w:r>
      <w:r w:rsidR="00631C34">
        <w:t xml:space="preserve">, although there was no </w:t>
      </w:r>
      <w:r w:rsidR="00E87362">
        <w:t>significant difference in tumour size between the two groups.</w:t>
      </w:r>
      <w:r w:rsidR="006B0EAF">
        <w:t xml:space="preserve"> </w:t>
      </w:r>
      <w:r w:rsidR="00E501FC">
        <w:t>The mean do</w:t>
      </w:r>
      <w:r w:rsidR="00C52F0F">
        <w:t xml:space="preserve">ses to both </w:t>
      </w:r>
      <w:r w:rsidR="00986FDD">
        <w:t xml:space="preserve">ipsi- and </w:t>
      </w:r>
      <w:r w:rsidR="00986FDD">
        <w:lastRenderedPageBreak/>
        <w:t xml:space="preserve">contralateral </w:t>
      </w:r>
      <w:r w:rsidR="00C52F0F">
        <w:t xml:space="preserve">lung </w:t>
      </w:r>
      <w:r w:rsidR="00986FDD">
        <w:t xml:space="preserve">were statistically significantly higher and </w:t>
      </w:r>
      <w:r w:rsidR="00C52F0F">
        <w:t xml:space="preserve"> the volume of normal lung receiving 10 and 20 Gy were </w:t>
      </w:r>
      <w:r w:rsidR="00986FDD">
        <w:t xml:space="preserve">significantly larger </w:t>
      </w:r>
      <w:r w:rsidR="001511A7">
        <w:t>for MR-linac than for CBCT-linac.</w:t>
      </w:r>
      <w:r w:rsidR="00E616FD">
        <w:t xml:space="preserve"> </w:t>
      </w: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C4099A">
        <w:t xml:space="preserve"> state</w:t>
      </w:r>
      <w:r w:rsidR="003013D8">
        <w:t>d</w:t>
      </w:r>
      <w:r w:rsidR="00C4099A">
        <w:t xml:space="preserve"> that “</w:t>
      </w:r>
      <w:r w:rsidR="007D32C3">
        <w:t xml:space="preserve">the </w:t>
      </w:r>
      <w:r w:rsidR="00C4099A">
        <w:t>shown dosimetric parameters were worse in the tri-</w:t>
      </w:r>
      <w:r w:rsidR="00C4099A" w:rsidRPr="00C4099A">
        <w:rPr>
          <w:vertAlign w:val="superscript"/>
        </w:rPr>
        <w:t>60</w:t>
      </w:r>
      <w:r w:rsidR="00C4099A">
        <w:t>Co system. However, both treatment systems kept the normal organ dose constraint suggested in the Radiation Therapy Oncology Group (RTOG)”</w:t>
      </w:r>
      <w:r w:rsidR="008D442E">
        <w:t>.</w:t>
      </w:r>
    </w:p>
    <w:p w14:paraId="1D87F042" w14:textId="3BB01FB7" w:rsidR="006B0EAF" w:rsidRDefault="006B0EAF" w:rsidP="008D7C53">
      <w:pPr>
        <w:pStyle w:val="Caption"/>
        <w:keepNext/>
      </w:pPr>
      <w:bookmarkStart w:id="396" w:name="_Ref55901639"/>
      <w:bookmarkStart w:id="397" w:name="_Toc89857900"/>
      <w:r>
        <w:t xml:space="preserve">Table </w:t>
      </w:r>
      <w:r w:rsidR="00211285">
        <w:fldChar w:fldCharType="begin"/>
      </w:r>
      <w:r w:rsidR="00211285">
        <w:instrText xml:space="preserve"> SEQ Table \* ARABIC </w:instrText>
      </w:r>
      <w:r w:rsidR="00211285">
        <w:fldChar w:fldCharType="separate"/>
      </w:r>
      <w:r w:rsidR="00451350">
        <w:rPr>
          <w:noProof/>
        </w:rPr>
        <w:t>29</w:t>
      </w:r>
      <w:r w:rsidR="00211285">
        <w:rPr>
          <w:noProof/>
        </w:rPr>
        <w:fldChar w:fldCharType="end"/>
      </w:r>
      <w:bookmarkEnd w:id="396"/>
      <w:r>
        <w:tab/>
        <w:t xml:space="preserve">Dose-volumetric parameters </w:t>
      </w:r>
      <w:r w:rsidR="00986FDD">
        <w:t xml:space="preserve">in </w:t>
      </w:r>
      <w:r>
        <w:t>lung</w:t>
      </w:r>
      <w:r w:rsidR="00986FDD">
        <w:t>,</w:t>
      </w:r>
      <w:r>
        <w:t xml:space="preserve"> </w:t>
      </w: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bookmarkEnd w:id="397"/>
        <w:r w:rsidR="001F781A">
          <w:fldChar w:fldCharType="end"/>
        </w:r>
      </w:hyperlink>
    </w:p>
    <w:tbl>
      <w:tblPr>
        <w:tblStyle w:val="TableGrid"/>
        <w:tblW w:w="0" w:type="auto"/>
        <w:tblLook w:val="04A0" w:firstRow="1" w:lastRow="0" w:firstColumn="1" w:lastColumn="0" w:noHBand="0" w:noVBand="1"/>
        <w:tblCaption w:val="Table 29 Dose-volumetric parameters in lung, Kim, 2018"/>
        <w:tblDescription w:val="This table provides dose-volumetric parameters in lung from Kim, 2018."/>
      </w:tblPr>
      <w:tblGrid>
        <w:gridCol w:w="2830"/>
        <w:gridCol w:w="2410"/>
        <w:gridCol w:w="2410"/>
        <w:gridCol w:w="1366"/>
      </w:tblGrid>
      <w:tr w:rsidR="006B0EAF" w14:paraId="06EDA19C" w14:textId="77777777" w:rsidTr="00986FDD">
        <w:tc>
          <w:tcPr>
            <w:tcW w:w="2830" w:type="dxa"/>
          </w:tcPr>
          <w:p w14:paraId="0318CFA0" w14:textId="77777777" w:rsidR="006B0EAF" w:rsidRPr="002F3905" w:rsidRDefault="006B0EAF" w:rsidP="001106ED">
            <w:pPr>
              <w:pStyle w:val="Tabletext1"/>
              <w:keepNext/>
              <w:ind w:left="22"/>
              <w:rPr>
                <w:b/>
              </w:rPr>
            </w:pPr>
            <w:r w:rsidRPr="002F3905">
              <w:rPr>
                <w:b/>
              </w:rPr>
              <w:t>Variable</w:t>
            </w:r>
          </w:p>
        </w:tc>
        <w:tc>
          <w:tcPr>
            <w:tcW w:w="2410" w:type="dxa"/>
          </w:tcPr>
          <w:p w14:paraId="69E1D0B7" w14:textId="26549200" w:rsidR="006B0EAF" w:rsidRPr="002F3905" w:rsidRDefault="00C4099A" w:rsidP="00411D51">
            <w:pPr>
              <w:pStyle w:val="Tabletext1"/>
              <w:keepNext/>
              <w:ind w:left="22"/>
              <w:jc w:val="center"/>
              <w:rPr>
                <w:b/>
              </w:rPr>
            </w:pPr>
            <w:r w:rsidRPr="002F3905">
              <w:rPr>
                <w:b/>
              </w:rPr>
              <w:t>tri-</w:t>
            </w:r>
            <w:r w:rsidRPr="002F3905">
              <w:rPr>
                <w:b/>
                <w:vertAlign w:val="superscript"/>
              </w:rPr>
              <w:t>60</w:t>
            </w:r>
            <w:r w:rsidRPr="002F3905">
              <w:rPr>
                <w:b/>
              </w:rPr>
              <w:t xml:space="preserve">Co </w:t>
            </w:r>
            <w:r w:rsidR="000546A8" w:rsidRPr="002F3905">
              <w:rPr>
                <w:b/>
              </w:rPr>
              <w:t>MR-linac</w:t>
            </w:r>
            <w:r w:rsidR="006B0EAF" w:rsidRPr="002F3905">
              <w:rPr>
                <w:b/>
              </w:rPr>
              <w:t xml:space="preserve"> (n = 8)</w:t>
            </w:r>
          </w:p>
          <w:p w14:paraId="1710E10A" w14:textId="77777777" w:rsidR="006B0EAF" w:rsidRPr="002F3905" w:rsidRDefault="006B0EAF" w:rsidP="00411D51">
            <w:pPr>
              <w:pStyle w:val="Tabletext1"/>
              <w:keepNext/>
              <w:ind w:left="22"/>
              <w:jc w:val="center"/>
              <w:rPr>
                <w:b/>
              </w:rPr>
            </w:pPr>
            <w:r w:rsidRPr="002F3905">
              <w:rPr>
                <w:b/>
              </w:rPr>
              <w:t>Mean ± SD</w:t>
            </w:r>
          </w:p>
        </w:tc>
        <w:tc>
          <w:tcPr>
            <w:tcW w:w="2410" w:type="dxa"/>
          </w:tcPr>
          <w:p w14:paraId="7D95FDF8" w14:textId="64F007EA" w:rsidR="006B0EAF" w:rsidRPr="002F3905" w:rsidRDefault="000546A8" w:rsidP="00411D51">
            <w:pPr>
              <w:pStyle w:val="Tabletext1"/>
              <w:keepNext/>
              <w:ind w:left="22"/>
              <w:jc w:val="center"/>
              <w:rPr>
                <w:b/>
              </w:rPr>
            </w:pPr>
            <w:r w:rsidRPr="002F3905">
              <w:rPr>
                <w:b/>
              </w:rPr>
              <w:t>CBCT-linac</w:t>
            </w:r>
            <w:r w:rsidR="006B0EAF" w:rsidRPr="002F3905">
              <w:rPr>
                <w:b/>
              </w:rPr>
              <w:t xml:space="preserve"> (n = 8)</w:t>
            </w:r>
          </w:p>
          <w:p w14:paraId="7E3CFBEA" w14:textId="77777777" w:rsidR="006B0EAF" w:rsidRPr="002F3905" w:rsidRDefault="006B0EAF" w:rsidP="00411D51">
            <w:pPr>
              <w:pStyle w:val="Tabletext1"/>
              <w:keepNext/>
              <w:ind w:left="22"/>
              <w:jc w:val="center"/>
              <w:rPr>
                <w:b/>
              </w:rPr>
            </w:pPr>
            <w:r w:rsidRPr="002F3905">
              <w:rPr>
                <w:b/>
              </w:rPr>
              <w:t>Mean ± SD</w:t>
            </w:r>
          </w:p>
        </w:tc>
        <w:tc>
          <w:tcPr>
            <w:tcW w:w="1366" w:type="dxa"/>
          </w:tcPr>
          <w:p w14:paraId="049944B6" w14:textId="77777777" w:rsidR="006B0EAF" w:rsidRPr="002F3905" w:rsidRDefault="006B0EAF" w:rsidP="00411D51">
            <w:pPr>
              <w:pStyle w:val="Tabletext1"/>
              <w:keepNext/>
              <w:ind w:left="22"/>
              <w:jc w:val="center"/>
              <w:rPr>
                <w:b/>
              </w:rPr>
            </w:pPr>
            <w:r w:rsidRPr="002F3905">
              <w:rPr>
                <w:b/>
              </w:rPr>
              <w:t>p-value*</w:t>
            </w:r>
          </w:p>
        </w:tc>
      </w:tr>
      <w:tr w:rsidR="006B0EAF" w14:paraId="284779B2" w14:textId="77777777" w:rsidTr="00986FDD">
        <w:tc>
          <w:tcPr>
            <w:tcW w:w="2830" w:type="dxa"/>
          </w:tcPr>
          <w:p w14:paraId="655D8695" w14:textId="77777777" w:rsidR="006B0EAF" w:rsidRDefault="006B0EAF" w:rsidP="00E55889">
            <w:pPr>
              <w:pStyle w:val="Tabletext1"/>
              <w:ind w:left="22"/>
            </w:pPr>
            <w:r>
              <w:t>PTV</w:t>
            </w:r>
          </w:p>
        </w:tc>
        <w:tc>
          <w:tcPr>
            <w:tcW w:w="2410" w:type="dxa"/>
          </w:tcPr>
          <w:p w14:paraId="5000E2B6" w14:textId="24E88839" w:rsidR="006B0EAF" w:rsidRDefault="004A0835" w:rsidP="00411D51">
            <w:pPr>
              <w:pStyle w:val="Tabletext1"/>
              <w:ind w:left="22"/>
              <w:jc w:val="center"/>
            </w:pPr>
            <w:r>
              <w:t>9.06 ± 7.02</w:t>
            </w:r>
          </w:p>
        </w:tc>
        <w:tc>
          <w:tcPr>
            <w:tcW w:w="2410" w:type="dxa"/>
          </w:tcPr>
          <w:p w14:paraId="4D063F20" w14:textId="06A83009" w:rsidR="006B0EAF" w:rsidRDefault="004A0835" w:rsidP="00411D51">
            <w:pPr>
              <w:pStyle w:val="Tabletext1"/>
              <w:ind w:left="22"/>
              <w:jc w:val="center"/>
            </w:pPr>
            <w:r>
              <w:t>14.7</w:t>
            </w:r>
            <w:r w:rsidR="003013D8">
              <w:t>8</w:t>
            </w:r>
            <w:r>
              <w:t xml:space="preserve"> ± 3.97</w:t>
            </w:r>
          </w:p>
        </w:tc>
        <w:tc>
          <w:tcPr>
            <w:tcW w:w="1366" w:type="dxa"/>
          </w:tcPr>
          <w:p w14:paraId="03B094C2" w14:textId="743FF91E" w:rsidR="006B0EAF" w:rsidRDefault="00F97C7D" w:rsidP="00411D51">
            <w:pPr>
              <w:pStyle w:val="Tabletext1"/>
              <w:ind w:left="22"/>
              <w:jc w:val="center"/>
              <w:rPr>
                <w:color w:val="000000"/>
              </w:rPr>
            </w:pPr>
            <w:r>
              <w:rPr>
                <w:color w:val="000000"/>
              </w:rPr>
              <w:t>0.036</w:t>
            </w:r>
          </w:p>
        </w:tc>
      </w:tr>
      <w:tr w:rsidR="006B0EAF" w14:paraId="0A120512" w14:textId="77777777" w:rsidTr="00986FDD">
        <w:tc>
          <w:tcPr>
            <w:tcW w:w="2830" w:type="dxa"/>
          </w:tcPr>
          <w:p w14:paraId="59146360" w14:textId="77777777" w:rsidR="006B0EAF" w:rsidRDefault="006B0EAF" w:rsidP="00E55889">
            <w:pPr>
              <w:pStyle w:val="Tabletext1"/>
              <w:ind w:left="22"/>
            </w:pPr>
            <w:r>
              <w:t>Ipsilateral lung mean dose (Gy)</w:t>
            </w:r>
          </w:p>
        </w:tc>
        <w:tc>
          <w:tcPr>
            <w:tcW w:w="2410" w:type="dxa"/>
          </w:tcPr>
          <w:p w14:paraId="7E353F2D" w14:textId="77777777" w:rsidR="006B0EAF" w:rsidRDefault="006B0EAF" w:rsidP="00411D51">
            <w:pPr>
              <w:pStyle w:val="Tabletext1"/>
              <w:ind w:left="22"/>
              <w:jc w:val="center"/>
            </w:pPr>
            <w:r>
              <w:t xml:space="preserve">7.17 </w:t>
            </w:r>
            <w:r>
              <w:rPr>
                <w:rFonts w:ascii="Poor Richard" w:hAnsi="Poor Richard"/>
              </w:rPr>
              <w:t xml:space="preserve">± </w:t>
            </w:r>
            <w:r>
              <w:t>1.55</w:t>
            </w:r>
          </w:p>
        </w:tc>
        <w:tc>
          <w:tcPr>
            <w:tcW w:w="2410" w:type="dxa"/>
          </w:tcPr>
          <w:p w14:paraId="5BC5915D" w14:textId="77777777" w:rsidR="006B0EAF" w:rsidRDefault="006B0EAF" w:rsidP="00411D51">
            <w:pPr>
              <w:pStyle w:val="Tabletext1"/>
              <w:ind w:left="22"/>
              <w:jc w:val="center"/>
            </w:pPr>
            <w:r>
              <w:t xml:space="preserve">4.66 </w:t>
            </w:r>
            <w:r>
              <w:rPr>
                <w:rFonts w:ascii="Poor Richard" w:hAnsi="Poor Richard"/>
              </w:rPr>
              <w:t xml:space="preserve">± </w:t>
            </w:r>
            <w:r>
              <w:t>2.42</w:t>
            </w:r>
          </w:p>
        </w:tc>
        <w:tc>
          <w:tcPr>
            <w:tcW w:w="1366" w:type="dxa"/>
          </w:tcPr>
          <w:p w14:paraId="45668BE7" w14:textId="77777777" w:rsidR="006B0EAF" w:rsidRDefault="006B0EAF" w:rsidP="00411D51">
            <w:pPr>
              <w:pStyle w:val="Tabletext1"/>
              <w:ind w:left="22"/>
              <w:jc w:val="center"/>
            </w:pPr>
            <w:r>
              <w:rPr>
                <w:color w:val="000000"/>
              </w:rPr>
              <w:t>0.012</w:t>
            </w:r>
          </w:p>
        </w:tc>
      </w:tr>
      <w:tr w:rsidR="006B0EAF" w14:paraId="5F5BC9BC" w14:textId="77777777" w:rsidTr="00986FDD">
        <w:tc>
          <w:tcPr>
            <w:tcW w:w="2830" w:type="dxa"/>
          </w:tcPr>
          <w:p w14:paraId="70594972" w14:textId="77777777" w:rsidR="006B0EAF" w:rsidRDefault="006B0EAF" w:rsidP="00E55889">
            <w:pPr>
              <w:pStyle w:val="Tabletext1"/>
              <w:ind w:left="22"/>
            </w:pPr>
            <w:r>
              <w:t>Contralateral lung mean dose (Gy)</w:t>
            </w:r>
          </w:p>
        </w:tc>
        <w:tc>
          <w:tcPr>
            <w:tcW w:w="2410" w:type="dxa"/>
          </w:tcPr>
          <w:p w14:paraId="2C638650" w14:textId="77777777" w:rsidR="006B0EAF" w:rsidRDefault="006B0EAF" w:rsidP="00411D51">
            <w:pPr>
              <w:pStyle w:val="Tabletext1"/>
              <w:ind w:left="22"/>
              <w:jc w:val="center"/>
            </w:pPr>
            <w:r>
              <w:t xml:space="preserve">1.35 </w:t>
            </w:r>
            <w:r>
              <w:rPr>
                <w:rFonts w:ascii="Poor Richard" w:hAnsi="Poor Richard"/>
              </w:rPr>
              <w:t xml:space="preserve">± </w:t>
            </w:r>
            <w:r>
              <w:t>0.6</w:t>
            </w:r>
          </w:p>
        </w:tc>
        <w:tc>
          <w:tcPr>
            <w:tcW w:w="2410" w:type="dxa"/>
          </w:tcPr>
          <w:p w14:paraId="0124741F" w14:textId="77777777" w:rsidR="006B0EAF" w:rsidRDefault="006B0EAF" w:rsidP="00411D51">
            <w:pPr>
              <w:pStyle w:val="Tabletext1"/>
              <w:ind w:left="22"/>
              <w:jc w:val="center"/>
            </w:pPr>
            <w:r>
              <w:t xml:space="preserve">0.67 </w:t>
            </w:r>
            <w:r>
              <w:rPr>
                <w:rFonts w:ascii="Poor Richard" w:hAnsi="Poor Richard"/>
              </w:rPr>
              <w:t xml:space="preserve">± </w:t>
            </w:r>
            <w:r>
              <w:t>0.35</w:t>
            </w:r>
          </w:p>
        </w:tc>
        <w:tc>
          <w:tcPr>
            <w:tcW w:w="1366" w:type="dxa"/>
          </w:tcPr>
          <w:p w14:paraId="6E87808E" w14:textId="77777777" w:rsidR="006B0EAF" w:rsidRDefault="006B0EAF" w:rsidP="00411D51">
            <w:pPr>
              <w:pStyle w:val="Tabletext1"/>
              <w:ind w:left="22"/>
              <w:jc w:val="center"/>
            </w:pPr>
            <w:r>
              <w:rPr>
                <w:color w:val="000000"/>
              </w:rPr>
              <w:t>0.036</w:t>
            </w:r>
          </w:p>
        </w:tc>
      </w:tr>
      <w:tr w:rsidR="006B0EAF" w14:paraId="7F1D74C5" w14:textId="77777777" w:rsidTr="00986FDD">
        <w:tc>
          <w:tcPr>
            <w:tcW w:w="2830" w:type="dxa"/>
          </w:tcPr>
          <w:p w14:paraId="5F572A4E" w14:textId="77777777" w:rsidR="006B0EAF" w:rsidRDefault="006B0EAF" w:rsidP="00E55889">
            <w:pPr>
              <w:pStyle w:val="Tabletext1"/>
              <w:ind w:left="22"/>
            </w:pPr>
            <w:r>
              <w:t>V</w:t>
            </w:r>
            <w:r>
              <w:rPr>
                <w:vertAlign w:val="subscript"/>
              </w:rPr>
              <w:t>5Gy</w:t>
            </w:r>
            <w:r>
              <w:t xml:space="preserve"> (cc)</w:t>
            </w:r>
          </w:p>
        </w:tc>
        <w:tc>
          <w:tcPr>
            <w:tcW w:w="2410" w:type="dxa"/>
          </w:tcPr>
          <w:p w14:paraId="2DFED997" w14:textId="77777777" w:rsidR="006B0EAF" w:rsidRDefault="006B0EAF" w:rsidP="00411D51">
            <w:pPr>
              <w:pStyle w:val="Tabletext1"/>
              <w:ind w:left="22"/>
              <w:jc w:val="center"/>
            </w:pPr>
            <w:r>
              <w:t xml:space="preserve">603.41 </w:t>
            </w:r>
            <w:r>
              <w:rPr>
                <w:rFonts w:ascii="Poor Richard" w:hAnsi="Poor Richard"/>
              </w:rPr>
              <w:t xml:space="preserve">± </w:t>
            </w:r>
            <w:r>
              <w:t>280.21</w:t>
            </w:r>
          </w:p>
        </w:tc>
        <w:tc>
          <w:tcPr>
            <w:tcW w:w="2410" w:type="dxa"/>
          </w:tcPr>
          <w:p w14:paraId="24EE34DF" w14:textId="77777777" w:rsidR="006B0EAF" w:rsidRDefault="006B0EAF" w:rsidP="00411D51">
            <w:pPr>
              <w:pStyle w:val="Tabletext1"/>
              <w:ind w:left="22"/>
              <w:jc w:val="center"/>
            </w:pPr>
            <w:r>
              <w:t xml:space="preserve">313.02 </w:t>
            </w:r>
            <w:r>
              <w:rPr>
                <w:rFonts w:ascii="Poor Richard" w:hAnsi="Poor Richard"/>
              </w:rPr>
              <w:t xml:space="preserve">± </w:t>
            </w:r>
            <w:r>
              <w:t>158.21</w:t>
            </w:r>
          </w:p>
        </w:tc>
        <w:tc>
          <w:tcPr>
            <w:tcW w:w="1366" w:type="dxa"/>
          </w:tcPr>
          <w:p w14:paraId="616F1FA2" w14:textId="77777777" w:rsidR="006B0EAF" w:rsidRDefault="006B0EAF" w:rsidP="00411D51">
            <w:pPr>
              <w:pStyle w:val="Tabletext1"/>
              <w:ind w:left="22"/>
              <w:jc w:val="center"/>
            </w:pPr>
            <w:r>
              <w:rPr>
                <w:color w:val="000000"/>
              </w:rPr>
              <w:t>0.050</w:t>
            </w:r>
          </w:p>
        </w:tc>
      </w:tr>
      <w:tr w:rsidR="006B0EAF" w14:paraId="55C172F1" w14:textId="77777777" w:rsidTr="00986FDD">
        <w:tc>
          <w:tcPr>
            <w:tcW w:w="2830" w:type="dxa"/>
          </w:tcPr>
          <w:p w14:paraId="2815B17D" w14:textId="77777777" w:rsidR="006B0EAF" w:rsidRDefault="006B0EAF" w:rsidP="00E55889">
            <w:pPr>
              <w:pStyle w:val="Tabletext1"/>
              <w:ind w:left="22"/>
            </w:pPr>
            <w:r>
              <w:t>V</w:t>
            </w:r>
            <w:r>
              <w:rPr>
                <w:vertAlign w:val="subscript"/>
              </w:rPr>
              <w:t>10Gy</w:t>
            </w:r>
            <w:r>
              <w:t xml:space="preserve"> (cc)</w:t>
            </w:r>
          </w:p>
        </w:tc>
        <w:tc>
          <w:tcPr>
            <w:tcW w:w="2410" w:type="dxa"/>
          </w:tcPr>
          <w:p w14:paraId="6346CF11" w14:textId="77777777" w:rsidR="006B0EAF" w:rsidRDefault="006B0EAF" w:rsidP="00411D51">
            <w:pPr>
              <w:pStyle w:val="Tabletext1"/>
              <w:ind w:left="22"/>
              <w:jc w:val="center"/>
            </w:pPr>
            <w:r>
              <w:t xml:space="preserve">396.62 </w:t>
            </w:r>
            <w:r>
              <w:rPr>
                <w:rFonts w:ascii="Poor Richard" w:hAnsi="Poor Richard"/>
              </w:rPr>
              <w:t xml:space="preserve">± </w:t>
            </w:r>
            <w:r>
              <w:t>201.28</w:t>
            </w:r>
          </w:p>
        </w:tc>
        <w:tc>
          <w:tcPr>
            <w:tcW w:w="2410" w:type="dxa"/>
          </w:tcPr>
          <w:p w14:paraId="2E82A408" w14:textId="77777777" w:rsidR="006B0EAF" w:rsidRDefault="006B0EAF" w:rsidP="00411D51">
            <w:pPr>
              <w:pStyle w:val="Tabletext1"/>
              <w:ind w:left="22"/>
              <w:jc w:val="center"/>
            </w:pPr>
            <w:r>
              <w:t xml:space="preserve">186.42 </w:t>
            </w:r>
            <w:r>
              <w:rPr>
                <w:rFonts w:ascii="Poor Richard" w:hAnsi="Poor Richard"/>
              </w:rPr>
              <w:t xml:space="preserve">± </w:t>
            </w:r>
            <w:r>
              <w:t>83.23</w:t>
            </w:r>
          </w:p>
        </w:tc>
        <w:tc>
          <w:tcPr>
            <w:tcW w:w="1366" w:type="dxa"/>
          </w:tcPr>
          <w:p w14:paraId="64DB8D1D" w14:textId="77777777" w:rsidR="006B0EAF" w:rsidRDefault="006B0EAF" w:rsidP="00411D51">
            <w:pPr>
              <w:pStyle w:val="Tabletext1"/>
              <w:ind w:left="22"/>
              <w:jc w:val="center"/>
            </w:pPr>
            <w:r>
              <w:rPr>
                <w:color w:val="000000"/>
              </w:rPr>
              <w:t>0.036</w:t>
            </w:r>
          </w:p>
        </w:tc>
      </w:tr>
      <w:tr w:rsidR="006B0EAF" w14:paraId="146EF629" w14:textId="77777777" w:rsidTr="00986FDD">
        <w:tc>
          <w:tcPr>
            <w:tcW w:w="2830" w:type="dxa"/>
          </w:tcPr>
          <w:p w14:paraId="7963667B" w14:textId="77777777" w:rsidR="006B0EAF" w:rsidRDefault="006B0EAF" w:rsidP="00E55889">
            <w:pPr>
              <w:pStyle w:val="Tabletext1"/>
              <w:ind w:left="22"/>
            </w:pPr>
            <w:r w:rsidRPr="00C117A0">
              <w:t>V</w:t>
            </w:r>
            <w:r w:rsidRPr="00C117A0">
              <w:rPr>
                <w:vertAlign w:val="subscript"/>
              </w:rPr>
              <w:t>2</w:t>
            </w:r>
            <w:r>
              <w:rPr>
                <w:vertAlign w:val="subscript"/>
              </w:rPr>
              <w:t>0Gy</w:t>
            </w:r>
            <w:r>
              <w:t xml:space="preserve"> (cc)</w:t>
            </w:r>
          </w:p>
        </w:tc>
        <w:tc>
          <w:tcPr>
            <w:tcW w:w="2410" w:type="dxa"/>
          </w:tcPr>
          <w:p w14:paraId="755F8234" w14:textId="77777777" w:rsidR="006B0EAF" w:rsidRDefault="006B0EAF" w:rsidP="00411D51">
            <w:pPr>
              <w:pStyle w:val="Tabletext1"/>
              <w:ind w:left="22"/>
              <w:jc w:val="center"/>
            </w:pPr>
            <w:r>
              <w:t xml:space="preserve">218.36 </w:t>
            </w:r>
            <w:r>
              <w:rPr>
                <w:rFonts w:ascii="Poor Richard" w:hAnsi="Poor Richard"/>
              </w:rPr>
              <w:t xml:space="preserve">± </w:t>
            </w:r>
            <w:r>
              <w:t>153.51</w:t>
            </w:r>
          </w:p>
        </w:tc>
        <w:tc>
          <w:tcPr>
            <w:tcW w:w="2410" w:type="dxa"/>
          </w:tcPr>
          <w:p w14:paraId="6C12F91A" w14:textId="77777777" w:rsidR="006B0EAF" w:rsidRDefault="006B0EAF" w:rsidP="00411D51">
            <w:pPr>
              <w:pStyle w:val="Tabletext1"/>
              <w:ind w:left="22"/>
              <w:jc w:val="center"/>
            </w:pPr>
            <w:r>
              <w:t xml:space="preserve">92.09 </w:t>
            </w:r>
            <w:r>
              <w:rPr>
                <w:rFonts w:ascii="Poor Richard" w:hAnsi="Poor Richard"/>
              </w:rPr>
              <w:t xml:space="preserve">± </w:t>
            </w:r>
            <w:r>
              <w:t>40.43</w:t>
            </w:r>
          </w:p>
        </w:tc>
        <w:tc>
          <w:tcPr>
            <w:tcW w:w="1366" w:type="dxa"/>
          </w:tcPr>
          <w:p w14:paraId="2EEB5029" w14:textId="77777777" w:rsidR="006B0EAF" w:rsidRDefault="006B0EAF" w:rsidP="00411D51">
            <w:pPr>
              <w:pStyle w:val="Tabletext1"/>
              <w:ind w:left="22"/>
              <w:jc w:val="center"/>
            </w:pPr>
            <w:r>
              <w:rPr>
                <w:color w:val="000000"/>
              </w:rPr>
              <w:t>0.017</w:t>
            </w:r>
          </w:p>
        </w:tc>
      </w:tr>
      <w:tr w:rsidR="006B0EAF" w14:paraId="420759A1" w14:textId="77777777" w:rsidTr="00986FDD">
        <w:tc>
          <w:tcPr>
            <w:tcW w:w="2830" w:type="dxa"/>
          </w:tcPr>
          <w:p w14:paraId="7FE63E62" w14:textId="77777777" w:rsidR="006B0EAF" w:rsidRPr="00A3449A" w:rsidRDefault="006B0EAF" w:rsidP="00E55889">
            <w:pPr>
              <w:pStyle w:val="Tabletext1"/>
              <w:ind w:left="22"/>
              <w:rPr>
                <w:vertAlign w:val="subscript"/>
              </w:rPr>
            </w:pPr>
            <w:r>
              <w:t>D</w:t>
            </w:r>
            <w:r>
              <w:rPr>
                <w:vertAlign w:val="subscript"/>
              </w:rPr>
              <w:t xml:space="preserve">1000cc </w:t>
            </w:r>
            <w:r w:rsidRPr="00A3449A">
              <w:t>(Gy)</w:t>
            </w:r>
          </w:p>
        </w:tc>
        <w:tc>
          <w:tcPr>
            <w:tcW w:w="2410" w:type="dxa"/>
          </w:tcPr>
          <w:p w14:paraId="3EF43E59" w14:textId="77777777" w:rsidR="006B0EAF" w:rsidRDefault="006B0EAF" w:rsidP="00411D51">
            <w:pPr>
              <w:pStyle w:val="Tabletext1"/>
              <w:ind w:left="22"/>
              <w:jc w:val="center"/>
            </w:pPr>
            <w:r>
              <w:t xml:space="preserve">2.07 </w:t>
            </w:r>
            <w:r>
              <w:rPr>
                <w:rFonts w:ascii="Poor Richard" w:hAnsi="Poor Richard"/>
              </w:rPr>
              <w:t xml:space="preserve">± </w:t>
            </w:r>
            <w:r>
              <w:t>1.92</w:t>
            </w:r>
          </w:p>
        </w:tc>
        <w:tc>
          <w:tcPr>
            <w:tcW w:w="2410" w:type="dxa"/>
          </w:tcPr>
          <w:p w14:paraId="3B08A2D7" w14:textId="77777777" w:rsidR="006B0EAF" w:rsidRDefault="006B0EAF" w:rsidP="00411D51">
            <w:pPr>
              <w:pStyle w:val="Tabletext1"/>
              <w:ind w:left="22"/>
              <w:jc w:val="center"/>
            </w:pPr>
            <w:r>
              <w:t xml:space="preserve">0.89 </w:t>
            </w:r>
            <w:r>
              <w:rPr>
                <w:rFonts w:ascii="Poor Richard" w:hAnsi="Poor Richard"/>
              </w:rPr>
              <w:t xml:space="preserve">± </w:t>
            </w:r>
            <w:r>
              <w:t>0.64</w:t>
            </w:r>
          </w:p>
        </w:tc>
        <w:tc>
          <w:tcPr>
            <w:tcW w:w="1366" w:type="dxa"/>
          </w:tcPr>
          <w:p w14:paraId="555BE905" w14:textId="77777777" w:rsidR="006B0EAF" w:rsidRDefault="006B0EAF" w:rsidP="00411D51">
            <w:pPr>
              <w:pStyle w:val="Tabletext1"/>
              <w:ind w:left="22"/>
              <w:jc w:val="center"/>
            </w:pPr>
            <w:r>
              <w:rPr>
                <w:color w:val="000000"/>
              </w:rPr>
              <w:t>0.069</w:t>
            </w:r>
          </w:p>
        </w:tc>
      </w:tr>
      <w:tr w:rsidR="006B0EAF" w14:paraId="5E126CEE" w14:textId="77777777" w:rsidTr="00986FDD">
        <w:tc>
          <w:tcPr>
            <w:tcW w:w="2830" w:type="dxa"/>
          </w:tcPr>
          <w:p w14:paraId="2F065626" w14:textId="77777777" w:rsidR="006B0EAF" w:rsidRPr="00A3449A" w:rsidRDefault="006B0EAF" w:rsidP="00E55889">
            <w:pPr>
              <w:pStyle w:val="Tabletext1"/>
              <w:ind w:left="0"/>
            </w:pPr>
            <w:r>
              <w:t>D</w:t>
            </w:r>
            <w:r>
              <w:rPr>
                <w:vertAlign w:val="subscript"/>
              </w:rPr>
              <w:t xml:space="preserve">1500cc </w:t>
            </w:r>
            <w:r w:rsidRPr="00A3449A">
              <w:t>(Gy)</w:t>
            </w:r>
          </w:p>
        </w:tc>
        <w:tc>
          <w:tcPr>
            <w:tcW w:w="2410" w:type="dxa"/>
          </w:tcPr>
          <w:p w14:paraId="2123AF6C" w14:textId="77777777" w:rsidR="006B0EAF" w:rsidRDefault="006B0EAF" w:rsidP="00411D51">
            <w:pPr>
              <w:pStyle w:val="Tabletext1"/>
              <w:ind w:left="22"/>
              <w:jc w:val="center"/>
            </w:pPr>
            <w:r>
              <w:t xml:space="preserve">0.94 </w:t>
            </w:r>
            <w:r>
              <w:rPr>
                <w:rFonts w:ascii="Poor Richard" w:hAnsi="Poor Richard"/>
              </w:rPr>
              <w:t xml:space="preserve">± </w:t>
            </w:r>
            <w:r>
              <w:t>0.9</w:t>
            </w:r>
          </w:p>
        </w:tc>
        <w:tc>
          <w:tcPr>
            <w:tcW w:w="2410" w:type="dxa"/>
          </w:tcPr>
          <w:p w14:paraId="710D7DE0" w14:textId="77777777" w:rsidR="006B0EAF" w:rsidRDefault="006B0EAF" w:rsidP="00411D51">
            <w:pPr>
              <w:pStyle w:val="Tabletext1"/>
              <w:ind w:left="22"/>
              <w:jc w:val="center"/>
            </w:pPr>
            <w:r>
              <w:t xml:space="preserve">0.37 </w:t>
            </w:r>
            <w:r>
              <w:rPr>
                <w:rFonts w:ascii="Poor Richard" w:hAnsi="Poor Richard"/>
              </w:rPr>
              <w:t xml:space="preserve">± </w:t>
            </w:r>
            <w:r>
              <w:t>0.24</w:t>
            </w:r>
          </w:p>
        </w:tc>
        <w:tc>
          <w:tcPr>
            <w:tcW w:w="1366" w:type="dxa"/>
          </w:tcPr>
          <w:p w14:paraId="2DA2EAB2" w14:textId="77777777" w:rsidR="006B0EAF" w:rsidRDefault="006B0EAF" w:rsidP="00411D51">
            <w:pPr>
              <w:pStyle w:val="Tabletext1"/>
              <w:ind w:left="22"/>
              <w:jc w:val="center"/>
            </w:pPr>
            <w:r>
              <w:rPr>
                <w:color w:val="000000"/>
              </w:rPr>
              <w:t>0.071</w:t>
            </w:r>
          </w:p>
        </w:tc>
      </w:tr>
    </w:tbl>
    <w:p w14:paraId="6F52EFE9" w14:textId="6EBD9442" w:rsidR="00E616FD" w:rsidRPr="00CF3ADA" w:rsidRDefault="006B0EAF" w:rsidP="00411D51">
      <w:pPr>
        <w:pStyle w:val="Tablenotes0"/>
        <w:jc w:val="left"/>
      </w:pPr>
      <w:r>
        <w:t xml:space="preserve">Source: </w:t>
      </w: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986FDD">
        <w:t xml:space="preserve">, </w:t>
      </w:r>
      <w:r>
        <w:t>Table 1 and Table 2, p 5/11</w:t>
      </w:r>
      <w:r>
        <w:br/>
        <w:t>V</w:t>
      </w:r>
      <w:r w:rsidRPr="00A3449A">
        <w:rPr>
          <w:vertAlign w:val="subscript"/>
        </w:rPr>
        <w:t>nGy</w:t>
      </w:r>
      <w:r w:rsidR="00AE1B4C" w:rsidRPr="00AE1B4C">
        <w:t>=</w:t>
      </w:r>
      <w:r>
        <w:t>total normal lung volume receiving n Gy; D</w:t>
      </w:r>
      <w:r w:rsidRPr="00CF3ADA">
        <w:rPr>
          <w:vertAlign w:val="subscript"/>
        </w:rPr>
        <w:t>ncc</w:t>
      </w:r>
      <w:r w:rsidR="00AE1B4C" w:rsidRPr="00AE1B4C">
        <w:t>=</w:t>
      </w:r>
      <w:r>
        <w:t>dose received by at least n volume of a total normal lung; PTV</w:t>
      </w:r>
      <w:r w:rsidR="00AE1B4C" w:rsidRPr="00AE1B4C">
        <w:t>=</w:t>
      </w:r>
      <w:r>
        <w:t xml:space="preserve">planning </w:t>
      </w:r>
      <w:r w:rsidR="001106ED">
        <w:t>target</w:t>
      </w:r>
      <w:r>
        <w:t xml:space="preserve"> volume</w:t>
      </w:r>
      <w:r w:rsidR="00AE1B4C">
        <w:t>;</w:t>
      </w:r>
      <w:r>
        <w:t xml:space="preserve"> SD</w:t>
      </w:r>
      <w:r w:rsidR="00AE1B4C" w:rsidRPr="00AE1B4C">
        <w:t>=</w:t>
      </w:r>
      <w:r>
        <w:t>standard deviation</w:t>
      </w:r>
      <w:r>
        <w:br/>
        <w:t xml:space="preserve">*Wilcoxon signed-rank test </w:t>
      </w:r>
    </w:p>
    <w:p w14:paraId="0ECFD5CF" w14:textId="164F1C64" w:rsidR="00EF1479" w:rsidRDefault="003013D8" w:rsidP="00EF1479">
      <w:r>
        <w:t xml:space="preserve">Three </w:t>
      </w:r>
      <w:r w:rsidR="00EF1479">
        <w:t xml:space="preserve">simulation studies comparing dosimetric outcomes between MR-IGRT and CBCT-IGRT were identified </w:t>
      </w:r>
      <w:r w:rsidR="000C77B0">
        <w:fldChar w:fldCharType="begin">
          <w:fldData xml:space="preserve">PEVuZE5vdGU+PENpdGU+PEF1dGhvcj52YW4gZGUgU2Nob290PC9BdXRob3I+PFllYXI+MjAxOTwv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</w:fldData>
        </w:fldChar>
      </w:r>
      <w:r w:rsidR="000C77B0">
        <w:instrText xml:space="preserve"> ADDIN EN.CITE </w:instrText>
      </w:r>
      <w:r w:rsidR="000C77B0">
        <w:fldChar w:fldCharType="begin">
          <w:fldData xml:space="preserve">PEVuZE5vdGU+PENpdGU+PEF1dGhvcj52YW4gZGUgU2Nob290PC9BdXRob3I+PFllYXI+MjAxOTwv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</w:fldData>
        </w:fldChar>
      </w:r>
      <w:r w:rsidR="000C77B0">
        <w:instrText xml:space="preserve"> ADDIN EN.CITE.DATA </w:instrText>
      </w:r>
      <w:r w:rsidR="000C77B0">
        <w:fldChar w:fldCharType="end"/>
      </w:r>
      <w:r w:rsidR="000C77B0">
        <w:fldChar w:fldCharType="separate"/>
      </w:r>
      <w:r w:rsidR="000C77B0">
        <w:rPr>
          <w:noProof/>
        </w:rPr>
        <w:t>(</w:t>
      </w:r>
      <w:hyperlink w:anchor="_ENREF_77" w:tooltip="van de Schoot, 2019 #85" w:history="1">
        <w:r w:rsidR="008B6FC0">
          <w:rPr>
            <w:noProof/>
          </w:rPr>
          <w:t>van de Schoot et al., 2019</w:t>
        </w:r>
      </w:hyperlink>
      <w:r w:rsidR="000C77B0">
        <w:rPr>
          <w:noProof/>
        </w:rPr>
        <w:t xml:space="preserve">; </w:t>
      </w:r>
      <w:hyperlink w:anchor="_ENREF_83" w:tooltip="Winkel, 2020 #91" w:history="1">
        <w:r w:rsidR="008B6FC0">
          <w:rPr>
            <w:noProof/>
          </w:rPr>
          <w:t>Winkel et al., 2020</w:t>
        </w:r>
      </w:hyperlink>
      <w:r w:rsidR="000C77B0">
        <w:rPr>
          <w:noProof/>
        </w:rPr>
        <w:t xml:space="preserve">; </w:t>
      </w:r>
      <w:hyperlink w:anchor="_ENREF_84" w:tooltip="Winkel, 2018 #82" w:history="1">
        <w:r w:rsidR="008B6FC0">
          <w:rPr>
            <w:noProof/>
          </w:rPr>
          <w:t>Winkel et al., 2018</w:t>
        </w:r>
      </w:hyperlink>
      <w:r w:rsidR="000C77B0">
        <w:rPr>
          <w:noProof/>
        </w:rPr>
        <w:t>)</w:t>
      </w:r>
      <w:r w:rsidR="000C77B0">
        <w:fldChar w:fldCharType="end"/>
      </w:r>
      <w:r w:rsidR="00EF1479">
        <w:t xml:space="preserve">. </w:t>
      </w:r>
      <w:hyperlink w:anchor="_ENREF_84" w:tooltip="Winkel, 2018 #82" w:history="1">
        <w:r w:rsidR="008B6FC0">
          <w:fldChar w:fldCharType="begin"/>
        </w:r>
        <w:r w:rsidR="008B6FC0">
          <w:instrText xml:space="preserve"> ADDIN EN.CITE &lt;EndNote&gt;&lt;Cite AuthorYear="1"&gt;&lt;Author&gt;Winkel&lt;/Author&gt;&lt;Year&gt;2018&lt;/Year&gt;&lt;RecNum&gt;82&lt;/RecNum&gt;&lt;DisplayText&gt;Winkel et al. (2018)&lt;/DisplayText&gt;&lt;record&gt;&lt;rec-number&gt;82&lt;/rec-number&gt;&lt;foreign-keys&gt;&lt;key app="EN" db-id="sx5wsdwv795wvue959xxw0ptaewvdezxxp05" timestamp="1604876399"&gt;82&lt;/key&gt;&lt;/foreign-keys&gt;&lt;ref-type name="Journal Article"&gt;17&lt;/ref-type&gt;&lt;contributors&gt;&lt;authors&gt;&lt;author&gt;Winkel, D.&lt;/author&gt;&lt;author&gt;Kroon, P. S.&lt;/author&gt;&lt;author&gt;Werensteijn-Honingh, A. M.&lt;/author&gt;&lt;author&gt;Bol, G. H.&lt;/author&gt;&lt;author&gt;Raaymakers, B. W.&lt;/author&gt;&lt;author&gt;Jurgenliemk-Schulz, I. M.&lt;/author&gt;&lt;/authors&gt;&lt;/contributors&gt;&lt;titles&gt;&lt;title&gt;Simulated dosimetric impact of online replanning for stereotactic body radiation therapy of lymph node oligometastases on the 1.5T MR-linac&lt;/title&gt;&lt;secondary-title&gt;Acta Oncol&lt;/secondary-title&gt;&lt;/titles&gt;&lt;pages&gt;1705-1712&lt;/pages&gt;&lt;volume&gt;57&lt;/volume&gt;&lt;number&gt;12&lt;/number&gt;&lt;dates&gt;&lt;year&gt;2018&lt;/year&gt;&lt;/dates&gt;&lt;accession-num&gt;30280631&lt;/accession-num&gt;&lt;urls&gt;&lt;related-urls&gt;&lt;url&gt;http://ezproxy.library.usyd.edu.au/login?url=http://ovidsp.ovid.com/ovidweb.cgi?T=JS&amp;amp;CSC=Y&amp;amp;NEWS=N&amp;amp;PAGE=fulltext&amp;amp;D=med15&amp;amp;AN=30280631https://sydney.alma.exlibrisgroup.com/openurl/61USYD_INST/61USYD_INST:sydney?sid=OVID:medline&amp;amp;id=pmid:30280631&amp;amp;id=doi:10.108&lt;/url&gt;&lt;url&gt;https://www.tandfonline.com/doi/pdf/10.1080/0284186X.2018.1512152?needAccess=true&lt;/url&gt;&lt;/related-urls&gt;&lt;/urls&gt;&lt;electronic-resource-num&gt;https://dx.doi.org/10.1080/0284186X.2018.1512152&lt;/electronic-resource-num&gt;&lt;/record&gt;&lt;/Cite&gt;&lt;/EndNote&gt;</w:instrText>
        </w:r>
        <w:r w:rsidR="008B6FC0">
          <w:fldChar w:fldCharType="separate"/>
        </w:r>
        <w:r w:rsidR="008B6FC0">
          <w:rPr>
            <w:noProof/>
          </w:rPr>
          <w:t>Winkel et al. (2018)</w:t>
        </w:r>
        <w:r w:rsidR="008B6FC0">
          <w:fldChar w:fldCharType="end"/>
        </w:r>
      </w:hyperlink>
      <w:r w:rsidR="00EF1479">
        <w:t xml:space="preserve"> investigated whether online replanning for SBRT of</w:t>
      </w:r>
      <w:r w:rsidR="004C7FEA">
        <w:t xml:space="preserve"> pelvic and para-</w:t>
      </w:r>
      <w:r w:rsidR="00085EDF">
        <w:t>aortic lymph</w:t>
      </w:r>
      <w:r w:rsidR="00EF1479">
        <w:t xml:space="preserve"> node oligometastases on the MR-linac yields beneficial dosimetric values compared to online position correction as performed on CBCT-linacs in current clinical practice. For each of </w:t>
      </w:r>
      <w:r w:rsidR="00276107">
        <w:t xml:space="preserve">the </w:t>
      </w:r>
      <w:r w:rsidR="00EF1479">
        <w:t>17 included lymph nodes (f</w:t>
      </w:r>
      <w:r w:rsidR="00482685">
        <w:t>r</w:t>
      </w:r>
      <w:r w:rsidR="00EF1479">
        <w:t>om five patients with locally advanced cervical cancer)</w:t>
      </w:r>
      <w:r w:rsidR="00276107">
        <w:t>,</w:t>
      </w:r>
      <w:r w:rsidR="00EF1479">
        <w:t xml:space="preserve"> five plans were generated to simulate the different treatment approaches: (1) pre-treatment plan with a 3mm PTV margin and (2) calculated on daily anatomy after CBCT-online position correction, (3) pre-treatment plan with a 8mm PTV margin and (4) calculated on daily anatomy after CBCT-online position correction, and (5) complete new plan generated on the daily anatomy (full online replanning for the MR-linac with 3mm PTV margin). Plans were evaluated against dose criteria for PTV and surrounding OAR</w:t>
      </w:r>
      <w:r w:rsidR="006B043D">
        <w:t>s</w:t>
      </w:r>
      <w:r w:rsidR="00EF1479">
        <w:t xml:space="preserve"> including bladder, bowel, rectum and sigmoid. </w:t>
      </w:r>
    </w:p>
    <w:p w14:paraId="564A21B1" w14:textId="43417813" w:rsidR="00EF1479" w:rsidRDefault="00211285" w:rsidP="00EF1479">
      <w:hyperlink w:anchor="_ENREF_84" w:tooltip="Winkel, 2018 #82" w:history="1">
        <w:r w:rsidR="008B6FC0">
          <w:fldChar w:fldCharType="begin"/>
        </w:r>
        <w:r w:rsidR="008B6FC0">
          <w:instrText xml:space="preserve"> ADDIN EN.CITE &lt;EndNote&gt;&lt;Cite AuthorYear="1"&gt;&lt;Author&gt;Winkel&lt;/Author&gt;&lt;Year&gt;2018&lt;/Year&gt;&lt;RecNum&gt;82&lt;/RecNum&gt;&lt;DisplayText&gt;Winkel et al. (2018)&lt;/DisplayText&gt;&lt;record&gt;&lt;rec-number&gt;82&lt;/rec-number&gt;&lt;foreign-keys&gt;&lt;key app="EN" db-id="sx5wsdwv795wvue959xxw0ptaewvdezxxp05" timestamp="1604876399"&gt;82&lt;/key&gt;&lt;/foreign-keys&gt;&lt;ref-type name="Journal Article"&gt;17&lt;/ref-type&gt;&lt;contributors&gt;&lt;authors&gt;&lt;author&gt;Winkel, D.&lt;/author&gt;&lt;author&gt;Kroon, P. S.&lt;/author&gt;&lt;author&gt;Werensteijn-Honingh, A. M.&lt;/author&gt;&lt;author&gt;Bol, G. H.&lt;/author&gt;&lt;author&gt;Raaymakers, B. W.&lt;/author&gt;&lt;author&gt;Jurgenliemk-Schulz, I. M.&lt;/author&gt;&lt;/authors&gt;&lt;/contributors&gt;&lt;titles&gt;&lt;title&gt;Simulated dosimetric impact of online replanning for stereotactic body radiation therapy of lymph node oligometastases on the 1.5T MR-linac&lt;/title&gt;&lt;secondary-title&gt;Acta Oncol&lt;/secondary-title&gt;&lt;/titles&gt;&lt;pages&gt;1705-1712&lt;/pages&gt;&lt;volume&gt;57&lt;/volume&gt;&lt;number&gt;12&lt;/number&gt;&lt;dates&gt;&lt;year&gt;2018&lt;/year&gt;&lt;/dates&gt;&lt;accession-num&gt;30280631&lt;/accession-num&gt;&lt;urls&gt;&lt;related-urls&gt;&lt;url&gt;http://ezproxy.library.usyd.edu.au/login?url=http://ovidsp.ovid.com/ovidweb.cgi?T=JS&amp;amp;CSC=Y&amp;amp;NEWS=N&amp;amp;PAGE=fulltext&amp;amp;D=med15&amp;amp;AN=30280631https://sydney.alma.exlibrisgroup.com/openurl/61USYD_INST/61USYD_INST:sydney?sid=OVID:medline&amp;amp;id=pmid:30280631&amp;amp;id=doi:10.108&lt;/url&gt;&lt;url&gt;https://www.tandfonline.com/doi/pdf/10.1080/0284186X.2018.1512152?needAccess=true&lt;/url&gt;&lt;/related-urls&gt;&lt;/urls&gt;&lt;electronic-resource-num&gt;https://dx.doi.org/10.1080/0284186X.2018.1512152&lt;/electronic-resource-num&gt;&lt;/record&gt;&lt;/Cite&gt;&lt;/EndNote&gt;</w:instrText>
        </w:r>
        <w:r w:rsidR="008B6FC0">
          <w:fldChar w:fldCharType="separate"/>
        </w:r>
        <w:r w:rsidR="008B6FC0">
          <w:rPr>
            <w:noProof/>
          </w:rPr>
          <w:t>Winkel et al. (2018)</w:t>
        </w:r>
        <w:r w:rsidR="008B6FC0">
          <w:fldChar w:fldCharType="end"/>
        </w:r>
      </w:hyperlink>
      <w:r w:rsidR="00EF1479">
        <w:t xml:space="preserve"> stated that compared to the current clinical practice of online position correction</w:t>
      </w:r>
      <w:r w:rsidR="00942B61">
        <w:t>,</w:t>
      </w:r>
      <w:r w:rsidR="00EF1479">
        <w:t xml:space="preserve"> “</w:t>
      </w:r>
      <w:r w:rsidR="00942B61">
        <w:t>f</w:t>
      </w:r>
      <w:r w:rsidR="00EF1479">
        <w:t xml:space="preserve">ull online replanning, simulating MR-linac treatment, resulted in a reduction of violations to the OARs. The number of instances of violation was reduced from 6 to 2 (66%) and 8 to 2 (75%) for lymph node oligometastases with a 3 and 8mm margin, respectively.” Diagram provided in the study report is shown in </w:t>
      </w:r>
      <w:r w:rsidR="00EF1479">
        <w:fldChar w:fldCharType="begin"/>
      </w:r>
      <w:r w:rsidR="00EF1479">
        <w:instrText xml:space="preserve"> REF _Ref55831056 \h </w:instrText>
      </w:r>
      <w:r w:rsidR="00EF1479">
        <w:fldChar w:fldCharType="separate"/>
      </w:r>
      <w:r w:rsidR="00451350">
        <w:t xml:space="preserve">Figure </w:t>
      </w:r>
      <w:r w:rsidR="00451350">
        <w:rPr>
          <w:noProof/>
        </w:rPr>
        <w:t>7</w:t>
      </w:r>
      <w:r w:rsidR="00EF1479">
        <w:fldChar w:fldCharType="end"/>
      </w:r>
      <w:r w:rsidR="00EF1479">
        <w:t>.</w:t>
      </w:r>
    </w:p>
    <w:p w14:paraId="6B78B101" w14:textId="091038AA" w:rsidR="00EF1479" w:rsidRDefault="00211285" w:rsidP="00EF1479">
      <w:pPr>
        <w:jc w:val="center"/>
      </w:pPr>
      <w:r w:rsidRPr="00211285">
        <w:lastRenderedPageBreak/>
        <w:drawing>
          <wp:inline distT="0" distB="0" distL="0" distR="0" wp14:anchorId="4A2F6BEB" wp14:editId="0B9C5683">
            <wp:extent cx="5731510" cy="5687695"/>
            <wp:effectExtent l="0" t="0" r="2540" b="8255"/>
            <wp:docPr id="8" name="Picture 8" descr="Figure 7 Number of plans (N=17) that passed or failed based on dose criteria for the initial plan, the initial plan calculated on the daily anatomy and full online replanning (simulating MR-linac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Number of plans (N=17) that passed or failed based on dose criteria for the initial plan, the initial plan calculated on the daily anatomy and full online replanning (simulating MR-linac treat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687695"/>
                    </a:xfrm>
                    <a:prstGeom prst="rect">
                      <a:avLst/>
                    </a:prstGeom>
                    <a:noFill/>
                    <a:ln>
                      <a:noFill/>
                    </a:ln>
                  </pic:spPr>
                </pic:pic>
              </a:graphicData>
            </a:graphic>
          </wp:inline>
        </w:drawing>
      </w:r>
    </w:p>
    <w:p w14:paraId="102B69AE" w14:textId="4876F1CC" w:rsidR="00EF1479" w:rsidRDefault="00EF1479" w:rsidP="00EF1479">
      <w:pPr>
        <w:pStyle w:val="Caption"/>
      </w:pPr>
      <w:bookmarkStart w:id="398" w:name="_Ref55831056"/>
      <w:bookmarkStart w:id="399" w:name="_Toc89857966"/>
      <w:r>
        <w:t xml:space="preserve">Figure </w:t>
      </w:r>
      <w:r w:rsidR="00211285">
        <w:fldChar w:fldCharType="begin"/>
      </w:r>
      <w:r w:rsidR="00211285">
        <w:instrText xml:space="preserve"> SEQ Figure \* ARABIC </w:instrText>
      </w:r>
      <w:r w:rsidR="00211285">
        <w:fldChar w:fldCharType="separate"/>
      </w:r>
      <w:r w:rsidR="00451350">
        <w:rPr>
          <w:noProof/>
        </w:rPr>
        <w:t>7</w:t>
      </w:r>
      <w:r w:rsidR="00211285">
        <w:rPr>
          <w:noProof/>
        </w:rPr>
        <w:fldChar w:fldCharType="end"/>
      </w:r>
      <w:bookmarkEnd w:id="398"/>
      <w:r>
        <w:tab/>
        <w:t>Number of plans (N=17) that passed or failed based on dose criteria for the initial plan, the initial plan calculated on the daily anatomy and full online replanning (simulating MR-linac treatment)</w:t>
      </w:r>
      <w:bookmarkEnd w:id="399"/>
    </w:p>
    <w:p w14:paraId="6C81E47E" w14:textId="41A84A97" w:rsidR="00EF1479" w:rsidRDefault="00EF1479" w:rsidP="00EF1479">
      <w:pPr>
        <w:pStyle w:val="Tablenotes0"/>
      </w:pPr>
      <w:r>
        <w:t xml:space="preserve">Source: </w:t>
      </w:r>
      <w:hyperlink w:anchor="_ENREF_84" w:tooltip="Winkel, 2018 #82" w:history="1">
        <w:r w:rsidR="008B6FC0">
          <w:fldChar w:fldCharType="begin"/>
        </w:r>
        <w:r w:rsidR="008B6FC0">
          <w:instrText xml:space="preserve"> ADDIN EN.CITE &lt;EndNote&gt;&lt;Cite AuthorYear="1"&gt;&lt;Author&gt;Winkel&lt;/Author&gt;&lt;Year&gt;2018&lt;/Year&gt;&lt;RecNum&gt;82&lt;/RecNum&gt;&lt;DisplayText&gt;Winkel et al. (2018)&lt;/DisplayText&gt;&lt;record&gt;&lt;rec-number&gt;82&lt;/rec-number&gt;&lt;foreign-keys&gt;&lt;key app="EN" db-id="sx5wsdwv795wvue959xxw0ptaewvdezxxp05" timestamp="1604876399"&gt;82&lt;/key&gt;&lt;/foreign-keys&gt;&lt;ref-type name="Journal Article"&gt;17&lt;/ref-type&gt;&lt;contributors&gt;&lt;authors&gt;&lt;author&gt;Winkel, D.&lt;/author&gt;&lt;author&gt;Kroon, P. S.&lt;/author&gt;&lt;author&gt;Werensteijn-Honingh, A. M.&lt;/author&gt;&lt;author&gt;Bol, G. H.&lt;/author&gt;&lt;author&gt;Raaymakers, B. W.&lt;/author&gt;&lt;author&gt;Jurgenliemk-Schulz, I. M.&lt;/author&gt;&lt;/authors&gt;&lt;/contributors&gt;&lt;titles&gt;&lt;title&gt;Simulated dosimetric impact of online replanning for stereotactic body radiation therapy of lymph node oligometastases on the 1.5T MR-linac&lt;/title&gt;&lt;secondary-title&gt;Acta Oncol&lt;/secondary-title&gt;&lt;/titles&gt;&lt;pages&gt;1705-1712&lt;/pages&gt;&lt;volume&gt;57&lt;/volume&gt;&lt;number&gt;12&lt;/number&gt;&lt;dates&gt;&lt;year&gt;2018&lt;/year&gt;&lt;/dates&gt;&lt;accession-num&gt;30280631&lt;/accession-num&gt;&lt;urls&gt;&lt;related-urls&gt;&lt;url&gt;http://ezproxy.library.usyd.edu.au/login?url=http://ovidsp.ovid.com/ovidweb.cgi?T=JS&amp;amp;CSC=Y&amp;amp;NEWS=N&amp;amp;PAGE=fulltext&amp;amp;D=med15&amp;amp;AN=30280631https://sydney.alma.exlibrisgroup.com/openurl/61USYD_INST/61USYD_INST:sydney?sid=OVID:medline&amp;amp;id=pmid:30280631&amp;amp;id=doi:10.108&lt;/url&gt;&lt;url&gt;https://www.tandfonline.com/doi/pdf/10.1080/0284186X.2018.1512152?needAccess=true&lt;/url&gt;&lt;/related-urls&gt;&lt;/urls&gt;&lt;electronic-resource-num&gt;https://dx.doi.org/10.1080/0284186X.2018.1512152&lt;/electronic-resource-num&gt;&lt;/record&gt;&lt;/Cite&gt;&lt;/EndNote&gt;</w:instrText>
        </w:r>
        <w:r w:rsidR="008B6FC0">
          <w:fldChar w:fldCharType="separate"/>
        </w:r>
        <w:r w:rsidR="008B6FC0">
          <w:rPr>
            <w:noProof/>
          </w:rPr>
          <w:t>Winkel et al. (2018)</w:t>
        </w:r>
        <w:r w:rsidR="008B6FC0">
          <w:fldChar w:fldCharType="end"/>
        </w:r>
      </w:hyperlink>
      <w:r w:rsidR="00BD7E5A">
        <w:t xml:space="preserve">, </w:t>
      </w:r>
      <w:r>
        <w:t>Figure 3, p</w:t>
      </w:r>
      <w:r w:rsidR="00BD7E5A">
        <w:t xml:space="preserve"> </w:t>
      </w:r>
      <w:r>
        <w:t>1708</w:t>
      </w:r>
    </w:p>
    <w:p w14:paraId="558A6007" w14:textId="3B984967" w:rsidR="007B6279" w:rsidRDefault="00EF1479" w:rsidP="007B6279">
      <w:r>
        <w:t xml:space="preserve">A dosimetric study by </w:t>
      </w:r>
      <w:hyperlink w:anchor="_ENREF_77" w:tooltip="van de Schoot, 2019 #85" w:history="1">
        <w:r w:rsidR="008B6FC0">
          <w:fldChar w:fldCharType="begin"/>
        </w:r>
        <w:r w:rsidR="008B6FC0">
          <w:instrText xml:space="preserve"> ADDIN EN.CITE &lt;EndNote&gt;&lt;Cite AuthorYear="1"&gt;&lt;Author&gt;van de Schoot&lt;/Author&gt;&lt;Year&gt;2019&lt;/Year&gt;&lt;RecNum&gt;85&lt;/RecNum&gt;&lt;DisplayText&gt;van de Schoot et al. (2019)&lt;/DisplayText&gt;&lt;record&gt;&lt;rec-number&gt;85&lt;/rec-number&gt;&lt;foreign-keys&gt;&lt;key app="EN" db-id="sx5wsdwv795wvue959xxw0ptaewvdezxxp05" timestamp="1604961079"&gt;85&lt;/key&gt;&lt;/foreign-keys&gt;&lt;ref-type name="Journal Article"&gt;17&lt;/ref-type&gt;&lt;contributors&gt;&lt;authors&gt;&lt;author&gt;van de Schoot, A. J. A. J.&lt;/author&gt;&lt;author&gt;van den Wollenberg, W.&lt;/author&gt;&lt;author&gt;Carbaat, C.&lt;/author&gt;&lt;author&gt;de Ruiter, P.&lt;/author&gt;&lt;author&gt;Nowee, M. E.&lt;/author&gt;&lt;author&gt;Pos, F.&lt;/author&gt;&lt;author&gt;van Triest, B.&lt;/author&gt;&lt;author&gt;Sonke, J. J.&lt;/author&gt;&lt;author&gt;Janssen, T. M.&lt;/author&gt;&lt;/authors&gt;&lt;/contributors&gt;&lt;titles&gt;&lt;title&gt;Evaluation of plan quality in radiotherapy planning with an MR-linac&lt;/title&gt;&lt;secondary-title&gt;Physics and Imaging in Radiation Oncology&lt;/secondary-title&gt;&lt;/titles&gt;&lt;pages&gt;19-24&lt;/pages&gt;&lt;volume&gt;10&lt;/volume&gt;&lt;dates&gt;&lt;year&gt;2019&lt;/year&gt;&lt;/dates&gt;&lt;accession-num&gt;2001862328&lt;/accession-num&gt;&lt;urls&gt;&lt;related-urls&gt;&lt;url&gt;https://www.journals.elsevier.com/physics-and-imaging-in-radiation-oncology/http://ezproxy.library.usyd.edu.au/login?url=http://ovidsp.ovid.com/ovidweb.cgi?T=JS&amp;amp;CSC=Y&amp;amp;NEWS=N&amp;amp;PAGE=fulltext&amp;amp;D=emexa&amp;amp;AN=2001862328https://sydney.alma.exlibrisgroup.com/openurl/&lt;/url&gt;&lt;/related-urls&gt;&lt;/urls&gt;&lt;electronic-resource-num&gt;http://dx.doi.org/10.1016/j.phro.2019.04.004&lt;/electronic-resource-num&gt;&lt;/record&gt;&lt;/Cite&gt;&lt;/EndNote&gt;</w:instrText>
        </w:r>
        <w:r w:rsidR="008B6FC0">
          <w:fldChar w:fldCharType="separate"/>
        </w:r>
        <w:r w:rsidR="008B6FC0">
          <w:rPr>
            <w:noProof/>
          </w:rPr>
          <w:t>van de Schoot et al. (2019)</w:t>
        </w:r>
        <w:r w:rsidR="008B6FC0">
          <w:fldChar w:fldCharType="end"/>
        </w:r>
      </w:hyperlink>
      <w:r w:rsidR="00822D76">
        <w:t xml:space="preserve"> </w:t>
      </w:r>
      <w:r>
        <w:t xml:space="preserve">aimed to compare MR-linac plan quality with the current clinical practice of positioning and adaptation based on CBCT. Data of eight </w:t>
      </w:r>
      <w:r w:rsidR="00FA559F">
        <w:t xml:space="preserve">patients with </w:t>
      </w:r>
      <w:r>
        <w:t xml:space="preserve">rectal </w:t>
      </w:r>
      <w:r w:rsidR="00FA559F">
        <w:t xml:space="preserve">cancer </w:t>
      </w:r>
      <w:r>
        <w:t xml:space="preserve">and eight </w:t>
      </w:r>
      <w:r w:rsidR="00FA559F">
        <w:t xml:space="preserve">patients with </w:t>
      </w:r>
      <w:r>
        <w:t xml:space="preserve">prostate cancer treated on a conventional CBCT-integrated linac were included in the retrospective treatment planning study. Clinical treatment planning for conventional CBCT-integrated linac and MR-linac was performed using a volumetric modulated arch therapy (VMAT) and an IMRT delivery technique, respectively. </w:t>
      </w:r>
      <w:r w:rsidR="00033B8D">
        <w:t>Compared to clinical plans, MR-linac plans showed a statistically significant decrease in plan homogeneity, an increase in PTV D</w:t>
      </w:r>
      <w:r w:rsidR="00033B8D" w:rsidRPr="006061D5">
        <w:rPr>
          <w:vertAlign w:val="subscript"/>
        </w:rPr>
        <w:t>mean</w:t>
      </w:r>
      <w:r w:rsidR="00033B8D">
        <w:t xml:space="preserve"> (prostate: 0.6 Gy; rectum: 0.8 Gy) and D</w:t>
      </w:r>
      <w:r w:rsidR="00033B8D" w:rsidRPr="006061D5">
        <w:rPr>
          <w:vertAlign w:val="subscript"/>
        </w:rPr>
        <w:t>1%</w:t>
      </w:r>
      <w:r w:rsidR="00033B8D">
        <w:t xml:space="preserve"> (prostate: 1.9 Gy; rectum: 2.0 Gy</w:t>
      </w:r>
      <w:r w:rsidR="00BD7E5A">
        <w:t>)</w:t>
      </w:r>
      <w:r w:rsidR="00033B8D">
        <w:t xml:space="preserve"> and increases in OAR dose. </w:t>
      </w:r>
      <w:r w:rsidR="00CD2D35">
        <w:t>Dose</w:t>
      </w:r>
      <w:r w:rsidR="00C04952">
        <w:t>-</w:t>
      </w:r>
      <w:r w:rsidR="00CD2D35">
        <w:t>volume histogram (DVH) parameter differences between MR-linac plans compared to current clinical practice</w:t>
      </w:r>
      <w:r w:rsidR="00D851E7">
        <w:t xml:space="preserve"> reported in the study are summarised in </w:t>
      </w:r>
      <w:r w:rsidR="00DF1A4F">
        <w:fldChar w:fldCharType="begin"/>
      </w:r>
      <w:r w:rsidR="00DF1A4F">
        <w:instrText xml:space="preserve"> REF _Ref55896756 \h </w:instrText>
      </w:r>
      <w:r w:rsidR="00DF1A4F">
        <w:fldChar w:fldCharType="separate"/>
      </w:r>
      <w:r w:rsidR="00451350">
        <w:t xml:space="preserve">Table </w:t>
      </w:r>
      <w:r w:rsidR="00451350">
        <w:rPr>
          <w:noProof/>
        </w:rPr>
        <w:t>30</w:t>
      </w:r>
      <w:r w:rsidR="00DF1A4F">
        <w:fldChar w:fldCharType="end"/>
      </w:r>
      <w:r w:rsidR="00DF1A4F">
        <w:t>.</w:t>
      </w:r>
      <w:r w:rsidR="007B2057">
        <w:t xml:space="preserve"> </w:t>
      </w:r>
      <w:hyperlink w:anchor="_ENREF_77" w:tooltip="van de Schoot, 2019 #85" w:history="1">
        <w:r w:rsidR="008B6FC0">
          <w:fldChar w:fldCharType="begin"/>
        </w:r>
        <w:r w:rsidR="008B6FC0">
          <w:instrText xml:space="preserve"> ADDIN EN.CITE &lt;EndNote&gt;&lt;Cite AuthorYear="1"&gt;&lt;Author&gt;van de Schoot&lt;/Author&gt;&lt;Year&gt;2019&lt;/Year&gt;&lt;RecNum&gt;85&lt;/RecNum&gt;&lt;DisplayText&gt;van de Schoot et al. (2019)&lt;/DisplayText&gt;&lt;record&gt;&lt;rec-number&gt;85&lt;/rec-number&gt;&lt;foreign-keys&gt;&lt;key app="EN" db-id="sx5wsdwv795wvue959xxw0ptaewvdezxxp05" timestamp="1604961079"&gt;85&lt;/key&gt;&lt;/foreign-keys&gt;&lt;ref-type name="Journal Article"&gt;17&lt;/ref-type&gt;&lt;contributors&gt;&lt;authors&gt;&lt;author&gt;van de Schoot, A. J. A. J.&lt;/author&gt;&lt;author&gt;van den Wollenberg, W.&lt;/author&gt;&lt;author&gt;Carbaat, C.&lt;/author&gt;&lt;author&gt;de Ruiter, P.&lt;/author&gt;&lt;author&gt;Nowee, M. E.&lt;/author&gt;&lt;author&gt;Pos, F.&lt;/author&gt;&lt;author&gt;van Triest, B.&lt;/author&gt;&lt;author&gt;Sonke, J. J.&lt;/author&gt;&lt;author&gt;Janssen, T. M.&lt;/author&gt;&lt;/authors&gt;&lt;/contributors&gt;&lt;titles&gt;&lt;title&gt;Evaluation of plan quality in radiotherapy planning with an MR-linac&lt;/title&gt;&lt;secondary-title&gt;Physics and Imaging in Radiation Oncology&lt;/secondary-title&gt;&lt;/titles&gt;&lt;pages&gt;19-24&lt;/pages&gt;&lt;volume&gt;10&lt;/volume&gt;&lt;dates&gt;&lt;year&gt;2019&lt;/year&gt;&lt;/dates&gt;&lt;accession-num&gt;2001862328&lt;/accession-num&gt;&lt;urls&gt;&lt;related-urls&gt;&lt;url&gt;https://www.journals.elsevier.com/physics-and-imaging-in-radiation-oncology/http://ezproxy.library.usyd.edu.au/login?url=http://ovidsp.ovid.com/ovidweb.cgi?T=JS&amp;amp;CSC=Y&amp;amp;NEWS=N&amp;amp;PAGE=fulltext&amp;amp;D=emexa&amp;amp;AN=2001862328https://sydney.alma.exlibrisgroup.com/openurl/&lt;/url&gt;&lt;/related-urls&gt;&lt;/urls&gt;&lt;electronic-resource-num&gt;http://dx.doi.org/10.1016/j.phro.2019.04.004&lt;/electronic-resource-num&gt;&lt;/record&gt;&lt;/Cite&gt;&lt;/EndNote&gt;</w:instrText>
        </w:r>
        <w:r w:rsidR="008B6FC0">
          <w:fldChar w:fldCharType="separate"/>
        </w:r>
        <w:r w:rsidR="008B6FC0">
          <w:rPr>
            <w:noProof/>
          </w:rPr>
          <w:t xml:space="preserve">van de Schoot et al. </w:t>
        </w:r>
        <w:r w:rsidR="008B6FC0">
          <w:rPr>
            <w:noProof/>
          </w:rPr>
          <w:lastRenderedPageBreak/>
          <w:t>(2019)</w:t>
        </w:r>
        <w:r w:rsidR="008B6FC0">
          <w:fldChar w:fldCharType="end"/>
        </w:r>
      </w:hyperlink>
      <w:r w:rsidR="00B775F3">
        <w:t xml:space="preserve"> state</w:t>
      </w:r>
      <w:r w:rsidR="001800CA">
        <w:t>d</w:t>
      </w:r>
      <w:r w:rsidR="00B775F3">
        <w:t xml:space="preserve"> that all MR-linac</w:t>
      </w:r>
      <w:r w:rsidR="00C8018F">
        <w:t xml:space="preserve"> </w:t>
      </w:r>
      <w:r w:rsidR="00B775F3">
        <w:t>plans fulfilled the clinical acceptance criteria</w:t>
      </w:r>
      <w:r w:rsidR="001800CA">
        <w:t>, and MR-linac plans were considered clinically equivalent to</w:t>
      </w:r>
      <w:r w:rsidR="00CC457E">
        <w:t xml:space="preserve"> current</w:t>
      </w:r>
      <w:r w:rsidR="001800CA">
        <w:t xml:space="preserve"> clinical </w:t>
      </w:r>
      <w:r w:rsidR="00CC457E">
        <w:t>practice</w:t>
      </w:r>
      <w:r w:rsidR="001800CA">
        <w:t>.</w:t>
      </w:r>
      <w:r w:rsidR="00D24418">
        <w:t xml:space="preserve"> </w:t>
      </w:r>
      <w:r w:rsidR="001800CA">
        <w:t>A</w:t>
      </w:r>
      <w:r w:rsidR="00D24418">
        <w:t xml:space="preserve"> </w:t>
      </w:r>
      <w:r w:rsidR="00843D20">
        <w:t>significant</w:t>
      </w:r>
      <w:r w:rsidR="00D24418">
        <w:t xml:space="preserve"> decrease in plan homogeneity was found for MR-linac plans compared to current clinical practice for all included patients. </w:t>
      </w:r>
    </w:p>
    <w:p w14:paraId="760FA77F" w14:textId="2915F9D4" w:rsidR="00EF1479" w:rsidRDefault="003560E0" w:rsidP="0093588A">
      <w:r>
        <w:t>Authors state</w:t>
      </w:r>
      <w:r w:rsidR="00CC457E">
        <w:t>d</w:t>
      </w:r>
      <w:r>
        <w:t xml:space="preserve"> that “</w:t>
      </w:r>
      <w:r w:rsidR="009D3BF2">
        <w:t>d</w:t>
      </w:r>
      <w:r w:rsidR="007B6279">
        <w:t>ifferences between MR-linac plans and clinical plans are mainly due to a larger washout of the low dose region and an increase in target inhomogeneity. This leads to changes in OAR dose in the low-dose region and around the near-maximum. The increased dose in the low-dose region is due to the use of the 7 MV beam of the MR-linac instead of our conventional choice for pelvic cases of 10 MV beams.”</w:t>
      </w:r>
    </w:p>
    <w:p w14:paraId="76D9D58D" w14:textId="5C44B621" w:rsidR="00565D3D" w:rsidRDefault="00565D3D" w:rsidP="008D7C53">
      <w:pPr>
        <w:pStyle w:val="Caption"/>
        <w:keepNext/>
      </w:pPr>
      <w:bookmarkStart w:id="400" w:name="_Ref55896756"/>
      <w:bookmarkStart w:id="401" w:name="_Toc89857901"/>
      <w:r>
        <w:t xml:space="preserve">Table </w:t>
      </w:r>
      <w:r w:rsidR="00211285">
        <w:fldChar w:fldCharType="begin"/>
      </w:r>
      <w:r w:rsidR="00211285">
        <w:instrText xml:space="preserve"> SEQ Table \* ARABIC </w:instrText>
      </w:r>
      <w:r w:rsidR="00211285">
        <w:fldChar w:fldCharType="separate"/>
      </w:r>
      <w:r w:rsidR="00451350">
        <w:rPr>
          <w:noProof/>
        </w:rPr>
        <w:t>30</w:t>
      </w:r>
      <w:r w:rsidR="00211285">
        <w:rPr>
          <w:noProof/>
        </w:rPr>
        <w:fldChar w:fldCharType="end"/>
      </w:r>
      <w:bookmarkEnd w:id="400"/>
      <w:r>
        <w:tab/>
      </w:r>
      <w:r w:rsidR="001F583C">
        <w:t>Median (min-max) DVH parameter differences between MR-linac plans compared to current clinical practice</w:t>
      </w:r>
      <w:r w:rsidR="00BD7E5A">
        <w:t xml:space="preserve">, </w:t>
      </w:r>
      <w:hyperlink w:anchor="_ENREF_77" w:tooltip="van de Schoot, 2019 #85" w:history="1">
        <w:r w:rsidR="008B6FC0">
          <w:fldChar w:fldCharType="begin"/>
        </w:r>
        <w:r w:rsidR="008B6FC0">
          <w:instrText xml:space="preserve"> ADDIN EN.CITE &lt;EndNote&gt;&lt;Cite AuthorYear="1"&gt;&lt;Author&gt;van de Schoot&lt;/Author&gt;&lt;Year&gt;2019&lt;/Year&gt;&lt;RecNum&gt;85&lt;/RecNum&gt;&lt;DisplayText&gt;van de Schoot et al. (2019)&lt;/DisplayText&gt;&lt;record&gt;&lt;rec-number&gt;85&lt;/rec-number&gt;&lt;foreign-keys&gt;&lt;key app="EN" db-id="sx5wsdwv795wvue959xxw0ptaewvdezxxp05" timestamp="1604961079"&gt;85&lt;/key&gt;&lt;/foreign-keys&gt;&lt;ref-type name="Journal Article"&gt;17&lt;/ref-type&gt;&lt;contributors&gt;&lt;authors&gt;&lt;author&gt;van de Schoot, A. J. A. J.&lt;/author&gt;&lt;author&gt;van den Wollenberg, W.&lt;/author&gt;&lt;author&gt;Carbaat, C.&lt;/author&gt;&lt;author&gt;de Ruiter, P.&lt;/author&gt;&lt;author&gt;Nowee, M. E.&lt;/author&gt;&lt;author&gt;Pos, F.&lt;/author&gt;&lt;author&gt;van Triest, B.&lt;/author&gt;&lt;author&gt;Sonke, J. J.&lt;/author&gt;&lt;author&gt;Janssen, T. M.&lt;/author&gt;&lt;/authors&gt;&lt;/contributors&gt;&lt;titles&gt;&lt;title&gt;Evaluation of plan quality in radiotherapy planning with an MR-linac&lt;/title&gt;&lt;secondary-title&gt;Physics and Imaging in Radiation Oncology&lt;/secondary-title&gt;&lt;/titles&gt;&lt;pages&gt;19-24&lt;/pages&gt;&lt;volume&gt;10&lt;/volume&gt;&lt;dates&gt;&lt;year&gt;2019&lt;/year&gt;&lt;/dates&gt;&lt;accession-num&gt;2001862328&lt;/accession-num&gt;&lt;urls&gt;&lt;related-urls&gt;&lt;url&gt;https://www.journals.elsevier.com/physics-and-imaging-in-radiation-oncology/http://ezproxy.library.usyd.edu.au/login?url=http://ovidsp.ovid.com/ovidweb.cgi?T=JS&amp;amp;CSC=Y&amp;amp;NEWS=N&amp;amp;PAGE=fulltext&amp;amp;D=emexa&amp;amp;AN=2001862328https://sydney.alma.exlibrisgroup.com/openurl/&lt;/url&gt;&lt;/related-urls&gt;&lt;/urls&gt;&lt;electronic-resource-num&gt;http://dx.doi.org/10.1016/j.phro.2019.04.004&lt;/electronic-resource-num&gt;&lt;/record&gt;&lt;/Cite&gt;&lt;/EndNote&gt;</w:instrText>
        </w:r>
        <w:r w:rsidR="008B6FC0">
          <w:fldChar w:fldCharType="separate"/>
        </w:r>
        <w:r w:rsidR="008B6FC0">
          <w:rPr>
            <w:noProof/>
          </w:rPr>
          <w:t>van de Schoot et al. (2019)</w:t>
        </w:r>
        <w:bookmarkEnd w:id="401"/>
        <w:r w:rsidR="008B6FC0">
          <w:fldChar w:fldCharType="end"/>
        </w:r>
      </w:hyperlink>
    </w:p>
    <w:tbl>
      <w:tblPr>
        <w:tblStyle w:val="TableGrid"/>
        <w:tblW w:w="0" w:type="auto"/>
        <w:tblLook w:val="04A0" w:firstRow="1" w:lastRow="0" w:firstColumn="1" w:lastColumn="0" w:noHBand="0" w:noVBand="1"/>
        <w:tblCaption w:val="Table 30 Median (min-max) DVH parameter differences between MR-linac plans compared to current clinical practice, Van de Schoot, 2019"/>
        <w:tblDescription w:val="This  table provides median parameter differences between MR-linac plans compared to current clinical practice from Van de Schoot, 2019. "/>
      </w:tblPr>
      <w:tblGrid>
        <w:gridCol w:w="3005"/>
        <w:gridCol w:w="3005"/>
        <w:gridCol w:w="3006"/>
      </w:tblGrid>
      <w:tr w:rsidR="00D851E7" w14:paraId="71000943" w14:textId="77777777" w:rsidTr="00091315">
        <w:trPr>
          <w:tblHeader/>
        </w:trPr>
        <w:tc>
          <w:tcPr>
            <w:tcW w:w="3005" w:type="dxa"/>
            <w:tcBorders>
              <w:bottom w:val="single" w:sz="4" w:space="0" w:color="auto"/>
            </w:tcBorders>
          </w:tcPr>
          <w:p w14:paraId="54A0BABC" w14:textId="74B64898" w:rsidR="00D851E7" w:rsidRPr="001F583C" w:rsidRDefault="001F583C" w:rsidP="006061D5">
            <w:pPr>
              <w:pStyle w:val="Tabletext1"/>
              <w:ind w:left="22"/>
              <w:rPr>
                <w:b/>
              </w:rPr>
            </w:pPr>
            <w:r w:rsidRPr="001F583C">
              <w:rPr>
                <w:b/>
                <w:bCs/>
              </w:rPr>
              <w:t>DVH parameter</w:t>
            </w:r>
          </w:p>
        </w:tc>
        <w:tc>
          <w:tcPr>
            <w:tcW w:w="3005" w:type="dxa"/>
            <w:tcBorders>
              <w:bottom w:val="single" w:sz="4" w:space="0" w:color="auto"/>
            </w:tcBorders>
          </w:tcPr>
          <w:p w14:paraId="3528A8B3" w14:textId="65989260" w:rsidR="00D851E7" w:rsidRPr="001F583C" w:rsidRDefault="00972034" w:rsidP="006061D5">
            <w:pPr>
              <w:pStyle w:val="Tabletext1"/>
              <w:ind w:left="22"/>
              <w:jc w:val="center"/>
              <w:rPr>
                <w:b/>
              </w:rPr>
            </w:pPr>
            <w:r w:rsidRPr="001F583C">
              <w:rPr>
                <w:b/>
              </w:rPr>
              <w:t>MR-linac – Clinical</w:t>
            </w:r>
          </w:p>
        </w:tc>
        <w:tc>
          <w:tcPr>
            <w:tcW w:w="3006" w:type="dxa"/>
            <w:tcBorders>
              <w:bottom w:val="single" w:sz="4" w:space="0" w:color="auto"/>
            </w:tcBorders>
          </w:tcPr>
          <w:p w14:paraId="73DC99AA" w14:textId="5638234B" w:rsidR="00D851E7" w:rsidRPr="001F583C" w:rsidRDefault="005A4BDF" w:rsidP="006061D5">
            <w:pPr>
              <w:pStyle w:val="Tabletext1"/>
              <w:ind w:left="22"/>
              <w:jc w:val="center"/>
              <w:rPr>
                <w:b/>
              </w:rPr>
            </w:pPr>
            <w:r w:rsidRPr="001F583C">
              <w:rPr>
                <w:b/>
              </w:rPr>
              <w:t>Clinical</w:t>
            </w:r>
          </w:p>
        </w:tc>
      </w:tr>
      <w:tr w:rsidR="00390471" w14:paraId="1998A92F" w14:textId="77777777" w:rsidTr="001F583C">
        <w:tc>
          <w:tcPr>
            <w:tcW w:w="3005" w:type="dxa"/>
            <w:tcBorders>
              <w:right w:val="nil"/>
            </w:tcBorders>
          </w:tcPr>
          <w:p w14:paraId="42A7B23E" w14:textId="6E1FE804" w:rsidR="00390471" w:rsidRPr="001F583C" w:rsidRDefault="00390471" w:rsidP="00D851E7">
            <w:pPr>
              <w:pStyle w:val="Tabletext1"/>
              <w:ind w:left="22"/>
              <w:rPr>
                <w:b/>
              </w:rPr>
            </w:pPr>
            <w:r w:rsidRPr="001F583C">
              <w:rPr>
                <w:b/>
              </w:rPr>
              <w:t>Rectal cancer</w:t>
            </w:r>
          </w:p>
        </w:tc>
        <w:tc>
          <w:tcPr>
            <w:tcW w:w="3005" w:type="dxa"/>
            <w:tcBorders>
              <w:left w:val="nil"/>
              <w:right w:val="nil"/>
            </w:tcBorders>
          </w:tcPr>
          <w:p w14:paraId="366DB99C" w14:textId="77777777" w:rsidR="00390471" w:rsidRDefault="00390471" w:rsidP="00565D3D">
            <w:pPr>
              <w:pStyle w:val="Tabletext1"/>
              <w:ind w:left="22"/>
              <w:jc w:val="center"/>
            </w:pPr>
          </w:p>
        </w:tc>
        <w:tc>
          <w:tcPr>
            <w:tcW w:w="3006" w:type="dxa"/>
            <w:tcBorders>
              <w:left w:val="nil"/>
            </w:tcBorders>
          </w:tcPr>
          <w:p w14:paraId="2A765B48" w14:textId="77777777" w:rsidR="00390471" w:rsidRDefault="00390471" w:rsidP="00565D3D">
            <w:pPr>
              <w:pStyle w:val="Tabletext1"/>
              <w:ind w:left="22"/>
              <w:jc w:val="center"/>
            </w:pPr>
          </w:p>
        </w:tc>
      </w:tr>
      <w:tr w:rsidR="00D851E7" w14:paraId="4AF84995" w14:textId="77777777" w:rsidTr="00D851E7">
        <w:tc>
          <w:tcPr>
            <w:tcW w:w="3005" w:type="dxa"/>
          </w:tcPr>
          <w:p w14:paraId="29704EF2" w14:textId="687E02CC" w:rsidR="00D851E7" w:rsidRDefault="00D851E7" w:rsidP="006061D5">
            <w:pPr>
              <w:pStyle w:val="Tabletext1"/>
              <w:ind w:left="22"/>
            </w:pPr>
            <w:r>
              <w:t>PTV D</w:t>
            </w:r>
            <w:r w:rsidRPr="006061D5">
              <w:rPr>
                <w:vertAlign w:val="subscript"/>
              </w:rPr>
              <w:t>mean</w:t>
            </w:r>
            <w:r>
              <w:t xml:space="preserve"> (Gy)</w:t>
            </w:r>
          </w:p>
        </w:tc>
        <w:tc>
          <w:tcPr>
            <w:tcW w:w="3005" w:type="dxa"/>
          </w:tcPr>
          <w:p w14:paraId="54915A47" w14:textId="33A453BA" w:rsidR="00D851E7" w:rsidRDefault="00D754B3" w:rsidP="006061D5">
            <w:pPr>
              <w:pStyle w:val="Tabletext1"/>
              <w:ind w:left="22"/>
              <w:jc w:val="center"/>
            </w:pPr>
            <w:r>
              <w:t>0.8 (0.2-1.3)*</w:t>
            </w:r>
          </w:p>
        </w:tc>
        <w:tc>
          <w:tcPr>
            <w:tcW w:w="3006" w:type="dxa"/>
          </w:tcPr>
          <w:p w14:paraId="674130C1" w14:textId="3F1CD21C" w:rsidR="00D851E7" w:rsidRDefault="00BE6667" w:rsidP="006061D5">
            <w:pPr>
              <w:pStyle w:val="Tabletext1"/>
              <w:ind w:left="22"/>
              <w:jc w:val="center"/>
            </w:pPr>
            <w:r>
              <w:t>49.5 (</w:t>
            </w:r>
            <w:r w:rsidR="00D71D51">
              <w:t>49.2-50.0)</w:t>
            </w:r>
          </w:p>
        </w:tc>
      </w:tr>
      <w:tr w:rsidR="00D851E7" w14:paraId="13C9F195" w14:textId="77777777" w:rsidTr="00D851E7">
        <w:tc>
          <w:tcPr>
            <w:tcW w:w="3005" w:type="dxa"/>
          </w:tcPr>
          <w:p w14:paraId="322BC16E" w14:textId="3FC6C2F5" w:rsidR="00D851E7" w:rsidRDefault="002A7C5C" w:rsidP="006061D5">
            <w:pPr>
              <w:pStyle w:val="Tabletext1"/>
              <w:ind w:left="22"/>
            </w:pPr>
            <w:r>
              <w:t>PTV D</w:t>
            </w:r>
            <w:r w:rsidRPr="006061D5">
              <w:rPr>
                <w:vertAlign w:val="subscript"/>
              </w:rPr>
              <w:t>1%</w:t>
            </w:r>
            <w:r>
              <w:t xml:space="preserve"> (Gy)</w:t>
            </w:r>
          </w:p>
        </w:tc>
        <w:tc>
          <w:tcPr>
            <w:tcW w:w="3005" w:type="dxa"/>
          </w:tcPr>
          <w:p w14:paraId="53A86CCE" w14:textId="06BE5B37" w:rsidR="00D851E7" w:rsidRDefault="00D754B3" w:rsidP="006061D5">
            <w:pPr>
              <w:pStyle w:val="Tabletext1"/>
              <w:ind w:left="22"/>
              <w:jc w:val="center"/>
            </w:pPr>
            <w:r>
              <w:t>2.0 (1.1-2.4)*</w:t>
            </w:r>
          </w:p>
        </w:tc>
        <w:tc>
          <w:tcPr>
            <w:tcW w:w="3006" w:type="dxa"/>
          </w:tcPr>
          <w:p w14:paraId="7F62FE7D" w14:textId="3F64EC97" w:rsidR="00D851E7" w:rsidRDefault="004F05E9" w:rsidP="006061D5">
            <w:pPr>
              <w:pStyle w:val="Tabletext1"/>
              <w:ind w:left="22"/>
              <w:jc w:val="center"/>
            </w:pPr>
            <w:r>
              <w:t>50.6 (</w:t>
            </w:r>
            <w:r w:rsidR="002E49B0">
              <w:t>50.0-</w:t>
            </w:r>
            <w:r w:rsidR="009B16CA">
              <w:t>51.4)</w:t>
            </w:r>
          </w:p>
        </w:tc>
      </w:tr>
      <w:tr w:rsidR="00D851E7" w14:paraId="41DE121D" w14:textId="77777777" w:rsidTr="00D851E7">
        <w:tc>
          <w:tcPr>
            <w:tcW w:w="3005" w:type="dxa"/>
          </w:tcPr>
          <w:p w14:paraId="45459175" w14:textId="1C3622A2" w:rsidR="00D851E7" w:rsidRDefault="00621F55" w:rsidP="006061D5">
            <w:pPr>
              <w:pStyle w:val="Tabletext1"/>
              <w:ind w:left="22"/>
            </w:pPr>
            <w:r>
              <w:t>Bladder D</w:t>
            </w:r>
            <w:r w:rsidRPr="00D07D43">
              <w:rPr>
                <w:vertAlign w:val="subscript"/>
              </w:rPr>
              <w:t>mean</w:t>
            </w:r>
            <w:r>
              <w:t xml:space="preserve"> (Gy)</w:t>
            </w:r>
          </w:p>
        </w:tc>
        <w:tc>
          <w:tcPr>
            <w:tcW w:w="3005" w:type="dxa"/>
          </w:tcPr>
          <w:p w14:paraId="18EA156A" w14:textId="1D5D76E3" w:rsidR="00D851E7" w:rsidRDefault="00D754B3" w:rsidP="006061D5">
            <w:pPr>
              <w:pStyle w:val="Tabletext1"/>
              <w:ind w:left="22"/>
              <w:jc w:val="center"/>
            </w:pPr>
            <w:r>
              <w:t>2.9 (-</w:t>
            </w:r>
            <w:r w:rsidR="00F9510D">
              <w:t xml:space="preserve"> </w:t>
            </w:r>
            <w:r>
              <w:t>0.5-6.0)*</w:t>
            </w:r>
          </w:p>
        </w:tc>
        <w:tc>
          <w:tcPr>
            <w:tcW w:w="3006" w:type="dxa"/>
          </w:tcPr>
          <w:p w14:paraId="67444A2A" w14:textId="4B0D4109" w:rsidR="00D851E7" w:rsidRDefault="001B52F9" w:rsidP="006061D5">
            <w:pPr>
              <w:pStyle w:val="Tabletext1"/>
              <w:ind w:left="22"/>
              <w:jc w:val="center"/>
            </w:pPr>
            <w:r>
              <w:t>29.1 (11.3-37</w:t>
            </w:r>
            <w:r w:rsidR="009F2789">
              <w:t>.7)</w:t>
            </w:r>
          </w:p>
        </w:tc>
      </w:tr>
      <w:tr w:rsidR="00D851E7" w14:paraId="516ED45A" w14:textId="77777777" w:rsidTr="00D851E7">
        <w:tc>
          <w:tcPr>
            <w:tcW w:w="3005" w:type="dxa"/>
          </w:tcPr>
          <w:p w14:paraId="7F69A8BD" w14:textId="62213D62" w:rsidR="00D851E7" w:rsidRDefault="00D9735B" w:rsidP="006061D5">
            <w:pPr>
              <w:pStyle w:val="Tabletext1"/>
              <w:ind w:left="22"/>
            </w:pPr>
            <w:r>
              <w:t>Bowel area D</w:t>
            </w:r>
            <w:r w:rsidRPr="00D07D43">
              <w:rPr>
                <w:vertAlign w:val="subscript"/>
              </w:rPr>
              <w:t>mean</w:t>
            </w:r>
            <w:r>
              <w:t xml:space="preserve"> (Gy)</w:t>
            </w:r>
          </w:p>
        </w:tc>
        <w:tc>
          <w:tcPr>
            <w:tcW w:w="3005" w:type="dxa"/>
          </w:tcPr>
          <w:p w14:paraId="137B626F" w14:textId="49A1A05E" w:rsidR="00D851E7" w:rsidRDefault="00D754B3" w:rsidP="006061D5">
            <w:pPr>
              <w:pStyle w:val="Tabletext1"/>
              <w:ind w:left="22"/>
              <w:jc w:val="center"/>
            </w:pPr>
            <w:r>
              <w:t>4.1 (2.1</w:t>
            </w:r>
            <w:r w:rsidR="00E07B11">
              <w:t>-</w:t>
            </w:r>
            <w:r w:rsidR="006F255C">
              <w:t>5</w:t>
            </w:r>
            <w:r w:rsidR="00E07B11">
              <w:t>.9)*</w:t>
            </w:r>
          </w:p>
        </w:tc>
        <w:tc>
          <w:tcPr>
            <w:tcW w:w="3006" w:type="dxa"/>
          </w:tcPr>
          <w:p w14:paraId="7F7BF4E4" w14:textId="512DDF27" w:rsidR="00D851E7" w:rsidRDefault="006174DC" w:rsidP="006061D5">
            <w:pPr>
              <w:pStyle w:val="Tabletext1"/>
              <w:ind w:left="22"/>
              <w:jc w:val="center"/>
            </w:pPr>
            <w:r>
              <w:t>16.9 (</w:t>
            </w:r>
            <w:r w:rsidR="00F638A0">
              <w:t>11.6-26.3)</w:t>
            </w:r>
          </w:p>
        </w:tc>
      </w:tr>
      <w:tr w:rsidR="00D851E7" w14:paraId="334BE7D6" w14:textId="77777777" w:rsidTr="00D851E7">
        <w:tc>
          <w:tcPr>
            <w:tcW w:w="3005" w:type="dxa"/>
          </w:tcPr>
          <w:p w14:paraId="23D54E8C" w14:textId="36A17384" w:rsidR="00D851E7" w:rsidRDefault="00D9735B" w:rsidP="006061D5">
            <w:pPr>
              <w:pStyle w:val="Tabletext1"/>
              <w:ind w:left="22"/>
            </w:pPr>
            <w:r>
              <w:t>EXT D</w:t>
            </w:r>
            <w:r w:rsidRPr="00D07D43">
              <w:rPr>
                <w:vertAlign w:val="subscript"/>
              </w:rPr>
              <w:t>mean</w:t>
            </w:r>
            <w:r>
              <w:t xml:space="preserve"> (Gy)</w:t>
            </w:r>
          </w:p>
        </w:tc>
        <w:tc>
          <w:tcPr>
            <w:tcW w:w="3005" w:type="dxa"/>
          </w:tcPr>
          <w:p w14:paraId="49332022" w14:textId="343080A2" w:rsidR="00D851E7" w:rsidRDefault="00E07B11" w:rsidP="006061D5">
            <w:pPr>
              <w:pStyle w:val="Tabletext1"/>
              <w:ind w:left="22"/>
              <w:jc w:val="center"/>
            </w:pPr>
            <w:r>
              <w:t>2.</w:t>
            </w:r>
            <w:r w:rsidR="00355C8F">
              <w:t>4</w:t>
            </w:r>
            <w:r>
              <w:t xml:space="preserve"> (1.1-2</w:t>
            </w:r>
            <w:r w:rsidR="008831A0">
              <w:t>.9</w:t>
            </w:r>
            <w:r>
              <w:t>)*</w:t>
            </w:r>
          </w:p>
        </w:tc>
        <w:tc>
          <w:tcPr>
            <w:tcW w:w="3006" w:type="dxa"/>
          </w:tcPr>
          <w:p w14:paraId="496498EF" w14:textId="77F33202" w:rsidR="00D851E7" w:rsidRDefault="00CB4FD8" w:rsidP="006061D5">
            <w:pPr>
              <w:pStyle w:val="Tabletext1"/>
              <w:ind w:left="22"/>
              <w:jc w:val="center"/>
            </w:pPr>
            <w:r>
              <w:t>18.2 (</w:t>
            </w:r>
            <w:r w:rsidR="00516E41">
              <w:t>12.1-21.1)</w:t>
            </w:r>
          </w:p>
        </w:tc>
      </w:tr>
      <w:tr w:rsidR="00D851E7" w14:paraId="6D14E4F3" w14:textId="77777777" w:rsidTr="00D851E7">
        <w:tc>
          <w:tcPr>
            <w:tcW w:w="3005" w:type="dxa"/>
          </w:tcPr>
          <w:p w14:paraId="0209BC83" w14:textId="2A00EE0E" w:rsidR="00D851E7" w:rsidRDefault="00D9735B" w:rsidP="006061D5">
            <w:pPr>
              <w:pStyle w:val="Tabletext1"/>
              <w:ind w:left="22"/>
            </w:pPr>
            <w:r>
              <w:t>EXT-PTV</w:t>
            </w:r>
            <w:r w:rsidR="00016E5E" w:rsidRPr="006061D5">
              <w:rPr>
                <w:vertAlign w:val="subscript"/>
              </w:rPr>
              <w:t>2cm</w:t>
            </w:r>
            <w:r>
              <w:t xml:space="preserve"> D</w:t>
            </w:r>
            <w:r w:rsidRPr="00D07D43">
              <w:rPr>
                <w:vertAlign w:val="subscript"/>
              </w:rPr>
              <w:t>mean</w:t>
            </w:r>
            <w:r>
              <w:t xml:space="preserve"> (Gy)</w:t>
            </w:r>
          </w:p>
        </w:tc>
        <w:tc>
          <w:tcPr>
            <w:tcW w:w="3005" w:type="dxa"/>
          </w:tcPr>
          <w:p w14:paraId="4A9190CE" w14:textId="46E7E4AA" w:rsidR="00D851E7" w:rsidRDefault="00355C8F" w:rsidP="006061D5">
            <w:pPr>
              <w:pStyle w:val="Tabletext1"/>
              <w:ind w:left="22"/>
              <w:jc w:val="center"/>
            </w:pPr>
            <w:r>
              <w:t>2.5 (1.1-3.2)*</w:t>
            </w:r>
          </w:p>
        </w:tc>
        <w:tc>
          <w:tcPr>
            <w:tcW w:w="3006" w:type="dxa"/>
          </w:tcPr>
          <w:p w14:paraId="4D6D16EA" w14:textId="2C08E60D" w:rsidR="00D851E7" w:rsidRDefault="0047651B" w:rsidP="006061D5">
            <w:pPr>
              <w:pStyle w:val="Tabletext1"/>
              <w:ind w:left="22"/>
              <w:jc w:val="center"/>
            </w:pPr>
            <w:r>
              <w:t>12.4 (</w:t>
            </w:r>
            <w:r w:rsidR="0053584F">
              <w:t>8.80-14.2)</w:t>
            </w:r>
          </w:p>
        </w:tc>
      </w:tr>
      <w:tr w:rsidR="00D851E7" w14:paraId="7B96CB99" w14:textId="77777777" w:rsidTr="00D851E7">
        <w:tc>
          <w:tcPr>
            <w:tcW w:w="3005" w:type="dxa"/>
          </w:tcPr>
          <w:p w14:paraId="55A0253A" w14:textId="7B11D472" w:rsidR="00D851E7" w:rsidRDefault="00972034" w:rsidP="006061D5">
            <w:pPr>
              <w:pStyle w:val="Tabletext1"/>
              <w:ind w:left="22"/>
            </w:pPr>
            <w:r>
              <w:t>EXT-PTV</w:t>
            </w:r>
            <w:r w:rsidRPr="00D07D43">
              <w:rPr>
                <w:vertAlign w:val="subscript"/>
              </w:rPr>
              <w:t>2cm</w:t>
            </w:r>
            <w:r>
              <w:t xml:space="preserve"> D</w:t>
            </w:r>
            <w:r w:rsidRPr="006061D5">
              <w:rPr>
                <w:vertAlign w:val="subscript"/>
              </w:rPr>
              <w:t>1%</w:t>
            </w:r>
            <w:r>
              <w:t xml:space="preserve"> (Gy)</w:t>
            </w:r>
          </w:p>
        </w:tc>
        <w:tc>
          <w:tcPr>
            <w:tcW w:w="3005" w:type="dxa"/>
          </w:tcPr>
          <w:p w14:paraId="7BC11216" w14:textId="0AF8D99E" w:rsidR="00D851E7" w:rsidRDefault="005A4BDF" w:rsidP="006061D5">
            <w:pPr>
              <w:pStyle w:val="Tabletext1"/>
              <w:ind w:left="22"/>
              <w:jc w:val="center"/>
            </w:pPr>
            <w:r>
              <w:t>4.2 (2.1-6.8)</w:t>
            </w:r>
            <w:r w:rsidR="00EC3138">
              <w:t>*</w:t>
            </w:r>
          </w:p>
        </w:tc>
        <w:tc>
          <w:tcPr>
            <w:tcW w:w="3006" w:type="dxa"/>
          </w:tcPr>
          <w:p w14:paraId="38DFC509" w14:textId="275843DF" w:rsidR="00D851E7" w:rsidRDefault="003E5EFC" w:rsidP="006061D5">
            <w:pPr>
              <w:pStyle w:val="Tabletext1"/>
              <w:ind w:left="22"/>
              <w:jc w:val="center"/>
            </w:pPr>
            <w:r>
              <w:t>29.</w:t>
            </w:r>
            <w:r w:rsidR="00E80AE2">
              <w:t>5 (</w:t>
            </w:r>
            <w:r w:rsidR="006D1A18">
              <w:t>26.2-31.2)</w:t>
            </w:r>
          </w:p>
        </w:tc>
      </w:tr>
      <w:tr w:rsidR="00972034" w14:paraId="74818EF8" w14:textId="77777777" w:rsidTr="001F583C">
        <w:tc>
          <w:tcPr>
            <w:tcW w:w="3005" w:type="dxa"/>
            <w:tcBorders>
              <w:bottom w:val="single" w:sz="4" w:space="0" w:color="auto"/>
            </w:tcBorders>
          </w:tcPr>
          <w:p w14:paraId="5CE15B4D" w14:textId="0360D0AA" w:rsidR="00972034" w:rsidRDefault="00972034" w:rsidP="00D851E7">
            <w:pPr>
              <w:pStyle w:val="Tabletext1"/>
              <w:ind w:left="22"/>
            </w:pPr>
            <w:r>
              <w:t>GI grade ≥ 2 acute toxicity NTCP (%)</w:t>
            </w:r>
          </w:p>
        </w:tc>
        <w:tc>
          <w:tcPr>
            <w:tcW w:w="3005" w:type="dxa"/>
            <w:tcBorders>
              <w:bottom w:val="single" w:sz="4" w:space="0" w:color="auto"/>
            </w:tcBorders>
          </w:tcPr>
          <w:p w14:paraId="4C7877C2" w14:textId="2B10BC36" w:rsidR="00972034" w:rsidRDefault="005A4BDF" w:rsidP="00565D3D">
            <w:pPr>
              <w:pStyle w:val="Tabletext1"/>
              <w:ind w:left="22"/>
              <w:jc w:val="center"/>
            </w:pPr>
            <w:r>
              <w:t xml:space="preserve">0.013 </w:t>
            </w:r>
            <w:r w:rsidR="00F9510D">
              <w:t>(</w:t>
            </w:r>
            <w:r>
              <w:t>-</w:t>
            </w:r>
            <w:r w:rsidR="00F9510D">
              <w:t xml:space="preserve"> </w:t>
            </w:r>
            <w:r>
              <w:t>0.61-0.41)</w:t>
            </w:r>
          </w:p>
        </w:tc>
        <w:tc>
          <w:tcPr>
            <w:tcW w:w="3006" w:type="dxa"/>
            <w:tcBorders>
              <w:bottom w:val="single" w:sz="4" w:space="0" w:color="auto"/>
            </w:tcBorders>
          </w:tcPr>
          <w:p w14:paraId="44971EB3" w14:textId="19E43C3F" w:rsidR="00972034" w:rsidRDefault="00A35245" w:rsidP="00565D3D">
            <w:pPr>
              <w:pStyle w:val="Tabletext1"/>
              <w:ind w:left="22"/>
              <w:jc w:val="center"/>
            </w:pPr>
            <w:r>
              <w:t>0.08 (0.00-21.2)</w:t>
            </w:r>
          </w:p>
        </w:tc>
      </w:tr>
      <w:tr w:rsidR="00A35245" w14:paraId="29AA7C7C" w14:textId="77777777" w:rsidTr="001F583C">
        <w:tc>
          <w:tcPr>
            <w:tcW w:w="3005" w:type="dxa"/>
            <w:tcBorders>
              <w:right w:val="nil"/>
            </w:tcBorders>
          </w:tcPr>
          <w:p w14:paraId="31703DF4" w14:textId="5343007D" w:rsidR="00A35245" w:rsidRPr="001F583C" w:rsidRDefault="00A35245" w:rsidP="00437C5B">
            <w:pPr>
              <w:pStyle w:val="Tabletext1"/>
              <w:ind w:left="22"/>
              <w:rPr>
                <w:b/>
              </w:rPr>
            </w:pPr>
            <w:r w:rsidRPr="001F583C">
              <w:rPr>
                <w:b/>
              </w:rPr>
              <w:t>Prostate cancer</w:t>
            </w:r>
          </w:p>
        </w:tc>
        <w:tc>
          <w:tcPr>
            <w:tcW w:w="3005" w:type="dxa"/>
            <w:tcBorders>
              <w:left w:val="nil"/>
              <w:right w:val="nil"/>
            </w:tcBorders>
          </w:tcPr>
          <w:p w14:paraId="3A0578BB" w14:textId="77777777" w:rsidR="00A35245" w:rsidRDefault="00A35245" w:rsidP="00565D3D">
            <w:pPr>
              <w:pStyle w:val="Tabletext1"/>
              <w:ind w:left="22"/>
              <w:jc w:val="center"/>
            </w:pPr>
          </w:p>
        </w:tc>
        <w:tc>
          <w:tcPr>
            <w:tcW w:w="3006" w:type="dxa"/>
            <w:tcBorders>
              <w:left w:val="nil"/>
            </w:tcBorders>
          </w:tcPr>
          <w:p w14:paraId="7EF57585" w14:textId="77777777" w:rsidR="00A35245" w:rsidRDefault="00A35245" w:rsidP="00565D3D">
            <w:pPr>
              <w:pStyle w:val="Tabletext1"/>
              <w:ind w:left="22"/>
              <w:jc w:val="center"/>
            </w:pPr>
          </w:p>
        </w:tc>
      </w:tr>
      <w:tr w:rsidR="00A35245" w14:paraId="78089C3D" w14:textId="77777777" w:rsidTr="00437C5B">
        <w:tc>
          <w:tcPr>
            <w:tcW w:w="3005" w:type="dxa"/>
          </w:tcPr>
          <w:p w14:paraId="701B5A2E" w14:textId="54CE6061" w:rsidR="00A35245" w:rsidRDefault="00A35245" w:rsidP="00437C5B">
            <w:pPr>
              <w:pStyle w:val="Tabletext1"/>
              <w:ind w:left="22"/>
            </w:pPr>
            <w:r>
              <w:t>PTV</w:t>
            </w:r>
            <w:r w:rsidR="00567968" w:rsidRPr="00567968">
              <w:rPr>
                <w:vertAlign w:val="subscript"/>
              </w:rPr>
              <w:t>64.6Gy</w:t>
            </w:r>
            <w:r w:rsidRPr="00567968">
              <w:rPr>
                <w:vertAlign w:val="subscript"/>
              </w:rPr>
              <w:t xml:space="preserve"> </w:t>
            </w:r>
            <w:r>
              <w:t>D</w:t>
            </w:r>
            <w:r w:rsidRPr="00D07D43">
              <w:rPr>
                <w:vertAlign w:val="subscript"/>
              </w:rPr>
              <w:t>mean</w:t>
            </w:r>
            <w:r>
              <w:t xml:space="preserve"> (Gy)</w:t>
            </w:r>
          </w:p>
        </w:tc>
        <w:tc>
          <w:tcPr>
            <w:tcW w:w="3005" w:type="dxa"/>
          </w:tcPr>
          <w:p w14:paraId="645F83E1" w14:textId="7F943252" w:rsidR="00A35245" w:rsidRDefault="00EC3138" w:rsidP="00565D3D">
            <w:pPr>
              <w:pStyle w:val="Tabletext1"/>
              <w:ind w:left="22"/>
              <w:jc w:val="center"/>
            </w:pPr>
            <w:r>
              <w:t>0.6 (-</w:t>
            </w:r>
            <w:r w:rsidR="00F9510D">
              <w:t xml:space="preserve"> </w:t>
            </w:r>
            <w:r>
              <w:t>0.1-</w:t>
            </w:r>
            <w:r w:rsidR="001677E2">
              <w:t>1.3)*</w:t>
            </w:r>
          </w:p>
        </w:tc>
        <w:tc>
          <w:tcPr>
            <w:tcW w:w="3006" w:type="dxa"/>
          </w:tcPr>
          <w:p w14:paraId="3F53419B" w14:textId="5614ED2B" w:rsidR="00A35245" w:rsidRDefault="00390471" w:rsidP="00565D3D">
            <w:pPr>
              <w:pStyle w:val="Tabletext1"/>
              <w:ind w:left="22"/>
              <w:jc w:val="center"/>
            </w:pPr>
            <w:r>
              <w:t>64.6 (64.2-64.8)</w:t>
            </w:r>
          </w:p>
        </w:tc>
      </w:tr>
      <w:tr w:rsidR="00A35245" w14:paraId="1B71CA89" w14:textId="77777777" w:rsidTr="00437C5B">
        <w:tc>
          <w:tcPr>
            <w:tcW w:w="3005" w:type="dxa"/>
          </w:tcPr>
          <w:p w14:paraId="7D5ED48E" w14:textId="7ECD4678" w:rsidR="00A35245" w:rsidRDefault="00567968" w:rsidP="00437C5B">
            <w:pPr>
              <w:pStyle w:val="Tabletext1"/>
              <w:ind w:left="22"/>
            </w:pPr>
            <w:r>
              <w:t>PTV</w:t>
            </w:r>
            <w:r w:rsidRPr="00567968">
              <w:rPr>
                <w:vertAlign w:val="subscript"/>
              </w:rPr>
              <w:t>64.6Gy</w:t>
            </w:r>
            <w:r w:rsidR="00A35245">
              <w:t xml:space="preserve"> D</w:t>
            </w:r>
            <w:r w:rsidR="00A35245" w:rsidRPr="00D07D43">
              <w:rPr>
                <w:vertAlign w:val="subscript"/>
              </w:rPr>
              <w:t>1%</w:t>
            </w:r>
            <w:r w:rsidR="00A35245">
              <w:t xml:space="preserve"> (Gy)</w:t>
            </w:r>
          </w:p>
        </w:tc>
        <w:tc>
          <w:tcPr>
            <w:tcW w:w="3005" w:type="dxa"/>
          </w:tcPr>
          <w:p w14:paraId="3A0D4A4A" w14:textId="34EF2483" w:rsidR="00A35245" w:rsidRDefault="001677E2" w:rsidP="00565D3D">
            <w:pPr>
              <w:pStyle w:val="Tabletext1"/>
              <w:ind w:left="22"/>
              <w:jc w:val="center"/>
            </w:pPr>
            <w:r>
              <w:t>1.9 (0.5-2.4)</w:t>
            </w:r>
            <w:r w:rsidR="00676F43">
              <w:t>*</w:t>
            </w:r>
          </w:p>
        </w:tc>
        <w:tc>
          <w:tcPr>
            <w:tcW w:w="3006" w:type="dxa"/>
          </w:tcPr>
          <w:p w14:paraId="2AE7D8B8" w14:textId="60AC2A42" w:rsidR="00A35245" w:rsidRDefault="00390471" w:rsidP="00565D3D">
            <w:pPr>
              <w:pStyle w:val="Tabletext1"/>
              <w:ind w:left="22"/>
              <w:jc w:val="center"/>
            </w:pPr>
            <w:r>
              <w:t>66.5 (65.6-66.8)</w:t>
            </w:r>
          </w:p>
        </w:tc>
      </w:tr>
      <w:tr w:rsidR="00A35245" w14:paraId="276CCECB" w14:textId="77777777" w:rsidTr="00437C5B">
        <w:tc>
          <w:tcPr>
            <w:tcW w:w="3005" w:type="dxa"/>
          </w:tcPr>
          <w:p w14:paraId="7773AC61" w14:textId="0C39485D" w:rsidR="00A35245" w:rsidRDefault="00565D3D" w:rsidP="00437C5B">
            <w:pPr>
              <w:pStyle w:val="Tabletext1"/>
              <w:ind w:left="22"/>
            </w:pPr>
            <w:r>
              <w:t>PTV</w:t>
            </w:r>
            <w:r w:rsidRPr="00565D3D">
              <w:rPr>
                <w:vertAlign w:val="subscript"/>
              </w:rPr>
              <w:t>57.8</w:t>
            </w:r>
            <w:r w:rsidRPr="00567968">
              <w:rPr>
                <w:vertAlign w:val="subscript"/>
              </w:rPr>
              <w:t>Gy</w:t>
            </w:r>
            <w:r>
              <w:t xml:space="preserve"> D</w:t>
            </w:r>
            <w:r>
              <w:rPr>
                <w:vertAlign w:val="subscript"/>
              </w:rPr>
              <w:t>95</w:t>
            </w:r>
            <w:r w:rsidRPr="00D07D43">
              <w:rPr>
                <w:vertAlign w:val="subscript"/>
              </w:rPr>
              <w:t>%</w:t>
            </w:r>
            <w:r>
              <w:t xml:space="preserve"> (%)</w:t>
            </w:r>
          </w:p>
        </w:tc>
        <w:tc>
          <w:tcPr>
            <w:tcW w:w="3005" w:type="dxa"/>
          </w:tcPr>
          <w:p w14:paraId="2BA8F170" w14:textId="555881A4" w:rsidR="00A35245" w:rsidRDefault="001677E2" w:rsidP="00565D3D">
            <w:pPr>
              <w:pStyle w:val="Tabletext1"/>
              <w:ind w:left="0"/>
              <w:jc w:val="center"/>
            </w:pPr>
            <w:r>
              <w:t>-0.3 (- 0.6</w:t>
            </w:r>
            <w:r w:rsidR="00676F43">
              <w:t>- -0.2)*</w:t>
            </w:r>
          </w:p>
        </w:tc>
        <w:tc>
          <w:tcPr>
            <w:tcW w:w="3006" w:type="dxa"/>
          </w:tcPr>
          <w:p w14:paraId="0B431442" w14:textId="6BD56959" w:rsidR="00A35245" w:rsidRDefault="00390471" w:rsidP="00565D3D">
            <w:pPr>
              <w:pStyle w:val="Tabletext1"/>
              <w:ind w:left="22"/>
              <w:jc w:val="center"/>
            </w:pPr>
            <w:r>
              <w:t>100 (99.1-100)</w:t>
            </w:r>
          </w:p>
        </w:tc>
      </w:tr>
      <w:tr w:rsidR="00A35245" w14:paraId="44D0F70A" w14:textId="77777777" w:rsidTr="00437C5B">
        <w:tc>
          <w:tcPr>
            <w:tcW w:w="3005" w:type="dxa"/>
          </w:tcPr>
          <w:p w14:paraId="1445F8AC" w14:textId="647CB7A5" w:rsidR="00A35245" w:rsidRDefault="00565D3D" w:rsidP="00437C5B">
            <w:pPr>
              <w:pStyle w:val="Tabletext1"/>
              <w:ind w:left="22"/>
            </w:pPr>
            <w:r>
              <w:t>Rectum</w:t>
            </w:r>
            <w:r w:rsidR="00A35245">
              <w:t xml:space="preserve"> D</w:t>
            </w:r>
            <w:r w:rsidR="00A35245" w:rsidRPr="00D07D43">
              <w:rPr>
                <w:vertAlign w:val="subscript"/>
              </w:rPr>
              <w:t>mean</w:t>
            </w:r>
            <w:r w:rsidR="00A35245">
              <w:t xml:space="preserve"> (Gy)</w:t>
            </w:r>
          </w:p>
        </w:tc>
        <w:tc>
          <w:tcPr>
            <w:tcW w:w="3005" w:type="dxa"/>
          </w:tcPr>
          <w:p w14:paraId="5B61976E" w14:textId="3F2F30BD" w:rsidR="00A35245" w:rsidRDefault="00676F43" w:rsidP="00565D3D">
            <w:pPr>
              <w:pStyle w:val="Tabletext1"/>
              <w:ind w:left="22"/>
              <w:jc w:val="center"/>
            </w:pPr>
            <w:r>
              <w:t>0.8 (- 2.5-3.7)</w:t>
            </w:r>
          </w:p>
        </w:tc>
        <w:tc>
          <w:tcPr>
            <w:tcW w:w="3006" w:type="dxa"/>
          </w:tcPr>
          <w:p w14:paraId="49FB3299" w14:textId="4052F37F" w:rsidR="00A35245" w:rsidRDefault="00567968" w:rsidP="00565D3D">
            <w:pPr>
              <w:pStyle w:val="Tabletext1"/>
              <w:ind w:left="22"/>
              <w:jc w:val="center"/>
            </w:pPr>
            <w:r>
              <w:t>25.3 (12.7-29.7)</w:t>
            </w:r>
          </w:p>
        </w:tc>
      </w:tr>
      <w:tr w:rsidR="00A35245" w14:paraId="54AAF48B" w14:textId="77777777" w:rsidTr="00437C5B">
        <w:tc>
          <w:tcPr>
            <w:tcW w:w="3005" w:type="dxa"/>
          </w:tcPr>
          <w:p w14:paraId="1FA22436" w14:textId="6F504BFF" w:rsidR="00A35245" w:rsidRDefault="00565D3D" w:rsidP="00437C5B">
            <w:pPr>
              <w:pStyle w:val="Tabletext1"/>
              <w:ind w:left="22"/>
            </w:pPr>
            <w:r>
              <w:t>Anal sphincter</w:t>
            </w:r>
            <w:r w:rsidR="00A35245">
              <w:t xml:space="preserve"> D</w:t>
            </w:r>
            <w:r w:rsidR="00A35245" w:rsidRPr="00D07D43">
              <w:rPr>
                <w:vertAlign w:val="subscript"/>
              </w:rPr>
              <w:t>mean</w:t>
            </w:r>
            <w:r w:rsidR="00A35245">
              <w:t xml:space="preserve"> (Gy)</w:t>
            </w:r>
          </w:p>
        </w:tc>
        <w:tc>
          <w:tcPr>
            <w:tcW w:w="3005" w:type="dxa"/>
          </w:tcPr>
          <w:p w14:paraId="2A53DC79" w14:textId="08AD02A9" w:rsidR="00A35245" w:rsidRDefault="00676F43" w:rsidP="00565D3D">
            <w:pPr>
              <w:pStyle w:val="Tabletext1"/>
              <w:ind w:left="22"/>
              <w:jc w:val="center"/>
            </w:pPr>
            <w:r>
              <w:t>0.7 (- 2.0 - -0.9)</w:t>
            </w:r>
          </w:p>
        </w:tc>
        <w:tc>
          <w:tcPr>
            <w:tcW w:w="3006" w:type="dxa"/>
          </w:tcPr>
          <w:p w14:paraId="6E3DD1EA" w14:textId="05106B53" w:rsidR="00A35245" w:rsidRDefault="00567968" w:rsidP="00565D3D">
            <w:pPr>
              <w:pStyle w:val="Tabletext1"/>
              <w:ind w:left="22"/>
              <w:jc w:val="center"/>
            </w:pPr>
            <w:r>
              <w:t>12.3 (3.80-31.3)</w:t>
            </w:r>
          </w:p>
        </w:tc>
      </w:tr>
      <w:tr w:rsidR="00A35245" w14:paraId="2D81AC97" w14:textId="77777777" w:rsidTr="00437C5B">
        <w:tc>
          <w:tcPr>
            <w:tcW w:w="3005" w:type="dxa"/>
          </w:tcPr>
          <w:p w14:paraId="3D74601F" w14:textId="76A18895" w:rsidR="00A35245" w:rsidRDefault="00A35245" w:rsidP="00437C5B">
            <w:pPr>
              <w:pStyle w:val="Tabletext1"/>
              <w:ind w:left="22"/>
            </w:pPr>
            <w:r>
              <w:t>EXT D</w:t>
            </w:r>
            <w:r w:rsidRPr="00D07D43">
              <w:rPr>
                <w:vertAlign w:val="subscript"/>
              </w:rPr>
              <w:t>mean</w:t>
            </w:r>
            <w:r>
              <w:t xml:space="preserve"> (Gy)</w:t>
            </w:r>
          </w:p>
        </w:tc>
        <w:tc>
          <w:tcPr>
            <w:tcW w:w="3005" w:type="dxa"/>
          </w:tcPr>
          <w:p w14:paraId="3498671E" w14:textId="398C53B0" w:rsidR="00A35245" w:rsidRDefault="006C1E81" w:rsidP="00565D3D">
            <w:pPr>
              <w:pStyle w:val="Tabletext1"/>
              <w:ind w:left="0"/>
              <w:jc w:val="center"/>
            </w:pPr>
            <w:r>
              <w:t xml:space="preserve">- </w:t>
            </w:r>
            <w:r w:rsidR="00031EF5">
              <w:t>1.7 (- 2.7- -1.4)*</w:t>
            </w:r>
          </w:p>
        </w:tc>
        <w:tc>
          <w:tcPr>
            <w:tcW w:w="3006" w:type="dxa"/>
          </w:tcPr>
          <w:p w14:paraId="55B8CC47" w14:textId="2E41CA4C" w:rsidR="00A35245" w:rsidRDefault="00567968" w:rsidP="00565D3D">
            <w:pPr>
              <w:pStyle w:val="Tabletext1"/>
              <w:ind w:left="22"/>
              <w:jc w:val="center"/>
            </w:pPr>
            <w:r>
              <w:t>7.45 (5.70-8.20)</w:t>
            </w:r>
          </w:p>
        </w:tc>
      </w:tr>
      <w:tr w:rsidR="00A35245" w14:paraId="2E27C250" w14:textId="77777777" w:rsidTr="00437C5B">
        <w:tc>
          <w:tcPr>
            <w:tcW w:w="3005" w:type="dxa"/>
          </w:tcPr>
          <w:p w14:paraId="62C6ECCD" w14:textId="007FBAE4" w:rsidR="00A35245" w:rsidRDefault="00A35245" w:rsidP="00437C5B">
            <w:pPr>
              <w:pStyle w:val="Tabletext1"/>
              <w:ind w:left="22"/>
            </w:pPr>
            <w:r>
              <w:t>EXT-PTV</w:t>
            </w:r>
            <w:r w:rsidRPr="00B21A20">
              <w:rPr>
                <w:vertAlign w:val="subscript"/>
              </w:rPr>
              <w:t>2cm</w:t>
            </w:r>
            <w:r>
              <w:t xml:space="preserve"> </w:t>
            </w:r>
            <w:r w:rsidR="00565D3D">
              <w:t>D</w:t>
            </w:r>
            <w:r w:rsidR="00565D3D" w:rsidRPr="00D07D43">
              <w:rPr>
                <w:vertAlign w:val="subscript"/>
              </w:rPr>
              <w:t>mean</w:t>
            </w:r>
            <w:r>
              <w:t xml:space="preserve"> (Gy)</w:t>
            </w:r>
          </w:p>
        </w:tc>
        <w:tc>
          <w:tcPr>
            <w:tcW w:w="3005" w:type="dxa"/>
          </w:tcPr>
          <w:p w14:paraId="04776D69" w14:textId="69E83B09" w:rsidR="00A35245" w:rsidRDefault="006C1E81" w:rsidP="00565D3D">
            <w:pPr>
              <w:pStyle w:val="Tabletext1"/>
              <w:ind w:left="22"/>
              <w:jc w:val="center"/>
            </w:pPr>
            <w:r w:rsidRPr="006C1E81">
              <w:t>-</w:t>
            </w:r>
            <w:r>
              <w:t xml:space="preserve"> 1.2</w:t>
            </w:r>
            <w:r w:rsidR="00390471">
              <w:t xml:space="preserve"> (- 2.0 - -0.9)*</w:t>
            </w:r>
          </w:p>
        </w:tc>
        <w:tc>
          <w:tcPr>
            <w:tcW w:w="3006" w:type="dxa"/>
          </w:tcPr>
          <w:p w14:paraId="74AD0F10" w14:textId="65123EBA" w:rsidR="00A35245" w:rsidRDefault="00567968" w:rsidP="00565D3D">
            <w:pPr>
              <w:pStyle w:val="Tabletext1"/>
              <w:ind w:left="22"/>
              <w:jc w:val="center"/>
            </w:pPr>
            <w:r>
              <w:t>5.56 (4.50-5.90)</w:t>
            </w:r>
          </w:p>
        </w:tc>
      </w:tr>
      <w:tr w:rsidR="00A35245" w14:paraId="014E2E3D" w14:textId="77777777" w:rsidTr="00437C5B">
        <w:tc>
          <w:tcPr>
            <w:tcW w:w="3005" w:type="dxa"/>
          </w:tcPr>
          <w:p w14:paraId="46564750" w14:textId="15AE04D3" w:rsidR="00A35245" w:rsidRDefault="00565D3D" w:rsidP="002A0A7E">
            <w:pPr>
              <w:pStyle w:val="Tabletext1"/>
              <w:ind w:left="22"/>
            </w:pPr>
            <w:r>
              <w:t>EXT-PTV</w:t>
            </w:r>
            <w:r w:rsidRPr="00D07D43">
              <w:rPr>
                <w:vertAlign w:val="subscript"/>
              </w:rPr>
              <w:t>2cm</w:t>
            </w:r>
            <w:r>
              <w:t xml:space="preserve"> D</w:t>
            </w:r>
            <w:r w:rsidRPr="006061D5">
              <w:rPr>
                <w:vertAlign w:val="subscript"/>
              </w:rPr>
              <w:t>1%</w:t>
            </w:r>
            <w:r>
              <w:t xml:space="preserve"> (Gy)</w:t>
            </w:r>
          </w:p>
        </w:tc>
        <w:tc>
          <w:tcPr>
            <w:tcW w:w="3005" w:type="dxa"/>
          </w:tcPr>
          <w:p w14:paraId="76FA9024" w14:textId="25FF4B2E" w:rsidR="00A35245" w:rsidRDefault="00390471" w:rsidP="00565D3D">
            <w:pPr>
              <w:pStyle w:val="Tabletext1"/>
              <w:ind w:left="22"/>
              <w:jc w:val="center"/>
            </w:pPr>
            <w:r>
              <w:t>0.2 (- 2.4-2.7)</w:t>
            </w:r>
          </w:p>
        </w:tc>
        <w:tc>
          <w:tcPr>
            <w:tcW w:w="3006" w:type="dxa"/>
          </w:tcPr>
          <w:p w14:paraId="0578AB3E" w14:textId="22A4115C" w:rsidR="00A35245" w:rsidRDefault="00567968" w:rsidP="00565D3D">
            <w:pPr>
              <w:pStyle w:val="Tabletext1"/>
              <w:ind w:left="22"/>
              <w:jc w:val="center"/>
            </w:pPr>
            <w:r>
              <w:t>29.8 (28.1-32.4)</w:t>
            </w:r>
          </w:p>
        </w:tc>
      </w:tr>
      <w:tr w:rsidR="00390471" w14:paraId="66608CA6" w14:textId="77777777" w:rsidTr="00A577F5">
        <w:tc>
          <w:tcPr>
            <w:tcW w:w="3005" w:type="dxa"/>
          </w:tcPr>
          <w:p w14:paraId="5E85347F" w14:textId="2C0CBBFA" w:rsidR="00390471" w:rsidRDefault="00565D3D" w:rsidP="002A0A7E">
            <w:pPr>
              <w:pStyle w:val="Tabletext1"/>
              <w:ind w:left="22"/>
            </w:pPr>
            <w:r>
              <w:t>Late rectal bleeding grade ≥2 toxicity NTCP (%)</w:t>
            </w:r>
          </w:p>
        </w:tc>
        <w:tc>
          <w:tcPr>
            <w:tcW w:w="3005" w:type="dxa"/>
          </w:tcPr>
          <w:p w14:paraId="373BCC7F" w14:textId="0DFD68A3" w:rsidR="00390471" w:rsidRDefault="00390471" w:rsidP="00565D3D">
            <w:pPr>
              <w:pStyle w:val="Tabletext1"/>
              <w:ind w:left="22"/>
              <w:jc w:val="center"/>
            </w:pPr>
            <w:r>
              <w:t>0.17 (- 2.31-1.81)</w:t>
            </w:r>
          </w:p>
        </w:tc>
        <w:tc>
          <w:tcPr>
            <w:tcW w:w="3006" w:type="dxa"/>
          </w:tcPr>
          <w:p w14:paraId="0C20EE3F" w14:textId="31D0F734" w:rsidR="00390471" w:rsidRDefault="00567968" w:rsidP="00565D3D">
            <w:pPr>
              <w:pStyle w:val="Tabletext1"/>
              <w:ind w:left="22"/>
              <w:jc w:val="center"/>
            </w:pPr>
            <w:r>
              <w:t>10.4 (3.88-13.7)</w:t>
            </w:r>
          </w:p>
        </w:tc>
      </w:tr>
    </w:tbl>
    <w:p w14:paraId="75EA734B" w14:textId="530C00C1" w:rsidR="00B804FB" w:rsidRDefault="001F583C" w:rsidP="001F583C">
      <w:pPr>
        <w:pStyle w:val="Tablenotes0"/>
        <w:jc w:val="left"/>
      </w:pPr>
      <w:r>
        <w:t xml:space="preserve">Source: </w:t>
      </w:r>
      <w:hyperlink w:anchor="_ENREF_77" w:tooltip="van de Schoot, 2019 #85" w:history="1">
        <w:r w:rsidR="008B6FC0">
          <w:fldChar w:fldCharType="begin"/>
        </w:r>
        <w:r w:rsidR="008B6FC0">
          <w:instrText xml:space="preserve"> ADDIN EN.CITE &lt;EndNote&gt;&lt;Cite AuthorYear="1"&gt;&lt;Author&gt;van de Schoot&lt;/Author&gt;&lt;Year&gt;2019&lt;/Year&gt;&lt;RecNum&gt;85&lt;/RecNum&gt;&lt;DisplayText&gt;van de Schoot et al. (2019)&lt;/DisplayText&gt;&lt;record&gt;&lt;rec-number&gt;85&lt;/rec-number&gt;&lt;foreign-keys&gt;&lt;key app="EN" db-id="sx5wsdwv795wvue959xxw0ptaewvdezxxp05" timestamp="1604961079"&gt;85&lt;/key&gt;&lt;/foreign-keys&gt;&lt;ref-type name="Journal Article"&gt;17&lt;/ref-type&gt;&lt;contributors&gt;&lt;authors&gt;&lt;author&gt;van de Schoot, A. J. A. J.&lt;/author&gt;&lt;author&gt;van den Wollenberg, W.&lt;/author&gt;&lt;author&gt;Carbaat, C.&lt;/author&gt;&lt;author&gt;de Ruiter, P.&lt;/author&gt;&lt;author&gt;Nowee, M. E.&lt;/author&gt;&lt;author&gt;Pos, F.&lt;/author&gt;&lt;author&gt;van Triest, B.&lt;/author&gt;&lt;author&gt;Sonke, J. J.&lt;/author&gt;&lt;author&gt;Janssen, T. M.&lt;/author&gt;&lt;/authors&gt;&lt;/contributors&gt;&lt;titles&gt;&lt;title&gt;Evaluation of plan quality in radiotherapy planning with an MR-linac&lt;/title&gt;&lt;secondary-title&gt;Physics and Imaging in Radiation Oncology&lt;/secondary-title&gt;&lt;/titles&gt;&lt;pages&gt;19-24&lt;/pages&gt;&lt;volume&gt;10&lt;/volume&gt;&lt;dates&gt;&lt;year&gt;2019&lt;/year&gt;&lt;/dates&gt;&lt;accession-num&gt;2001862328&lt;/accession-num&gt;&lt;urls&gt;&lt;related-urls&gt;&lt;url&gt;https://www.journals.elsevier.com/physics-and-imaging-in-radiation-oncology/http://ezproxy.library.usyd.edu.au/login?url=http://ovidsp.ovid.com/ovidweb.cgi?T=JS&amp;amp;CSC=Y&amp;amp;NEWS=N&amp;amp;PAGE=fulltext&amp;amp;D=emexa&amp;amp;AN=2001862328https://sydney.alma.exlibrisgroup.com/openurl/&lt;/url&gt;&lt;/related-urls&gt;&lt;/urls&gt;&lt;electronic-resource-num&gt;http://dx.doi.org/10.1016/j.phro.2019.04.004&lt;/electronic-resource-num&gt;&lt;/record&gt;&lt;/Cite&gt;&lt;/EndNote&gt;</w:instrText>
        </w:r>
        <w:r w:rsidR="008B6FC0">
          <w:fldChar w:fldCharType="separate"/>
        </w:r>
        <w:r w:rsidR="008B6FC0">
          <w:rPr>
            <w:noProof/>
          </w:rPr>
          <w:t>van de Schoot et al. (2019)</w:t>
        </w:r>
        <w:r w:rsidR="008B6FC0">
          <w:fldChar w:fldCharType="end"/>
        </w:r>
      </w:hyperlink>
      <w:r w:rsidR="00BD7E5A">
        <w:t xml:space="preserve">, </w:t>
      </w:r>
      <w:r>
        <w:t>Table 3, p 22</w:t>
      </w:r>
      <w:r>
        <w:br/>
      </w:r>
      <w:r w:rsidR="00EE63B9">
        <w:t>D</w:t>
      </w:r>
      <w:r w:rsidR="00EE63B9" w:rsidRPr="00D07D43">
        <w:rPr>
          <w:vertAlign w:val="subscript"/>
        </w:rPr>
        <w:t>mean</w:t>
      </w:r>
      <w:r w:rsidR="00BD7E5A" w:rsidRPr="00AE1B4C">
        <w:t>=</w:t>
      </w:r>
      <w:r w:rsidR="00EE63B9">
        <w:t>mean dose</w:t>
      </w:r>
      <w:r w:rsidR="0088215C">
        <w:t xml:space="preserve">; </w:t>
      </w:r>
      <w:r w:rsidR="00EE63B9">
        <w:t>EXT</w:t>
      </w:r>
      <w:r w:rsidR="00BD7E5A" w:rsidRPr="00AE1B4C">
        <w:t>=</w:t>
      </w:r>
      <w:r w:rsidR="006248D5">
        <w:t>indicates the patient volume</w:t>
      </w:r>
      <w:r w:rsidR="00EE63B9">
        <w:t>;</w:t>
      </w:r>
      <w:r w:rsidR="006248D5">
        <w:t xml:space="preserve"> EXT-PTV</w:t>
      </w:r>
      <w:r w:rsidR="006248D5" w:rsidRPr="00D07D43">
        <w:rPr>
          <w:vertAlign w:val="subscript"/>
        </w:rPr>
        <w:t>2cm</w:t>
      </w:r>
      <w:r w:rsidR="00BD7E5A" w:rsidRPr="00AE1B4C">
        <w:t>=</w:t>
      </w:r>
      <w:r w:rsidR="006248D5" w:rsidRPr="006061D5">
        <w:t>indicates the patient volume with the PTV, along with an additional</w:t>
      </w:r>
      <w:r w:rsidR="006248D5">
        <w:rPr>
          <w:vertAlign w:val="subscript"/>
        </w:rPr>
        <w:t xml:space="preserve"> </w:t>
      </w:r>
      <w:r w:rsidR="006248D5">
        <w:t>2 cm margin removed</w:t>
      </w:r>
      <w:r w:rsidR="00EE63B9">
        <w:t>; NTCP</w:t>
      </w:r>
      <w:r w:rsidR="00BD7E5A" w:rsidRPr="00AE1B4C">
        <w:t>=</w:t>
      </w:r>
      <w:r w:rsidR="00EE63B9" w:rsidRPr="00656BB9">
        <w:t>normal tissue complication probability</w:t>
      </w:r>
      <w:r w:rsidR="0088215C">
        <w:t>;</w:t>
      </w:r>
      <w:r w:rsidR="0088215C" w:rsidRPr="0088215C">
        <w:t xml:space="preserve"> </w:t>
      </w:r>
      <w:r w:rsidR="0088215C">
        <w:t>PTV</w:t>
      </w:r>
      <w:r w:rsidR="00BD7E5A" w:rsidRPr="00AE1B4C">
        <w:t>=</w:t>
      </w:r>
      <w:r w:rsidR="0088215C">
        <w:t>planned target volume;</w:t>
      </w:r>
      <w:r>
        <w:br/>
        <w:t xml:space="preserve">Positive values indicate higher DVH parameters for the MR-linac plans. </w:t>
      </w:r>
      <w:r w:rsidR="00EE63B9">
        <w:br/>
        <w:t>*</w:t>
      </w:r>
      <w:r>
        <w:t>Statistical</w:t>
      </w:r>
      <w:r w:rsidR="00EE63B9">
        <w:t>ly</w:t>
      </w:r>
      <w:r>
        <w:t xml:space="preserve"> significant difference (Wilcoxon p &lt; 0.05) </w:t>
      </w:r>
      <w:r w:rsidR="00EE63B9">
        <w:br/>
      </w:r>
      <w:r>
        <w:t>Also listed are the median (min – max)</w:t>
      </w:r>
      <w:r w:rsidR="006E5317">
        <w:t xml:space="preserve"> DVH</w:t>
      </w:r>
      <w:r>
        <w:t xml:space="preserve"> parameters for the clinical plans.</w:t>
      </w:r>
    </w:p>
    <w:p w14:paraId="2317680E" w14:textId="0E85D41E" w:rsidR="006E5317" w:rsidRDefault="00211285" w:rsidP="006E5317">
      <w:hyperlink w:anchor="_ENREF_83" w:tooltip="Winkel, 2020 #91" w:history="1">
        <w:r w:rsidR="008B6FC0">
          <w:fldChar w:fldCharType="begin"/>
        </w:r>
        <w:r w:rsidR="008B6FC0">
          <w:instrText xml:space="preserve"> ADDIN EN.CITE &lt;EndNote&gt;&lt;Cite AuthorYear="1"&gt;&lt;Author&gt;Winkel&lt;/Author&gt;&lt;Year&gt;2020&lt;/Year&gt;&lt;RecNum&gt;91&lt;/RecNum&gt;&lt;DisplayText&gt;Winkel et al. (2020)&lt;/DisplayText&gt;&lt;record&gt;&lt;rec-number&gt;91&lt;/rec-number&gt;&lt;foreign-keys&gt;&lt;key app="EN" db-id="sx5wsdwv795wvue959xxw0ptaewvdezxxp05" timestamp="1607576001"&gt;91&lt;/key&gt;&lt;/foreign-keys&gt;&lt;ref-type name="Journal Article"&gt;17&lt;/ref-type&gt;&lt;contributors&gt;&lt;authors&gt;&lt;author&gt;Winkel, D.&lt;/author&gt;&lt;author&gt;Bol, G. H.&lt;/author&gt;&lt;author&gt;Werensteijn-Honingh, A. M.&lt;/author&gt;&lt;author&gt;Intven, M. P. W.&lt;/author&gt;&lt;author&gt;Eppinga, W. S. C.&lt;/author&gt;&lt;author&gt;Hes, J.&lt;/author&gt;&lt;author&gt;Snoeren, L. M. W.&lt;/author&gt;&lt;author&gt;Sikkes, G. G.&lt;/author&gt;&lt;author&gt;Gadellaa-van Hooijdonk, C. G. M.&lt;/author&gt;&lt;author&gt;Raaymakers, B. W.&lt;/author&gt;&lt;author&gt;Jürgenliemk-Schulz, I. M.&lt;/author&gt;&lt;author&gt;Kroon, P. S.&lt;/author&gt;&lt;/authors&gt;&lt;/contributors&gt;&lt;auth-address&gt;Department of Radiotherapy, University Medical Center, Utrecht, The Netherlands. Electronic address: d.winkel-2@umcutrecht.nl.&amp;#xD;Department of Radiotherapy, University Medical Center, Utrecht, The Netherlands.&lt;/auth-address&gt;&lt;titles&gt;&lt;title&gt;Target coverage and dose criteria based evaluation of the first clinical 1.5T MR-linac SBRT treatments of lymph node oligometastases compared with conventional CBCT-linac treatment&lt;/title&gt;&lt;secondary-title&gt;Radiother Oncol&lt;/secondary-title&gt;&lt;/titles&gt;&lt;pages&gt;118-125&lt;/pages&gt;&lt;volume&gt;146&lt;/volume&gt;&lt;edition&gt;2020/03/09&lt;/edition&gt;&lt;keywords&gt;&lt;keyword&gt;Lymph node oligometastases&lt;/keyword&gt;&lt;keyword&gt;MR-linac&lt;/keyword&gt;&lt;keyword&gt;MRI-guided radiotherapy&lt;/keyword&gt;&lt;keyword&gt;Online plan adaptation&lt;/keyword&gt;&lt;keyword&gt;Radiotherapy&lt;/keyword&gt;&lt;/keywords&gt;&lt;dates&gt;&lt;year&gt;2020&lt;/year&gt;&lt;pub-dates&gt;&lt;date&gt;May&lt;/date&gt;&lt;/pub-dates&gt;&lt;/dates&gt;&lt;isbn&gt;0167-8140&lt;/isbn&gt;&lt;accession-num&gt;32146257&lt;/accession-num&gt;&lt;urls&gt;&lt;/urls&gt;&lt;electronic-resource-num&gt;10.1016/j.radonc.2020.02.011&lt;/electronic-resource-num&gt;&lt;remote-database-provider&gt;NLM&lt;/remote-database-provider&gt;&lt;language&gt;eng&lt;/language&gt;&lt;/record&gt;&lt;/Cite&gt;&lt;/EndNote&gt;</w:instrText>
        </w:r>
        <w:r w:rsidR="008B6FC0">
          <w:fldChar w:fldCharType="separate"/>
        </w:r>
        <w:r w:rsidR="008B6FC0">
          <w:rPr>
            <w:noProof/>
          </w:rPr>
          <w:t>Winkel et al. (2020)</w:t>
        </w:r>
        <w:r w:rsidR="008B6FC0">
          <w:fldChar w:fldCharType="end"/>
        </w:r>
      </w:hyperlink>
      <w:r w:rsidR="006E5317">
        <w:t xml:space="preserve"> performed a target coverage and dose criteria-based evaluation of the clinically delivered online ART compared with conventional CBCT-linac treatment of patients with single or multiple (2-3) pelvic and para-aortic lymph node oligometastases. Patients were treated with 1.5T MR-linac and CBCT plans were also created for each patient.</w:t>
      </w:r>
      <w:r w:rsidR="00ED089D">
        <w:t xml:space="preserve"> MR-linac improved the percentage of </w:t>
      </w:r>
      <w:r w:rsidR="00ED089D">
        <w:lastRenderedPageBreak/>
        <w:t>plans that met all dose constraints (PTV coverage and OAR constraints) from 19% to 84% for single oligometastases and from 20% to 67% for multiple metastases. There was a smaller amount of unplanned violations of high dose criteria in the MR-linac plans. The authors concluded that the benefit was particularly gained in patients with multiple lymph node oligometastases.</w:t>
      </w:r>
    </w:p>
    <w:p w14:paraId="5D60D0A9" w14:textId="7FEACD35" w:rsidR="00091315" w:rsidRDefault="00091315" w:rsidP="00091315">
      <w:pPr>
        <w:pStyle w:val="Caption"/>
        <w:keepNext/>
      </w:pPr>
      <w:bookmarkStart w:id="402" w:name="_Toc89857902"/>
      <w:r>
        <w:t xml:space="preserve">Table </w:t>
      </w:r>
      <w:r w:rsidR="00211285">
        <w:fldChar w:fldCharType="begin"/>
      </w:r>
      <w:r w:rsidR="00211285">
        <w:instrText xml:space="preserve"> SEQ Table \* ARABIC </w:instrText>
      </w:r>
      <w:r w:rsidR="00211285">
        <w:fldChar w:fldCharType="separate"/>
      </w:r>
      <w:r w:rsidR="00451350">
        <w:rPr>
          <w:noProof/>
        </w:rPr>
        <w:t>31</w:t>
      </w:r>
      <w:r w:rsidR="00211285">
        <w:rPr>
          <w:noProof/>
        </w:rPr>
        <w:fldChar w:fldCharType="end"/>
      </w:r>
      <w:r>
        <w:tab/>
      </w:r>
      <w:r w:rsidR="002855C7">
        <w:t>Comparison of</w:t>
      </w:r>
      <w:r>
        <w:t xml:space="preserve"> MR-linac</w:t>
      </w:r>
      <w:r w:rsidR="002855C7">
        <w:t xml:space="preserve"> and CBCT-linac</w:t>
      </w:r>
      <w:r>
        <w:t xml:space="preserve"> plans</w:t>
      </w:r>
      <w:r w:rsidR="002855C7">
        <w:t xml:space="preserve">, </w:t>
      </w:r>
      <w:hyperlink w:anchor="_ENREF_83" w:tooltip="Winkel, 2020 #91" w:history="1">
        <w:r w:rsidR="008B6FC0">
          <w:fldChar w:fldCharType="begin"/>
        </w:r>
        <w:r w:rsidR="008B6FC0">
          <w:instrText xml:space="preserve"> ADDIN EN.CITE &lt;EndNote&gt;&lt;Cite AuthorYear="1"&gt;&lt;Author&gt;Winkel&lt;/Author&gt;&lt;Year&gt;2020&lt;/Year&gt;&lt;RecNum&gt;91&lt;/RecNum&gt;&lt;DisplayText&gt;Winkel et al. (2020)&lt;/DisplayText&gt;&lt;record&gt;&lt;rec-number&gt;91&lt;/rec-number&gt;&lt;foreign-keys&gt;&lt;key app="EN" db-id="sx5wsdwv795wvue959xxw0ptaewvdezxxp05" timestamp="1607576001"&gt;91&lt;/key&gt;&lt;/foreign-keys&gt;&lt;ref-type name="Journal Article"&gt;17&lt;/ref-type&gt;&lt;contributors&gt;&lt;authors&gt;&lt;author&gt;Winkel, D.&lt;/author&gt;&lt;author&gt;Bol, G. H.&lt;/author&gt;&lt;author&gt;Werensteijn-Honingh, A. M.&lt;/author&gt;&lt;author&gt;Intven, M. P. W.&lt;/author&gt;&lt;author&gt;Eppinga, W. S. C.&lt;/author&gt;&lt;author&gt;Hes, J.&lt;/author&gt;&lt;author&gt;Snoeren, L. M. W.&lt;/author&gt;&lt;author&gt;Sikkes, G. G.&lt;/author&gt;&lt;author&gt;Gadellaa-van Hooijdonk, C. G. M.&lt;/author&gt;&lt;author&gt;Raaymakers, B. W.&lt;/author&gt;&lt;author&gt;Jürgenliemk-Schulz, I. M.&lt;/author&gt;&lt;author&gt;Kroon, P. S.&lt;/author&gt;&lt;/authors&gt;&lt;/contributors&gt;&lt;auth-address&gt;Department of Radiotherapy, University Medical Center, Utrecht, The Netherlands. Electronic address: d.winkel-2@umcutrecht.nl.&amp;#xD;Department of Radiotherapy, University Medical Center, Utrecht, The Netherlands.&lt;/auth-address&gt;&lt;titles&gt;&lt;title&gt;Target coverage and dose criteria based evaluation of the first clinical 1.5T MR-linac SBRT treatments of lymph node oligometastases compared with conventional CBCT-linac treatment&lt;/title&gt;&lt;secondary-title&gt;Radiother Oncol&lt;/secondary-title&gt;&lt;/titles&gt;&lt;pages&gt;118-125&lt;/pages&gt;&lt;volume&gt;146&lt;/volume&gt;&lt;edition&gt;2020/03/09&lt;/edition&gt;&lt;keywords&gt;&lt;keyword&gt;Lymph node oligometastases&lt;/keyword&gt;&lt;keyword&gt;MR-linac&lt;/keyword&gt;&lt;keyword&gt;MRI-guided radiotherapy&lt;/keyword&gt;&lt;keyword&gt;Online plan adaptation&lt;/keyword&gt;&lt;keyword&gt;Radiotherapy&lt;/keyword&gt;&lt;/keywords&gt;&lt;dates&gt;&lt;year&gt;2020&lt;/year&gt;&lt;pub-dates&gt;&lt;date&gt;May&lt;/date&gt;&lt;/pub-dates&gt;&lt;/dates&gt;&lt;isbn&gt;0167-8140&lt;/isbn&gt;&lt;accession-num&gt;32146257&lt;/accession-num&gt;&lt;urls&gt;&lt;/urls&gt;&lt;electronic-resource-num&gt;10.1016/j.radonc.2020.02.011&lt;/electronic-resource-num&gt;&lt;remote-database-provider&gt;NLM&lt;/remote-database-provider&gt;&lt;language&gt;eng&lt;/language&gt;&lt;/record&gt;&lt;/Cite&gt;&lt;/EndNote&gt;</w:instrText>
        </w:r>
        <w:r w:rsidR="008B6FC0">
          <w:fldChar w:fldCharType="separate"/>
        </w:r>
        <w:r w:rsidR="008B6FC0">
          <w:rPr>
            <w:noProof/>
          </w:rPr>
          <w:t>Winkel et al. (2020)</w:t>
        </w:r>
        <w:bookmarkEnd w:id="402"/>
        <w:r w:rsidR="008B6FC0">
          <w:fldChar w:fldCharType="end"/>
        </w:r>
      </w:hyperlink>
    </w:p>
    <w:tbl>
      <w:tblPr>
        <w:tblStyle w:val="TableGrid"/>
        <w:tblW w:w="5000" w:type="pct"/>
        <w:tblLook w:val="04A0" w:firstRow="1" w:lastRow="0" w:firstColumn="1" w:lastColumn="0" w:noHBand="0" w:noVBand="1"/>
        <w:tblCaption w:val="Table 31 Comparison of MR-linac and CBCT-linac plans, Winkel, 2020"/>
        <w:tblDescription w:val="This table provides comparison of MR-linac and CBCT-linac plans from Winkel, 2020."/>
      </w:tblPr>
      <w:tblGrid>
        <w:gridCol w:w="3238"/>
        <w:gridCol w:w="2880"/>
        <w:gridCol w:w="2898"/>
      </w:tblGrid>
      <w:tr w:rsidR="00ED089D" w14:paraId="050B2D72" w14:textId="2FCC9D28" w:rsidTr="00ED089D">
        <w:trPr>
          <w:tblHeader/>
        </w:trPr>
        <w:tc>
          <w:tcPr>
            <w:tcW w:w="1796" w:type="pct"/>
            <w:tcBorders>
              <w:bottom w:val="single" w:sz="4" w:space="0" w:color="auto"/>
            </w:tcBorders>
          </w:tcPr>
          <w:p w14:paraId="6631D4C2" w14:textId="77777777" w:rsidR="00ED089D" w:rsidRPr="001F583C" w:rsidRDefault="00ED089D" w:rsidP="00556AB6">
            <w:pPr>
              <w:pStyle w:val="Tabletext1"/>
              <w:ind w:left="22"/>
              <w:rPr>
                <w:b/>
              </w:rPr>
            </w:pPr>
            <w:r w:rsidRPr="001F583C">
              <w:rPr>
                <w:b/>
                <w:bCs/>
              </w:rPr>
              <w:t>DVH parameter</w:t>
            </w:r>
          </w:p>
        </w:tc>
        <w:tc>
          <w:tcPr>
            <w:tcW w:w="1597" w:type="pct"/>
            <w:tcBorders>
              <w:bottom w:val="single" w:sz="4" w:space="0" w:color="auto"/>
            </w:tcBorders>
          </w:tcPr>
          <w:p w14:paraId="20BC0FDD" w14:textId="7B66DCFC" w:rsidR="00ED089D" w:rsidRPr="001F583C" w:rsidRDefault="00ED089D" w:rsidP="00556AB6">
            <w:pPr>
              <w:pStyle w:val="Tabletext1"/>
              <w:ind w:left="22"/>
              <w:jc w:val="center"/>
              <w:rPr>
                <w:b/>
              </w:rPr>
            </w:pPr>
            <w:r w:rsidRPr="001F583C">
              <w:rPr>
                <w:b/>
              </w:rPr>
              <w:t>MR-linac</w:t>
            </w:r>
            <w:r>
              <w:rPr>
                <w:b/>
              </w:rPr>
              <w:t>, clinically delivered</w:t>
            </w:r>
          </w:p>
        </w:tc>
        <w:tc>
          <w:tcPr>
            <w:tcW w:w="1607" w:type="pct"/>
            <w:tcBorders>
              <w:bottom w:val="single" w:sz="4" w:space="0" w:color="auto"/>
            </w:tcBorders>
          </w:tcPr>
          <w:p w14:paraId="69B94EA6" w14:textId="1FAF32F4" w:rsidR="00ED089D" w:rsidRPr="001F583C" w:rsidRDefault="00ED089D" w:rsidP="00556AB6">
            <w:pPr>
              <w:pStyle w:val="Tabletext1"/>
              <w:ind w:left="22"/>
              <w:jc w:val="center"/>
              <w:rPr>
                <w:b/>
              </w:rPr>
            </w:pPr>
            <w:r>
              <w:rPr>
                <w:b/>
              </w:rPr>
              <w:t>CBCT-linac</w:t>
            </w:r>
          </w:p>
        </w:tc>
      </w:tr>
      <w:tr w:rsidR="00ED089D" w14:paraId="60A4512E" w14:textId="7343FCD8" w:rsidTr="00ED089D">
        <w:tc>
          <w:tcPr>
            <w:tcW w:w="1796" w:type="pct"/>
            <w:tcBorders>
              <w:right w:val="nil"/>
            </w:tcBorders>
          </w:tcPr>
          <w:p w14:paraId="18DB1A8D" w14:textId="4827A6E1" w:rsidR="00ED089D" w:rsidRPr="001F583C" w:rsidRDefault="00ED089D" w:rsidP="00556AB6">
            <w:pPr>
              <w:pStyle w:val="Tabletext1"/>
              <w:ind w:left="22"/>
              <w:rPr>
                <w:b/>
              </w:rPr>
            </w:pPr>
            <w:r>
              <w:rPr>
                <w:b/>
              </w:rPr>
              <w:t>Single oligometastases</w:t>
            </w:r>
          </w:p>
        </w:tc>
        <w:tc>
          <w:tcPr>
            <w:tcW w:w="1597" w:type="pct"/>
            <w:tcBorders>
              <w:left w:val="nil"/>
              <w:right w:val="nil"/>
            </w:tcBorders>
          </w:tcPr>
          <w:p w14:paraId="2896462D" w14:textId="77777777" w:rsidR="00ED089D" w:rsidRDefault="00ED089D" w:rsidP="00556AB6">
            <w:pPr>
              <w:pStyle w:val="Tabletext1"/>
              <w:ind w:left="22"/>
              <w:jc w:val="center"/>
            </w:pPr>
          </w:p>
        </w:tc>
        <w:tc>
          <w:tcPr>
            <w:tcW w:w="1607" w:type="pct"/>
            <w:tcBorders>
              <w:left w:val="nil"/>
            </w:tcBorders>
          </w:tcPr>
          <w:p w14:paraId="280EF39B" w14:textId="77777777" w:rsidR="00ED089D" w:rsidRDefault="00ED089D" w:rsidP="00556AB6">
            <w:pPr>
              <w:pStyle w:val="Tabletext1"/>
              <w:ind w:left="22"/>
              <w:jc w:val="center"/>
            </w:pPr>
          </w:p>
        </w:tc>
      </w:tr>
      <w:tr w:rsidR="00ED089D" w14:paraId="3D5F1EA6" w14:textId="67A18CAB" w:rsidTr="00ED089D">
        <w:tc>
          <w:tcPr>
            <w:tcW w:w="1796" w:type="pct"/>
          </w:tcPr>
          <w:p w14:paraId="1ACB43AE" w14:textId="77439FBC" w:rsidR="00ED089D" w:rsidRDefault="00ED089D" w:rsidP="00556AB6">
            <w:pPr>
              <w:pStyle w:val="Tabletext1"/>
              <w:ind w:left="22"/>
            </w:pPr>
            <w:r>
              <w:t>Median GTV V</w:t>
            </w:r>
            <w:r w:rsidRPr="00091315">
              <w:rPr>
                <w:vertAlign w:val="subscript"/>
              </w:rPr>
              <w:t>35Gy</w:t>
            </w:r>
          </w:p>
        </w:tc>
        <w:tc>
          <w:tcPr>
            <w:tcW w:w="1597" w:type="pct"/>
          </w:tcPr>
          <w:p w14:paraId="02F02841" w14:textId="410CB26F" w:rsidR="00ED089D" w:rsidRDefault="00ED089D" w:rsidP="00556AB6">
            <w:pPr>
              <w:pStyle w:val="Tabletext1"/>
              <w:ind w:left="22"/>
              <w:jc w:val="center"/>
            </w:pPr>
            <w:r>
              <w:t>100% (99.7-100%)</w:t>
            </w:r>
          </w:p>
        </w:tc>
        <w:tc>
          <w:tcPr>
            <w:tcW w:w="1607" w:type="pct"/>
          </w:tcPr>
          <w:p w14:paraId="52450860" w14:textId="4FE2AF48" w:rsidR="00ED089D" w:rsidRDefault="00ED089D" w:rsidP="00556AB6">
            <w:pPr>
              <w:pStyle w:val="Tabletext1"/>
              <w:ind w:left="22"/>
              <w:jc w:val="center"/>
            </w:pPr>
            <w:r>
              <w:t>100% (98.7-100%)</w:t>
            </w:r>
          </w:p>
        </w:tc>
      </w:tr>
      <w:tr w:rsidR="00ED089D" w14:paraId="78C6F275" w14:textId="44B36BC5" w:rsidTr="00ED089D">
        <w:tc>
          <w:tcPr>
            <w:tcW w:w="1796" w:type="pct"/>
          </w:tcPr>
          <w:p w14:paraId="052793A2" w14:textId="1FC6E070" w:rsidR="00ED089D" w:rsidRDefault="00ED089D" w:rsidP="00556AB6">
            <w:pPr>
              <w:pStyle w:val="Tabletext1"/>
              <w:ind w:left="22"/>
            </w:pPr>
            <w:r>
              <w:t>Median PTV V</w:t>
            </w:r>
            <w:r w:rsidRPr="00091315">
              <w:rPr>
                <w:vertAlign w:val="subscript"/>
              </w:rPr>
              <w:t>35Gy</w:t>
            </w:r>
          </w:p>
        </w:tc>
        <w:tc>
          <w:tcPr>
            <w:tcW w:w="1597" w:type="pct"/>
          </w:tcPr>
          <w:p w14:paraId="5A5772B6" w14:textId="5CFB2544" w:rsidR="00ED089D" w:rsidRDefault="00ED089D" w:rsidP="00556AB6">
            <w:pPr>
              <w:pStyle w:val="Tabletext1"/>
              <w:ind w:left="22"/>
              <w:jc w:val="center"/>
            </w:pPr>
            <w:r>
              <w:t>100% (90.7-100%)*</w:t>
            </w:r>
          </w:p>
        </w:tc>
        <w:tc>
          <w:tcPr>
            <w:tcW w:w="1607" w:type="pct"/>
          </w:tcPr>
          <w:p w14:paraId="67D8872F" w14:textId="61546B0B" w:rsidR="00ED089D" w:rsidRDefault="00ED089D" w:rsidP="00556AB6">
            <w:pPr>
              <w:pStyle w:val="Tabletext1"/>
              <w:ind w:left="22"/>
              <w:jc w:val="center"/>
            </w:pPr>
            <w:r>
              <w:t>94.9% (47.7-100%)</w:t>
            </w:r>
          </w:p>
        </w:tc>
      </w:tr>
      <w:tr w:rsidR="00ED089D" w14:paraId="08E2044A" w14:textId="0205701A" w:rsidTr="00ED089D">
        <w:tc>
          <w:tcPr>
            <w:tcW w:w="1796" w:type="pct"/>
          </w:tcPr>
          <w:p w14:paraId="03507149" w14:textId="6E220F0E" w:rsidR="00ED089D" w:rsidRDefault="00ED089D" w:rsidP="00556AB6">
            <w:pPr>
              <w:pStyle w:val="Tabletext1"/>
              <w:ind w:left="22"/>
            </w:pPr>
            <w:r>
              <w:t>All criteria met (PTV coverage + OAR constraints)</w:t>
            </w:r>
          </w:p>
        </w:tc>
        <w:tc>
          <w:tcPr>
            <w:tcW w:w="1597" w:type="pct"/>
          </w:tcPr>
          <w:p w14:paraId="4016BDE2" w14:textId="3951C67E" w:rsidR="00ED089D" w:rsidRDefault="00ED089D" w:rsidP="00556AB6">
            <w:pPr>
              <w:pStyle w:val="Tabletext1"/>
              <w:ind w:left="22"/>
              <w:jc w:val="center"/>
            </w:pPr>
            <w:r>
              <w:t>59/70 (84%)</w:t>
            </w:r>
          </w:p>
        </w:tc>
        <w:tc>
          <w:tcPr>
            <w:tcW w:w="1607" w:type="pct"/>
          </w:tcPr>
          <w:p w14:paraId="437F6211" w14:textId="23852659" w:rsidR="00ED089D" w:rsidRDefault="00ED089D" w:rsidP="00556AB6">
            <w:pPr>
              <w:pStyle w:val="Tabletext1"/>
              <w:ind w:left="22"/>
              <w:jc w:val="center"/>
            </w:pPr>
            <w:r>
              <w:t>13/70 (19%)</w:t>
            </w:r>
          </w:p>
        </w:tc>
      </w:tr>
      <w:tr w:rsidR="00ED089D" w14:paraId="2B27E1FF" w14:textId="0E74D1AA" w:rsidTr="00ED089D">
        <w:tc>
          <w:tcPr>
            <w:tcW w:w="1796" w:type="pct"/>
          </w:tcPr>
          <w:p w14:paraId="61CB43C0" w14:textId="0AE787E9" w:rsidR="00ED089D" w:rsidRDefault="00ED089D" w:rsidP="00556AB6">
            <w:pPr>
              <w:pStyle w:val="Tabletext1"/>
              <w:ind w:left="22"/>
            </w:pPr>
            <w:r>
              <w:t>Violations of OAR criteria (above the set threshold)</w:t>
            </w:r>
          </w:p>
        </w:tc>
        <w:tc>
          <w:tcPr>
            <w:tcW w:w="1597" w:type="pct"/>
          </w:tcPr>
          <w:p w14:paraId="4DF317C8" w14:textId="172D91A4" w:rsidR="00ED089D" w:rsidRDefault="00ED089D" w:rsidP="00556AB6">
            <w:pPr>
              <w:pStyle w:val="Tabletext1"/>
              <w:ind w:left="22"/>
              <w:jc w:val="center"/>
            </w:pPr>
            <w:r>
              <w:t>Max 3 Gy</w:t>
            </w:r>
          </w:p>
        </w:tc>
        <w:tc>
          <w:tcPr>
            <w:tcW w:w="1607" w:type="pct"/>
          </w:tcPr>
          <w:p w14:paraId="01E4373D" w14:textId="0F64CD66" w:rsidR="00ED089D" w:rsidRDefault="00ED089D" w:rsidP="00556AB6">
            <w:pPr>
              <w:pStyle w:val="Tabletext1"/>
              <w:ind w:left="22"/>
              <w:jc w:val="center"/>
            </w:pPr>
            <w:r>
              <w:t>Max 2.5 Gy/0.1 cc</w:t>
            </w:r>
          </w:p>
        </w:tc>
      </w:tr>
      <w:tr w:rsidR="00ED089D" w14:paraId="284D4B7A" w14:textId="2826B13A" w:rsidTr="00ED089D">
        <w:tc>
          <w:tcPr>
            <w:tcW w:w="1796" w:type="pct"/>
            <w:tcBorders>
              <w:right w:val="nil"/>
            </w:tcBorders>
          </w:tcPr>
          <w:p w14:paraId="004AD9D7" w14:textId="6BA55B2F" w:rsidR="00ED089D" w:rsidRPr="001F583C" w:rsidRDefault="00ED089D" w:rsidP="00556AB6">
            <w:pPr>
              <w:pStyle w:val="Tabletext1"/>
              <w:ind w:left="22"/>
              <w:rPr>
                <w:b/>
              </w:rPr>
            </w:pPr>
            <w:r>
              <w:rPr>
                <w:b/>
              </w:rPr>
              <w:t>Multiple lymph nodes</w:t>
            </w:r>
          </w:p>
        </w:tc>
        <w:tc>
          <w:tcPr>
            <w:tcW w:w="1597" w:type="pct"/>
            <w:tcBorders>
              <w:left w:val="nil"/>
              <w:right w:val="nil"/>
            </w:tcBorders>
          </w:tcPr>
          <w:p w14:paraId="5293B2B8" w14:textId="77777777" w:rsidR="00ED089D" w:rsidRDefault="00ED089D" w:rsidP="00556AB6">
            <w:pPr>
              <w:pStyle w:val="Tabletext1"/>
              <w:ind w:left="22"/>
              <w:jc w:val="center"/>
            </w:pPr>
          </w:p>
        </w:tc>
        <w:tc>
          <w:tcPr>
            <w:tcW w:w="1607" w:type="pct"/>
            <w:tcBorders>
              <w:left w:val="nil"/>
            </w:tcBorders>
          </w:tcPr>
          <w:p w14:paraId="073C1DBB" w14:textId="77777777" w:rsidR="00ED089D" w:rsidRDefault="00ED089D" w:rsidP="00556AB6">
            <w:pPr>
              <w:pStyle w:val="Tabletext1"/>
              <w:ind w:left="22"/>
              <w:jc w:val="center"/>
            </w:pPr>
          </w:p>
        </w:tc>
      </w:tr>
      <w:tr w:rsidR="00ED089D" w14:paraId="18C59112" w14:textId="48C81BAF" w:rsidTr="00ED089D">
        <w:tc>
          <w:tcPr>
            <w:tcW w:w="1796" w:type="pct"/>
          </w:tcPr>
          <w:p w14:paraId="3855582B" w14:textId="28C23327" w:rsidR="00ED089D" w:rsidRDefault="00ED089D" w:rsidP="00091315">
            <w:pPr>
              <w:pStyle w:val="Tabletext1"/>
              <w:ind w:left="22"/>
            </w:pPr>
            <w:r>
              <w:t>Median GTV V</w:t>
            </w:r>
            <w:r w:rsidRPr="00091315">
              <w:rPr>
                <w:vertAlign w:val="subscript"/>
              </w:rPr>
              <w:t>35Gy</w:t>
            </w:r>
          </w:p>
        </w:tc>
        <w:tc>
          <w:tcPr>
            <w:tcW w:w="1597" w:type="pct"/>
          </w:tcPr>
          <w:p w14:paraId="3D244316" w14:textId="745A1081" w:rsidR="00ED089D" w:rsidRDefault="00ED089D" w:rsidP="00091315">
            <w:pPr>
              <w:pStyle w:val="Tabletext1"/>
              <w:ind w:left="22"/>
              <w:jc w:val="center"/>
            </w:pPr>
            <w:r>
              <w:t>100% (100-100%)</w:t>
            </w:r>
          </w:p>
        </w:tc>
        <w:tc>
          <w:tcPr>
            <w:tcW w:w="1607" w:type="pct"/>
          </w:tcPr>
          <w:p w14:paraId="332E7830" w14:textId="62D7F23B" w:rsidR="00ED089D" w:rsidRDefault="00ED089D" w:rsidP="00091315">
            <w:pPr>
              <w:pStyle w:val="Tabletext1"/>
              <w:ind w:left="22"/>
              <w:jc w:val="center"/>
            </w:pPr>
            <w:r>
              <w:t>100% (8.9-100)</w:t>
            </w:r>
          </w:p>
        </w:tc>
      </w:tr>
      <w:tr w:rsidR="00ED089D" w14:paraId="48197DBD" w14:textId="4D887305" w:rsidTr="00ED089D">
        <w:tc>
          <w:tcPr>
            <w:tcW w:w="1796" w:type="pct"/>
          </w:tcPr>
          <w:p w14:paraId="6E5B2BE3" w14:textId="3D313988" w:rsidR="00ED089D" w:rsidRDefault="00ED089D" w:rsidP="00091315">
            <w:pPr>
              <w:pStyle w:val="Tabletext1"/>
              <w:ind w:left="22"/>
            </w:pPr>
            <w:r>
              <w:t>Median PTV V</w:t>
            </w:r>
            <w:r w:rsidRPr="00091315">
              <w:rPr>
                <w:vertAlign w:val="subscript"/>
              </w:rPr>
              <w:t>35Gy</w:t>
            </w:r>
          </w:p>
        </w:tc>
        <w:tc>
          <w:tcPr>
            <w:tcW w:w="1597" w:type="pct"/>
          </w:tcPr>
          <w:p w14:paraId="3AAFA730" w14:textId="29D181C3" w:rsidR="00ED089D" w:rsidRDefault="00ED089D" w:rsidP="00091315">
            <w:pPr>
              <w:pStyle w:val="Tabletext1"/>
              <w:ind w:left="22"/>
              <w:jc w:val="center"/>
            </w:pPr>
            <w:r>
              <w:t>100% (93.4-100%)*</w:t>
            </w:r>
          </w:p>
        </w:tc>
        <w:tc>
          <w:tcPr>
            <w:tcW w:w="1607" w:type="pct"/>
          </w:tcPr>
          <w:p w14:paraId="7FADC2DC" w14:textId="3BA07931" w:rsidR="00ED089D" w:rsidRDefault="00ED089D" w:rsidP="00091315">
            <w:pPr>
              <w:pStyle w:val="Tabletext1"/>
              <w:ind w:left="22"/>
              <w:jc w:val="center"/>
            </w:pPr>
            <w:r>
              <w:t>94.7% (31.6-100%)</w:t>
            </w:r>
          </w:p>
        </w:tc>
      </w:tr>
      <w:tr w:rsidR="00ED089D" w14:paraId="1800616D" w14:textId="604E4240" w:rsidTr="00ED089D">
        <w:tc>
          <w:tcPr>
            <w:tcW w:w="1796" w:type="pct"/>
          </w:tcPr>
          <w:p w14:paraId="14F99367" w14:textId="2478F27F" w:rsidR="00ED089D" w:rsidRDefault="00ED089D" w:rsidP="00091315">
            <w:pPr>
              <w:pStyle w:val="Tabletext1"/>
              <w:ind w:left="22"/>
            </w:pPr>
            <w:r>
              <w:t>All criteria met (PTV coverage + OAR constraints)</w:t>
            </w:r>
          </w:p>
        </w:tc>
        <w:tc>
          <w:tcPr>
            <w:tcW w:w="1597" w:type="pct"/>
          </w:tcPr>
          <w:p w14:paraId="4598A4CB" w14:textId="63627180" w:rsidR="00ED089D" w:rsidRDefault="00ED089D" w:rsidP="00091315">
            <w:pPr>
              <w:pStyle w:val="Tabletext1"/>
              <w:ind w:left="0"/>
              <w:jc w:val="center"/>
            </w:pPr>
            <w:r>
              <w:t>20/30 (67%)</w:t>
            </w:r>
          </w:p>
        </w:tc>
        <w:tc>
          <w:tcPr>
            <w:tcW w:w="1607" w:type="pct"/>
          </w:tcPr>
          <w:p w14:paraId="0BF6D970" w14:textId="5544911F" w:rsidR="00ED089D" w:rsidRDefault="00ED089D" w:rsidP="00091315">
            <w:pPr>
              <w:pStyle w:val="Tabletext1"/>
              <w:ind w:left="22"/>
              <w:jc w:val="center"/>
            </w:pPr>
            <w:r>
              <w:t>6/30 (20%)</w:t>
            </w:r>
          </w:p>
        </w:tc>
      </w:tr>
      <w:tr w:rsidR="00ED089D" w14:paraId="21D50710" w14:textId="6B344B7D" w:rsidTr="00ED089D">
        <w:tc>
          <w:tcPr>
            <w:tcW w:w="1796" w:type="pct"/>
          </w:tcPr>
          <w:p w14:paraId="61A64DDD" w14:textId="370745EA" w:rsidR="00ED089D" w:rsidRDefault="00ED089D" w:rsidP="00091315">
            <w:pPr>
              <w:pStyle w:val="Tabletext1"/>
              <w:ind w:left="22"/>
            </w:pPr>
            <w:r>
              <w:t>Violations of OAR criteria (above the set threshold)</w:t>
            </w:r>
          </w:p>
        </w:tc>
        <w:tc>
          <w:tcPr>
            <w:tcW w:w="1597" w:type="pct"/>
          </w:tcPr>
          <w:p w14:paraId="44060B20" w14:textId="7AE5DBB5" w:rsidR="00ED089D" w:rsidRDefault="00ED089D" w:rsidP="00091315">
            <w:pPr>
              <w:pStyle w:val="Tabletext1"/>
              <w:ind w:left="22"/>
              <w:jc w:val="center"/>
            </w:pPr>
            <w:r>
              <w:t>Max 0.5 Gy /0.1 cc</w:t>
            </w:r>
          </w:p>
        </w:tc>
        <w:tc>
          <w:tcPr>
            <w:tcW w:w="1607" w:type="pct"/>
          </w:tcPr>
          <w:p w14:paraId="36E59D6C" w14:textId="24CFB781" w:rsidR="00ED089D" w:rsidRDefault="00ED089D" w:rsidP="00091315">
            <w:pPr>
              <w:pStyle w:val="Tabletext1"/>
              <w:ind w:left="22"/>
              <w:jc w:val="center"/>
            </w:pPr>
            <w:r>
              <w:t>Max 0.5 Gy/0.7 cc</w:t>
            </w:r>
          </w:p>
        </w:tc>
      </w:tr>
    </w:tbl>
    <w:p w14:paraId="2DB1DC0D" w14:textId="30C22B2B" w:rsidR="00091315" w:rsidRDefault="00ED089D" w:rsidP="00091315">
      <w:pPr>
        <w:pStyle w:val="Tablenotes0"/>
        <w:jc w:val="left"/>
      </w:pPr>
      <w:r>
        <w:t>GTV</w:t>
      </w:r>
      <w:r w:rsidR="00BD7E5A" w:rsidRPr="00AE1B4C">
        <w:t>=</w:t>
      </w:r>
      <w:r>
        <w:t xml:space="preserve">gross tumour volume; </w:t>
      </w:r>
      <w:r w:rsidR="00091315">
        <w:t>PTV</w:t>
      </w:r>
      <w:r w:rsidR="00BD7E5A" w:rsidRPr="00AE1B4C">
        <w:t>=</w:t>
      </w:r>
      <w:r w:rsidR="00091315">
        <w:t>planned target volume;</w:t>
      </w:r>
      <w:r w:rsidR="00091315">
        <w:br/>
        <w:t>*Statistically significant difference (Wilcoxon p &lt; 0.0</w:t>
      </w:r>
      <w:r>
        <w:t>1</w:t>
      </w:r>
      <w:r w:rsidR="00091315">
        <w:t xml:space="preserve">) </w:t>
      </w:r>
      <w:r w:rsidR="00091315">
        <w:br/>
        <w:t>Also listed are the median (min – max) DVH parameters for the clinical plans.</w:t>
      </w:r>
    </w:p>
    <w:p w14:paraId="561D1B7B" w14:textId="4CE13088" w:rsidR="004C5A84" w:rsidRPr="00183E4D" w:rsidRDefault="00E54FA2" w:rsidP="004C5A84">
      <w:pPr>
        <w:pStyle w:val="Heading3"/>
        <w:jc w:val="both"/>
      </w:pPr>
      <w:bookmarkStart w:id="403" w:name="_Toc59018782"/>
      <w:bookmarkStart w:id="404" w:name="_Toc59020326"/>
      <w:bookmarkStart w:id="405" w:name="_Toc59439548"/>
      <w:bookmarkStart w:id="406" w:name="_Toc89857820"/>
      <w:r>
        <w:t>Survival outcomes</w:t>
      </w:r>
      <w:r w:rsidR="00CA59E1">
        <w:t xml:space="preserve"> and tumour control</w:t>
      </w:r>
      <w:bookmarkEnd w:id="403"/>
      <w:bookmarkEnd w:id="404"/>
      <w:bookmarkEnd w:id="405"/>
      <w:bookmarkEnd w:id="406"/>
    </w:p>
    <w:p w14:paraId="1BE14536" w14:textId="554A8652" w:rsidR="007D7067" w:rsidRDefault="005F346D" w:rsidP="00E54FA2">
      <w:r>
        <w:t xml:space="preserve">Four case series reported survival outcomes </w:t>
      </w:r>
      <w:r w:rsidR="00586829">
        <w:t>after MR-IGRT</w:t>
      </w:r>
      <w:r>
        <w:t xml:space="preserve"> for different cancers including </w:t>
      </w:r>
      <w:r w:rsidR="00946C01">
        <w:t xml:space="preserve">lung cancer </w:t>
      </w:r>
      <w:r w:rsidR="000C77B0">
        <w:fldChar w:fldCharType="begin"/>
      </w:r>
      <w:r w:rsidR="001F781A">
        <w:instrText xml:space="preserve"> ADDIN EN.CITE &lt;EndNote&gt;&lt;Cite&gt;&lt;Author&gt;Finazzi&lt;/Author&gt;&lt;Year&gt;2020&lt;/Year&gt;&lt;RecNum&gt;16&lt;/RecNum&gt;&lt;DisplayText&gt;(Finazzi,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0C77B0">
        <w:fldChar w:fldCharType="separate"/>
      </w:r>
      <w:r w:rsidR="001F781A">
        <w:rPr>
          <w:noProof/>
        </w:rPr>
        <w:t>(</w:t>
      </w:r>
      <w:hyperlink w:anchor="_ENREF_28" w:tooltip="Finazzi, 2020 #16" w:history="1">
        <w:r w:rsidR="001F781A">
          <w:rPr>
            <w:noProof/>
          </w:rPr>
          <w:t>Finazzi, Haasbeek, et al., 2020</w:t>
        </w:r>
      </w:hyperlink>
      <w:r w:rsidR="001F781A">
        <w:rPr>
          <w:noProof/>
        </w:rPr>
        <w:t>)</w:t>
      </w:r>
      <w:r w:rsidR="000C77B0">
        <w:fldChar w:fldCharType="end"/>
      </w:r>
      <w:r w:rsidR="00946C01">
        <w:t xml:space="preserve">, hepatocellular cancer </w:t>
      </w:r>
      <w:r w:rsidR="000C77B0">
        <w:fldChar w:fldCharType="begin">
          <w:fldData xml:space="preserve">PEVuZE5vdGU+PENpdGU+PEF1dGhvcj5Sb3NlbmJlcmc8L0F1dGhvcj48WWVhcj4yMDE5PC9ZZWFy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=
</w:fldData>
        </w:fldChar>
      </w:r>
      <w:r w:rsidR="000C77B0">
        <w:instrText xml:space="preserve"> ADDIN EN.CITE </w:instrText>
      </w:r>
      <w:r w:rsidR="000C77B0">
        <w:fldChar w:fldCharType="begin">
          <w:fldData xml:space="preserve">PEVuZE5vdGU+PENpdGU+PEF1dGhvcj5Sb3NlbmJlcmc8L0F1dGhvcj48WWVhcj4yMDE5PC9ZZWFy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=
</w:fldData>
        </w:fldChar>
      </w:r>
      <w:r w:rsidR="000C77B0">
        <w:instrText xml:space="preserve"> ADDIN EN.CITE.DATA </w:instrText>
      </w:r>
      <w:r w:rsidR="000C77B0">
        <w:fldChar w:fldCharType="end"/>
      </w:r>
      <w:r w:rsidR="000C77B0">
        <w:fldChar w:fldCharType="separate"/>
      </w:r>
      <w:r w:rsidR="000C77B0">
        <w:rPr>
          <w:noProof/>
        </w:rPr>
        <w:t>(</w:t>
      </w:r>
      <w:hyperlink w:anchor="_ENREF_60" w:tooltip="Rosenberg, 2019 #25" w:history="1">
        <w:r w:rsidR="008B6FC0">
          <w:rPr>
            <w:noProof/>
          </w:rPr>
          <w:t>Rosenberg et al., 2019</w:t>
        </w:r>
      </w:hyperlink>
      <w:r w:rsidR="000C77B0">
        <w:rPr>
          <w:noProof/>
        </w:rPr>
        <w:t>)</w:t>
      </w:r>
      <w:r w:rsidR="000C77B0">
        <w:fldChar w:fldCharType="end"/>
      </w:r>
      <w:r w:rsidR="00441E1B">
        <w:t>,</w:t>
      </w:r>
      <w:r w:rsidR="00946C01">
        <w:t xml:space="preserve">  unresectable abdominal malignancies </w:t>
      </w:r>
      <w:r w:rsidR="000C77B0">
        <w:fldChar w:fldCharType="begin"/>
      </w:r>
      <w:r w:rsidR="000C77B0">
        <w:instrText xml:space="preserve"> ADDIN EN.CITE &lt;EndNote&gt;&lt;Cite&gt;&lt;Author&gt;Henke&lt;/Author&gt;&lt;Year&gt;2018&lt;/Year&gt;&lt;RecNum&gt;18&lt;/RecNum&gt;&lt;DisplayText&gt;(Henke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0C77B0">
        <w:fldChar w:fldCharType="separate"/>
      </w:r>
      <w:r w:rsidR="000C77B0">
        <w:rPr>
          <w:noProof/>
        </w:rPr>
        <w:t>(</w:t>
      </w:r>
      <w:hyperlink w:anchor="_ENREF_37" w:tooltip="Henke, 2018 #18" w:history="1">
        <w:r w:rsidR="008B6FC0">
          <w:rPr>
            <w:noProof/>
          </w:rPr>
          <w:t>Henke et al., 2018</w:t>
        </w:r>
      </w:hyperlink>
      <w:r w:rsidR="000C77B0">
        <w:rPr>
          <w:noProof/>
        </w:rPr>
        <w:t>)</w:t>
      </w:r>
      <w:r w:rsidR="000C77B0">
        <w:fldChar w:fldCharType="end"/>
      </w:r>
      <w:r w:rsidR="00946C01">
        <w:t xml:space="preserve">, </w:t>
      </w:r>
      <w:r w:rsidR="00441E1B">
        <w:t>and</w:t>
      </w:r>
      <w:r w:rsidR="00441E1B" w:rsidRPr="00441E1B">
        <w:t xml:space="preserve"> </w:t>
      </w:r>
      <w:r w:rsidR="00946C01">
        <w:t xml:space="preserve">head and neck cancers </w:t>
      </w:r>
      <w:r w:rsidR="000C77B0">
        <w:fldChar w:fldCharType="begin">
          <w:fldData xml:space="preserve">PEVuZE5vdGU+PENpdGU+PEF1dGhvcj5DaGVuPC9BdXRob3I+PFllYXI+MjAxODwvWWVhcj48UmVj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</w:fldData>
        </w:fldChar>
      </w:r>
      <w:r w:rsidR="000C77B0">
        <w:instrText xml:space="preserve"> ADDIN EN.CITE </w:instrText>
      </w:r>
      <w:r w:rsidR="000C77B0">
        <w:fldChar w:fldCharType="begin">
          <w:fldData xml:space="preserve">PEVuZE5vdGU+PENpdGU+PEF1dGhvcj5DaGVuPC9BdXRob3I+PFllYXI+MjAxODwvWWVhcj48UmVj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</w:fldData>
        </w:fldChar>
      </w:r>
      <w:r w:rsidR="000C77B0">
        <w:instrText xml:space="preserve"> ADDIN EN.CITE.DATA </w:instrText>
      </w:r>
      <w:r w:rsidR="000C77B0">
        <w:fldChar w:fldCharType="end"/>
      </w:r>
      <w:r w:rsidR="000C77B0">
        <w:fldChar w:fldCharType="separate"/>
      </w:r>
      <w:r w:rsidR="000C77B0">
        <w:rPr>
          <w:noProof/>
        </w:rPr>
        <w:t>(</w:t>
      </w:r>
      <w:hyperlink w:anchor="_ENREF_21" w:tooltip="Chen, 2018 #24" w:history="1">
        <w:r w:rsidR="008B6FC0">
          <w:rPr>
            <w:noProof/>
          </w:rPr>
          <w:t>Chen et al., 2018</w:t>
        </w:r>
      </w:hyperlink>
      <w:r w:rsidR="000C77B0">
        <w:rPr>
          <w:noProof/>
        </w:rPr>
        <w:t>)</w:t>
      </w:r>
      <w:r w:rsidR="000C77B0">
        <w:fldChar w:fldCharType="end"/>
      </w:r>
      <w:r w:rsidR="00441E1B">
        <w:t>.</w:t>
      </w:r>
    </w:p>
    <w:p w14:paraId="0EC1894B" w14:textId="20CE52AD" w:rsidR="00B16C86" w:rsidRDefault="00B16C86" w:rsidP="00B16C86">
      <w:pPr>
        <w:pStyle w:val="Heading4"/>
        <w:keepNext w:val="0"/>
      </w:pPr>
      <w:r>
        <w:t xml:space="preserve">Lung cancer </w:t>
      </w:r>
    </w:p>
    <w:p w14:paraId="26467617" w14:textId="01E9C70D" w:rsidR="00B16C86" w:rsidRPr="00B16C86" w:rsidRDefault="00A31646" w:rsidP="00B16C86">
      <w:r>
        <w:t xml:space="preserve">Survival outcomes at </w:t>
      </w:r>
      <w:r w:rsidR="00AD60B1">
        <w:t>one year</w:t>
      </w:r>
      <w:r>
        <w:t xml:space="preserve"> in patients </w:t>
      </w:r>
      <w:r w:rsidR="00142EA4">
        <w:t xml:space="preserve">with </w:t>
      </w:r>
      <w:r>
        <w:t xml:space="preserve">lung </w:t>
      </w:r>
      <w:r w:rsidR="00142EA4">
        <w:t>malignancies</w:t>
      </w:r>
      <w:r>
        <w:t xml:space="preserve"> treated wi</w:t>
      </w:r>
      <w:r w:rsidR="00AD60B1">
        <w:t>th MR-IGRT</w:t>
      </w:r>
      <w:r w:rsidR="003572F8">
        <w:t xml:space="preserve"> were </w:t>
      </w:r>
      <w:r>
        <w:t xml:space="preserve">reported in </w:t>
      </w:r>
      <w:hyperlink w:anchor="_ENREF_28" w:tooltip="Finazzi, 2020 #16" w:history="1">
        <w:r w:rsidR="001F781A">
          <w:fldChar w:fldCharType="begin"/>
        </w:r>
        <w:r w:rsidR="001F781A">
          <w:instrText xml:space="preserve"> ADDIN EN.CITE &lt;EndNote&gt;&lt;Cite AuthorYear="1"&gt;&lt;Author&gt;Finazzi&lt;/Author&gt;&lt;Year&gt;2020&lt;/Year&gt;&lt;RecNum&gt;16&lt;/RecNum&gt;&lt;DisplayText&gt;Finazzi,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1F781A">
          <w:fldChar w:fldCharType="separate"/>
        </w:r>
        <w:r w:rsidR="001F781A">
          <w:rPr>
            <w:noProof/>
          </w:rPr>
          <w:t>Finazzi, Haasbeek, et al. (2020)</w:t>
        </w:r>
        <w:r w:rsidR="001F781A">
          <w:fldChar w:fldCharType="end"/>
        </w:r>
      </w:hyperlink>
      <w:r w:rsidR="003572F8">
        <w:t xml:space="preserve"> and</w:t>
      </w:r>
      <w:r>
        <w:t xml:space="preserve"> are </w:t>
      </w:r>
      <w:r w:rsidR="00B21A20">
        <w:t xml:space="preserve">summarised in </w:t>
      </w:r>
      <w:r w:rsidR="00AA03D8">
        <w:fldChar w:fldCharType="begin"/>
      </w:r>
      <w:r w:rsidR="00AA03D8">
        <w:instrText xml:space="preserve"> REF _Ref55895430 \h </w:instrText>
      </w:r>
      <w:r w:rsidR="00AA03D8">
        <w:fldChar w:fldCharType="separate"/>
      </w:r>
      <w:r w:rsidR="00451350">
        <w:t xml:space="preserve">Table </w:t>
      </w:r>
      <w:r w:rsidR="00451350">
        <w:rPr>
          <w:noProof/>
        </w:rPr>
        <w:t>32</w:t>
      </w:r>
      <w:r w:rsidR="00AA03D8">
        <w:fldChar w:fldCharType="end"/>
      </w:r>
      <w:r w:rsidR="00AA03D8">
        <w:t>.</w:t>
      </w:r>
      <w:r w:rsidR="00B20381">
        <w:t xml:space="preserve"> Separate data for primary lung cancer (early</w:t>
      </w:r>
      <w:r w:rsidR="008652CD">
        <w:t>-</w:t>
      </w:r>
      <w:r w:rsidR="00B20381">
        <w:t>stage non-small cell lung cancer, NSCLC) and lung metastases populations were also provided in the study report.</w:t>
      </w:r>
    </w:p>
    <w:p w14:paraId="44B129E8" w14:textId="52C1F17F" w:rsidR="005756F5" w:rsidRDefault="005756F5" w:rsidP="005756F5">
      <w:pPr>
        <w:pStyle w:val="Caption"/>
        <w:keepNext/>
      </w:pPr>
      <w:bookmarkStart w:id="407" w:name="_Ref55895430"/>
      <w:bookmarkStart w:id="408" w:name="_Toc89857903"/>
      <w:r>
        <w:lastRenderedPageBreak/>
        <w:t xml:space="preserve">Table </w:t>
      </w:r>
      <w:r w:rsidR="00211285">
        <w:fldChar w:fldCharType="begin"/>
      </w:r>
      <w:r w:rsidR="00211285">
        <w:instrText xml:space="preserve"> SEQ Table \* ARABIC </w:instrText>
      </w:r>
      <w:r w:rsidR="00211285">
        <w:fldChar w:fldCharType="separate"/>
      </w:r>
      <w:r w:rsidR="00451350">
        <w:rPr>
          <w:noProof/>
        </w:rPr>
        <w:t>32</w:t>
      </w:r>
      <w:r w:rsidR="00211285">
        <w:rPr>
          <w:noProof/>
        </w:rPr>
        <w:fldChar w:fldCharType="end"/>
      </w:r>
      <w:bookmarkEnd w:id="407"/>
      <w:r>
        <w:tab/>
      </w:r>
      <w:r w:rsidRPr="00934D82">
        <w:t>Results of key patient-relevant outcome</w:t>
      </w:r>
      <w:r w:rsidR="008F6A9D">
        <w:t>s</w:t>
      </w:r>
      <w:r w:rsidRPr="00934D82">
        <w:t xml:space="preserve"> across the studies</w:t>
      </w:r>
      <w:r>
        <w:t>, lung cancer, MR-IGRT</w:t>
      </w:r>
      <w:bookmarkEnd w:id="408"/>
    </w:p>
    <w:tbl>
      <w:tblPr>
        <w:tblStyle w:val="TableGrid1"/>
        <w:tblW w:w="5000" w:type="pct"/>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414"/>
        <w:gridCol w:w="1560"/>
        <w:gridCol w:w="2975"/>
        <w:gridCol w:w="3067"/>
      </w:tblGrid>
      <w:tr w:rsidR="00CF280B" w:rsidRPr="00E54FA2" w14:paraId="19416667" w14:textId="77777777" w:rsidTr="00E726F1">
        <w:trPr>
          <w:cnfStyle w:val="100000000000" w:firstRow="1" w:lastRow="0" w:firstColumn="0" w:lastColumn="0" w:oddVBand="0" w:evenVBand="0" w:oddHBand="0" w:evenHBand="0" w:firstRowFirstColumn="0" w:firstRowLastColumn="0" w:lastRowFirstColumn="0" w:lastRowLastColumn="0"/>
        </w:trPr>
        <w:tc>
          <w:tcPr>
            <w:tcW w:w="784" w:type="pct"/>
            <w:tcBorders>
              <w:bottom w:val="single" w:sz="4" w:space="0" w:color="auto"/>
            </w:tcBorders>
          </w:tcPr>
          <w:p w14:paraId="32BAA285" w14:textId="77777777" w:rsidR="00CF280B" w:rsidRDefault="00CF280B" w:rsidP="00E726F1">
            <w:pPr>
              <w:pStyle w:val="TableHeading"/>
              <w:rPr>
                <w:snapToGrid w:val="0"/>
                <w:lang w:eastAsia="en-US"/>
              </w:rPr>
            </w:pPr>
            <w:r w:rsidRPr="00E54FA2">
              <w:rPr>
                <w:snapToGrid w:val="0"/>
                <w:lang w:eastAsia="en-US"/>
              </w:rPr>
              <w:t>Study ID</w:t>
            </w:r>
          </w:p>
        </w:tc>
        <w:tc>
          <w:tcPr>
            <w:tcW w:w="865" w:type="pct"/>
            <w:tcBorders>
              <w:bottom w:val="single" w:sz="4" w:space="0" w:color="auto"/>
            </w:tcBorders>
          </w:tcPr>
          <w:p w14:paraId="3CF9A813" w14:textId="77777777" w:rsidR="00CF280B" w:rsidRPr="00E54FA2" w:rsidRDefault="00CF280B" w:rsidP="00C6168E">
            <w:pPr>
              <w:pStyle w:val="TableHeading"/>
              <w:jc w:val="center"/>
              <w:rPr>
                <w:snapToGrid w:val="0"/>
                <w:lang w:eastAsia="en-US"/>
              </w:rPr>
            </w:pPr>
            <w:r>
              <w:rPr>
                <w:snapToGrid w:val="0"/>
                <w:lang w:eastAsia="en-US"/>
              </w:rPr>
              <w:t>Cancer</w:t>
            </w:r>
          </w:p>
        </w:tc>
        <w:tc>
          <w:tcPr>
            <w:tcW w:w="1650" w:type="pct"/>
          </w:tcPr>
          <w:p w14:paraId="50B1BFFC" w14:textId="77777777" w:rsidR="00CF280B" w:rsidRPr="00E54FA2" w:rsidRDefault="00CF280B" w:rsidP="00C6168E">
            <w:pPr>
              <w:pStyle w:val="TableHeading"/>
              <w:ind w:left="16" w:right="117"/>
              <w:jc w:val="center"/>
              <w:rPr>
                <w:snapToGrid w:val="0"/>
                <w:lang w:eastAsia="en-US"/>
              </w:rPr>
            </w:pPr>
            <w:r>
              <w:rPr>
                <w:snapToGrid w:val="0"/>
                <w:lang w:eastAsia="en-US"/>
              </w:rPr>
              <w:t>Outcome</w:t>
            </w:r>
          </w:p>
        </w:tc>
        <w:tc>
          <w:tcPr>
            <w:tcW w:w="1701" w:type="pct"/>
            <w:shd w:val="clear" w:color="auto" w:fill="auto"/>
          </w:tcPr>
          <w:p w14:paraId="599DEA5A" w14:textId="26393AD3" w:rsidR="00CD62BD" w:rsidRDefault="001A721A" w:rsidP="00C6168E">
            <w:pPr>
              <w:pStyle w:val="TableHeading"/>
              <w:ind w:left="111" w:right="117"/>
              <w:jc w:val="center"/>
              <w:rPr>
                <w:snapToGrid w:val="0"/>
                <w:lang w:eastAsia="en-US"/>
              </w:rPr>
            </w:pPr>
            <w:r>
              <w:rPr>
                <w:snapToGrid w:val="0"/>
                <w:lang w:eastAsia="en-US"/>
              </w:rPr>
              <w:t>One year</w:t>
            </w:r>
            <w:r w:rsidR="00CD62BD">
              <w:rPr>
                <w:snapToGrid w:val="0"/>
                <w:lang w:eastAsia="en-US"/>
              </w:rPr>
              <w:t xml:space="preserve"> s</w:t>
            </w:r>
            <w:r w:rsidR="00CF280B">
              <w:rPr>
                <w:snapToGrid w:val="0"/>
                <w:lang w:eastAsia="en-US"/>
              </w:rPr>
              <w:t>urvival</w:t>
            </w:r>
            <w:r w:rsidR="00CD62BD">
              <w:rPr>
                <w:snapToGrid w:val="0"/>
                <w:lang w:eastAsia="en-US"/>
              </w:rPr>
              <w:t xml:space="preserve"> rate</w:t>
            </w:r>
            <w:r w:rsidR="00CF280B" w:rsidRPr="00E54FA2">
              <w:rPr>
                <w:snapToGrid w:val="0"/>
                <w:lang w:eastAsia="en-US"/>
              </w:rPr>
              <w:t xml:space="preserve"> (%)</w:t>
            </w:r>
          </w:p>
          <w:p w14:paraId="4E1F13A4" w14:textId="0CEC2040" w:rsidR="00CF280B" w:rsidRPr="00E54FA2" w:rsidRDefault="00CF280B" w:rsidP="00C6168E">
            <w:pPr>
              <w:pStyle w:val="TableHeading"/>
              <w:ind w:left="111" w:right="117"/>
              <w:jc w:val="center"/>
              <w:rPr>
                <w:snapToGrid w:val="0"/>
                <w:lang w:eastAsia="en-US"/>
              </w:rPr>
            </w:pPr>
            <w:r>
              <w:rPr>
                <w:snapToGrid w:val="0"/>
                <w:lang w:eastAsia="en-US"/>
              </w:rPr>
              <w:t>(95% CI)</w:t>
            </w:r>
          </w:p>
        </w:tc>
      </w:tr>
      <w:tr w:rsidR="00CF280B" w:rsidRPr="00E54FA2" w14:paraId="166B8F27" w14:textId="77777777" w:rsidTr="00E726F1">
        <w:tc>
          <w:tcPr>
            <w:tcW w:w="784" w:type="pct"/>
            <w:tcBorders>
              <w:bottom w:val="nil"/>
            </w:tcBorders>
            <w:vAlign w:val="center"/>
          </w:tcPr>
          <w:p w14:paraId="2DEE2552" w14:textId="0085E1EB" w:rsidR="00CF280B" w:rsidRPr="009B6277" w:rsidRDefault="00211285" w:rsidP="00E726F1">
            <w:pPr>
              <w:pStyle w:val="TableText0"/>
              <w:rPr>
                <w:snapToGrid w:val="0"/>
                <w:vertAlign w:val="superscript"/>
              </w:rPr>
            </w:pPr>
            <w:hyperlink w:anchor="_ENREF_28" w:tooltip="Finazzi, 2020 #16" w:history="1">
              <w:r w:rsidR="001F781A">
                <w:rPr>
                  <w:snapToGrid w:val="0"/>
                </w:rPr>
                <w:fldChar w:fldCharType="begin"/>
              </w:r>
              <w:r w:rsidR="001F781A">
                <w:rPr>
                  <w:snapToGrid w:val="0"/>
                </w:rPr>
                <w:instrText xml:space="preserve"> ADDIN EN.CITE &lt;EndNote&gt;&lt;Cite AuthorYear="1"&gt;&lt;Author&gt;Finazzi&lt;/Author&gt;&lt;Year&gt;2020&lt;/Year&gt;&lt;RecNum&gt;16&lt;/RecNum&gt;&lt;DisplayText&gt;Finazzi,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1F781A">
                <w:rPr>
                  <w:snapToGrid w:val="0"/>
                </w:rPr>
                <w:fldChar w:fldCharType="separate"/>
              </w:r>
              <w:r w:rsidR="001F781A">
                <w:rPr>
                  <w:noProof/>
                  <w:snapToGrid w:val="0"/>
                </w:rPr>
                <w:t>Finazzi, Haasbeek, et al. (2020)</w:t>
              </w:r>
              <w:r w:rsidR="001F781A">
                <w:rPr>
                  <w:snapToGrid w:val="0"/>
                </w:rPr>
                <w:fldChar w:fldCharType="end"/>
              </w:r>
            </w:hyperlink>
            <w:r w:rsidR="00CF280B">
              <w:rPr>
                <w:snapToGrid w:val="0"/>
                <w:vertAlign w:val="superscript"/>
              </w:rPr>
              <w:t>*</w:t>
            </w:r>
          </w:p>
        </w:tc>
        <w:tc>
          <w:tcPr>
            <w:tcW w:w="865" w:type="pct"/>
            <w:tcBorders>
              <w:bottom w:val="nil"/>
            </w:tcBorders>
          </w:tcPr>
          <w:p w14:paraId="241A8485" w14:textId="77777777" w:rsidR="00CF280B" w:rsidRPr="00E54FA2" w:rsidRDefault="00CF280B" w:rsidP="00C6168E">
            <w:pPr>
              <w:pStyle w:val="TableText0"/>
              <w:jc w:val="center"/>
              <w:rPr>
                <w:snapToGrid w:val="0"/>
              </w:rPr>
            </w:pPr>
            <w:r>
              <w:rPr>
                <w:snapToGrid w:val="0"/>
              </w:rPr>
              <w:t>Lung cancer</w:t>
            </w:r>
          </w:p>
        </w:tc>
        <w:tc>
          <w:tcPr>
            <w:tcW w:w="1650" w:type="pct"/>
          </w:tcPr>
          <w:p w14:paraId="285AB1F8" w14:textId="7C926D91" w:rsidR="00CF280B" w:rsidRPr="00E54FA2" w:rsidRDefault="00CF280B" w:rsidP="00C6168E">
            <w:pPr>
              <w:pStyle w:val="TableText0"/>
              <w:ind w:left="16" w:right="117"/>
              <w:jc w:val="center"/>
              <w:rPr>
                <w:snapToGrid w:val="0"/>
              </w:rPr>
            </w:pPr>
            <w:r>
              <w:rPr>
                <w:snapToGrid w:val="0"/>
              </w:rPr>
              <w:t>OS</w:t>
            </w:r>
          </w:p>
        </w:tc>
        <w:tc>
          <w:tcPr>
            <w:tcW w:w="1701" w:type="pct"/>
            <w:shd w:val="clear" w:color="auto" w:fill="auto"/>
            <w:vAlign w:val="center"/>
          </w:tcPr>
          <w:p w14:paraId="3A6A2DCB" w14:textId="70160141" w:rsidR="00CF280B" w:rsidRPr="00E54FA2" w:rsidRDefault="00CF280B" w:rsidP="00C6168E">
            <w:pPr>
              <w:pStyle w:val="TableText0"/>
              <w:ind w:left="111" w:right="117"/>
              <w:jc w:val="center"/>
              <w:rPr>
                <w:snapToGrid w:val="0"/>
              </w:rPr>
            </w:pPr>
            <w:r w:rsidRPr="0003573E">
              <w:rPr>
                <w:snapToGrid w:val="0"/>
              </w:rPr>
              <w:t>88.0% (70.1</w:t>
            </w:r>
            <w:r w:rsidR="009B3ECE">
              <w:rPr>
                <w:snapToGrid w:val="0"/>
              </w:rPr>
              <w:t>79.4</w:t>
            </w:r>
            <w:r w:rsidRPr="0003573E">
              <w:rPr>
                <w:snapToGrid w:val="0"/>
              </w:rPr>
              <w:t>-97.</w:t>
            </w:r>
            <w:r w:rsidR="009B3ECE">
              <w:rPr>
                <w:snapToGrid w:val="0"/>
              </w:rPr>
              <w:t>5</w:t>
            </w:r>
            <w:r>
              <w:rPr>
                <w:snapToGrid w:val="0"/>
              </w:rPr>
              <w:t>%</w:t>
            </w:r>
            <w:r w:rsidRPr="0003573E">
              <w:rPr>
                <w:snapToGrid w:val="0"/>
              </w:rPr>
              <w:t>)</w:t>
            </w:r>
          </w:p>
        </w:tc>
      </w:tr>
      <w:tr w:rsidR="00CF280B" w:rsidRPr="00E54FA2" w14:paraId="451E1738" w14:textId="77777777" w:rsidTr="00E726F1">
        <w:tc>
          <w:tcPr>
            <w:tcW w:w="784" w:type="pct"/>
            <w:tcBorders>
              <w:top w:val="nil"/>
              <w:bottom w:val="nil"/>
            </w:tcBorders>
            <w:vAlign w:val="center"/>
          </w:tcPr>
          <w:p w14:paraId="375F8CCE" w14:textId="77777777" w:rsidR="00CF280B" w:rsidRDefault="00CF280B" w:rsidP="00E726F1">
            <w:pPr>
              <w:pStyle w:val="TableText0"/>
              <w:rPr>
                <w:snapToGrid w:val="0"/>
              </w:rPr>
            </w:pPr>
          </w:p>
        </w:tc>
        <w:tc>
          <w:tcPr>
            <w:tcW w:w="865" w:type="pct"/>
            <w:tcBorders>
              <w:top w:val="nil"/>
              <w:bottom w:val="nil"/>
            </w:tcBorders>
          </w:tcPr>
          <w:p w14:paraId="67A9992B" w14:textId="77777777" w:rsidR="00CF280B" w:rsidRDefault="00CF280B" w:rsidP="00C6168E">
            <w:pPr>
              <w:pStyle w:val="TableText0"/>
              <w:jc w:val="center"/>
              <w:rPr>
                <w:snapToGrid w:val="0"/>
              </w:rPr>
            </w:pPr>
          </w:p>
        </w:tc>
        <w:tc>
          <w:tcPr>
            <w:tcW w:w="1650" w:type="pct"/>
          </w:tcPr>
          <w:p w14:paraId="7065FAC2" w14:textId="1882475E" w:rsidR="00CF280B" w:rsidRPr="0003573E" w:rsidRDefault="00CF280B" w:rsidP="00C6168E">
            <w:pPr>
              <w:pStyle w:val="TableText0"/>
              <w:ind w:left="16" w:right="117"/>
              <w:jc w:val="center"/>
              <w:rPr>
                <w:snapToGrid w:val="0"/>
              </w:rPr>
            </w:pPr>
            <w:r w:rsidRPr="0003573E">
              <w:rPr>
                <w:snapToGrid w:val="0"/>
              </w:rPr>
              <w:t>DFS</w:t>
            </w:r>
          </w:p>
        </w:tc>
        <w:tc>
          <w:tcPr>
            <w:tcW w:w="1701" w:type="pct"/>
            <w:shd w:val="clear" w:color="auto" w:fill="auto"/>
            <w:vAlign w:val="center"/>
          </w:tcPr>
          <w:p w14:paraId="1351D326" w14:textId="77777777" w:rsidR="00CF280B" w:rsidRPr="0003573E" w:rsidRDefault="00CF280B" w:rsidP="00C6168E">
            <w:pPr>
              <w:pStyle w:val="TableText0"/>
              <w:ind w:left="111" w:right="117"/>
              <w:jc w:val="center"/>
              <w:rPr>
                <w:snapToGrid w:val="0"/>
              </w:rPr>
            </w:pPr>
            <w:r w:rsidRPr="0003573E">
              <w:rPr>
                <w:snapToGrid w:val="0"/>
              </w:rPr>
              <w:t>63.6% (51.5-78.5</w:t>
            </w:r>
            <w:r>
              <w:rPr>
                <w:snapToGrid w:val="0"/>
              </w:rPr>
              <w:t>%</w:t>
            </w:r>
            <w:r w:rsidRPr="0003573E">
              <w:rPr>
                <w:snapToGrid w:val="0"/>
              </w:rPr>
              <w:t>)</w:t>
            </w:r>
          </w:p>
        </w:tc>
      </w:tr>
      <w:tr w:rsidR="00CF280B" w:rsidRPr="00E54FA2" w14:paraId="56745C00" w14:textId="77777777" w:rsidTr="00E726F1">
        <w:tc>
          <w:tcPr>
            <w:tcW w:w="784" w:type="pct"/>
            <w:tcBorders>
              <w:top w:val="nil"/>
              <w:bottom w:val="nil"/>
            </w:tcBorders>
            <w:vAlign w:val="center"/>
          </w:tcPr>
          <w:p w14:paraId="2E6DA4F3" w14:textId="77777777" w:rsidR="00CF280B" w:rsidRDefault="00CF280B" w:rsidP="00E726F1">
            <w:pPr>
              <w:pStyle w:val="TableText0"/>
              <w:rPr>
                <w:snapToGrid w:val="0"/>
              </w:rPr>
            </w:pPr>
          </w:p>
        </w:tc>
        <w:tc>
          <w:tcPr>
            <w:tcW w:w="865" w:type="pct"/>
            <w:tcBorders>
              <w:top w:val="nil"/>
              <w:bottom w:val="single" w:sz="4" w:space="0" w:color="auto"/>
            </w:tcBorders>
          </w:tcPr>
          <w:p w14:paraId="3F5DBD71" w14:textId="77777777" w:rsidR="00CF280B" w:rsidRDefault="00CF280B" w:rsidP="00C6168E">
            <w:pPr>
              <w:pStyle w:val="TableText0"/>
              <w:jc w:val="center"/>
              <w:rPr>
                <w:snapToGrid w:val="0"/>
              </w:rPr>
            </w:pPr>
          </w:p>
        </w:tc>
        <w:tc>
          <w:tcPr>
            <w:tcW w:w="1650" w:type="pct"/>
          </w:tcPr>
          <w:p w14:paraId="0A39769D" w14:textId="58F8A602" w:rsidR="00CF280B" w:rsidRPr="0003573E" w:rsidRDefault="00CF280B" w:rsidP="00C6168E">
            <w:pPr>
              <w:pStyle w:val="TableText0"/>
              <w:ind w:left="16" w:right="117"/>
              <w:jc w:val="center"/>
              <w:rPr>
                <w:snapToGrid w:val="0"/>
              </w:rPr>
            </w:pPr>
            <w:r>
              <w:rPr>
                <w:snapToGrid w:val="0"/>
              </w:rPr>
              <w:t>LC</w:t>
            </w:r>
          </w:p>
        </w:tc>
        <w:tc>
          <w:tcPr>
            <w:tcW w:w="1701" w:type="pct"/>
            <w:shd w:val="clear" w:color="auto" w:fill="auto"/>
            <w:vAlign w:val="center"/>
          </w:tcPr>
          <w:p w14:paraId="5988215A" w14:textId="77777777" w:rsidR="00CF280B" w:rsidRPr="0003573E" w:rsidRDefault="00CF280B" w:rsidP="00C6168E">
            <w:pPr>
              <w:pStyle w:val="TableText0"/>
              <w:ind w:left="111" w:right="117"/>
              <w:jc w:val="center"/>
              <w:rPr>
                <w:snapToGrid w:val="0"/>
              </w:rPr>
            </w:pPr>
            <w:r w:rsidRPr="0003573E">
              <w:rPr>
                <w:snapToGrid w:val="0"/>
              </w:rPr>
              <w:t>95.6% (89.8-100.0</w:t>
            </w:r>
            <w:r>
              <w:rPr>
                <w:snapToGrid w:val="0"/>
              </w:rPr>
              <w:t>%</w:t>
            </w:r>
            <w:r w:rsidRPr="0003573E">
              <w:rPr>
                <w:snapToGrid w:val="0"/>
              </w:rPr>
              <w:t>)</w:t>
            </w:r>
          </w:p>
        </w:tc>
      </w:tr>
      <w:tr w:rsidR="00CF280B" w:rsidRPr="00E54FA2" w14:paraId="59A76F43" w14:textId="77777777" w:rsidTr="00E726F1">
        <w:tc>
          <w:tcPr>
            <w:tcW w:w="784" w:type="pct"/>
            <w:tcBorders>
              <w:top w:val="nil"/>
              <w:bottom w:val="nil"/>
            </w:tcBorders>
            <w:vAlign w:val="center"/>
          </w:tcPr>
          <w:p w14:paraId="48FA51D4" w14:textId="77777777" w:rsidR="00CF280B" w:rsidRPr="0003573E" w:rsidRDefault="00CF280B" w:rsidP="00E726F1">
            <w:pPr>
              <w:pStyle w:val="TableText0"/>
              <w:rPr>
                <w:snapToGrid w:val="0"/>
              </w:rPr>
            </w:pPr>
          </w:p>
        </w:tc>
        <w:tc>
          <w:tcPr>
            <w:tcW w:w="865" w:type="pct"/>
            <w:tcBorders>
              <w:bottom w:val="nil"/>
            </w:tcBorders>
          </w:tcPr>
          <w:p w14:paraId="46220616" w14:textId="32F7B061" w:rsidR="00CF280B" w:rsidRDefault="00F60C1E" w:rsidP="00C6168E">
            <w:pPr>
              <w:pStyle w:val="TableText0"/>
              <w:jc w:val="center"/>
              <w:rPr>
                <w:snapToGrid w:val="0"/>
              </w:rPr>
            </w:pPr>
            <w:r>
              <w:rPr>
                <w:snapToGrid w:val="0"/>
              </w:rPr>
              <w:t>E</w:t>
            </w:r>
            <w:r w:rsidR="00160532">
              <w:rPr>
                <w:snapToGrid w:val="0"/>
              </w:rPr>
              <w:t>arly stage NSCLC</w:t>
            </w:r>
          </w:p>
        </w:tc>
        <w:tc>
          <w:tcPr>
            <w:tcW w:w="1650" w:type="pct"/>
          </w:tcPr>
          <w:p w14:paraId="22504C31" w14:textId="560571CB" w:rsidR="00CF280B" w:rsidRDefault="00CF280B" w:rsidP="00C6168E">
            <w:pPr>
              <w:pStyle w:val="TableText0"/>
              <w:ind w:left="16" w:right="117"/>
              <w:jc w:val="center"/>
              <w:rPr>
                <w:snapToGrid w:val="0"/>
              </w:rPr>
            </w:pPr>
            <w:r>
              <w:rPr>
                <w:snapToGrid w:val="0"/>
              </w:rPr>
              <w:t>OS</w:t>
            </w:r>
          </w:p>
        </w:tc>
        <w:tc>
          <w:tcPr>
            <w:tcW w:w="1701" w:type="pct"/>
            <w:shd w:val="clear" w:color="auto" w:fill="auto"/>
            <w:vAlign w:val="center"/>
          </w:tcPr>
          <w:p w14:paraId="7D87B13D" w14:textId="505B62DD" w:rsidR="00CF280B" w:rsidRPr="0003573E" w:rsidRDefault="00CF280B" w:rsidP="00C6168E">
            <w:pPr>
              <w:pStyle w:val="TableText0"/>
              <w:ind w:left="111" w:right="117"/>
              <w:jc w:val="center"/>
              <w:rPr>
                <w:snapToGrid w:val="0"/>
              </w:rPr>
            </w:pPr>
            <w:r w:rsidRPr="0003573E">
              <w:rPr>
                <w:snapToGrid w:val="0"/>
              </w:rPr>
              <w:t>82.8% (</w:t>
            </w:r>
            <w:r w:rsidR="009B3ECE">
              <w:rPr>
                <w:snapToGrid w:val="0"/>
              </w:rPr>
              <w:t>70.1</w:t>
            </w:r>
            <w:r w:rsidRPr="0003573E">
              <w:rPr>
                <w:snapToGrid w:val="0"/>
              </w:rPr>
              <w:t>-97.</w:t>
            </w:r>
            <w:r w:rsidR="009B3ECE">
              <w:rPr>
                <w:snapToGrid w:val="0"/>
              </w:rPr>
              <w:t>7</w:t>
            </w:r>
            <w:r>
              <w:rPr>
                <w:snapToGrid w:val="0"/>
              </w:rPr>
              <w:t>%</w:t>
            </w:r>
            <w:r w:rsidRPr="0003573E">
              <w:rPr>
                <w:snapToGrid w:val="0"/>
              </w:rPr>
              <w:t>)</w:t>
            </w:r>
          </w:p>
        </w:tc>
      </w:tr>
      <w:tr w:rsidR="00CF280B" w:rsidRPr="00E54FA2" w14:paraId="1A47BA18" w14:textId="77777777" w:rsidTr="00E726F1">
        <w:tc>
          <w:tcPr>
            <w:tcW w:w="784" w:type="pct"/>
            <w:tcBorders>
              <w:top w:val="nil"/>
              <w:bottom w:val="nil"/>
            </w:tcBorders>
            <w:vAlign w:val="center"/>
          </w:tcPr>
          <w:p w14:paraId="07645228" w14:textId="77777777" w:rsidR="00CF280B" w:rsidRDefault="00CF280B" w:rsidP="00E726F1">
            <w:pPr>
              <w:pStyle w:val="TableText0"/>
              <w:rPr>
                <w:snapToGrid w:val="0"/>
              </w:rPr>
            </w:pPr>
          </w:p>
        </w:tc>
        <w:tc>
          <w:tcPr>
            <w:tcW w:w="865" w:type="pct"/>
            <w:tcBorders>
              <w:top w:val="nil"/>
              <w:bottom w:val="nil"/>
            </w:tcBorders>
          </w:tcPr>
          <w:p w14:paraId="2EB082D4" w14:textId="77777777" w:rsidR="00CF280B" w:rsidRDefault="00CF280B" w:rsidP="00C6168E">
            <w:pPr>
              <w:pStyle w:val="TableText0"/>
              <w:jc w:val="center"/>
              <w:rPr>
                <w:snapToGrid w:val="0"/>
              </w:rPr>
            </w:pPr>
          </w:p>
        </w:tc>
        <w:tc>
          <w:tcPr>
            <w:tcW w:w="1650" w:type="pct"/>
          </w:tcPr>
          <w:p w14:paraId="4497BEA1" w14:textId="29EB5522" w:rsidR="00CF280B" w:rsidRDefault="00CF280B" w:rsidP="00C6168E">
            <w:pPr>
              <w:pStyle w:val="TableText0"/>
              <w:ind w:left="16" w:right="117"/>
              <w:jc w:val="center"/>
              <w:rPr>
                <w:snapToGrid w:val="0"/>
              </w:rPr>
            </w:pPr>
            <w:r w:rsidRPr="0003573E">
              <w:rPr>
                <w:snapToGrid w:val="0"/>
              </w:rPr>
              <w:t>DFS</w:t>
            </w:r>
          </w:p>
        </w:tc>
        <w:tc>
          <w:tcPr>
            <w:tcW w:w="1701" w:type="pct"/>
            <w:shd w:val="clear" w:color="auto" w:fill="auto"/>
            <w:vAlign w:val="center"/>
          </w:tcPr>
          <w:p w14:paraId="0C79087F" w14:textId="77777777" w:rsidR="00CF280B" w:rsidRPr="0003573E" w:rsidRDefault="00CF280B" w:rsidP="00C6168E">
            <w:pPr>
              <w:pStyle w:val="TableText0"/>
              <w:ind w:left="111" w:right="117"/>
              <w:jc w:val="center"/>
              <w:rPr>
                <w:snapToGrid w:val="0"/>
              </w:rPr>
            </w:pPr>
            <w:r w:rsidRPr="0003573E">
              <w:rPr>
                <w:snapToGrid w:val="0"/>
              </w:rPr>
              <w:t>68.4% (53.2-87.8</w:t>
            </w:r>
            <w:r>
              <w:rPr>
                <w:snapToGrid w:val="0"/>
              </w:rPr>
              <w:t>%</w:t>
            </w:r>
            <w:r w:rsidRPr="0003573E">
              <w:rPr>
                <w:snapToGrid w:val="0"/>
              </w:rPr>
              <w:t>)</w:t>
            </w:r>
          </w:p>
        </w:tc>
      </w:tr>
      <w:tr w:rsidR="00CF280B" w:rsidRPr="00E54FA2" w14:paraId="37622149" w14:textId="77777777" w:rsidTr="00E726F1">
        <w:tc>
          <w:tcPr>
            <w:tcW w:w="784" w:type="pct"/>
            <w:tcBorders>
              <w:top w:val="nil"/>
              <w:bottom w:val="nil"/>
            </w:tcBorders>
            <w:vAlign w:val="center"/>
          </w:tcPr>
          <w:p w14:paraId="4CBAE8E9" w14:textId="77777777" w:rsidR="00CF280B" w:rsidRDefault="00CF280B" w:rsidP="00E726F1">
            <w:pPr>
              <w:pStyle w:val="TableText0"/>
              <w:rPr>
                <w:snapToGrid w:val="0"/>
              </w:rPr>
            </w:pPr>
          </w:p>
        </w:tc>
        <w:tc>
          <w:tcPr>
            <w:tcW w:w="865" w:type="pct"/>
            <w:tcBorders>
              <w:top w:val="nil"/>
              <w:bottom w:val="single" w:sz="4" w:space="0" w:color="auto"/>
            </w:tcBorders>
          </w:tcPr>
          <w:p w14:paraId="39860358" w14:textId="77777777" w:rsidR="00CF280B" w:rsidRDefault="00CF280B" w:rsidP="00C6168E">
            <w:pPr>
              <w:pStyle w:val="TableText0"/>
              <w:jc w:val="center"/>
              <w:rPr>
                <w:snapToGrid w:val="0"/>
              </w:rPr>
            </w:pPr>
          </w:p>
        </w:tc>
        <w:tc>
          <w:tcPr>
            <w:tcW w:w="1650" w:type="pct"/>
          </w:tcPr>
          <w:p w14:paraId="653B127F" w14:textId="08A97F33" w:rsidR="00CF280B" w:rsidRPr="0003573E" w:rsidRDefault="00CF280B" w:rsidP="00C6168E">
            <w:pPr>
              <w:pStyle w:val="TableText0"/>
              <w:ind w:left="16" w:right="117"/>
              <w:jc w:val="center"/>
              <w:rPr>
                <w:snapToGrid w:val="0"/>
              </w:rPr>
            </w:pPr>
            <w:r>
              <w:rPr>
                <w:snapToGrid w:val="0"/>
              </w:rPr>
              <w:t>LC</w:t>
            </w:r>
          </w:p>
        </w:tc>
        <w:tc>
          <w:tcPr>
            <w:tcW w:w="1701" w:type="pct"/>
            <w:shd w:val="clear" w:color="auto" w:fill="auto"/>
            <w:vAlign w:val="center"/>
          </w:tcPr>
          <w:p w14:paraId="26416F93" w14:textId="77777777" w:rsidR="00CF280B" w:rsidRPr="0003573E" w:rsidRDefault="00CF280B" w:rsidP="00C6168E">
            <w:pPr>
              <w:pStyle w:val="TableText0"/>
              <w:ind w:left="111" w:right="117"/>
              <w:jc w:val="center"/>
              <w:rPr>
                <w:snapToGrid w:val="0"/>
              </w:rPr>
            </w:pPr>
            <w:r w:rsidRPr="0003573E">
              <w:rPr>
                <w:snapToGrid w:val="0"/>
              </w:rPr>
              <w:t>95.8% (88.2-100.0</w:t>
            </w:r>
            <w:r>
              <w:rPr>
                <w:snapToGrid w:val="0"/>
              </w:rPr>
              <w:t>%</w:t>
            </w:r>
            <w:r w:rsidRPr="0003573E">
              <w:rPr>
                <w:snapToGrid w:val="0"/>
              </w:rPr>
              <w:t>)</w:t>
            </w:r>
          </w:p>
        </w:tc>
      </w:tr>
      <w:tr w:rsidR="00CF280B" w:rsidRPr="00E54FA2" w14:paraId="74B7BB12" w14:textId="77777777" w:rsidTr="00E726F1">
        <w:tc>
          <w:tcPr>
            <w:tcW w:w="784" w:type="pct"/>
            <w:tcBorders>
              <w:top w:val="nil"/>
              <w:bottom w:val="nil"/>
            </w:tcBorders>
            <w:vAlign w:val="center"/>
          </w:tcPr>
          <w:p w14:paraId="4AA3C0EA" w14:textId="77777777" w:rsidR="00CF280B" w:rsidRDefault="00CF280B" w:rsidP="00E726F1">
            <w:pPr>
              <w:pStyle w:val="TableText0"/>
              <w:rPr>
                <w:rFonts w:eastAsiaTheme="minorHAnsi"/>
              </w:rPr>
            </w:pPr>
          </w:p>
        </w:tc>
        <w:tc>
          <w:tcPr>
            <w:tcW w:w="865" w:type="pct"/>
            <w:tcBorders>
              <w:bottom w:val="nil"/>
            </w:tcBorders>
          </w:tcPr>
          <w:p w14:paraId="072CB138" w14:textId="77777777" w:rsidR="00CF280B" w:rsidRDefault="00CF280B" w:rsidP="00C6168E">
            <w:pPr>
              <w:pStyle w:val="TableText0"/>
              <w:jc w:val="center"/>
              <w:rPr>
                <w:snapToGrid w:val="0"/>
              </w:rPr>
            </w:pPr>
            <w:r>
              <w:rPr>
                <w:rFonts w:eastAsiaTheme="minorHAnsi"/>
              </w:rPr>
              <w:t>Lung metastases</w:t>
            </w:r>
          </w:p>
        </w:tc>
        <w:tc>
          <w:tcPr>
            <w:tcW w:w="1650" w:type="pct"/>
          </w:tcPr>
          <w:p w14:paraId="58976D83" w14:textId="442DD1C4" w:rsidR="00CF280B" w:rsidRPr="0003573E" w:rsidRDefault="00CF280B" w:rsidP="00C6168E">
            <w:pPr>
              <w:pStyle w:val="TableText0"/>
              <w:ind w:left="16" w:right="117"/>
              <w:jc w:val="center"/>
              <w:rPr>
                <w:snapToGrid w:val="0"/>
              </w:rPr>
            </w:pPr>
            <w:r>
              <w:rPr>
                <w:snapToGrid w:val="0"/>
              </w:rPr>
              <w:t>OS</w:t>
            </w:r>
          </w:p>
        </w:tc>
        <w:tc>
          <w:tcPr>
            <w:tcW w:w="1701" w:type="pct"/>
            <w:shd w:val="clear" w:color="auto" w:fill="auto"/>
            <w:vAlign w:val="center"/>
          </w:tcPr>
          <w:p w14:paraId="44510EF6" w14:textId="77777777" w:rsidR="00CF280B" w:rsidRPr="0003573E" w:rsidRDefault="00CF280B" w:rsidP="00C6168E">
            <w:pPr>
              <w:pStyle w:val="TableText0"/>
              <w:ind w:left="111" w:right="117"/>
              <w:jc w:val="center"/>
              <w:rPr>
                <w:snapToGrid w:val="0"/>
              </w:rPr>
            </w:pPr>
            <w:r w:rsidRPr="00D95409">
              <w:t>95.2% (86.6-100.0</w:t>
            </w:r>
            <w:r>
              <w:t>%</w:t>
            </w:r>
            <w:r w:rsidRPr="00D95409">
              <w:t>)</w:t>
            </w:r>
          </w:p>
        </w:tc>
      </w:tr>
      <w:tr w:rsidR="00CF280B" w:rsidRPr="00E54FA2" w14:paraId="64929BB6" w14:textId="77777777" w:rsidTr="00E726F1">
        <w:tc>
          <w:tcPr>
            <w:tcW w:w="784" w:type="pct"/>
            <w:tcBorders>
              <w:top w:val="nil"/>
              <w:bottom w:val="nil"/>
            </w:tcBorders>
            <w:vAlign w:val="center"/>
          </w:tcPr>
          <w:p w14:paraId="47909B39" w14:textId="77777777" w:rsidR="00CF280B" w:rsidRDefault="00CF280B" w:rsidP="00E726F1">
            <w:pPr>
              <w:pStyle w:val="TableText0"/>
              <w:rPr>
                <w:snapToGrid w:val="0"/>
              </w:rPr>
            </w:pPr>
          </w:p>
        </w:tc>
        <w:tc>
          <w:tcPr>
            <w:tcW w:w="865" w:type="pct"/>
            <w:tcBorders>
              <w:top w:val="nil"/>
              <w:bottom w:val="nil"/>
            </w:tcBorders>
          </w:tcPr>
          <w:p w14:paraId="119FB2F3" w14:textId="77777777" w:rsidR="00CF280B" w:rsidRDefault="00CF280B" w:rsidP="00C6168E">
            <w:pPr>
              <w:pStyle w:val="TableText0"/>
              <w:jc w:val="center"/>
              <w:rPr>
                <w:snapToGrid w:val="0"/>
              </w:rPr>
            </w:pPr>
          </w:p>
        </w:tc>
        <w:tc>
          <w:tcPr>
            <w:tcW w:w="1650" w:type="pct"/>
          </w:tcPr>
          <w:p w14:paraId="36A0D491" w14:textId="7E4C82E9" w:rsidR="00CF280B" w:rsidRPr="0003573E" w:rsidRDefault="00CF280B" w:rsidP="00C6168E">
            <w:pPr>
              <w:pStyle w:val="TableText0"/>
              <w:ind w:left="16" w:right="117"/>
              <w:jc w:val="center"/>
              <w:rPr>
                <w:snapToGrid w:val="0"/>
              </w:rPr>
            </w:pPr>
            <w:r w:rsidRPr="0003573E">
              <w:rPr>
                <w:snapToGrid w:val="0"/>
              </w:rPr>
              <w:t>DFS</w:t>
            </w:r>
          </w:p>
        </w:tc>
        <w:tc>
          <w:tcPr>
            <w:tcW w:w="1701" w:type="pct"/>
            <w:shd w:val="clear" w:color="auto" w:fill="auto"/>
            <w:vAlign w:val="center"/>
          </w:tcPr>
          <w:p w14:paraId="530792AB" w14:textId="77777777" w:rsidR="00CF280B" w:rsidRPr="0003573E" w:rsidRDefault="00CF280B" w:rsidP="00C6168E">
            <w:pPr>
              <w:pStyle w:val="TableText0"/>
              <w:ind w:left="111" w:right="117"/>
              <w:jc w:val="center"/>
              <w:rPr>
                <w:snapToGrid w:val="0"/>
              </w:rPr>
            </w:pPr>
            <w:r>
              <w:t>57.1% (39.5-82.8%)</w:t>
            </w:r>
          </w:p>
        </w:tc>
      </w:tr>
      <w:tr w:rsidR="00CF280B" w:rsidRPr="00E54FA2" w14:paraId="5FBDA116" w14:textId="77777777" w:rsidTr="00E726F1">
        <w:tc>
          <w:tcPr>
            <w:tcW w:w="784" w:type="pct"/>
            <w:tcBorders>
              <w:top w:val="nil"/>
              <w:bottom w:val="single" w:sz="4" w:space="0" w:color="auto"/>
            </w:tcBorders>
            <w:vAlign w:val="center"/>
          </w:tcPr>
          <w:p w14:paraId="676C7D0A" w14:textId="77777777" w:rsidR="00CF280B" w:rsidRDefault="00CF280B" w:rsidP="00E726F1">
            <w:pPr>
              <w:pStyle w:val="TableText0"/>
              <w:rPr>
                <w:snapToGrid w:val="0"/>
              </w:rPr>
            </w:pPr>
          </w:p>
        </w:tc>
        <w:tc>
          <w:tcPr>
            <w:tcW w:w="865" w:type="pct"/>
            <w:tcBorders>
              <w:top w:val="nil"/>
              <w:bottom w:val="single" w:sz="4" w:space="0" w:color="auto"/>
            </w:tcBorders>
          </w:tcPr>
          <w:p w14:paraId="4805E65D" w14:textId="77777777" w:rsidR="00CF280B" w:rsidRDefault="00CF280B" w:rsidP="00C6168E">
            <w:pPr>
              <w:pStyle w:val="TableText0"/>
              <w:jc w:val="center"/>
              <w:rPr>
                <w:snapToGrid w:val="0"/>
              </w:rPr>
            </w:pPr>
          </w:p>
        </w:tc>
        <w:tc>
          <w:tcPr>
            <w:tcW w:w="1650" w:type="pct"/>
          </w:tcPr>
          <w:p w14:paraId="25634FAF" w14:textId="3D0FA290" w:rsidR="00CF280B" w:rsidRPr="0003573E" w:rsidRDefault="00CF280B" w:rsidP="00C6168E">
            <w:pPr>
              <w:pStyle w:val="TableText0"/>
              <w:ind w:left="16" w:right="117"/>
              <w:jc w:val="center"/>
              <w:rPr>
                <w:snapToGrid w:val="0"/>
              </w:rPr>
            </w:pPr>
            <w:r>
              <w:rPr>
                <w:snapToGrid w:val="0"/>
              </w:rPr>
              <w:t>LC</w:t>
            </w:r>
          </w:p>
        </w:tc>
        <w:tc>
          <w:tcPr>
            <w:tcW w:w="1701" w:type="pct"/>
            <w:shd w:val="clear" w:color="auto" w:fill="auto"/>
            <w:vAlign w:val="center"/>
          </w:tcPr>
          <w:p w14:paraId="6DF4B481" w14:textId="77777777" w:rsidR="00CF280B" w:rsidRPr="0003573E" w:rsidRDefault="00CF280B" w:rsidP="00C6168E">
            <w:pPr>
              <w:pStyle w:val="TableText0"/>
              <w:ind w:left="111" w:right="117"/>
              <w:jc w:val="center"/>
              <w:rPr>
                <w:snapToGrid w:val="0"/>
              </w:rPr>
            </w:pPr>
            <w:r w:rsidRPr="00D95409">
              <w:t>95.5% (87.1-100.0</w:t>
            </w:r>
            <w:r>
              <w:t>%</w:t>
            </w:r>
            <w:r w:rsidRPr="00D95409">
              <w:t>)</w:t>
            </w:r>
          </w:p>
        </w:tc>
      </w:tr>
    </w:tbl>
    <w:p w14:paraId="2C3F54C4" w14:textId="66EEB3C2" w:rsidR="00DB3295" w:rsidRDefault="00465FCD" w:rsidP="002D7A6F">
      <w:pPr>
        <w:pStyle w:val="Tablenotes0"/>
        <w:spacing w:after="0"/>
      </w:pPr>
      <w:r>
        <w:t>CI, confidence interval; DFS, disease-free survival; LC, local control;</w:t>
      </w:r>
      <w:r w:rsidR="00DF01D0">
        <w:t xml:space="preserve"> </w:t>
      </w:r>
      <w:r w:rsidR="00DF01D0" w:rsidRPr="00DF01D0">
        <w:t>NSCLC, non-small cell lung cancer</w:t>
      </w:r>
      <w:r w:rsidR="00DF01D0">
        <w:t>;</w:t>
      </w:r>
      <w:r>
        <w:t xml:space="preserve"> OS, overall survival; PFS, progression-free survival</w:t>
      </w:r>
    </w:p>
    <w:p w14:paraId="0136C397" w14:textId="77777777" w:rsidR="008C2751" w:rsidRPr="009B6277" w:rsidRDefault="008C2751" w:rsidP="002D7A6F">
      <w:pPr>
        <w:pStyle w:val="Tablenotes0"/>
        <w:spacing w:after="0"/>
      </w:pPr>
      <w:r w:rsidRPr="008C2751">
        <w:t xml:space="preserve">* </w:t>
      </w:r>
      <w:r>
        <w:t>Survival data reported for all lung cancers and separately for patients with primary lung cancers and patients with lung metastases</w:t>
      </w:r>
    </w:p>
    <w:p w14:paraId="11575DFC" w14:textId="77777777" w:rsidR="002D7A6F" w:rsidRDefault="002D7A6F" w:rsidP="00B16C86"/>
    <w:p w14:paraId="1D5213CF" w14:textId="7E751603" w:rsidR="00B16C86" w:rsidRDefault="009C3B34" w:rsidP="00B16C86">
      <w:r>
        <w:t>Nine</w:t>
      </w:r>
      <w:r w:rsidR="003572F8">
        <w:t xml:space="preserve"> studies</w:t>
      </w:r>
      <w:r w:rsidR="00895B2E">
        <w:t xml:space="preserve"> </w:t>
      </w:r>
      <w:r w:rsidR="003572F8">
        <w:t xml:space="preserve">reported on survival outcomes </w:t>
      </w:r>
      <w:r w:rsidR="00FF7D76">
        <w:t xml:space="preserve">in </w:t>
      </w:r>
      <w:r w:rsidR="00FA559F">
        <w:t xml:space="preserve">patients with </w:t>
      </w:r>
      <w:r w:rsidR="00FF7D76">
        <w:t>lung cancer</w:t>
      </w:r>
      <w:r w:rsidR="00511277">
        <w:t xml:space="preserve">, predominantly various </w:t>
      </w:r>
      <w:r w:rsidR="00AB4D88">
        <w:t>stages</w:t>
      </w:r>
      <w:r w:rsidR="00511277">
        <w:t xml:space="preserve"> of </w:t>
      </w:r>
      <w:r w:rsidR="00F60C1E">
        <w:t>NSCLC</w:t>
      </w:r>
      <w:r w:rsidR="00AB4D88">
        <w:t xml:space="preserve"> or lung metastases</w:t>
      </w:r>
      <w:r w:rsidR="004A3911">
        <w:t>, after treatment with CBCT-IGR</w:t>
      </w:r>
      <w:r w:rsidR="00511277">
        <w:t xml:space="preserve"> </w:t>
      </w:r>
      <w:r w:rsidR="000C77B0">
        <w:fldChar w:fldCharType="begin">
          <w:fldData xml:space="preserve">PEVuZE5vdGU+PENpdGU+PEF1dGhvcj5CYXNjaG5hZ2VsPC9BdXRob3I+PFllYXI+MjAxMzwvWWVh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</w:fldData>
        </w:fldChar>
      </w:r>
      <w:r w:rsidR="000C77B0">
        <w:instrText xml:space="preserve"> ADDIN EN.CITE </w:instrText>
      </w:r>
      <w:r w:rsidR="000C77B0">
        <w:fldChar w:fldCharType="begin">
          <w:fldData xml:space="preserve">PEVuZE5vdGU+PENpdGU+PEF1dGhvcj5CYXNjaG5hZ2VsPC9BdXRob3I+PFllYXI+MjAxMzwvWWVh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</w:fldData>
        </w:fldChar>
      </w:r>
      <w:r w:rsidR="000C77B0">
        <w:instrText xml:space="preserve"> ADDIN EN.CITE.DATA </w:instrText>
      </w:r>
      <w:r w:rsidR="000C77B0">
        <w:fldChar w:fldCharType="end"/>
      </w:r>
      <w:r w:rsidR="000C77B0">
        <w:fldChar w:fldCharType="separate"/>
      </w:r>
      <w:r w:rsidR="000C77B0">
        <w:rPr>
          <w:noProof/>
        </w:rPr>
        <w:t>(</w:t>
      </w:r>
      <w:hyperlink w:anchor="_ENREF_4" w:tooltip="Appel, 2020 #30" w:history="1">
        <w:r w:rsidR="008B6FC0">
          <w:rPr>
            <w:noProof/>
          </w:rPr>
          <w:t>Appel et al., 2020</w:t>
        </w:r>
      </w:hyperlink>
      <w:r w:rsidR="000C77B0">
        <w:rPr>
          <w:noProof/>
        </w:rPr>
        <w:t xml:space="preserve">; </w:t>
      </w:r>
      <w:hyperlink w:anchor="_ENREF_10" w:tooltip="Baschnagel, 2013 #32" w:history="1">
        <w:r w:rsidR="008B6FC0">
          <w:rPr>
            <w:noProof/>
          </w:rPr>
          <w:t>Baschnagel et al., 2013</w:t>
        </w:r>
      </w:hyperlink>
      <w:r w:rsidR="000C77B0">
        <w:rPr>
          <w:noProof/>
        </w:rPr>
        <w:t xml:space="preserve">; </w:t>
      </w:r>
      <w:hyperlink w:anchor="_ENREF_13" w:tooltip="Boda-Heggemann, 2014 #35" w:history="1">
        <w:r w:rsidR="008B6FC0">
          <w:rPr>
            <w:noProof/>
          </w:rPr>
          <w:t>Boda-Heggemann et al., 2014</w:t>
        </w:r>
      </w:hyperlink>
      <w:r w:rsidR="000C77B0">
        <w:rPr>
          <w:noProof/>
        </w:rPr>
        <w:t xml:space="preserve">; </w:t>
      </w:r>
      <w:hyperlink w:anchor="_ENREF_30" w:tooltip="Frakulli, 2015 #43" w:history="1">
        <w:r w:rsidR="008B6FC0">
          <w:rPr>
            <w:noProof/>
          </w:rPr>
          <w:t>Frakulli et al., 2015</w:t>
        </w:r>
      </w:hyperlink>
      <w:r w:rsidR="000C77B0">
        <w:rPr>
          <w:noProof/>
        </w:rPr>
        <w:t xml:space="preserve">; </w:t>
      </w:r>
      <w:hyperlink w:anchor="_ENREF_32" w:tooltip="Grills, 2012 #45" w:history="1">
        <w:r w:rsidR="008B6FC0">
          <w:rPr>
            <w:noProof/>
          </w:rPr>
          <w:t>Grills et al., 2012</w:t>
        </w:r>
      </w:hyperlink>
      <w:r w:rsidR="000C77B0">
        <w:rPr>
          <w:noProof/>
        </w:rPr>
        <w:t xml:space="preserve">; </w:t>
      </w:r>
      <w:hyperlink w:anchor="_ENREF_44" w:tooltip="Kestin, 2014 #55" w:history="1">
        <w:r w:rsidR="008B6FC0">
          <w:rPr>
            <w:noProof/>
          </w:rPr>
          <w:t>Kestin et al., 2014</w:t>
        </w:r>
      </w:hyperlink>
      <w:r w:rsidR="000C77B0">
        <w:rPr>
          <w:noProof/>
        </w:rPr>
        <w:t xml:space="preserve">; </w:t>
      </w:r>
      <w:hyperlink w:anchor="_ENREF_45" w:tooltip="Kilburn, 2016 #56" w:history="1">
        <w:r w:rsidR="008B6FC0">
          <w:rPr>
            <w:noProof/>
          </w:rPr>
          <w:t>Kilburn et al., 2016</w:t>
        </w:r>
      </w:hyperlink>
      <w:r w:rsidR="000C77B0">
        <w:rPr>
          <w:noProof/>
        </w:rPr>
        <w:t xml:space="preserve">; </w:t>
      </w:r>
      <w:hyperlink w:anchor="_ENREF_67" w:tooltip="Stone, 2015 #70" w:history="1">
        <w:r w:rsidR="008B6FC0">
          <w:rPr>
            <w:noProof/>
          </w:rPr>
          <w:t>Stone et al., 2015</w:t>
        </w:r>
      </w:hyperlink>
      <w:r w:rsidR="000C77B0">
        <w:rPr>
          <w:noProof/>
        </w:rPr>
        <w:t xml:space="preserve">; </w:t>
      </w:r>
      <w:hyperlink w:anchor="_ENREF_85" w:tooltip="Yegya-Raman, 2018 #83" w:history="1">
        <w:r w:rsidR="008B6FC0">
          <w:rPr>
            <w:noProof/>
          </w:rPr>
          <w:t>Yegya-Raman et al., 2018</w:t>
        </w:r>
      </w:hyperlink>
      <w:r w:rsidR="000C77B0">
        <w:rPr>
          <w:noProof/>
        </w:rPr>
        <w:t>)</w:t>
      </w:r>
      <w:r w:rsidR="000C77B0">
        <w:fldChar w:fldCharType="end"/>
      </w:r>
      <w:r w:rsidR="00610731">
        <w:t xml:space="preserve">. </w:t>
      </w:r>
      <w:r w:rsidR="00895B2E">
        <w:t>The</w:t>
      </w:r>
      <w:r w:rsidR="00493A5E">
        <w:t xml:space="preserve"> results</w:t>
      </w:r>
      <w:r w:rsidR="00895B2E">
        <w:t xml:space="preserve"> are</w:t>
      </w:r>
      <w:r w:rsidR="007E2E94">
        <w:t xml:space="preserve"> summarised in </w:t>
      </w:r>
      <w:r w:rsidR="006B4CFB">
        <w:fldChar w:fldCharType="begin"/>
      </w:r>
      <w:r w:rsidR="006B4CFB">
        <w:instrText xml:space="preserve"> REF _Ref55896669 \h </w:instrText>
      </w:r>
      <w:r w:rsidR="006B4CFB">
        <w:fldChar w:fldCharType="separate"/>
      </w:r>
      <w:r w:rsidR="00451350">
        <w:t xml:space="preserve">Table </w:t>
      </w:r>
      <w:r w:rsidR="00451350">
        <w:rPr>
          <w:noProof/>
        </w:rPr>
        <w:t>33</w:t>
      </w:r>
      <w:r w:rsidR="006B4CFB">
        <w:fldChar w:fldCharType="end"/>
      </w:r>
      <w:r w:rsidR="006B4CFB">
        <w:t>.</w:t>
      </w:r>
    </w:p>
    <w:p w14:paraId="35FC0416" w14:textId="423DA17C" w:rsidR="005756F5" w:rsidRDefault="005756F5" w:rsidP="005756F5">
      <w:pPr>
        <w:pStyle w:val="Caption"/>
        <w:keepNext/>
      </w:pPr>
      <w:bookmarkStart w:id="409" w:name="_Ref55896669"/>
      <w:bookmarkStart w:id="410" w:name="_Toc89857904"/>
      <w:r>
        <w:t xml:space="preserve">Table </w:t>
      </w:r>
      <w:r w:rsidR="00211285">
        <w:fldChar w:fldCharType="begin"/>
      </w:r>
      <w:r w:rsidR="00211285">
        <w:instrText xml:space="preserve"> SEQ Table \* ARABIC </w:instrText>
      </w:r>
      <w:r w:rsidR="00211285">
        <w:fldChar w:fldCharType="separate"/>
      </w:r>
      <w:r w:rsidR="00451350">
        <w:rPr>
          <w:noProof/>
        </w:rPr>
        <w:t>33</w:t>
      </w:r>
      <w:r w:rsidR="00211285">
        <w:rPr>
          <w:noProof/>
        </w:rPr>
        <w:fldChar w:fldCharType="end"/>
      </w:r>
      <w:bookmarkEnd w:id="409"/>
      <w:r>
        <w:tab/>
      </w:r>
      <w:r w:rsidRPr="00047990">
        <w:t>Results of key patient-relevant outcome</w:t>
      </w:r>
      <w:r w:rsidR="008F6A9D">
        <w:t>s</w:t>
      </w:r>
      <w:r w:rsidRPr="00047990">
        <w:t xml:space="preserve"> across the studies, lung cancer, </w:t>
      </w:r>
      <w:r>
        <w:t>CBCT</w:t>
      </w:r>
      <w:r w:rsidRPr="00047990">
        <w:t>-IGRT</w:t>
      </w:r>
      <w:bookmarkEnd w:id="410"/>
    </w:p>
    <w:tbl>
      <w:tblPr>
        <w:tblStyle w:val="TableGrid1"/>
        <w:tblW w:w="0" w:type="auto"/>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354"/>
        <w:gridCol w:w="2420"/>
        <w:gridCol w:w="1686"/>
        <w:gridCol w:w="923"/>
        <w:gridCol w:w="878"/>
        <w:gridCol w:w="877"/>
        <w:gridCol w:w="504"/>
        <w:gridCol w:w="142"/>
        <w:gridCol w:w="232"/>
      </w:tblGrid>
      <w:tr w:rsidR="001A721A" w:rsidRPr="00E54FA2" w14:paraId="74D42025" w14:textId="1254AFB5" w:rsidTr="008214A5">
        <w:trPr>
          <w:cnfStyle w:val="100000000000" w:firstRow="1" w:lastRow="0" w:firstColumn="0" w:lastColumn="0" w:oddVBand="0" w:evenVBand="0" w:oddHBand="0" w:evenHBand="0" w:firstRowFirstColumn="0" w:firstRowLastColumn="0" w:lastRowFirstColumn="0" w:lastRowLastColumn="0"/>
          <w:trHeight w:val="350"/>
          <w:tblHeader/>
        </w:trPr>
        <w:tc>
          <w:tcPr>
            <w:tcW w:w="0" w:type="auto"/>
            <w:tcBorders>
              <w:top w:val="single" w:sz="4" w:space="0" w:color="auto"/>
              <w:left w:val="single" w:sz="4" w:space="0" w:color="auto"/>
              <w:bottom w:val="nil"/>
              <w:right w:val="single" w:sz="4" w:space="0" w:color="auto"/>
            </w:tcBorders>
          </w:tcPr>
          <w:p w14:paraId="4E39CDCF" w14:textId="77777777" w:rsidR="001A721A" w:rsidRDefault="001A721A" w:rsidP="00D8629A">
            <w:pPr>
              <w:pStyle w:val="TableHeading"/>
              <w:rPr>
                <w:snapToGrid w:val="0"/>
                <w:lang w:eastAsia="en-US"/>
              </w:rPr>
            </w:pPr>
            <w:r w:rsidRPr="00E54FA2">
              <w:rPr>
                <w:snapToGrid w:val="0"/>
                <w:lang w:eastAsia="en-US"/>
              </w:rPr>
              <w:t>Study ID</w:t>
            </w:r>
          </w:p>
        </w:tc>
        <w:tc>
          <w:tcPr>
            <w:tcW w:w="0" w:type="auto"/>
            <w:tcBorders>
              <w:top w:val="single" w:sz="4" w:space="0" w:color="auto"/>
              <w:left w:val="single" w:sz="4" w:space="0" w:color="auto"/>
              <w:bottom w:val="nil"/>
              <w:right w:val="single" w:sz="4" w:space="0" w:color="auto"/>
            </w:tcBorders>
          </w:tcPr>
          <w:p w14:paraId="1A9956B1" w14:textId="77777777" w:rsidR="001A721A" w:rsidRPr="00E54FA2" w:rsidRDefault="001A721A" w:rsidP="00C6168E">
            <w:pPr>
              <w:pStyle w:val="TableHeading"/>
              <w:jc w:val="center"/>
              <w:rPr>
                <w:snapToGrid w:val="0"/>
                <w:lang w:eastAsia="en-US"/>
              </w:rPr>
            </w:pPr>
            <w:r>
              <w:rPr>
                <w:snapToGrid w:val="0"/>
                <w:lang w:eastAsia="en-US"/>
              </w:rPr>
              <w:t>Cancer</w:t>
            </w:r>
          </w:p>
        </w:tc>
        <w:tc>
          <w:tcPr>
            <w:tcW w:w="0" w:type="auto"/>
            <w:tcBorders>
              <w:top w:val="single" w:sz="4" w:space="0" w:color="auto"/>
              <w:left w:val="single" w:sz="4" w:space="0" w:color="auto"/>
              <w:bottom w:val="nil"/>
              <w:right w:val="single" w:sz="4" w:space="0" w:color="auto"/>
            </w:tcBorders>
          </w:tcPr>
          <w:p w14:paraId="079F8BA3" w14:textId="77777777" w:rsidR="001A721A" w:rsidRPr="00E54FA2" w:rsidRDefault="001A721A" w:rsidP="00C6168E">
            <w:pPr>
              <w:pStyle w:val="TableHeading"/>
              <w:ind w:left="16" w:right="117"/>
              <w:jc w:val="center"/>
              <w:rPr>
                <w:snapToGrid w:val="0"/>
                <w:lang w:eastAsia="en-US"/>
              </w:rPr>
            </w:pPr>
            <w:r>
              <w:rPr>
                <w:snapToGrid w:val="0"/>
                <w:lang w:eastAsia="en-US"/>
              </w:rPr>
              <w:t>Outcome</w:t>
            </w:r>
          </w:p>
        </w:tc>
        <w:tc>
          <w:tcPr>
            <w:tcW w:w="3182" w:type="dxa"/>
            <w:gridSpan w:val="4"/>
            <w:tcBorders>
              <w:top w:val="single" w:sz="4" w:space="0" w:color="auto"/>
              <w:left w:val="single" w:sz="4" w:space="0" w:color="auto"/>
              <w:bottom w:val="single" w:sz="4" w:space="0" w:color="auto"/>
              <w:right w:val="nil"/>
            </w:tcBorders>
          </w:tcPr>
          <w:p w14:paraId="21E5C932" w14:textId="77777777" w:rsidR="001A721A" w:rsidRDefault="001A721A" w:rsidP="00C6168E">
            <w:pPr>
              <w:pStyle w:val="TableHeading"/>
              <w:ind w:left="111" w:right="117"/>
              <w:jc w:val="center"/>
              <w:rPr>
                <w:snapToGrid w:val="0"/>
                <w:lang w:eastAsia="en-US"/>
              </w:rPr>
            </w:pPr>
            <w:r>
              <w:rPr>
                <w:snapToGrid w:val="0"/>
                <w:lang w:eastAsia="en-US"/>
              </w:rPr>
              <w:t>Survival rate (%)</w:t>
            </w:r>
          </w:p>
          <w:p w14:paraId="4F8BD3EA" w14:textId="79DC7613" w:rsidR="001A721A" w:rsidRPr="00E54FA2" w:rsidRDefault="001A721A" w:rsidP="00C6168E">
            <w:pPr>
              <w:pStyle w:val="TableHeading"/>
              <w:ind w:left="111" w:right="117"/>
              <w:jc w:val="center"/>
              <w:rPr>
                <w:snapToGrid w:val="0"/>
                <w:lang w:eastAsia="en-US"/>
              </w:rPr>
            </w:pPr>
            <w:r>
              <w:rPr>
                <w:snapToGrid w:val="0"/>
                <w:lang w:eastAsia="en-US"/>
              </w:rPr>
              <w:t>(95% CI)</w:t>
            </w:r>
          </w:p>
        </w:tc>
        <w:tc>
          <w:tcPr>
            <w:tcW w:w="142" w:type="dxa"/>
            <w:tcBorders>
              <w:top w:val="single" w:sz="4" w:space="0" w:color="auto"/>
              <w:left w:val="nil"/>
              <w:bottom w:val="single" w:sz="4" w:space="0" w:color="auto"/>
              <w:right w:val="nil"/>
            </w:tcBorders>
          </w:tcPr>
          <w:p w14:paraId="4CE7A838" w14:textId="16880CD0" w:rsidR="001A721A" w:rsidRPr="00E54FA2" w:rsidRDefault="001A721A" w:rsidP="00C6168E">
            <w:pPr>
              <w:pStyle w:val="TableHeading"/>
              <w:ind w:left="111" w:right="117"/>
              <w:jc w:val="center"/>
              <w:rPr>
                <w:snapToGrid w:val="0"/>
                <w:lang w:eastAsia="en-US"/>
              </w:rPr>
            </w:pPr>
          </w:p>
        </w:tc>
        <w:tc>
          <w:tcPr>
            <w:tcW w:w="232" w:type="dxa"/>
            <w:tcBorders>
              <w:top w:val="single" w:sz="4" w:space="0" w:color="auto"/>
              <w:left w:val="nil"/>
              <w:bottom w:val="single" w:sz="4" w:space="0" w:color="auto"/>
              <w:right w:val="single" w:sz="4" w:space="0" w:color="auto"/>
            </w:tcBorders>
          </w:tcPr>
          <w:p w14:paraId="55E57E6E" w14:textId="0A6D19EB" w:rsidR="001A721A" w:rsidRPr="00E54FA2" w:rsidRDefault="001A721A" w:rsidP="00C6168E">
            <w:pPr>
              <w:pStyle w:val="TableHeading"/>
              <w:ind w:left="111" w:right="117"/>
              <w:jc w:val="center"/>
              <w:rPr>
                <w:snapToGrid w:val="0"/>
                <w:lang w:eastAsia="en-US"/>
              </w:rPr>
            </w:pPr>
          </w:p>
        </w:tc>
      </w:tr>
      <w:tr w:rsidR="00714DCE" w:rsidRPr="00E54FA2" w14:paraId="11FDA524" w14:textId="77777777" w:rsidTr="0077740E">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single" w:sz="4" w:space="0" w:color="auto"/>
              <w:bottom w:val="single" w:sz="4" w:space="0" w:color="auto"/>
              <w:right w:val="single" w:sz="4" w:space="0" w:color="auto"/>
            </w:tcBorders>
          </w:tcPr>
          <w:p w14:paraId="01B7C89C" w14:textId="77777777" w:rsidR="00714DCE" w:rsidRPr="00E54FA2" w:rsidRDefault="00714DCE" w:rsidP="00714DCE">
            <w:pPr>
              <w:pStyle w:val="TableHeading"/>
              <w:rPr>
                <w:snapToGrid w:val="0"/>
                <w:lang w:eastAsia="en-US"/>
              </w:rPr>
            </w:pPr>
          </w:p>
        </w:tc>
        <w:tc>
          <w:tcPr>
            <w:tcW w:w="0" w:type="auto"/>
            <w:tcBorders>
              <w:top w:val="nil"/>
              <w:left w:val="single" w:sz="4" w:space="0" w:color="auto"/>
              <w:bottom w:val="single" w:sz="4" w:space="0" w:color="auto"/>
              <w:right w:val="single" w:sz="4" w:space="0" w:color="auto"/>
            </w:tcBorders>
          </w:tcPr>
          <w:p w14:paraId="0297C8BD" w14:textId="77777777" w:rsidR="00714DCE" w:rsidRDefault="00714DCE" w:rsidP="00C6168E">
            <w:pPr>
              <w:pStyle w:val="TableHeading"/>
              <w:jc w:val="center"/>
              <w:rPr>
                <w:snapToGrid w:val="0"/>
                <w:lang w:eastAsia="en-US"/>
              </w:rPr>
            </w:pPr>
          </w:p>
        </w:tc>
        <w:tc>
          <w:tcPr>
            <w:tcW w:w="0" w:type="auto"/>
            <w:tcBorders>
              <w:top w:val="nil"/>
              <w:left w:val="single" w:sz="4" w:space="0" w:color="auto"/>
              <w:bottom w:val="single" w:sz="4" w:space="0" w:color="auto"/>
              <w:right w:val="single" w:sz="4" w:space="0" w:color="auto"/>
            </w:tcBorders>
          </w:tcPr>
          <w:p w14:paraId="13FCB9C1" w14:textId="77777777" w:rsidR="00714DCE" w:rsidRDefault="00714DCE" w:rsidP="00C6168E">
            <w:pPr>
              <w:pStyle w:val="TableHeading"/>
              <w:ind w:left="16" w:right="117"/>
              <w:jc w:val="center"/>
              <w:rPr>
                <w:snapToGrid w:val="0"/>
                <w:lang w:eastAsia="en-US"/>
              </w:rPr>
            </w:pPr>
          </w:p>
        </w:tc>
        <w:tc>
          <w:tcPr>
            <w:tcW w:w="923" w:type="dxa"/>
            <w:tcBorders>
              <w:top w:val="single" w:sz="4" w:space="0" w:color="auto"/>
              <w:left w:val="single" w:sz="4" w:space="0" w:color="auto"/>
              <w:bottom w:val="single" w:sz="4" w:space="0" w:color="auto"/>
            </w:tcBorders>
          </w:tcPr>
          <w:p w14:paraId="616EE956" w14:textId="1F688B84" w:rsidR="00714DCE" w:rsidRDefault="00714DCE" w:rsidP="00C6168E">
            <w:pPr>
              <w:pStyle w:val="TableHeading"/>
              <w:ind w:left="111" w:right="117"/>
              <w:jc w:val="center"/>
              <w:rPr>
                <w:snapToGrid w:val="0"/>
                <w:lang w:eastAsia="en-US"/>
              </w:rPr>
            </w:pPr>
            <w:r>
              <w:rPr>
                <w:snapToGrid w:val="0"/>
                <w:lang w:eastAsia="en-US"/>
              </w:rPr>
              <w:t>1 year</w:t>
            </w:r>
          </w:p>
        </w:tc>
        <w:tc>
          <w:tcPr>
            <w:tcW w:w="878" w:type="dxa"/>
            <w:tcBorders>
              <w:top w:val="single" w:sz="4" w:space="0" w:color="auto"/>
              <w:bottom w:val="single" w:sz="4" w:space="0" w:color="auto"/>
            </w:tcBorders>
          </w:tcPr>
          <w:p w14:paraId="76FA84B7" w14:textId="08BCFEA1" w:rsidR="00714DCE" w:rsidRDefault="00714DCE" w:rsidP="00C6168E">
            <w:pPr>
              <w:pStyle w:val="TableHeading"/>
              <w:ind w:left="111" w:right="117"/>
              <w:jc w:val="center"/>
              <w:rPr>
                <w:snapToGrid w:val="0"/>
                <w:lang w:eastAsia="en-US"/>
              </w:rPr>
            </w:pPr>
            <w:r>
              <w:rPr>
                <w:snapToGrid w:val="0"/>
                <w:lang w:eastAsia="en-US"/>
              </w:rPr>
              <w:t>2 years</w:t>
            </w:r>
          </w:p>
        </w:tc>
        <w:tc>
          <w:tcPr>
            <w:tcW w:w="877" w:type="dxa"/>
            <w:tcBorders>
              <w:top w:val="single" w:sz="4" w:space="0" w:color="auto"/>
              <w:bottom w:val="single" w:sz="4" w:space="0" w:color="auto"/>
            </w:tcBorders>
          </w:tcPr>
          <w:p w14:paraId="03C24D81" w14:textId="55811864" w:rsidR="00714DCE" w:rsidRDefault="00714DCE" w:rsidP="00C6168E">
            <w:pPr>
              <w:pStyle w:val="TableHeading"/>
              <w:ind w:left="111" w:right="117"/>
              <w:jc w:val="center"/>
              <w:rPr>
                <w:snapToGrid w:val="0"/>
                <w:lang w:eastAsia="en-US"/>
              </w:rPr>
            </w:pPr>
            <w:r>
              <w:rPr>
                <w:snapToGrid w:val="0"/>
                <w:lang w:eastAsia="en-US"/>
              </w:rPr>
              <w:t>3 years</w:t>
            </w:r>
          </w:p>
        </w:tc>
        <w:tc>
          <w:tcPr>
            <w:tcW w:w="878" w:type="dxa"/>
            <w:gridSpan w:val="3"/>
            <w:tcBorders>
              <w:top w:val="single" w:sz="4" w:space="0" w:color="auto"/>
              <w:bottom w:val="single" w:sz="4" w:space="0" w:color="auto"/>
            </w:tcBorders>
          </w:tcPr>
          <w:p w14:paraId="50240C6E" w14:textId="54918D1E" w:rsidR="00714DCE" w:rsidRDefault="00714DCE" w:rsidP="00C6168E">
            <w:pPr>
              <w:pStyle w:val="TableHeading"/>
              <w:ind w:left="111" w:right="117"/>
              <w:jc w:val="center"/>
              <w:rPr>
                <w:snapToGrid w:val="0"/>
                <w:lang w:eastAsia="en-US"/>
              </w:rPr>
            </w:pPr>
            <w:r>
              <w:rPr>
                <w:snapToGrid w:val="0"/>
                <w:lang w:eastAsia="en-US"/>
              </w:rPr>
              <w:t>5 years</w:t>
            </w:r>
          </w:p>
        </w:tc>
      </w:tr>
      <w:tr w:rsidR="00714DCE" w:rsidRPr="00E54FA2" w14:paraId="2901BA8F" w14:textId="60302D55" w:rsidTr="0077740E">
        <w:tc>
          <w:tcPr>
            <w:tcW w:w="0" w:type="auto"/>
            <w:tcBorders>
              <w:top w:val="single" w:sz="4" w:space="0" w:color="auto"/>
              <w:left w:val="single" w:sz="4" w:space="0" w:color="auto"/>
              <w:bottom w:val="nil"/>
              <w:right w:val="single" w:sz="4" w:space="0" w:color="auto"/>
            </w:tcBorders>
          </w:tcPr>
          <w:p w14:paraId="08E21039" w14:textId="6CDA7470" w:rsidR="00714DCE" w:rsidRPr="009B6277" w:rsidRDefault="00211285" w:rsidP="00714DCE">
            <w:pPr>
              <w:pStyle w:val="Tabletext1"/>
              <w:rPr>
                <w:snapToGrid w:val="0"/>
                <w:vertAlign w:val="superscript"/>
              </w:rPr>
            </w:pPr>
            <w:hyperlink w:anchor="_ENREF_4" w:tooltip="Appel, 2020 #30" w:history="1">
              <w:r w:rsidR="008B6FC0">
                <w:fldChar w:fldCharType="begin"/>
              </w:r>
              <w:r w:rsidR="008B6FC0">
                <w:instrText xml:space="preserve"> ADDIN EN.CITE &lt;EndNote&gt;&lt;Cite AuthorYear="1"&gt;&lt;Author&gt;Appel&lt;/Author&gt;&lt;Year&gt;2020&lt;/Year&gt;&lt;RecNum&gt;30&lt;/RecNum&gt;&lt;DisplayText&gt;Appel et al. (2020)&lt;/DisplayText&gt;&lt;record&gt;&lt;rec-number&gt;30&lt;/rec-number&gt;&lt;foreign-keys&gt;&lt;key app="EN" db-id="sx5wsdwv795wvue959xxw0ptaewvdezxxp05" timestamp="1604876375"&gt;30&lt;/key&gt;&lt;/foreign-keys&gt;&lt;ref-type name="Journal Article"&gt;17&lt;/ref-type&gt;&lt;contributors&gt;&lt;authors&gt;&lt;author&gt;Appel, S.&lt;/author&gt;&lt;author&gt;Bar, J.&lt;/author&gt;&lt;author&gt;Alezra, D.&lt;/author&gt;&lt;author&gt;Ben-Ayun, M.&lt;/author&gt;&lt;author&gt;Rabin-Alezra, T.&lt;/author&gt;&lt;author&gt;Honig, N.&lt;/author&gt;&lt;author&gt;Katzman, T.&lt;/author&gt;&lt;author&gt;Chatterji, S.&lt;/author&gt;&lt;author&gt;Symon, Z.&lt;/author&gt;&lt;author&gt;Lawrence, Y. R.&lt;/author&gt;&lt;/authors&gt;&lt;/contributors&gt;&lt;titles&gt;&lt;title&gt;Image-guidance triggered adaptive replanning of radiation therapy for locally advanced lung cancer: an evaluation of cases requiring plan adaptation&lt;/title&gt;&lt;secondary-title&gt;Br J Radiol&lt;/secondary-title&gt;&lt;/titles&gt;&lt;pages&gt;20190743&lt;/pages&gt;&lt;volume&gt;93&lt;/volume&gt;&lt;number&gt;1105&lt;/number&gt;&lt;dates&gt;&lt;year&gt;2020&lt;/year&gt;&lt;/dates&gt;&lt;accession-num&gt;31670581&lt;/accession-num&gt;&lt;urls&gt;&lt;related-urls&gt;&lt;url&gt;http://ezproxy.library.usyd.edu.au/login?url=http://ovidsp.ovid.com/ovidweb.cgi?T=JS&amp;amp;CSC=Y&amp;amp;NEWS=N&amp;amp;PAGE=fulltext&amp;amp;D=medc&amp;amp;AN=31670581https://sydney.alma.exlibrisgroup.com/openurl/61USYD_INST/61USYD_INST:sydney?sid=OVID:medline&amp;amp;id=pmid:31670581&amp;amp;id=doi:10.1259&lt;/url&gt;&lt;/related-urls&gt;&lt;/urls&gt;&lt;electronic-resource-num&gt;https://dx.doi.org/10.1259/bjr.20190743&lt;/electronic-resource-num&gt;&lt;/record&gt;&lt;/Cite&gt;&lt;/EndNote&gt;</w:instrText>
              </w:r>
              <w:r w:rsidR="008B6FC0">
                <w:fldChar w:fldCharType="separate"/>
              </w:r>
              <w:r w:rsidR="008B6FC0">
                <w:rPr>
                  <w:noProof/>
                </w:rPr>
                <w:t>Appel et al. (2020)</w:t>
              </w:r>
              <w:r w:rsidR="008B6FC0">
                <w:fldChar w:fldCharType="end"/>
              </w:r>
            </w:hyperlink>
          </w:p>
        </w:tc>
        <w:tc>
          <w:tcPr>
            <w:tcW w:w="0" w:type="auto"/>
            <w:tcBorders>
              <w:top w:val="single" w:sz="4" w:space="0" w:color="auto"/>
              <w:left w:val="single" w:sz="4" w:space="0" w:color="auto"/>
              <w:bottom w:val="nil"/>
              <w:right w:val="single" w:sz="4" w:space="0" w:color="auto"/>
            </w:tcBorders>
          </w:tcPr>
          <w:p w14:paraId="63951A05" w14:textId="5772185B" w:rsidR="00714DCE" w:rsidRPr="00E54FA2" w:rsidRDefault="00714DCE" w:rsidP="00C6168E">
            <w:pPr>
              <w:pStyle w:val="Tabletext1"/>
              <w:jc w:val="center"/>
              <w:rPr>
                <w:snapToGrid w:val="0"/>
              </w:rPr>
            </w:pPr>
            <w:r>
              <w:rPr>
                <w:snapToGrid w:val="0"/>
              </w:rPr>
              <w:t>Lung cancer</w:t>
            </w:r>
            <w:r w:rsidR="001F734E">
              <w:rPr>
                <w:snapToGrid w:val="0"/>
              </w:rPr>
              <w:t xml:space="preserve"> (locally advanced NSCLC and SCLC)</w:t>
            </w:r>
          </w:p>
        </w:tc>
        <w:tc>
          <w:tcPr>
            <w:tcW w:w="0" w:type="auto"/>
            <w:tcBorders>
              <w:top w:val="single" w:sz="4" w:space="0" w:color="auto"/>
              <w:left w:val="single" w:sz="4" w:space="0" w:color="auto"/>
              <w:bottom w:val="single" w:sz="4" w:space="0" w:color="auto"/>
            </w:tcBorders>
          </w:tcPr>
          <w:p w14:paraId="6A141E4F" w14:textId="4D4C2092" w:rsidR="00714DCE" w:rsidRPr="00E54FA2" w:rsidRDefault="00714DCE" w:rsidP="00C6168E">
            <w:pPr>
              <w:pStyle w:val="Tabletext1"/>
              <w:jc w:val="center"/>
              <w:rPr>
                <w:snapToGrid w:val="0"/>
              </w:rPr>
            </w:pPr>
            <w:r>
              <w:rPr>
                <w:snapToGrid w:val="0"/>
              </w:rPr>
              <w:t>OS</w:t>
            </w:r>
          </w:p>
        </w:tc>
        <w:tc>
          <w:tcPr>
            <w:tcW w:w="923" w:type="dxa"/>
            <w:tcBorders>
              <w:bottom w:val="single" w:sz="4" w:space="0" w:color="auto"/>
            </w:tcBorders>
          </w:tcPr>
          <w:p w14:paraId="2BCC2C29" w14:textId="77777777" w:rsidR="00714DCE" w:rsidRDefault="00714DCE" w:rsidP="00C6168E">
            <w:pPr>
              <w:pStyle w:val="Tabletext1"/>
              <w:jc w:val="center"/>
              <w:rPr>
                <w:snapToGrid w:val="0"/>
              </w:rPr>
            </w:pPr>
          </w:p>
        </w:tc>
        <w:tc>
          <w:tcPr>
            <w:tcW w:w="878" w:type="dxa"/>
            <w:tcBorders>
              <w:bottom w:val="single" w:sz="4" w:space="0" w:color="auto"/>
            </w:tcBorders>
          </w:tcPr>
          <w:p w14:paraId="37E360D8" w14:textId="77777777" w:rsidR="00714DCE" w:rsidRDefault="00714DCE" w:rsidP="00C6168E">
            <w:pPr>
              <w:pStyle w:val="Tabletext1"/>
              <w:jc w:val="center"/>
              <w:rPr>
                <w:snapToGrid w:val="0"/>
              </w:rPr>
            </w:pPr>
          </w:p>
        </w:tc>
        <w:tc>
          <w:tcPr>
            <w:tcW w:w="877" w:type="dxa"/>
            <w:tcBorders>
              <w:bottom w:val="single" w:sz="4" w:space="0" w:color="auto"/>
            </w:tcBorders>
          </w:tcPr>
          <w:p w14:paraId="3F1AEA56" w14:textId="77777777" w:rsidR="00714DCE" w:rsidRDefault="006E7834" w:rsidP="00C6168E">
            <w:pPr>
              <w:pStyle w:val="Tabletext1"/>
              <w:jc w:val="center"/>
              <w:rPr>
                <w:snapToGrid w:val="0"/>
              </w:rPr>
            </w:pPr>
            <w:r>
              <w:rPr>
                <w:snapToGrid w:val="0"/>
              </w:rPr>
              <w:t>44.4%</w:t>
            </w:r>
          </w:p>
          <w:p w14:paraId="59B96CF2" w14:textId="0A2FD983" w:rsidR="006E7834" w:rsidRDefault="006E7834" w:rsidP="00C6168E">
            <w:pPr>
              <w:pStyle w:val="Tabletext1"/>
              <w:jc w:val="center"/>
              <w:rPr>
                <w:snapToGrid w:val="0"/>
              </w:rPr>
            </w:pPr>
            <w:r>
              <w:rPr>
                <w:snapToGrid w:val="0"/>
              </w:rPr>
              <w:t>(36-61.3%)</w:t>
            </w:r>
          </w:p>
        </w:tc>
        <w:tc>
          <w:tcPr>
            <w:tcW w:w="878" w:type="dxa"/>
            <w:gridSpan w:val="3"/>
            <w:tcBorders>
              <w:bottom w:val="single" w:sz="4" w:space="0" w:color="auto"/>
            </w:tcBorders>
          </w:tcPr>
          <w:p w14:paraId="3347FAE2" w14:textId="6E2D44E8" w:rsidR="00714DCE" w:rsidRDefault="00714DCE" w:rsidP="00C6168E">
            <w:pPr>
              <w:pStyle w:val="Tabletext1"/>
              <w:jc w:val="center"/>
              <w:rPr>
                <w:snapToGrid w:val="0"/>
              </w:rPr>
            </w:pPr>
          </w:p>
        </w:tc>
      </w:tr>
      <w:tr w:rsidR="006E7834" w:rsidRPr="00E54FA2" w14:paraId="3B06C052" w14:textId="77777777" w:rsidTr="0077740E">
        <w:tc>
          <w:tcPr>
            <w:tcW w:w="0" w:type="auto"/>
            <w:tcBorders>
              <w:top w:val="nil"/>
              <w:left w:val="single" w:sz="4" w:space="0" w:color="auto"/>
              <w:bottom w:val="nil"/>
              <w:right w:val="single" w:sz="4" w:space="0" w:color="auto"/>
            </w:tcBorders>
          </w:tcPr>
          <w:p w14:paraId="0BCA94E4" w14:textId="77777777" w:rsidR="006E7834" w:rsidRDefault="006E7834" w:rsidP="00714DCE">
            <w:pPr>
              <w:pStyle w:val="Tabletext1"/>
            </w:pPr>
          </w:p>
        </w:tc>
        <w:tc>
          <w:tcPr>
            <w:tcW w:w="0" w:type="auto"/>
            <w:tcBorders>
              <w:top w:val="nil"/>
              <w:left w:val="single" w:sz="4" w:space="0" w:color="auto"/>
              <w:bottom w:val="nil"/>
              <w:right w:val="single" w:sz="4" w:space="0" w:color="auto"/>
            </w:tcBorders>
          </w:tcPr>
          <w:p w14:paraId="75BEA18D" w14:textId="77777777" w:rsidR="006E7834" w:rsidRDefault="006E7834" w:rsidP="00C6168E">
            <w:pPr>
              <w:pStyle w:val="Tabletext1"/>
              <w:jc w:val="center"/>
              <w:rPr>
                <w:snapToGrid w:val="0"/>
              </w:rPr>
            </w:pPr>
          </w:p>
        </w:tc>
        <w:tc>
          <w:tcPr>
            <w:tcW w:w="0" w:type="auto"/>
            <w:tcBorders>
              <w:top w:val="single" w:sz="4" w:space="0" w:color="auto"/>
              <w:left w:val="single" w:sz="4" w:space="0" w:color="auto"/>
              <w:bottom w:val="single" w:sz="4" w:space="0" w:color="auto"/>
            </w:tcBorders>
          </w:tcPr>
          <w:p w14:paraId="2D489D4D" w14:textId="4CF34495" w:rsidR="006E7834" w:rsidRDefault="000B233F" w:rsidP="00C6168E">
            <w:pPr>
              <w:pStyle w:val="Tabletext1"/>
              <w:jc w:val="center"/>
              <w:rPr>
                <w:snapToGrid w:val="0"/>
              </w:rPr>
            </w:pPr>
            <w:r>
              <w:rPr>
                <w:snapToGrid w:val="0"/>
              </w:rPr>
              <w:t>DFS</w:t>
            </w:r>
          </w:p>
        </w:tc>
        <w:tc>
          <w:tcPr>
            <w:tcW w:w="923" w:type="dxa"/>
            <w:tcBorders>
              <w:bottom w:val="single" w:sz="4" w:space="0" w:color="auto"/>
            </w:tcBorders>
          </w:tcPr>
          <w:p w14:paraId="55C76F35" w14:textId="77777777" w:rsidR="006E7834" w:rsidRDefault="006E7834" w:rsidP="00C6168E">
            <w:pPr>
              <w:pStyle w:val="Tabletext1"/>
              <w:jc w:val="center"/>
              <w:rPr>
                <w:snapToGrid w:val="0"/>
              </w:rPr>
            </w:pPr>
          </w:p>
        </w:tc>
        <w:tc>
          <w:tcPr>
            <w:tcW w:w="878" w:type="dxa"/>
            <w:tcBorders>
              <w:bottom w:val="single" w:sz="4" w:space="0" w:color="auto"/>
            </w:tcBorders>
          </w:tcPr>
          <w:p w14:paraId="5F023518" w14:textId="77777777" w:rsidR="006E7834" w:rsidRDefault="006E7834" w:rsidP="00C6168E">
            <w:pPr>
              <w:pStyle w:val="Tabletext1"/>
              <w:jc w:val="center"/>
              <w:rPr>
                <w:snapToGrid w:val="0"/>
              </w:rPr>
            </w:pPr>
          </w:p>
        </w:tc>
        <w:tc>
          <w:tcPr>
            <w:tcW w:w="877" w:type="dxa"/>
            <w:tcBorders>
              <w:bottom w:val="single" w:sz="4" w:space="0" w:color="auto"/>
            </w:tcBorders>
          </w:tcPr>
          <w:p w14:paraId="4F115E5E" w14:textId="77777777" w:rsidR="006E7834" w:rsidRDefault="000B233F" w:rsidP="00C6168E">
            <w:pPr>
              <w:pStyle w:val="Tabletext1"/>
              <w:jc w:val="center"/>
              <w:rPr>
                <w:snapToGrid w:val="0"/>
              </w:rPr>
            </w:pPr>
            <w:r>
              <w:rPr>
                <w:snapToGrid w:val="0"/>
              </w:rPr>
              <w:t>37%</w:t>
            </w:r>
          </w:p>
          <w:p w14:paraId="72BBC8AF" w14:textId="1C14E313" w:rsidR="000B233F" w:rsidRDefault="000B233F" w:rsidP="00C6168E">
            <w:pPr>
              <w:pStyle w:val="Tabletext1"/>
              <w:jc w:val="center"/>
              <w:rPr>
                <w:snapToGrid w:val="0"/>
              </w:rPr>
            </w:pPr>
            <w:r>
              <w:rPr>
                <w:snapToGrid w:val="0"/>
              </w:rPr>
              <w:t>(18-56%)</w:t>
            </w:r>
          </w:p>
        </w:tc>
        <w:tc>
          <w:tcPr>
            <w:tcW w:w="878" w:type="dxa"/>
            <w:gridSpan w:val="3"/>
            <w:tcBorders>
              <w:bottom w:val="single" w:sz="4" w:space="0" w:color="auto"/>
            </w:tcBorders>
          </w:tcPr>
          <w:p w14:paraId="290EE227" w14:textId="77777777" w:rsidR="006E7834" w:rsidRDefault="006E7834" w:rsidP="00C6168E">
            <w:pPr>
              <w:pStyle w:val="Tabletext1"/>
              <w:jc w:val="center"/>
              <w:rPr>
                <w:snapToGrid w:val="0"/>
              </w:rPr>
            </w:pPr>
          </w:p>
        </w:tc>
      </w:tr>
      <w:tr w:rsidR="006E7834" w:rsidRPr="00E54FA2" w14:paraId="141CE1B2" w14:textId="77777777" w:rsidTr="00363B0F">
        <w:tc>
          <w:tcPr>
            <w:tcW w:w="0" w:type="auto"/>
            <w:tcBorders>
              <w:top w:val="nil"/>
              <w:left w:val="single" w:sz="4" w:space="0" w:color="auto"/>
              <w:bottom w:val="single" w:sz="4" w:space="0" w:color="auto"/>
              <w:right w:val="single" w:sz="4" w:space="0" w:color="auto"/>
            </w:tcBorders>
          </w:tcPr>
          <w:p w14:paraId="1B88B939" w14:textId="77777777" w:rsidR="006E7834" w:rsidRDefault="006E7834" w:rsidP="00714DCE">
            <w:pPr>
              <w:pStyle w:val="Tabletext1"/>
            </w:pPr>
          </w:p>
        </w:tc>
        <w:tc>
          <w:tcPr>
            <w:tcW w:w="0" w:type="auto"/>
            <w:tcBorders>
              <w:top w:val="nil"/>
              <w:left w:val="single" w:sz="4" w:space="0" w:color="auto"/>
              <w:bottom w:val="single" w:sz="4" w:space="0" w:color="auto"/>
              <w:right w:val="single" w:sz="4" w:space="0" w:color="auto"/>
            </w:tcBorders>
          </w:tcPr>
          <w:p w14:paraId="6736877C" w14:textId="77777777" w:rsidR="006E7834" w:rsidRDefault="006E7834" w:rsidP="00C6168E">
            <w:pPr>
              <w:pStyle w:val="Tabletext1"/>
              <w:jc w:val="center"/>
              <w:rPr>
                <w:snapToGrid w:val="0"/>
              </w:rPr>
            </w:pPr>
          </w:p>
        </w:tc>
        <w:tc>
          <w:tcPr>
            <w:tcW w:w="0" w:type="auto"/>
            <w:tcBorders>
              <w:top w:val="single" w:sz="4" w:space="0" w:color="auto"/>
              <w:left w:val="single" w:sz="4" w:space="0" w:color="auto"/>
              <w:bottom w:val="single" w:sz="4" w:space="0" w:color="auto"/>
            </w:tcBorders>
          </w:tcPr>
          <w:p w14:paraId="31F8A0B3" w14:textId="163B32BF" w:rsidR="006E7834" w:rsidRDefault="000B233F" w:rsidP="00C6168E">
            <w:pPr>
              <w:pStyle w:val="Tabletext1"/>
              <w:jc w:val="center"/>
              <w:rPr>
                <w:snapToGrid w:val="0"/>
              </w:rPr>
            </w:pPr>
            <w:r>
              <w:rPr>
                <w:snapToGrid w:val="0"/>
              </w:rPr>
              <w:t>LC</w:t>
            </w:r>
          </w:p>
        </w:tc>
        <w:tc>
          <w:tcPr>
            <w:tcW w:w="923" w:type="dxa"/>
            <w:tcBorders>
              <w:bottom w:val="single" w:sz="4" w:space="0" w:color="auto"/>
            </w:tcBorders>
          </w:tcPr>
          <w:p w14:paraId="2A39C826" w14:textId="77777777" w:rsidR="006E7834" w:rsidRDefault="006E7834" w:rsidP="00C6168E">
            <w:pPr>
              <w:pStyle w:val="Tabletext1"/>
              <w:jc w:val="center"/>
              <w:rPr>
                <w:snapToGrid w:val="0"/>
              </w:rPr>
            </w:pPr>
          </w:p>
        </w:tc>
        <w:tc>
          <w:tcPr>
            <w:tcW w:w="878" w:type="dxa"/>
            <w:tcBorders>
              <w:bottom w:val="single" w:sz="4" w:space="0" w:color="auto"/>
            </w:tcBorders>
          </w:tcPr>
          <w:p w14:paraId="320CE913" w14:textId="77777777" w:rsidR="006E7834" w:rsidRDefault="000B233F" w:rsidP="00C6168E">
            <w:pPr>
              <w:pStyle w:val="Tabletext1"/>
              <w:jc w:val="center"/>
              <w:rPr>
                <w:snapToGrid w:val="0"/>
              </w:rPr>
            </w:pPr>
            <w:r>
              <w:rPr>
                <w:snapToGrid w:val="0"/>
              </w:rPr>
              <w:t>60.7%</w:t>
            </w:r>
          </w:p>
          <w:p w14:paraId="05C01A79" w14:textId="3488F688" w:rsidR="000B233F" w:rsidRDefault="0077740E" w:rsidP="00C6168E">
            <w:pPr>
              <w:pStyle w:val="Tabletext1"/>
              <w:jc w:val="center"/>
              <w:rPr>
                <w:snapToGrid w:val="0"/>
              </w:rPr>
            </w:pPr>
            <w:r>
              <w:rPr>
                <w:snapToGrid w:val="0"/>
              </w:rPr>
              <w:t>(34.5-79.2%)</w:t>
            </w:r>
          </w:p>
        </w:tc>
        <w:tc>
          <w:tcPr>
            <w:tcW w:w="877" w:type="dxa"/>
            <w:tcBorders>
              <w:bottom w:val="single" w:sz="4" w:space="0" w:color="auto"/>
            </w:tcBorders>
          </w:tcPr>
          <w:p w14:paraId="5C09F4A4" w14:textId="77777777" w:rsidR="006E7834" w:rsidRDefault="0077740E" w:rsidP="00C6168E">
            <w:pPr>
              <w:pStyle w:val="Tabletext1"/>
              <w:jc w:val="center"/>
              <w:rPr>
                <w:snapToGrid w:val="0"/>
              </w:rPr>
            </w:pPr>
            <w:r>
              <w:rPr>
                <w:snapToGrid w:val="0"/>
              </w:rPr>
              <w:t>52%</w:t>
            </w:r>
          </w:p>
          <w:p w14:paraId="35C43E11" w14:textId="182A5BAD" w:rsidR="0077740E" w:rsidRDefault="0077740E" w:rsidP="00C6168E">
            <w:pPr>
              <w:pStyle w:val="Tabletext1"/>
              <w:jc w:val="center"/>
              <w:rPr>
                <w:snapToGrid w:val="0"/>
              </w:rPr>
            </w:pPr>
            <w:r>
              <w:rPr>
                <w:snapToGrid w:val="0"/>
              </w:rPr>
              <w:t>(25.4-73.3%)</w:t>
            </w:r>
          </w:p>
        </w:tc>
        <w:tc>
          <w:tcPr>
            <w:tcW w:w="878" w:type="dxa"/>
            <w:gridSpan w:val="3"/>
            <w:tcBorders>
              <w:bottom w:val="single" w:sz="4" w:space="0" w:color="auto"/>
            </w:tcBorders>
          </w:tcPr>
          <w:p w14:paraId="448DEF29" w14:textId="77777777" w:rsidR="006E7834" w:rsidRDefault="006E7834" w:rsidP="00C6168E">
            <w:pPr>
              <w:pStyle w:val="Tabletext1"/>
              <w:jc w:val="center"/>
              <w:rPr>
                <w:snapToGrid w:val="0"/>
              </w:rPr>
            </w:pPr>
          </w:p>
        </w:tc>
      </w:tr>
      <w:tr w:rsidR="00C30A20" w:rsidRPr="00E54FA2" w14:paraId="23B73484" w14:textId="77777777" w:rsidTr="00363B0F">
        <w:tc>
          <w:tcPr>
            <w:tcW w:w="0" w:type="auto"/>
            <w:tcBorders>
              <w:top w:val="single" w:sz="4" w:space="0" w:color="auto"/>
              <w:left w:val="single" w:sz="4" w:space="0" w:color="auto"/>
              <w:bottom w:val="nil"/>
              <w:right w:val="single" w:sz="4" w:space="0" w:color="auto"/>
            </w:tcBorders>
          </w:tcPr>
          <w:p w14:paraId="3AED2E92" w14:textId="13B1D690" w:rsidR="00C30A20" w:rsidRDefault="00211285" w:rsidP="00714DCE">
            <w:pPr>
              <w:pStyle w:val="Tabletext1"/>
            </w:pPr>
            <w:hyperlink w:anchor="_ENREF_10" w:tooltip="Baschnagel, 2013 #32" w:history="1">
              <w:r w:rsidR="008B6FC0">
                <w:fldChar w:fldCharType="begin"/>
              </w:r>
              <w:r w:rsidR="008B6FC0">
                <w:instrText xml:space="preserve"> ADDIN EN.CITE &lt;EndNote&gt;&lt;Cite AuthorYear="1"&gt;&lt;Author&gt;Baschnagel&lt;/Author&gt;&lt;Year&gt;2013&lt;/Year&gt;&lt;RecNum&gt;32&lt;/RecNum&gt;&lt;DisplayText&gt;Baschnagel et al. (2013)&lt;/DisplayText&gt;&lt;record&gt;&lt;rec-number&gt;32&lt;/rec-number&gt;&lt;foreign-keys&gt;&lt;key app="EN" db-id="sx5wsdwv795wvue959xxw0ptaewvdezxxp05" timestamp="1604876375"&gt;32&lt;/key&gt;&lt;/foreign-keys&gt;&lt;ref-type name="Journal Article"&gt;17&lt;/ref-type&gt;&lt;contributors&gt;&lt;authors&gt;&lt;author&gt;Baschnagel, A. M.&lt;/author&gt;&lt;author&gt;Mangona, V. S.&lt;/author&gt;&lt;author&gt;Robertson, J. M.&lt;/author&gt;&lt;author&gt;Welsh, R. J.&lt;/author&gt;&lt;author&gt;Kestin, L. L.&lt;/author&gt;&lt;author&gt;Grills, I. S.&lt;/author&gt;&lt;/authors&gt;&lt;/contributors&gt;&lt;titles&gt;&lt;title&gt;Lung metastases treated with image-guided stereotactic body radiation therapy&lt;/title&gt;&lt;secondary-title&gt;Clin Oncol (R Coll Radiol)&lt;/secondary-title&gt;&lt;/titles&gt;&lt;pages&gt;236-41&lt;/pages&gt;&lt;volume&gt;25&lt;/volume&gt;&lt;number&gt;4&lt;/number&gt;&lt;dates&gt;&lt;year&gt;2013&lt;/year&gt;&lt;/dates&gt;&lt;accession-num&gt;23352916&lt;/accession-num&gt;&lt;urls&gt;&lt;related-urls&gt;&lt;url&gt;http://ezproxy.library.usyd.edu.au/login?url=http://ovidsp.ovid.com/ovidweb.cgi?T=JS&amp;amp;CSC=Y&amp;amp;NEWS=N&amp;amp;PAGE=fulltext&amp;amp;D=med10&amp;amp;AN=23352916https://sydney.alma.exlibrisgroup.com/openurl/61USYD_INST/61USYD_INST:sydney?sid=OVID:medline&amp;amp;id=pmid:23352916&amp;amp;id=doi:10.101&lt;/url&gt;&lt;/related-urls&gt;&lt;/urls&gt;&lt;electronic-resource-num&gt;https://dx.doi.org/10.1016/j.clon.2012.12.005&lt;/electronic-resource-num&gt;&lt;/record&gt;&lt;/Cite&gt;&lt;/EndNote&gt;</w:instrText>
              </w:r>
              <w:r w:rsidR="008B6FC0">
                <w:fldChar w:fldCharType="separate"/>
              </w:r>
              <w:r w:rsidR="008B6FC0">
                <w:rPr>
                  <w:noProof/>
                </w:rPr>
                <w:t>Baschnagel et al. (2013)</w:t>
              </w:r>
              <w:r w:rsidR="008B6FC0">
                <w:fldChar w:fldCharType="end"/>
              </w:r>
            </w:hyperlink>
          </w:p>
        </w:tc>
        <w:tc>
          <w:tcPr>
            <w:tcW w:w="0" w:type="auto"/>
            <w:tcBorders>
              <w:top w:val="single" w:sz="4" w:space="0" w:color="auto"/>
              <w:left w:val="single" w:sz="4" w:space="0" w:color="auto"/>
              <w:bottom w:val="nil"/>
              <w:right w:val="single" w:sz="4" w:space="0" w:color="auto"/>
            </w:tcBorders>
          </w:tcPr>
          <w:p w14:paraId="38205CA6" w14:textId="7A24FC80" w:rsidR="00C30A20" w:rsidRDefault="008F1B95" w:rsidP="00C6168E">
            <w:pPr>
              <w:pStyle w:val="Tabletext1"/>
              <w:jc w:val="center"/>
              <w:rPr>
                <w:snapToGrid w:val="0"/>
              </w:rPr>
            </w:pPr>
            <w:r>
              <w:rPr>
                <w:snapToGrid w:val="0"/>
              </w:rPr>
              <w:t>Lung metastases</w:t>
            </w:r>
          </w:p>
        </w:tc>
        <w:tc>
          <w:tcPr>
            <w:tcW w:w="0" w:type="auto"/>
            <w:tcBorders>
              <w:top w:val="single" w:sz="4" w:space="0" w:color="auto"/>
              <w:left w:val="single" w:sz="4" w:space="0" w:color="auto"/>
              <w:bottom w:val="single" w:sz="4" w:space="0" w:color="auto"/>
            </w:tcBorders>
          </w:tcPr>
          <w:p w14:paraId="4C8F1C54" w14:textId="6798665E" w:rsidR="00C30A20" w:rsidRDefault="00292F78" w:rsidP="00C6168E">
            <w:pPr>
              <w:pStyle w:val="Tabletext1"/>
              <w:jc w:val="center"/>
              <w:rPr>
                <w:snapToGrid w:val="0"/>
              </w:rPr>
            </w:pPr>
            <w:r>
              <w:rPr>
                <w:snapToGrid w:val="0"/>
              </w:rPr>
              <w:t>OS</w:t>
            </w:r>
          </w:p>
        </w:tc>
        <w:tc>
          <w:tcPr>
            <w:tcW w:w="923" w:type="dxa"/>
            <w:tcBorders>
              <w:top w:val="single" w:sz="4" w:space="0" w:color="auto"/>
              <w:bottom w:val="single" w:sz="4" w:space="0" w:color="auto"/>
            </w:tcBorders>
          </w:tcPr>
          <w:p w14:paraId="293E9C0F" w14:textId="675FF4E4" w:rsidR="00C30A20" w:rsidRDefault="0094628D" w:rsidP="00C6168E">
            <w:pPr>
              <w:pStyle w:val="Tabletext1"/>
              <w:jc w:val="center"/>
              <w:rPr>
                <w:snapToGrid w:val="0"/>
              </w:rPr>
            </w:pPr>
            <w:r>
              <w:rPr>
                <w:snapToGrid w:val="0"/>
              </w:rPr>
              <w:t>83%</w:t>
            </w:r>
          </w:p>
        </w:tc>
        <w:tc>
          <w:tcPr>
            <w:tcW w:w="878" w:type="dxa"/>
            <w:tcBorders>
              <w:top w:val="single" w:sz="4" w:space="0" w:color="auto"/>
              <w:bottom w:val="single" w:sz="4" w:space="0" w:color="auto"/>
            </w:tcBorders>
          </w:tcPr>
          <w:p w14:paraId="61F5A13F" w14:textId="4FEEE3FC" w:rsidR="00C30A20" w:rsidRDefault="0094628D" w:rsidP="00C6168E">
            <w:pPr>
              <w:pStyle w:val="Tabletext1"/>
              <w:jc w:val="center"/>
              <w:rPr>
                <w:snapToGrid w:val="0"/>
              </w:rPr>
            </w:pPr>
            <w:r>
              <w:rPr>
                <w:snapToGrid w:val="0"/>
              </w:rPr>
              <w:t>76%</w:t>
            </w:r>
          </w:p>
        </w:tc>
        <w:tc>
          <w:tcPr>
            <w:tcW w:w="877" w:type="dxa"/>
            <w:tcBorders>
              <w:top w:val="single" w:sz="4" w:space="0" w:color="auto"/>
              <w:bottom w:val="single" w:sz="4" w:space="0" w:color="auto"/>
            </w:tcBorders>
          </w:tcPr>
          <w:p w14:paraId="2737D7C3" w14:textId="6B7911C8" w:rsidR="00C30A20" w:rsidRDefault="0094628D" w:rsidP="00C6168E">
            <w:pPr>
              <w:pStyle w:val="Tabletext1"/>
              <w:jc w:val="center"/>
              <w:rPr>
                <w:snapToGrid w:val="0"/>
              </w:rPr>
            </w:pPr>
            <w:r>
              <w:rPr>
                <w:snapToGrid w:val="0"/>
              </w:rPr>
              <w:t>63%</w:t>
            </w:r>
          </w:p>
        </w:tc>
        <w:tc>
          <w:tcPr>
            <w:tcW w:w="878" w:type="dxa"/>
            <w:gridSpan w:val="3"/>
            <w:tcBorders>
              <w:top w:val="single" w:sz="4" w:space="0" w:color="auto"/>
              <w:bottom w:val="single" w:sz="4" w:space="0" w:color="auto"/>
            </w:tcBorders>
          </w:tcPr>
          <w:p w14:paraId="245D2092" w14:textId="77777777" w:rsidR="00C30A20" w:rsidRDefault="00C30A20" w:rsidP="00C6168E">
            <w:pPr>
              <w:pStyle w:val="Tabletext1"/>
              <w:jc w:val="center"/>
              <w:rPr>
                <w:snapToGrid w:val="0"/>
              </w:rPr>
            </w:pPr>
          </w:p>
        </w:tc>
      </w:tr>
      <w:tr w:rsidR="000B4E98" w:rsidRPr="00E54FA2" w14:paraId="29145D07" w14:textId="77777777" w:rsidTr="00363B0F">
        <w:tc>
          <w:tcPr>
            <w:tcW w:w="0" w:type="auto"/>
            <w:tcBorders>
              <w:top w:val="nil"/>
              <w:left w:val="single" w:sz="4" w:space="0" w:color="auto"/>
              <w:bottom w:val="single" w:sz="4" w:space="0" w:color="auto"/>
              <w:right w:val="single" w:sz="4" w:space="0" w:color="auto"/>
            </w:tcBorders>
          </w:tcPr>
          <w:p w14:paraId="0523DE16" w14:textId="77777777" w:rsidR="000B4E98" w:rsidRDefault="000B4E98" w:rsidP="00714DCE">
            <w:pPr>
              <w:pStyle w:val="Tabletext1"/>
            </w:pPr>
          </w:p>
        </w:tc>
        <w:tc>
          <w:tcPr>
            <w:tcW w:w="0" w:type="auto"/>
            <w:tcBorders>
              <w:top w:val="nil"/>
              <w:left w:val="single" w:sz="4" w:space="0" w:color="auto"/>
              <w:bottom w:val="single" w:sz="4" w:space="0" w:color="auto"/>
              <w:right w:val="single" w:sz="4" w:space="0" w:color="auto"/>
            </w:tcBorders>
          </w:tcPr>
          <w:p w14:paraId="4C0B93EF" w14:textId="77777777" w:rsidR="000B4E98" w:rsidRDefault="000B4E98" w:rsidP="00C6168E">
            <w:pPr>
              <w:pStyle w:val="Tabletext1"/>
              <w:jc w:val="center"/>
              <w:rPr>
                <w:snapToGrid w:val="0"/>
              </w:rPr>
            </w:pPr>
          </w:p>
        </w:tc>
        <w:tc>
          <w:tcPr>
            <w:tcW w:w="0" w:type="auto"/>
            <w:tcBorders>
              <w:top w:val="single" w:sz="4" w:space="0" w:color="auto"/>
              <w:left w:val="single" w:sz="4" w:space="0" w:color="auto"/>
              <w:bottom w:val="single" w:sz="4" w:space="0" w:color="auto"/>
            </w:tcBorders>
          </w:tcPr>
          <w:p w14:paraId="73371C86" w14:textId="28E87041" w:rsidR="000B4E98" w:rsidRDefault="000B4E98" w:rsidP="00C6168E">
            <w:pPr>
              <w:pStyle w:val="Tabletext1"/>
              <w:jc w:val="center"/>
              <w:rPr>
                <w:snapToGrid w:val="0"/>
              </w:rPr>
            </w:pPr>
            <w:r>
              <w:rPr>
                <w:snapToGrid w:val="0"/>
              </w:rPr>
              <w:t>LC</w:t>
            </w:r>
          </w:p>
        </w:tc>
        <w:tc>
          <w:tcPr>
            <w:tcW w:w="923" w:type="dxa"/>
            <w:tcBorders>
              <w:top w:val="single" w:sz="4" w:space="0" w:color="auto"/>
              <w:bottom w:val="single" w:sz="4" w:space="0" w:color="auto"/>
            </w:tcBorders>
          </w:tcPr>
          <w:p w14:paraId="244E45AE" w14:textId="274EA0B3" w:rsidR="000B4E98" w:rsidRDefault="005D1FEE" w:rsidP="00C6168E">
            <w:pPr>
              <w:pStyle w:val="Tabletext1"/>
              <w:jc w:val="center"/>
              <w:rPr>
                <w:snapToGrid w:val="0"/>
              </w:rPr>
            </w:pPr>
            <w:r>
              <w:rPr>
                <w:snapToGrid w:val="0"/>
              </w:rPr>
              <w:t>97%</w:t>
            </w:r>
          </w:p>
        </w:tc>
        <w:tc>
          <w:tcPr>
            <w:tcW w:w="878" w:type="dxa"/>
            <w:tcBorders>
              <w:top w:val="single" w:sz="4" w:space="0" w:color="auto"/>
              <w:bottom w:val="single" w:sz="4" w:space="0" w:color="auto"/>
            </w:tcBorders>
          </w:tcPr>
          <w:p w14:paraId="69D3E792" w14:textId="4A43D8DC" w:rsidR="000B4E98" w:rsidRDefault="005D1FEE" w:rsidP="00C6168E">
            <w:pPr>
              <w:pStyle w:val="Tabletext1"/>
              <w:jc w:val="center"/>
              <w:rPr>
                <w:snapToGrid w:val="0"/>
              </w:rPr>
            </w:pPr>
            <w:r>
              <w:rPr>
                <w:snapToGrid w:val="0"/>
              </w:rPr>
              <w:t>92%</w:t>
            </w:r>
          </w:p>
        </w:tc>
        <w:tc>
          <w:tcPr>
            <w:tcW w:w="877" w:type="dxa"/>
            <w:tcBorders>
              <w:top w:val="single" w:sz="4" w:space="0" w:color="auto"/>
              <w:bottom w:val="single" w:sz="4" w:space="0" w:color="auto"/>
            </w:tcBorders>
          </w:tcPr>
          <w:p w14:paraId="0167B132" w14:textId="30EB2290" w:rsidR="000B4E98" w:rsidRDefault="00363B0F" w:rsidP="00C6168E">
            <w:pPr>
              <w:pStyle w:val="Tabletext1"/>
              <w:jc w:val="center"/>
              <w:rPr>
                <w:snapToGrid w:val="0"/>
              </w:rPr>
            </w:pPr>
            <w:r>
              <w:rPr>
                <w:snapToGrid w:val="0"/>
              </w:rPr>
              <w:t>85%</w:t>
            </w:r>
          </w:p>
        </w:tc>
        <w:tc>
          <w:tcPr>
            <w:tcW w:w="878" w:type="dxa"/>
            <w:gridSpan w:val="3"/>
            <w:tcBorders>
              <w:top w:val="single" w:sz="4" w:space="0" w:color="auto"/>
              <w:bottom w:val="single" w:sz="4" w:space="0" w:color="auto"/>
            </w:tcBorders>
          </w:tcPr>
          <w:p w14:paraId="020586E3" w14:textId="77777777" w:rsidR="000B4E98" w:rsidRDefault="000B4E98" w:rsidP="00C6168E">
            <w:pPr>
              <w:pStyle w:val="Tabletext1"/>
              <w:jc w:val="center"/>
              <w:rPr>
                <w:snapToGrid w:val="0"/>
              </w:rPr>
            </w:pPr>
          </w:p>
        </w:tc>
      </w:tr>
      <w:tr w:rsidR="00714DCE" w:rsidRPr="00E54FA2" w14:paraId="7B6D2C09" w14:textId="6B70843E" w:rsidTr="00363B0F">
        <w:tc>
          <w:tcPr>
            <w:tcW w:w="0" w:type="auto"/>
            <w:tcBorders>
              <w:top w:val="single" w:sz="4" w:space="0" w:color="auto"/>
              <w:left w:val="single" w:sz="4" w:space="0" w:color="auto"/>
              <w:bottom w:val="nil"/>
              <w:right w:val="single" w:sz="4" w:space="0" w:color="auto"/>
            </w:tcBorders>
          </w:tcPr>
          <w:p w14:paraId="425EB85F" w14:textId="28811F1E" w:rsidR="00714DCE" w:rsidRDefault="00211285" w:rsidP="00714DCE">
            <w:pPr>
              <w:pStyle w:val="Tabletext1"/>
              <w:rPr>
                <w:snapToGrid w:val="0"/>
              </w:rPr>
            </w:pPr>
            <w:hyperlink w:anchor="_ENREF_13" w:tooltip="Boda-Heggemann, 2014 #35" w:history="1">
              <w:r w:rsidR="008B6FC0">
                <w:fldChar w:fldCharType="begin"/>
              </w:r>
              <w:r w:rsidR="008B6FC0">
                <w:instrText xml:space="preserve"> ADDIN EN.CITE &lt;EndNote&gt;&lt;Cite AuthorYear="1"&gt;&lt;Author&gt;Boda-Heggemann&lt;/Author&gt;&lt;Year&gt;2014&lt;/Year&gt;&lt;RecNum&gt;35&lt;/RecNum&gt;&lt;DisplayText&gt;Boda-Heggemann et al. (2014)&lt;/DisplayText&gt;&lt;record&gt;&lt;rec-number&gt;35&lt;/rec-number&gt;&lt;foreign-keys&gt;&lt;key app="EN" db-id="sx5wsdwv795wvue959xxw0ptaewvdezxxp05" timestamp="1604876375"&gt;35&lt;/key&gt;&lt;/foreign-keys&gt;&lt;ref-type name="Journal Article"&gt;17&lt;/ref-type&gt;&lt;contributors&gt;&lt;authors&gt;&lt;author&gt;Boda-Heggemann, J.&lt;/author&gt;&lt;author&gt;Frauenfeld, A.&lt;/author&gt;&lt;author&gt;Weiss, C.&lt;/author&gt;&lt;author&gt;Simeonova, A.&lt;/author&gt;&lt;author&gt;Neumaier, C.&lt;/author&gt;&lt;author&gt;Siebenlist, K.&lt;/author&gt;&lt;author&gt;Attenberger, U.&lt;/author&gt;&lt;author&gt;Heusel, C. P.&lt;/author&gt;&lt;author&gt;Schneider, F.&lt;/author&gt;&lt;author&gt;Wenz, F.&lt;/author&gt;&lt;author&gt;Lohr, F.&lt;/author&gt;&lt;/authors&gt;&lt;/contributors&gt;&lt;titles&gt;&lt;title&gt;Clinical outcome of hypofractionated breath-hold image-guided SABR of primary lung tumors and lung metastases&lt;/title&gt;&lt;secondary-title&gt;Radiat&lt;/secondary-title&gt;&lt;/titles&gt;&lt;pages&gt;10&lt;/pages&gt;&lt;volume&gt;9&lt;/volume&gt;&lt;dates&gt;&lt;year&gt;2014&lt;/year&gt;&lt;/dates&gt;&lt;accession-num&gt;24401323&lt;/accession-num&gt;&lt;urls&gt;&lt;related-urls&gt;&lt;url&gt;http://ezproxy.library.usyd.edu.au/login?url=http://ovidsp.ovid.com/ovidweb.cgi?T=JS&amp;amp;CSC=Y&amp;amp;NEWS=N&amp;amp;PAGE=fulltext&amp;amp;D=med11&amp;amp;AN=24401323https://sydney.alma.exlibrisgroup.com/openurl/61USYD_INST/61USYD_INST:sydney?sid=OVID:medline&amp;amp;id=pmid:24401323&amp;amp;id=doi:10.118&lt;/url&gt;&lt;url&gt;https://ro-journal.biomedcentral.com/track/pdf/10.1186/1748-717X-9-10&lt;/url&gt;&lt;url&gt;https://ro-journal.biomedcentral.com/track/pdf/10.1186/1748-717X-9-10.pdf&lt;/url&gt;&lt;/related-urls&gt;&lt;/urls&gt;&lt;electronic-resource-num&gt;https://dx.doi.org/10.1186/1748-717X-9-10&lt;/electronic-resource-num&gt;&lt;/record&gt;&lt;/Cite&gt;&lt;/EndNote&gt;</w:instrText>
              </w:r>
              <w:r w:rsidR="008B6FC0">
                <w:fldChar w:fldCharType="separate"/>
              </w:r>
              <w:r w:rsidR="008B6FC0">
                <w:rPr>
                  <w:noProof/>
                </w:rPr>
                <w:t>Boda-Heggemann et al. (2014)</w:t>
              </w:r>
              <w:r w:rsidR="008B6FC0">
                <w:fldChar w:fldCharType="end"/>
              </w:r>
            </w:hyperlink>
          </w:p>
        </w:tc>
        <w:tc>
          <w:tcPr>
            <w:tcW w:w="0" w:type="auto"/>
            <w:tcBorders>
              <w:top w:val="single" w:sz="4" w:space="0" w:color="auto"/>
              <w:left w:val="single" w:sz="4" w:space="0" w:color="auto"/>
              <w:bottom w:val="nil"/>
              <w:right w:val="single" w:sz="4" w:space="0" w:color="auto"/>
            </w:tcBorders>
          </w:tcPr>
          <w:p w14:paraId="46D3E5BC" w14:textId="23272BAF" w:rsidR="00714DCE" w:rsidRDefault="00714DCE" w:rsidP="00C6168E">
            <w:pPr>
              <w:pStyle w:val="Tabletext1"/>
              <w:jc w:val="center"/>
              <w:rPr>
                <w:snapToGrid w:val="0"/>
              </w:rPr>
            </w:pPr>
            <w:r>
              <w:rPr>
                <w:snapToGrid w:val="0"/>
              </w:rPr>
              <w:t>NSCLC</w:t>
            </w:r>
          </w:p>
        </w:tc>
        <w:tc>
          <w:tcPr>
            <w:tcW w:w="0" w:type="auto"/>
            <w:tcBorders>
              <w:top w:val="single" w:sz="4" w:space="0" w:color="auto"/>
              <w:left w:val="single" w:sz="4" w:space="0" w:color="auto"/>
              <w:bottom w:val="single" w:sz="4" w:space="0" w:color="auto"/>
            </w:tcBorders>
          </w:tcPr>
          <w:p w14:paraId="4A21333D" w14:textId="66371418" w:rsidR="00714DCE" w:rsidRPr="0003573E" w:rsidRDefault="00714DCE" w:rsidP="00C6168E">
            <w:pPr>
              <w:pStyle w:val="Tabletext1"/>
              <w:jc w:val="center"/>
              <w:rPr>
                <w:snapToGrid w:val="0"/>
              </w:rPr>
            </w:pPr>
            <w:r>
              <w:rPr>
                <w:snapToGrid w:val="0"/>
              </w:rPr>
              <w:t>OS</w:t>
            </w:r>
          </w:p>
        </w:tc>
        <w:tc>
          <w:tcPr>
            <w:tcW w:w="923" w:type="dxa"/>
            <w:tcBorders>
              <w:top w:val="single" w:sz="4" w:space="0" w:color="auto"/>
              <w:bottom w:val="single" w:sz="4" w:space="0" w:color="auto"/>
            </w:tcBorders>
          </w:tcPr>
          <w:p w14:paraId="3426ABA5" w14:textId="4C6FDE8D" w:rsidR="00714DCE" w:rsidRDefault="00714DCE" w:rsidP="00C6168E">
            <w:pPr>
              <w:pStyle w:val="Tabletext1"/>
              <w:jc w:val="center"/>
              <w:rPr>
                <w:snapToGrid w:val="0"/>
              </w:rPr>
            </w:pPr>
            <w:r>
              <w:rPr>
                <w:snapToGrid w:val="0"/>
              </w:rPr>
              <w:t>67%</w:t>
            </w:r>
          </w:p>
        </w:tc>
        <w:tc>
          <w:tcPr>
            <w:tcW w:w="878" w:type="dxa"/>
            <w:tcBorders>
              <w:top w:val="single" w:sz="4" w:space="0" w:color="auto"/>
              <w:bottom w:val="single" w:sz="4" w:space="0" w:color="auto"/>
            </w:tcBorders>
          </w:tcPr>
          <w:p w14:paraId="1161932F" w14:textId="7B008364" w:rsidR="00714DCE" w:rsidRDefault="00714DCE" w:rsidP="00C6168E">
            <w:pPr>
              <w:pStyle w:val="Tabletext1"/>
              <w:jc w:val="center"/>
              <w:rPr>
                <w:snapToGrid w:val="0"/>
              </w:rPr>
            </w:pPr>
            <w:r>
              <w:rPr>
                <w:snapToGrid w:val="0"/>
              </w:rPr>
              <w:t>43%</w:t>
            </w:r>
          </w:p>
        </w:tc>
        <w:tc>
          <w:tcPr>
            <w:tcW w:w="877" w:type="dxa"/>
            <w:tcBorders>
              <w:top w:val="single" w:sz="4" w:space="0" w:color="auto"/>
              <w:bottom w:val="single" w:sz="4" w:space="0" w:color="auto"/>
            </w:tcBorders>
          </w:tcPr>
          <w:p w14:paraId="3092DEF1" w14:textId="61D013A6" w:rsidR="00714DCE" w:rsidRDefault="00714DCE" w:rsidP="00C6168E">
            <w:pPr>
              <w:pStyle w:val="Tabletext1"/>
              <w:jc w:val="center"/>
              <w:rPr>
                <w:snapToGrid w:val="0"/>
              </w:rPr>
            </w:pPr>
          </w:p>
        </w:tc>
        <w:tc>
          <w:tcPr>
            <w:tcW w:w="878" w:type="dxa"/>
            <w:gridSpan w:val="3"/>
            <w:tcBorders>
              <w:top w:val="single" w:sz="4" w:space="0" w:color="auto"/>
              <w:bottom w:val="single" w:sz="4" w:space="0" w:color="auto"/>
            </w:tcBorders>
          </w:tcPr>
          <w:p w14:paraId="568E3E0D" w14:textId="7042F304" w:rsidR="00714DCE" w:rsidRDefault="00714DCE" w:rsidP="00C6168E">
            <w:pPr>
              <w:pStyle w:val="Tabletext1"/>
              <w:jc w:val="center"/>
              <w:rPr>
                <w:snapToGrid w:val="0"/>
              </w:rPr>
            </w:pPr>
            <w:r>
              <w:rPr>
                <w:snapToGrid w:val="0"/>
              </w:rPr>
              <w:t>42%</w:t>
            </w:r>
          </w:p>
        </w:tc>
      </w:tr>
      <w:tr w:rsidR="00714DCE" w:rsidRPr="00E54FA2" w14:paraId="78A545E1" w14:textId="77777777" w:rsidTr="005756F5">
        <w:tc>
          <w:tcPr>
            <w:tcW w:w="0" w:type="auto"/>
            <w:tcBorders>
              <w:top w:val="nil"/>
              <w:left w:val="single" w:sz="4" w:space="0" w:color="auto"/>
              <w:bottom w:val="single" w:sz="4" w:space="0" w:color="auto"/>
              <w:right w:val="single" w:sz="4" w:space="0" w:color="auto"/>
            </w:tcBorders>
          </w:tcPr>
          <w:p w14:paraId="1EF92AFC" w14:textId="77777777" w:rsidR="00714DCE" w:rsidRDefault="00714DCE" w:rsidP="00714DCE">
            <w:pPr>
              <w:pStyle w:val="Tabletext1"/>
            </w:pPr>
          </w:p>
        </w:tc>
        <w:tc>
          <w:tcPr>
            <w:tcW w:w="0" w:type="auto"/>
            <w:tcBorders>
              <w:top w:val="nil"/>
              <w:left w:val="single" w:sz="4" w:space="0" w:color="auto"/>
              <w:bottom w:val="single" w:sz="4" w:space="0" w:color="auto"/>
              <w:right w:val="single" w:sz="4" w:space="0" w:color="auto"/>
            </w:tcBorders>
          </w:tcPr>
          <w:p w14:paraId="57F2DAE4" w14:textId="77777777" w:rsidR="00714DCE" w:rsidRDefault="00714DCE" w:rsidP="00C6168E">
            <w:pPr>
              <w:pStyle w:val="Tabletext1"/>
              <w:jc w:val="center"/>
              <w:rPr>
                <w:snapToGrid w:val="0"/>
              </w:rPr>
            </w:pPr>
          </w:p>
        </w:tc>
        <w:tc>
          <w:tcPr>
            <w:tcW w:w="0" w:type="auto"/>
            <w:tcBorders>
              <w:top w:val="single" w:sz="4" w:space="0" w:color="auto"/>
              <w:left w:val="single" w:sz="4" w:space="0" w:color="auto"/>
              <w:bottom w:val="single" w:sz="4" w:space="0" w:color="auto"/>
            </w:tcBorders>
          </w:tcPr>
          <w:p w14:paraId="1AC43266" w14:textId="3E4F95C2" w:rsidR="00714DCE" w:rsidRDefault="00714DCE" w:rsidP="00C6168E">
            <w:pPr>
              <w:pStyle w:val="Tabletext1"/>
              <w:jc w:val="center"/>
              <w:rPr>
                <w:snapToGrid w:val="0"/>
              </w:rPr>
            </w:pPr>
            <w:r>
              <w:rPr>
                <w:snapToGrid w:val="0"/>
              </w:rPr>
              <w:t>PFS</w:t>
            </w:r>
          </w:p>
        </w:tc>
        <w:tc>
          <w:tcPr>
            <w:tcW w:w="923" w:type="dxa"/>
            <w:tcBorders>
              <w:top w:val="single" w:sz="4" w:space="0" w:color="auto"/>
              <w:bottom w:val="single" w:sz="4" w:space="0" w:color="auto"/>
            </w:tcBorders>
          </w:tcPr>
          <w:p w14:paraId="4927245E" w14:textId="7AB99A3D" w:rsidR="00714DCE" w:rsidRDefault="00714DCE" w:rsidP="00C6168E">
            <w:pPr>
              <w:pStyle w:val="Tabletext1"/>
              <w:jc w:val="center"/>
              <w:rPr>
                <w:snapToGrid w:val="0"/>
              </w:rPr>
            </w:pPr>
            <w:r>
              <w:rPr>
                <w:snapToGrid w:val="0"/>
              </w:rPr>
              <w:t>28%</w:t>
            </w:r>
          </w:p>
        </w:tc>
        <w:tc>
          <w:tcPr>
            <w:tcW w:w="878" w:type="dxa"/>
            <w:tcBorders>
              <w:top w:val="single" w:sz="4" w:space="0" w:color="auto"/>
              <w:bottom w:val="single" w:sz="4" w:space="0" w:color="auto"/>
            </w:tcBorders>
          </w:tcPr>
          <w:p w14:paraId="7DAB0961" w14:textId="77777777" w:rsidR="00714DCE" w:rsidRDefault="00714DCE" w:rsidP="00C6168E">
            <w:pPr>
              <w:pStyle w:val="Tabletext1"/>
              <w:jc w:val="center"/>
              <w:rPr>
                <w:snapToGrid w:val="0"/>
              </w:rPr>
            </w:pPr>
          </w:p>
        </w:tc>
        <w:tc>
          <w:tcPr>
            <w:tcW w:w="877" w:type="dxa"/>
            <w:tcBorders>
              <w:top w:val="single" w:sz="4" w:space="0" w:color="auto"/>
              <w:bottom w:val="single" w:sz="4" w:space="0" w:color="auto"/>
            </w:tcBorders>
          </w:tcPr>
          <w:p w14:paraId="2593C946" w14:textId="77777777" w:rsidR="00714DCE" w:rsidRDefault="00714DCE" w:rsidP="00C6168E">
            <w:pPr>
              <w:pStyle w:val="Tabletext1"/>
              <w:jc w:val="center"/>
              <w:rPr>
                <w:snapToGrid w:val="0"/>
              </w:rPr>
            </w:pPr>
          </w:p>
        </w:tc>
        <w:tc>
          <w:tcPr>
            <w:tcW w:w="878" w:type="dxa"/>
            <w:gridSpan w:val="3"/>
            <w:tcBorders>
              <w:top w:val="single" w:sz="4" w:space="0" w:color="auto"/>
              <w:bottom w:val="single" w:sz="4" w:space="0" w:color="auto"/>
            </w:tcBorders>
          </w:tcPr>
          <w:p w14:paraId="319D3FCC" w14:textId="77777777" w:rsidR="00714DCE" w:rsidRDefault="00714DCE" w:rsidP="00C6168E">
            <w:pPr>
              <w:pStyle w:val="Tabletext1"/>
              <w:jc w:val="center"/>
              <w:rPr>
                <w:snapToGrid w:val="0"/>
              </w:rPr>
            </w:pPr>
          </w:p>
        </w:tc>
      </w:tr>
      <w:tr w:rsidR="00714DCE" w:rsidRPr="00E54FA2" w14:paraId="25EB87ED" w14:textId="29EF588F" w:rsidTr="005756F5">
        <w:tc>
          <w:tcPr>
            <w:tcW w:w="0" w:type="auto"/>
            <w:tcBorders>
              <w:top w:val="single" w:sz="4" w:space="0" w:color="auto"/>
              <w:left w:val="single" w:sz="4" w:space="0" w:color="auto"/>
              <w:bottom w:val="nil"/>
              <w:right w:val="single" w:sz="4" w:space="0" w:color="auto"/>
            </w:tcBorders>
          </w:tcPr>
          <w:p w14:paraId="263F5CD1" w14:textId="7C937C57" w:rsidR="00714DCE" w:rsidRDefault="00211285" w:rsidP="000213A9">
            <w:pPr>
              <w:pStyle w:val="Tabletext1"/>
              <w:keepNext/>
              <w:keepLines/>
              <w:rPr>
                <w:snapToGrid w:val="0"/>
              </w:rPr>
            </w:pPr>
            <w:hyperlink w:anchor="_ENREF_30" w:tooltip="Frakulli, 2015 #43" w:history="1">
              <w:r w:rsidR="008B6FC0">
                <w:fldChar w:fldCharType="begin"/>
              </w:r>
              <w:r w:rsidR="008B6FC0">
                <w:instrText xml:space="preserve"> ADDIN EN.CITE &lt;EndNote&gt;&lt;Cite AuthorYear="1"&gt;&lt;Author&gt;Frakulli&lt;/Author&gt;&lt;Year&gt;2015&lt;/Year&gt;&lt;RecNum&gt;43&lt;/RecNum&gt;&lt;DisplayText&gt;Frakulli et al. (2015)&lt;/DisplayText&gt;&lt;record&gt;&lt;rec-number&gt;43&lt;/rec-number&gt;&lt;foreign-keys&gt;&lt;key app="EN" db-id="sx5wsdwv795wvue959xxw0ptaewvdezxxp05" timestamp="1604876376"&gt;43&lt;/key&gt;&lt;/foreign-keys&gt;&lt;ref-type name="Journal Article"&gt;17&lt;/ref-type&gt;&lt;contributors&gt;&lt;authors&gt;&lt;author&gt;Frakulli, R.&lt;/author&gt;&lt;author&gt;Salvi, F.&lt;/author&gt;&lt;author&gt;Balestrini, D.&lt;/author&gt;&lt;author&gt;Parisi, A.&lt;/author&gt;&lt;author&gt;Palombarini, M.&lt;/author&gt;&lt;author&gt;Cammelli, S.&lt;/author&gt;&lt;author&gt;Rocca, M.&lt;/author&gt;&lt;author&gt;Salone, M.&lt;/author&gt;&lt;author&gt;Longhi, A.&lt;/author&gt;&lt;author&gt;Ferrari, S.&lt;/author&gt;&lt;author&gt;Morganti, A. G.&lt;/author&gt;&lt;author&gt;Frezza, G.&lt;/author&gt;&lt;/authors&gt;&lt;/contributors&gt;&lt;titles&gt;&lt;title&gt;Stereotactic radiotherapy in the treatment of lung metastases from bone and soft-tissue sarcomas&lt;/title&gt;&lt;secondary-title&gt;Anticancer Research&lt;/secondary-title&gt;&lt;/titles&gt;&lt;pages&gt;5581-5586&lt;/pages&gt;&lt;volume&gt;35&lt;/volume&gt;&lt;number&gt;10&lt;/number&gt;&lt;dates&gt;&lt;year&gt;2015&lt;/year&gt;&lt;/dates&gt;&lt;accession-num&gt;606233200&lt;/accession-num&gt;&lt;urls&gt;&lt;related-urls&gt;&lt;url&gt;http://ar.iiarjournals.org/content/35/10/5581.full.pdf+htmlhttp://ezproxy.library.usyd.edu.au/login?url=http://ovidsp.ovid.com/ovidweb.cgi?T=JS&amp;amp;CSC=Y&amp;amp;NEWS=N&amp;amp;PAGE=fulltext&amp;amp;D=emed16&amp;amp;AN=606233200https://sydney.alma.exlibrisgroup.com/openurl/61USYD_INST/61USY&lt;/url&gt;&lt;url&gt;http://ar.iiarjournals.org/content/35/10/5581.full.pdf&lt;/url&gt;&lt;/related-urls&gt;&lt;/urls&gt;&lt;/record&gt;&lt;/Cite&gt;&lt;/EndNote&gt;</w:instrText>
              </w:r>
              <w:r w:rsidR="008B6FC0">
                <w:fldChar w:fldCharType="separate"/>
              </w:r>
              <w:r w:rsidR="008B6FC0">
                <w:rPr>
                  <w:noProof/>
                </w:rPr>
                <w:t>Frakulli et al. (2015)</w:t>
              </w:r>
              <w:r w:rsidR="008B6FC0">
                <w:fldChar w:fldCharType="end"/>
              </w:r>
            </w:hyperlink>
          </w:p>
        </w:tc>
        <w:tc>
          <w:tcPr>
            <w:tcW w:w="0" w:type="auto"/>
            <w:tcBorders>
              <w:top w:val="single" w:sz="4" w:space="0" w:color="auto"/>
              <w:left w:val="single" w:sz="4" w:space="0" w:color="auto"/>
              <w:bottom w:val="nil"/>
              <w:right w:val="single" w:sz="4" w:space="0" w:color="auto"/>
            </w:tcBorders>
          </w:tcPr>
          <w:p w14:paraId="67D88807" w14:textId="1D6385BE" w:rsidR="00714DCE" w:rsidRDefault="00714DCE" w:rsidP="000213A9">
            <w:pPr>
              <w:pStyle w:val="Tabletext1"/>
              <w:keepNext/>
              <w:keepLines/>
              <w:jc w:val="center"/>
              <w:rPr>
                <w:snapToGrid w:val="0"/>
              </w:rPr>
            </w:pPr>
            <w:r>
              <w:rPr>
                <w:snapToGrid w:val="0"/>
              </w:rPr>
              <w:t>Lung meta</w:t>
            </w:r>
            <w:r w:rsidR="008E0F8E">
              <w:rPr>
                <w:snapToGrid w:val="0"/>
              </w:rPr>
              <w:t>stases</w:t>
            </w:r>
            <w:r>
              <w:rPr>
                <w:snapToGrid w:val="0"/>
              </w:rPr>
              <w:t xml:space="preserve"> (bone and soft-tissue sarcoma)</w:t>
            </w:r>
          </w:p>
        </w:tc>
        <w:tc>
          <w:tcPr>
            <w:tcW w:w="0" w:type="auto"/>
            <w:tcBorders>
              <w:top w:val="single" w:sz="4" w:space="0" w:color="auto"/>
              <w:left w:val="single" w:sz="4" w:space="0" w:color="auto"/>
              <w:bottom w:val="single" w:sz="4" w:space="0" w:color="auto"/>
            </w:tcBorders>
          </w:tcPr>
          <w:p w14:paraId="78E76708" w14:textId="0F550984" w:rsidR="00714DCE" w:rsidRPr="0003573E" w:rsidRDefault="00714DCE" w:rsidP="000213A9">
            <w:pPr>
              <w:pStyle w:val="Tabletext1"/>
              <w:keepNext/>
              <w:keepLines/>
              <w:jc w:val="center"/>
              <w:rPr>
                <w:snapToGrid w:val="0"/>
              </w:rPr>
            </w:pPr>
            <w:r>
              <w:rPr>
                <w:snapToGrid w:val="0"/>
              </w:rPr>
              <w:t>OS</w:t>
            </w:r>
          </w:p>
        </w:tc>
        <w:tc>
          <w:tcPr>
            <w:tcW w:w="923" w:type="dxa"/>
            <w:tcBorders>
              <w:top w:val="single" w:sz="4" w:space="0" w:color="auto"/>
              <w:bottom w:val="single" w:sz="4" w:space="0" w:color="auto"/>
            </w:tcBorders>
          </w:tcPr>
          <w:p w14:paraId="1F1BF5E2" w14:textId="77777777" w:rsidR="00714DCE" w:rsidRPr="0003573E" w:rsidRDefault="00714DCE" w:rsidP="000213A9">
            <w:pPr>
              <w:pStyle w:val="Tabletext1"/>
              <w:keepNext/>
              <w:keepLines/>
              <w:jc w:val="center"/>
              <w:rPr>
                <w:snapToGrid w:val="0"/>
              </w:rPr>
            </w:pPr>
          </w:p>
        </w:tc>
        <w:tc>
          <w:tcPr>
            <w:tcW w:w="878" w:type="dxa"/>
            <w:tcBorders>
              <w:top w:val="single" w:sz="4" w:space="0" w:color="auto"/>
              <w:bottom w:val="single" w:sz="4" w:space="0" w:color="auto"/>
            </w:tcBorders>
          </w:tcPr>
          <w:p w14:paraId="3BD361D3" w14:textId="0AA870EA" w:rsidR="00714DCE" w:rsidRPr="0003573E" w:rsidRDefault="00714DCE" w:rsidP="000213A9">
            <w:pPr>
              <w:pStyle w:val="Tabletext1"/>
              <w:keepNext/>
              <w:keepLines/>
              <w:jc w:val="center"/>
              <w:rPr>
                <w:snapToGrid w:val="0"/>
              </w:rPr>
            </w:pPr>
            <w:r>
              <w:rPr>
                <w:snapToGrid w:val="0"/>
              </w:rPr>
              <w:t>66.4%</w:t>
            </w:r>
          </w:p>
        </w:tc>
        <w:tc>
          <w:tcPr>
            <w:tcW w:w="877" w:type="dxa"/>
            <w:tcBorders>
              <w:top w:val="single" w:sz="4" w:space="0" w:color="auto"/>
              <w:bottom w:val="single" w:sz="4" w:space="0" w:color="auto"/>
            </w:tcBorders>
          </w:tcPr>
          <w:p w14:paraId="7444514F" w14:textId="77777777" w:rsidR="00714DCE" w:rsidRPr="0003573E" w:rsidRDefault="00714DCE" w:rsidP="000213A9">
            <w:pPr>
              <w:pStyle w:val="Tabletext1"/>
              <w:keepNext/>
              <w:keepLines/>
              <w:jc w:val="center"/>
              <w:rPr>
                <w:snapToGrid w:val="0"/>
              </w:rPr>
            </w:pPr>
          </w:p>
        </w:tc>
        <w:tc>
          <w:tcPr>
            <w:tcW w:w="878" w:type="dxa"/>
            <w:gridSpan w:val="3"/>
            <w:tcBorders>
              <w:top w:val="single" w:sz="4" w:space="0" w:color="auto"/>
              <w:bottom w:val="single" w:sz="4" w:space="0" w:color="auto"/>
            </w:tcBorders>
          </w:tcPr>
          <w:p w14:paraId="5E2525A3" w14:textId="0D7FA0B1" w:rsidR="00714DCE" w:rsidRPr="0003573E" w:rsidRDefault="00714DCE" w:rsidP="000213A9">
            <w:pPr>
              <w:pStyle w:val="Tabletext1"/>
              <w:keepNext/>
              <w:keepLines/>
              <w:jc w:val="center"/>
              <w:rPr>
                <w:snapToGrid w:val="0"/>
              </w:rPr>
            </w:pPr>
          </w:p>
        </w:tc>
      </w:tr>
      <w:tr w:rsidR="00714DCE" w:rsidRPr="00E54FA2" w14:paraId="02476DCB" w14:textId="77777777" w:rsidTr="005756F5">
        <w:tc>
          <w:tcPr>
            <w:tcW w:w="0" w:type="auto"/>
            <w:tcBorders>
              <w:top w:val="nil"/>
              <w:left w:val="single" w:sz="4" w:space="0" w:color="auto"/>
              <w:bottom w:val="single" w:sz="4" w:space="0" w:color="auto"/>
              <w:right w:val="single" w:sz="4" w:space="0" w:color="auto"/>
            </w:tcBorders>
          </w:tcPr>
          <w:p w14:paraId="26017727" w14:textId="77777777" w:rsidR="00714DCE" w:rsidRDefault="00714DCE" w:rsidP="000213A9">
            <w:pPr>
              <w:pStyle w:val="Tabletext1"/>
              <w:keepNext/>
              <w:keepLines/>
            </w:pPr>
          </w:p>
        </w:tc>
        <w:tc>
          <w:tcPr>
            <w:tcW w:w="0" w:type="auto"/>
            <w:tcBorders>
              <w:top w:val="nil"/>
              <w:left w:val="single" w:sz="4" w:space="0" w:color="auto"/>
              <w:bottom w:val="single" w:sz="4" w:space="0" w:color="auto"/>
              <w:right w:val="single" w:sz="4" w:space="0" w:color="auto"/>
            </w:tcBorders>
          </w:tcPr>
          <w:p w14:paraId="2144CCA4" w14:textId="77777777" w:rsidR="00714DCE" w:rsidRDefault="00714DCE" w:rsidP="000213A9">
            <w:pPr>
              <w:pStyle w:val="Tabletext1"/>
              <w:keepNext/>
              <w:keepLines/>
              <w:jc w:val="center"/>
              <w:rPr>
                <w:snapToGrid w:val="0"/>
              </w:rPr>
            </w:pPr>
          </w:p>
        </w:tc>
        <w:tc>
          <w:tcPr>
            <w:tcW w:w="0" w:type="auto"/>
            <w:tcBorders>
              <w:top w:val="single" w:sz="4" w:space="0" w:color="auto"/>
              <w:left w:val="single" w:sz="4" w:space="0" w:color="auto"/>
              <w:bottom w:val="single" w:sz="4" w:space="0" w:color="auto"/>
            </w:tcBorders>
          </w:tcPr>
          <w:p w14:paraId="676B6F44" w14:textId="392C3147" w:rsidR="00714DCE" w:rsidRPr="0003573E" w:rsidRDefault="00714DCE" w:rsidP="000213A9">
            <w:pPr>
              <w:pStyle w:val="Tabletext1"/>
              <w:keepNext/>
              <w:keepLines/>
              <w:jc w:val="center"/>
              <w:rPr>
                <w:snapToGrid w:val="0"/>
              </w:rPr>
            </w:pPr>
            <w:r>
              <w:rPr>
                <w:snapToGrid w:val="0"/>
              </w:rPr>
              <w:t>LC</w:t>
            </w:r>
          </w:p>
        </w:tc>
        <w:tc>
          <w:tcPr>
            <w:tcW w:w="923" w:type="dxa"/>
            <w:tcBorders>
              <w:top w:val="single" w:sz="4" w:space="0" w:color="auto"/>
              <w:bottom w:val="single" w:sz="4" w:space="0" w:color="auto"/>
            </w:tcBorders>
          </w:tcPr>
          <w:p w14:paraId="358E150C" w14:textId="77777777" w:rsidR="00714DCE" w:rsidRPr="0003573E" w:rsidRDefault="00714DCE" w:rsidP="000213A9">
            <w:pPr>
              <w:pStyle w:val="Tabletext1"/>
              <w:keepNext/>
              <w:keepLines/>
              <w:jc w:val="center"/>
              <w:rPr>
                <w:snapToGrid w:val="0"/>
              </w:rPr>
            </w:pPr>
          </w:p>
        </w:tc>
        <w:tc>
          <w:tcPr>
            <w:tcW w:w="878" w:type="dxa"/>
            <w:tcBorders>
              <w:top w:val="single" w:sz="4" w:space="0" w:color="auto"/>
              <w:bottom w:val="single" w:sz="4" w:space="0" w:color="auto"/>
            </w:tcBorders>
          </w:tcPr>
          <w:p w14:paraId="26CA2BED" w14:textId="548D67C5" w:rsidR="00714DCE" w:rsidRDefault="00714DCE" w:rsidP="000213A9">
            <w:pPr>
              <w:pStyle w:val="Tabletext1"/>
              <w:keepNext/>
              <w:keepLines/>
              <w:jc w:val="center"/>
              <w:rPr>
                <w:snapToGrid w:val="0"/>
              </w:rPr>
            </w:pPr>
            <w:r>
              <w:rPr>
                <w:snapToGrid w:val="0"/>
              </w:rPr>
              <w:t>85.9%</w:t>
            </w:r>
          </w:p>
        </w:tc>
        <w:tc>
          <w:tcPr>
            <w:tcW w:w="877" w:type="dxa"/>
            <w:tcBorders>
              <w:top w:val="single" w:sz="4" w:space="0" w:color="auto"/>
              <w:bottom w:val="single" w:sz="4" w:space="0" w:color="auto"/>
            </w:tcBorders>
          </w:tcPr>
          <w:p w14:paraId="3503F046" w14:textId="77777777" w:rsidR="00714DCE" w:rsidRPr="0003573E" w:rsidRDefault="00714DCE" w:rsidP="000213A9">
            <w:pPr>
              <w:pStyle w:val="Tabletext1"/>
              <w:keepNext/>
              <w:keepLines/>
              <w:jc w:val="center"/>
              <w:rPr>
                <w:snapToGrid w:val="0"/>
              </w:rPr>
            </w:pPr>
          </w:p>
        </w:tc>
        <w:tc>
          <w:tcPr>
            <w:tcW w:w="878" w:type="dxa"/>
            <w:gridSpan w:val="3"/>
            <w:tcBorders>
              <w:top w:val="single" w:sz="4" w:space="0" w:color="auto"/>
              <w:bottom w:val="single" w:sz="4" w:space="0" w:color="auto"/>
            </w:tcBorders>
          </w:tcPr>
          <w:p w14:paraId="73258AB6" w14:textId="77777777" w:rsidR="00714DCE" w:rsidRPr="0003573E" w:rsidRDefault="00714DCE" w:rsidP="000213A9">
            <w:pPr>
              <w:pStyle w:val="Tabletext1"/>
              <w:keepNext/>
              <w:keepLines/>
              <w:jc w:val="center"/>
              <w:rPr>
                <w:snapToGrid w:val="0"/>
              </w:rPr>
            </w:pPr>
          </w:p>
        </w:tc>
      </w:tr>
      <w:tr w:rsidR="00714DCE" w:rsidRPr="00E54FA2" w14:paraId="48A5580D" w14:textId="5221C730" w:rsidTr="005756F5">
        <w:tc>
          <w:tcPr>
            <w:tcW w:w="0" w:type="auto"/>
            <w:tcBorders>
              <w:top w:val="single" w:sz="4" w:space="0" w:color="auto"/>
              <w:bottom w:val="single" w:sz="4" w:space="0" w:color="auto"/>
            </w:tcBorders>
          </w:tcPr>
          <w:p w14:paraId="57CA4618" w14:textId="41160985" w:rsidR="00714DCE" w:rsidRPr="0003573E" w:rsidRDefault="00211285" w:rsidP="00714DCE">
            <w:pPr>
              <w:pStyle w:val="Tabletext1"/>
              <w:rPr>
                <w:snapToGrid w:val="0"/>
              </w:rPr>
            </w:pPr>
            <w:hyperlink w:anchor="_ENREF_32" w:tooltip="Grills, 2012 #45" w:history="1">
              <w:r w:rsidR="008B6FC0">
                <w:fldChar w:fldCharType="begin"/>
              </w:r>
              <w:r w:rsidR="008B6FC0">
                <w:instrText xml:space="preserve"> ADDIN EN.CITE &lt;EndNote&gt;&lt;Cite AuthorYear="1"&gt;&lt;Author&gt;Grills&lt;/Author&gt;&lt;Year&gt;2012&lt;/Year&gt;&lt;RecNum&gt;45&lt;/RecNum&gt;&lt;DisplayText&gt;Grills et al. (2012)&lt;/DisplayText&gt;&lt;record&gt;&lt;rec-number&gt;45&lt;/rec-number&gt;&lt;foreign-keys&gt;&lt;key app="EN" db-id="sx5wsdwv795wvue959xxw0ptaewvdezxxp05" timestamp="1604876376"&gt;45&lt;/key&gt;&lt;/foreign-keys&gt;&lt;ref-type name="Journal Article"&gt;17&lt;/ref-type&gt;&lt;contributors&gt;&lt;authors&gt;&lt;author&gt;Grills, I. S.&lt;/author&gt;&lt;author&gt;Hope, A. J.&lt;/author&gt;&lt;author&gt;Guckenberger, M.&lt;/author&gt;&lt;author&gt;Kestin, L. L.&lt;/author&gt;&lt;author&gt;Werner-Wasik, M.&lt;/author&gt;&lt;author&gt;Yan, D.&lt;/author&gt;&lt;author&gt;Sonke, J. J.&lt;/author&gt;&lt;author&gt;Bissonnette, J. P.&lt;/author&gt;&lt;author&gt;Wilbert, J.&lt;/author&gt;&lt;author&gt;Xiao, Y.&lt;/author&gt;&lt;author&gt;Belderbos, J.&lt;/author&gt;&lt;/authors&gt;&lt;/contributors&gt;&lt;titles&gt;&lt;title&gt;A collaborative analysis of stereotactic lung radiotherapy outcomes for early-stage non-small-cell lung cancer using daily online cone-beam computed tomography image-guided radiotherapy&lt;/title&gt;&lt;secondary-title&gt;J Thorac Oncol&lt;/secondary-title&gt;&lt;/titles&gt;&lt;pages&gt;1382-93&lt;/pages&gt;&lt;volume&gt;7&lt;/volume&gt;&lt;number&gt;9&lt;/number&gt;&lt;dates&gt;&lt;year&gt;2012&lt;/year&gt;&lt;/dates&gt;&lt;accession-num&gt;22843086&lt;/accession-num&gt;&lt;urls&gt;&lt;related-urls&gt;&lt;url&gt;http://ezproxy.library.usyd.edu.au/login?url=http://ovidsp.ovid.com/ovidweb.cgi?T=JS&amp;amp;CSC=Y&amp;amp;NEWS=N&amp;amp;PAGE=fulltext&amp;amp;D=med9&amp;amp;AN=22843086https://sydney.alma.exlibrisgroup.com/openurl/61USYD_INST/61USYD_INST:sydney?sid=OVID:medline&amp;amp;id=pmid:22843086&amp;amp;id=doi:10.1097&lt;/url&gt;&lt;/related-urls&gt;&lt;/urls&gt;&lt;electronic-resource-num&gt;https://dx.doi.org/10.1097/JTO.0b013e318260e00d&lt;/electronic-resource-num&gt;&lt;/record&gt;&lt;/Cite&gt;&lt;/EndNote&gt;</w:instrText>
              </w:r>
              <w:r w:rsidR="008B6FC0">
                <w:fldChar w:fldCharType="separate"/>
              </w:r>
              <w:r w:rsidR="008B6FC0">
                <w:rPr>
                  <w:noProof/>
                </w:rPr>
                <w:t>Grills et al. (2012)</w:t>
              </w:r>
              <w:r w:rsidR="008B6FC0">
                <w:fldChar w:fldCharType="end"/>
              </w:r>
            </w:hyperlink>
          </w:p>
        </w:tc>
        <w:tc>
          <w:tcPr>
            <w:tcW w:w="0" w:type="auto"/>
            <w:tcBorders>
              <w:top w:val="single" w:sz="4" w:space="0" w:color="auto"/>
              <w:bottom w:val="single" w:sz="4" w:space="0" w:color="auto"/>
            </w:tcBorders>
          </w:tcPr>
          <w:p w14:paraId="05EFED00" w14:textId="2310B7C7" w:rsidR="00714DCE" w:rsidRDefault="00714DCE" w:rsidP="00C6168E">
            <w:pPr>
              <w:pStyle w:val="Tabletext1"/>
              <w:jc w:val="center"/>
              <w:rPr>
                <w:snapToGrid w:val="0"/>
              </w:rPr>
            </w:pPr>
            <w:r>
              <w:rPr>
                <w:snapToGrid w:val="0"/>
              </w:rPr>
              <w:t>NSCLC (early)</w:t>
            </w:r>
          </w:p>
        </w:tc>
        <w:tc>
          <w:tcPr>
            <w:tcW w:w="0" w:type="auto"/>
            <w:tcBorders>
              <w:top w:val="single" w:sz="4" w:space="0" w:color="auto"/>
              <w:bottom w:val="single" w:sz="4" w:space="0" w:color="auto"/>
            </w:tcBorders>
          </w:tcPr>
          <w:p w14:paraId="6063CA27" w14:textId="31647970" w:rsidR="00714DCE" w:rsidRDefault="00714DCE" w:rsidP="00C6168E">
            <w:pPr>
              <w:pStyle w:val="Tabletext1"/>
              <w:jc w:val="center"/>
              <w:rPr>
                <w:snapToGrid w:val="0"/>
              </w:rPr>
            </w:pPr>
            <w:r>
              <w:rPr>
                <w:snapToGrid w:val="0"/>
              </w:rPr>
              <w:t>OS</w:t>
            </w:r>
          </w:p>
        </w:tc>
        <w:tc>
          <w:tcPr>
            <w:tcW w:w="923" w:type="dxa"/>
            <w:tcBorders>
              <w:top w:val="single" w:sz="4" w:space="0" w:color="auto"/>
              <w:bottom w:val="single" w:sz="4" w:space="0" w:color="auto"/>
            </w:tcBorders>
          </w:tcPr>
          <w:p w14:paraId="42003713" w14:textId="2B2CE555" w:rsidR="00714DCE" w:rsidRPr="0003573E" w:rsidRDefault="00714DCE" w:rsidP="00C6168E">
            <w:pPr>
              <w:pStyle w:val="Tabletext1"/>
              <w:jc w:val="center"/>
              <w:rPr>
                <w:snapToGrid w:val="0"/>
              </w:rPr>
            </w:pPr>
            <w:r>
              <w:rPr>
                <w:snapToGrid w:val="0"/>
              </w:rPr>
              <w:t>60%</w:t>
            </w:r>
          </w:p>
        </w:tc>
        <w:tc>
          <w:tcPr>
            <w:tcW w:w="878" w:type="dxa"/>
            <w:tcBorders>
              <w:top w:val="single" w:sz="4" w:space="0" w:color="auto"/>
              <w:bottom w:val="single" w:sz="4" w:space="0" w:color="auto"/>
            </w:tcBorders>
          </w:tcPr>
          <w:p w14:paraId="7C382298" w14:textId="7161DD26" w:rsidR="00714DCE" w:rsidRPr="0003573E" w:rsidRDefault="00714DCE" w:rsidP="00C6168E">
            <w:pPr>
              <w:pStyle w:val="Tabletext1"/>
              <w:jc w:val="center"/>
              <w:rPr>
                <w:snapToGrid w:val="0"/>
              </w:rPr>
            </w:pPr>
            <w:r>
              <w:rPr>
                <w:snapToGrid w:val="0"/>
              </w:rPr>
              <w:t>48%</w:t>
            </w:r>
          </w:p>
        </w:tc>
        <w:tc>
          <w:tcPr>
            <w:tcW w:w="877" w:type="dxa"/>
            <w:tcBorders>
              <w:top w:val="single" w:sz="4" w:space="0" w:color="auto"/>
              <w:bottom w:val="single" w:sz="4" w:space="0" w:color="auto"/>
            </w:tcBorders>
          </w:tcPr>
          <w:p w14:paraId="472B378D" w14:textId="77777777" w:rsidR="00714DCE" w:rsidRPr="0003573E" w:rsidRDefault="00714DCE" w:rsidP="00C6168E">
            <w:pPr>
              <w:pStyle w:val="Tabletext1"/>
              <w:jc w:val="center"/>
              <w:rPr>
                <w:snapToGrid w:val="0"/>
              </w:rPr>
            </w:pPr>
          </w:p>
        </w:tc>
        <w:tc>
          <w:tcPr>
            <w:tcW w:w="878" w:type="dxa"/>
            <w:gridSpan w:val="3"/>
            <w:tcBorders>
              <w:top w:val="single" w:sz="4" w:space="0" w:color="auto"/>
              <w:bottom w:val="single" w:sz="4" w:space="0" w:color="auto"/>
            </w:tcBorders>
          </w:tcPr>
          <w:p w14:paraId="74E368A2" w14:textId="7BF02793" w:rsidR="00714DCE" w:rsidRPr="0003573E" w:rsidRDefault="00714DCE" w:rsidP="00C6168E">
            <w:pPr>
              <w:pStyle w:val="Tabletext1"/>
              <w:jc w:val="center"/>
              <w:rPr>
                <w:snapToGrid w:val="0"/>
              </w:rPr>
            </w:pPr>
          </w:p>
        </w:tc>
      </w:tr>
      <w:tr w:rsidR="00714DCE" w:rsidRPr="00E54FA2" w14:paraId="057DBFFA" w14:textId="52960489" w:rsidTr="005756F5">
        <w:tc>
          <w:tcPr>
            <w:tcW w:w="0" w:type="auto"/>
            <w:tcBorders>
              <w:top w:val="single" w:sz="4" w:space="0" w:color="auto"/>
              <w:left w:val="single" w:sz="4" w:space="0" w:color="auto"/>
              <w:bottom w:val="nil"/>
              <w:right w:val="single" w:sz="4" w:space="0" w:color="auto"/>
            </w:tcBorders>
          </w:tcPr>
          <w:p w14:paraId="3B4BFF3B" w14:textId="05780D29" w:rsidR="00714DCE" w:rsidRDefault="00211285" w:rsidP="00714DCE">
            <w:pPr>
              <w:pStyle w:val="Tabletext1"/>
              <w:rPr>
                <w:snapToGrid w:val="0"/>
              </w:rPr>
            </w:pPr>
            <w:hyperlink w:anchor="_ENREF_44" w:tooltip="Kestin, 2014 #55" w:history="1">
              <w:r w:rsidR="008B6FC0">
                <w:fldChar w:fldCharType="begin"/>
              </w:r>
              <w:r w:rsidR="008B6FC0">
                <w:instrText xml:space="preserve"> ADDIN EN.CITE &lt;EndNote&gt;&lt;Cite AuthorYear="1"&gt;&lt;Author&gt;Kestin&lt;/Author&gt;&lt;Year&gt;2014&lt;/Year&gt;&lt;RecNum&gt;55&lt;/RecNum&gt;&lt;DisplayText&gt;Kestin et al. (2014)&lt;/DisplayText&gt;&lt;record&gt;&lt;rec-number&gt;55&lt;/rec-number&gt;&lt;foreign-keys&gt;&lt;key app="EN" db-id="sx5wsdwv795wvue959xxw0ptaewvdezxxp05" timestamp="1604876396"&gt;55&lt;/key&gt;&lt;/foreign-keys&gt;&lt;ref-type name="Journal Article"&gt;17&lt;/ref-type&gt;&lt;contributors&gt;&lt;authors&gt;&lt;author&gt;Kestin, L.&lt;/author&gt;&lt;author&gt;Grills, I.&lt;/author&gt;&lt;author&gt;Guckenberger, M.&lt;/author&gt;&lt;author&gt;Belderbos, J.&lt;/author&gt;&lt;author&gt;Hope, A. J.&lt;/author&gt;&lt;author&gt;Werner-Wasik, M.&lt;/author&gt;&lt;author&gt;Sonke, J. J.&lt;/author&gt;&lt;author&gt;Bissonnette, J. P.&lt;/author&gt;&lt;author&gt;Xiao, Y.&lt;/author&gt;&lt;author&gt;Yan, D.&lt;/author&gt;&lt;/authors&gt;&lt;/contributors&gt;&lt;titles&gt;&lt;title&gt;Dose-response relationship with clinical outcome for lung stereotactic body radiotherapy (SBRT) delivered via online image guidance&lt;/title&gt;&lt;secondary-title&gt;Radiotherapy and Oncology&lt;/secondary-title&gt;&lt;/titles&gt;&lt;pages&gt;499-504&lt;/pages&gt;&lt;volume&gt;110&lt;/volume&gt;&lt;number&gt;3&lt;/number&gt;&lt;dates&gt;&lt;year&gt;2014&lt;/year&gt;&lt;/dates&gt;&lt;accession-num&gt;53047460&lt;/accession-num&gt;&lt;urls&gt;&lt;related-urls&gt;&lt;url&gt;http://www.elsevier.com/locate/radonchttp://ezproxy.library.usyd.edu.au/login?url=http://ovidsp.ovid.com/ovidweb.cgi?T=JS&amp;amp;CSC=Y&amp;amp;NEWS=N&amp;amp;PAGE=fulltext&amp;amp;D=emed15&amp;amp;AN=53047460https://sydney.alma.exlibrisgroup.com/openurl/61USYD_INST/61USYD_INST:sydney?sid=OVID:&lt;/url&gt;&lt;/related-urls&gt;&lt;/urls&gt;&lt;custom2&gt;lung, recurrence, survival&amp;#xD;&lt;/custom2&gt;&lt;electronic-resource-num&gt;http://dx.doi.org/10.1016/j.radonc.2014.02.002&lt;/electronic-resource-num&gt;&lt;/record&gt;&lt;/Cite&gt;&lt;/EndNote&gt;</w:instrText>
              </w:r>
              <w:r w:rsidR="008B6FC0">
                <w:fldChar w:fldCharType="separate"/>
              </w:r>
              <w:r w:rsidR="008B6FC0">
                <w:rPr>
                  <w:noProof/>
                </w:rPr>
                <w:t>Kestin et al. (2014)</w:t>
              </w:r>
              <w:r w:rsidR="008B6FC0">
                <w:fldChar w:fldCharType="end"/>
              </w:r>
            </w:hyperlink>
          </w:p>
        </w:tc>
        <w:tc>
          <w:tcPr>
            <w:tcW w:w="0" w:type="auto"/>
            <w:tcBorders>
              <w:top w:val="single" w:sz="4" w:space="0" w:color="auto"/>
              <w:left w:val="single" w:sz="4" w:space="0" w:color="auto"/>
              <w:bottom w:val="nil"/>
              <w:right w:val="single" w:sz="4" w:space="0" w:color="auto"/>
            </w:tcBorders>
          </w:tcPr>
          <w:p w14:paraId="6D8B59D1" w14:textId="1B6B81CD" w:rsidR="00714DCE" w:rsidRDefault="00714DCE" w:rsidP="00C6168E">
            <w:pPr>
              <w:pStyle w:val="Tabletext1"/>
              <w:jc w:val="center"/>
              <w:rPr>
                <w:snapToGrid w:val="0"/>
              </w:rPr>
            </w:pPr>
            <w:r>
              <w:rPr>
                <w:snapToGrid w:val="0"/>
              </w:rPr>
              <w:t>NSCLC (early stage T1-2 N0M0)</w:t>
            </w:r>
          </w:p>
        </w:tc>
        <w:tc>
          <w:tcPr>
            <w:tcW w:w="0" w:type="auto"/>
            <w:tcBorders>
              <w:top w:val="single" w:sz="4" w:space="0" w:color="auto"/>
              <w:left w:val="single" w:sz="4" w:space="0" w:color="auto"/>
              <w:bottom w:val="single" w:sz="4" w:space="0" w:color="auto"/>
            </w:tcBorders>
          </w:tcPr>
          <w:p w14:paraId="16018989" w14:textId="17298606" w:rsidR="00714DCE" w:rsidRPr="0003573E" w:rsidRDefault="00714DCE" w:rsidP="00C6168E">
            <w:pPr>
              <w:pStyle w:val="Tabletext1"/>
              <w:jc w:val="center"/>
              <w:rPr>
                <w:snapToGrid w:val="0"/>
              </w:rPr>
            </w:pPr>
            <w:r>
              <w:rPr>
                <w:snapToGrid w:val="0"/>
              </w:rPr>
              <w:t>OS</w:t>
            </w:r>
          </w:p>
        </w:tc>
        <w:tc>
          <w:tcPr>
            <w:tcW w:w="923" w:type="dxa"/>
            <w:tcBorders>
              <w:top w:val="single" w:sz="4" w:space="0" w:color="auto"/>
              <w:bottom w:val="single" w:sz="4" w:space="0" w:color="auto"/>
            </w:tcBorders>
          </w:tcPr>
          <w:p w14:paraId="737D74BB" w14:textId="77777777" w:rsidR="00714DCE" w:rsidRPr="0003573E" w:rsidRDefault="00714DCE" w:rsidP="00C6168E">
            <w:pPr>
              <w:pStyle w:val="Tabletext1"/>
              <w:jc w:val="center"/>
              <w:rPr>
                <w:snapToGrid w:val="0"/>
              </w:rPr>
            </w:pPr>
          </w:p>
        </w:tc>
        <w:tc>
          <w:tcPr>
            <w:tcW w:w="878" w:type="dxa"/>
            <w:tcBorders>
              <w:top w:val="single" w:sz="4" w:space="0" w:color="auto"/>
              <w:bottom w:val="single" w:sz="4" w:space="0" w:color="auto"/>
            </w:tcBorders>
          </w:tcPr>
          <w:p w14:paraId="0282FDA3" w14:textId="47A581D5" w:rsidR="00714DCE" w:rsidRPr="0003573E" w:rsidRDefault="00714DCE" w:rsidP="00C6168E">
            <w:pPr>
              <w:pStyle w:val="Tabletext1"/>
              <w:jc w:val="center"/>
              <w:rPr>
                <w:snapToGrid w:val="0"/>
              </w:rPr>
            </w:pPr>
            <w:r>
              <w:rPr>
                <w:snapToGrid w:val="0"/>
              </w:rPr>
              <w:t>60%</w:t>
            </w:r>
          </w:p>
        </w:tc>
        <w:tc>
          <w:tcPr>
            <w:tcW w:w="877" w:type="dxa"/>
            <w:tcBorders>
              <w:top w:val="single" w:sz="4" w:space="0" w:color="auto"/>
              <w:bottom w:val="single" w:sz="4" w:space="0" w:color="auto"/>
            </w:tcBorders>
          </w:tcPr>
          <w:p w14:paraId="7D98D2CB" w14:textId="77777777" w:rsidR="00714DCE" w:rsidRPr="0003573E" w:rsidRDefault="00714DCE" w:rsidP="00C6168E">
            <w:pPr>
              <w:pStyle w:val="Tabletext1"/>
              <w:jc w:val="center"/>
              <w:rPr>
                <w:snapToGrid w:val="0"/>
              </w:rPr>
            </w:pPr>
          </w:p>
        </w:tc>
        <w:tc>
          <w:tcPr>
            <w:tcW w:w="878" w:type="dxa"/>
            <w:gridSpan w:val="3"/>
            <w:tcBorders>
              <w:top w:val="single" w:sz="4" w:space="0" w:color="auto"/>
              <w:bottom w:val="single" w:sz="4" w:space="0" w:color="auto"/>
            </w:tcBorders>
          </w:tcPr>
          <w:p w14:paraId="6038D6F5" w14:textId="3B4267E7" w:rsidR="00714DCE" w:rsidRPr="0003573E" w:rsidRDefault="00714DCE" w:rsidP="00C6168E">
            <w:pPr>
              <w:pStyle w:val="Tabletext1"/>
              <w:jc w:val="center"/>
              <w:rPr>
                <w:snapToGrid w:val="0"/>
              </w:rPr>
            </w:pPr>
          </w:p>
        </w:tc>
      </w:tr>
      <w:tr w:rsidR="00714DCE" w:rsidRPr="00E54FA2" w14:paraId="324D63A6" w14:textId="77777777" w:rsidTr="005756F5">
        <w:tc>
          <w:tcPr>
            <w:tcW w:w="0" w:type="auto"/>
            <w:tcBorders>
              <w:top w:val="nil"/>
              <w:left w:val="single" w:sz="4" w:space="0" w:color="auto"/>
              <w:bottom w:val="nil"/>
              <w:right w:val="single" w:sz="4" w:space="0" w:color="auto"/>
            </w:tcBorders>
          </w:tcPr>
          <w:p w14:paraId="72E85D6D" w14:textId="77777777" w:rsidR="00714DCE" w:rsidRDefault="00714DCE" w:rsidP="00714DCE">
            <w:pPr>
              <w:pStyle w:val="Tabletext1"/>
            </w:pPr>
          </w:p>
        </w:tc>
        <w:tc>
          <w:tcPr>
            <w:tcW w:w="0" w:type="auto"/>
            <w:tcBorders>
              <w:top w:val="nil"/>
              <w:left w:val="single" w:sz="4" w:space="0" w:color="auto"/>
              <w:bottom w:val="nil"/>
              <w:right w:val="single" w:sz="4" w:space="0" w:color="auto"/>
            </w:tcBorders>
          </w:tcPr>
          <w:p w14:paraId="57550DB7" w14:textId="77777777" w:rsidR="00714DCE" w:rsidRDefault="00714DCE" w:rsidP="00C6168E">
            <w:pPr>
              <w:pStyle w:val="Tabletext1"/>
              <w:jc w:val="center"/>
              <w:rPr>
                <w:rFonts w:cs="Calibri"/>
                <w:color w:val="0563C1"/>
                <w:u w:val="single"/>
              </w:rPr>
            </w:pPr>
          </w:p>
        </w:tc>
        <w:tc>
          <w:tcPr>
            <w:tcW w:w="0" w:type="auto"/>
            <w:tcBorders>
              <w:top w:val="single" w:sz="4" w:space="0" w:color="auto"/>
              <w:left w:val="single" w:sz="4" w:space="0" w:color="auto"/>
              <w:bottom w:val="single" w:sz="4" w:space="0" w:color="auto"/>
            </w:tcBorders>
          </w:tcPr>
          <w:p w14:paraId="74FC0DB4" w14:textId="40A8FF43" w:rsidR="00714DCE" w:rsidRPr="0003573E" w:rsidRDefault="00714DCE" w:rsidP="00C6168E">
            <w:pPr>
              <w:pStyle w:val="Tabletext1"/>
              <w:jc w:val="center"/>
              <w:rPr>
                <w:snapToGrid w:val="0"/>
              </w:rPr>
            </w:pPr>
            <w:r>
              <w:rPr>
                <w:snapToGrid w:val="0"/>
              </w:rPr>
              <w:t>CSS</w:t>
            </w:r>
          </w:p>
        </w:tc>
        <w:tc>
          <w:tcPr>
            <w:tcW w:w="923" w:type="dxa"/>
            <w:tcBorders>
              <w:top w:val="single" w:sz="4" w:space="0" w:color="auto"/>
              <w:bottom w:val="single" w:sz="4" w:space="0" w:color="auto"/>
            </w:tcBorders>
          </w:tcPr>
          <w:p w14:paraId="082CF96B" w14:textId="77777777" w:rsidR="00714DCE" w:rsidRPr="0003573E" w:rsidRDefault="00714DCE" w:rsidP="00C6168E">
            <w:pPr>
              <w:pStyle w:val="Tabletext1"/>
              <w:jc w:val="center"/>
              <w:rPr>
                <w:snapToGrid w:val="0"/>
              </w:rPr>
            </w:pPr>
          </w:p>
        </w:tc>
        <w:tc>
          <w:tcPr>
            <w:tcW w:w="878" w:type="dxa"/>
            <w:tcBorders>
              <w:top w:val="single" w:sz="4" w:space="0" w:color="auto"/>
              <w:bottom w:val="single" w:sz="4" w:space="0" w:color="auto"/>
            </w:tcBorders>
          </w:tcPr>
          <w:p w14:paraId="40692EE0" w14:textId="662D88C0" w:rsidR="00714DCE" w:rsidRDefault="00714DCE" w:rsidP="00C6168E">
            <w:pPr>
              <w:pStyle w:val="Tabletext1"/>
              <w:jc w:val="center"/>
              <w:rPr>
                <w:snapToGrid w:val="0"/>
              </w:rPr>
            </w:pPr>
            <w:r>
              <w:rPr>
                <w:snapToGrid w:val="0"/>
              </w:rPr>
              <w:t>89%</w:t>
            </w:r>
          </w:p>
        </w:tc>
        <w:tc>
          <w:tcPr>
            <w:tcW w:w="877" w:type="dxa"/>
            <w:tcBorders>
              <w:top w:val="single" w:sz="4" w:space="0" w:color="auto"/>
              <w:bottom w:val="single" w:sz="4" w:space="0" w:color="auto"/>
            </w:tcBorders>
          </w:tcPr>
          <w:p w14:paraId="1E381946" w14:textId="77777777" w:rsidR="00714DCE" w:rsidRPr="0003573E" w:rsidRDefault="00714DCE" w:rsidP="00C6168E">
            <w:pPr>
              <w:pStyle w:val="Tabletext1"/>
              <w:jc w:val="center"/>
              <w:rPr>
                <w:snapToGrid w:val="0"/>
              </w:rPr>
            </w:pPr>
          </w:p>
        </w:tc>
        <w:tc>
          <w:tcPr>
            <w:tcW w:w="878" w:type="dxa"/>
            <w:gridSpan w:val="3"/>
            <w:tcBorders>
              <w:top w:val="single" w:sz="4" w:space="0" w:color="auto"/>
              <w:bottom w:val="single" w:sz="4" w:space="0" w:color="auto"/>
            </w:tcBorders>
          </w:tcPr>
          <w:p w14:paraId="692E5A5C" w14:textId="77777777" w:rsidR="00714DCE" w:rsidRPr="0003573E" w:rsidRDefault="00714DCE" w:rsidP="00C6168E">
            <w:pPr>
              <w:pStyle w:val="Tabletext1"/>
              <w:jc w:val="center"/>
              <w:rPr>
                <w:snapToGrid w:val="0"/>
              </w:rPr>
            </w:pPr>
          </w:p>
        </w:tc>
      </w:tr>
      <w:tr w:rsidR="00714DCE" w:rsidRPr="00E54FA2" w14:paraId="1FF471F4" w14:textId="77777777" w:rsidTr="005756F5">
        <w:tc>
          <w:tcPr>
            <w:tcW w:w="0" w:type="auto"/>
            <w:tcBorders>
              <w:top w:val="nil"/>
              <w:left w:val="single" w:sz="4" w:space="0" w:color="auto"/>
              <w:bottom w:val="nil"/>
              <w:right w:val="single" w:sz="4" w:space="0" w:color="auto"/>
            </w:tcBorders>
          </w:tcPr>
          <w:p w14:paraId="02C18390" w14:textId="77777777" w:rsidR="00714DCE" w:rsidRDefault="00714DCE" w:rsidP="00714DCE">
            <w:pPr>
              <w:pStyle w:val="Tabletext1"/>
            </w:pPr>
          </w:p>
        </w:tc>
        <w:tc>
          <w:tcPr>
            <w:tcW w:w="0" w:type="auto"/>
            <w:tcBorders>
              <w:top w:val="nil"/>
              <w:left w:val="single" w:sz="4" w:space="0" w:color="auto"/>
              <w:bottom w:val="nil"/>
              <w:right w:val="single" w:sz="4" w:space="0" w:color="auto"/>
            </w:tcBorders>
          </w:tcPr>
          <w:p w14:paraId="54E0EDB3" w14:textId="77777777" w:rsidR="00714DCE" w:rsidRDefault="00714DCE" w:rsidP="00C6168E">
            <w:pPr>
              <w:pStyle w:val="Tabletext1"/>
              <w:jc w:val="center"/>
              <w:rPr>
                <w:rFonts w:cs="Calibri"/>
                <w:color w:val="0563C1"/>
                <w:u w:val="single"/>
              </w:rPr>
            </w:pPr>
          </w:p>
        </w:tc>
        <w:tc>
          <w:tcPr>
            <w:tcW w:w="0" w:type="auto"/>
            <w:tcBorders>
              <w:top w:val="single" w:sz="4" w:space="0" w:color="auto"/>
              <w:left w:val="single" w:sz="4" w:space="0" w:color="auto"/>
              <w:bottom w:val="single" w:sz="4" w:space="0" w:color="auto"/>
            </w:tcBorders>
          </w:tcPr>
          <w:p w14:paraId="540BC352" w14:textId="1153F64A" w:rsidR="00714DCE" w:rsidRPr="0003573E" w:rsidRDefault="00714DCE" w:rsidP="00C6168E">
            <w:pPr>
              <w:pStyle w:val="Tabletext1"/>
              <w:jc w:val="center"/>
              <w:rPr>
                <w:snapToGrid w:val="0"/>
              </w:rPr>
            </w:pPr>
            <w:r>
              <w:rPr>
                <w:snapToGrid w:val="0"/>
              </w:rPr>
              <w:t>LRR</w:t>
            </w:r>
          </w:p>
        </w:tc>
        <w:tc>
          <w:tcPr>
            <w:tcW w:w="923" w:type="dxa"/>
            <w:tcBorders>
              <w:top w:val="single" w:sz="4" w:space="0" w:color="auto"/>
              <w:bottom w:val="single" w:sz="4" w:space="0" w:color="auto"/>
            </w:tcBorders>
          </w:tcPr>
          <w:p w14:paraId="58E23631" w14:textId="77777777" w:rsidR="00714DCE" w:rsidRPr="0003573E" w:rsidRDefault="00714DCE" w:rsidP="00C6168E">
            <w:pPr>
              <w:pStyle w:val="Tabletext1"/>
              <w:jc w:val="center"/>
              <w:rPr>
                <w:snapToGrid w:val="0"/>
              </w:rPr>
            </w:pPr>
          </w:p>
        </w:tc>
        <w:tc>
          <w:tcPr>
            <w:tcW w:w="878" w:type="dxa"/>
            <w:tcBorders>
              <w:top w:val="single" w:sz="4" w:space="0" w:color="auto"/>
              <w:bottom w:val="single" w:sz="4" w:space="0" w:color="auto"/>
            </w:tcBorders>
          </w:tcPr>
          <w:p w14:paraId="7945DE79" w14:textId="7B5F1FD6" w:rsidR="00714DCE" w:rsidRDefault="00714DCE" w:rsidP="00C6168E">
            <w:pPr>
              <w:pStyle w:val="Tabletext1"/>
              <w:jc w:val="center"/>
              <w:rPr>
                <w:snapToGrid w:val="0"/>
              </w:rPr>
            </w:pPr>
            <w:r>
              <w:rPr>
                <w:snapToGrid w:val="0"/>
              </w:rPr>
              <w:t>6%</w:t>
            </w:r>
          </w:p>
        </w:tc>
        <w:tc>
          <w:tcPr>
            <w:tcW w:w="877" w:type="dxa"/>
            <w:tcBorders>
              <w:top w:val="single" w:sz="4" w:space="0" w:color="auto"/>
              <w:bottom w:val="single" w:sz="4" w:space="0" w:color="auto"/>
            </w:tcBorders>
          </w:tcPr>
          <w:p w14:paraId="0874BEA6" w14:textId="77777777" w:rsidR="00714DCE" w:rsidRPr="0003573E" w:rsidRDefault="00714DCE" w:rsidP="00C6168E">
            <w:pPr>
              <w:pStyle w:val="Tabletext1"/>
              <w:jc w:val="center"/>
              <w:rPr>
                <w:snapToGrid w:val="0"/>
              </w:rPr>
            </w:pPr>
          </w:p>
        </w:tc>
        <w:tc>
          <w:tcPr>
            <w:tcW w:w="878" w:type="dxa"/>
            <w:gridSpan w:val="3"/>
            <w:tcBorders>
              <w:top w:val="single" w:sz="4" w:space="0" w:color="auto"/>
              <w:bottom w:val="single" w:sz="4" w:space="0" w:color="auto"/>
            </w:tcBorders>
          </w:tcPr>
          <w:p w14:paraId="01C28EFF" w14:textId="77777777" w:rsidR="00714DCE" w:rsidRPr="0003573E" w:rsidRDefault="00714DCE" w:rsidP="00C6168E">
            <w:pPr>
              <w:pStyle w:val="Tabletext1"/>
              <w:jc w:val="center"/>
              <w:rPr>
                <w:snapToGrid w:val="0"/>
              </w:rPr>
            </w:pPr>
          </w:p>
        </w:tc>
      </w:tr>
      <w:tr w:rsidR="00714DCE" w:rsidRPr="00E54FA2" w14:paraId="222279DE" w14:textId="77777777" w:rsidTr="005756F5">
        <w:tc>
          <w:tcPr>
            <w:tcW w:w="0" w:type="auto"/>
            <w:tcBorders>
              <w:top w:val="nil"/>
              <w:left w:val="single" w:sz="4" w:space="0" w:color="auto"/>
              <w:bottom w:val="nil"/>
              <w:right w:val="single" w:sz="4" w:space="0" w:color="auto"/>
            </w:tcBorders>
          </w:tcPr>
          <w:p w14:paraId="7AB072C7" w14:textId="77777777" w:rsidR="00714DCE" w:rsidRDefault="00714DCE" w:rsidP="00714DCE">
            <w:pPr>
              <w:pStyle w:val="Tabletext1"/>
            </w:pPr>
          </w:p>
        </w:tc>
        <w:tc>
          <w:tcPr>
            <w:tcW w:w="0" w:type="auto"/>
            <w:tcBorders>
              <w:top w:val="nil"/>
              <w:left w:val="single" w:sz="4" w:space="0" w:color="auto"/>
              <w:bottom w:val="nil"/>
              <w:right w:val="single" w:sz="4" w:space="0" w:color="auto"/>
            </w:tcBorders>
          </w:tcPr>
          <w:p w14:paraId="5E302EB5" w14:textId="77777777" w:rsidR="00714DCE" w:rsidRDefault="00714DCE" w:rsidP="00C6168E">
            <w:pPr>
              <w:pStyle w:val="Tabletext1"/>
              <w:jc w:val="center"/>
              <w:rPr>
                <w:rFonts w:cs="Calibri"/>
                <w:color w:val="0563C1"/>
                <w:u w:val="single"/>
              </w:rPr>
            </w:pPr>
          </w:p>
        </w:tc>
        <w:tc>
          <w:tcPr>
            <w:tcW w:w="0" w:type="auto"/>
            <w:tcBorders>
              <w:top w:val="single" w:sz="4" w:space="0" w:color="auto"/>
              <w:left w:val="single" w:sz="4" w:space="0" w:color="auto"/>
              <w:bottom w:val="single" w:sz="4" w:space="0" w:color="auto"/>
            </w:tcBorders>
          </w:tcPr>
          <w:p w14:paraId="797CBDAD" w14:textId="30B0658E" w:rsidR="00714DCE" w:rsidRPr="0003573E" w:rsidRDefault="00714DCE" w:rsidP="00C6168E">
            <w:pPr>
              <w:pStyle w:val="Tabletext1"/>
              <w:jc w:val="center"/>
              <w:rPr>
                <w:snapToGrid w:val="0"/>
              </w:rPr>
            </w:pPr>
            <w:r>
              <w:rPr>
                <w:snapToGrid w:val="0"/>
              </w:rPr>
              <w:t>RRR</w:t>
            </w:r>
          </w:p>
        </w:tc>
        <w:tc>
          <w:tcPr>
            <w:tcW w:w="923" w:type="dxa"/>
            <w:tcBorders>
              <w:top w:val="single" w:sz="4" w:space="0" w:color="auto"/>
              <w:bottom w:val="single" w:sz="4" w:space="0" w:color="auto"/>
            </w:tcBorders>
          </w:tcPr>
          <w:p w14:paraId="3C7B66D0" w14:textId="77777777" w:rsidR="00714DCE" w:rsidRPr="0003573E" w:rsidRDefault="00714DCE" w:rsidP="00C6168E">
            <w:pPr>
              <w:pStyle w:val="Tabletext1"/>
              <w:jc w:val="center"/>
              <w:rPr>
                <w:snapToGrid w:val="0"/>
              </w:rPr>
            </w:pPr>
          </w:p>
        </w:tc>
        <w:tc>
          <w:tcPr>
            <w:tcW w:w="878" w:type="dxa"/>
            <w:tcBorders>
              <w:top w:val="single" w:sz="4" w:space="0" w:color="auto"/>
              <w:bottom w:val="single" w:sz="4" w:space="0" w:color="auto"/>
            </w:tcBorders>
          </w:tcPr>
          <w:p w14:paraId="65240F6E" w14:textId="32E6D6C0" w:rsidR="00714DCE" w:rsidRDefault="00714DCE" w:rsidP="00C6168E">
            <w:pPr>
              <w:pStyle w:val="Tabletext1"/>
              <w:jc w:val="center"/>
              <w:rPr>
                <w:snapToGrid w:val="0"/>
              </w:rPr>
            </w:pPr>
            <w:r>
              <w:rPr>
                <w:snapToGrid w:val="0"/>
              </w:rPr>
              <w:t>11%</w:t>
            </w:r>
          </w:p>
        </w:tc>
        <w:tc>
          <w:tcPr>
            <w:tcW w:w="877" w:type="dxa"/>
            <w:tcBorders>
              <w:top w:val="single" w:sz="4" w:space="0" w:color="auto"/>
              <w:bottom w:val="single" w:sz="4" w:space="0" w:color="auto"/>
            </w:tcBorders>
          </w:tcPr>
          <w:p w14:paraId="3370CEF2" w14:textId="77777777" w:rsidR="00714DCE" w:rsidRPr="0003573E" w:rsidRDefault="00714DCE" w:rsidP="00C6168E">
            <w:pPr>
              <w:pStyle w:val="Tabletext1"/>
              <w:jc w:val="center"/>
              <w:rPr>
                <w:snapToGrid w:val="0"/>
              </w:rPr>
            </w:pPr>
          </w:p>
        </w:tc>
        <w:tc>
          <w:tcPr>
            <w:tcW w:w="878" w:type="dxa"/>
            <w:gridSpan w:val="3"/>
            <w:tcBorders>
              <w:top w:val="single" w:sz="4" w:space="0" w:color="auto"/>
              <w:bottom w:val="single" w:sz="4" w:space="0" w:color="auto"/>
            </w:tcBorders>
          </w:tcPr>
          <w:p w14:paraId="09BFE78B" w14:textId="77777777" w:rsidR="00714DCE" w:rsidRPr="0003573E" w:rsidRDefault="00714DCE" w:rsidP="00C6168E">
            <w:pPr>
              <w:pStyle w:val="Tabletext1"/>
              <w:jc w:val="center"/>
              <w:rPr>
                <w:snapToGrid w:val="0"/>
              </w:rPr>
            </w:pPr>
          </w:p>
        </w:tc>
      </w:tr>
      <w:tr w:rsidR="00714DCE" w:rsidRPr="00E54FA2" w14:paraId="673FC34E" w14:textId="77777777" w:rsidTr="005756F5">
        <w:tc>
          <w:tcPr>
            <w:tcW w:w="0" w:type="auto"/>
            <w:tcBorders>
              <w:top w:val="nil"/>
              <w:left w:val="single" w:sz="4" w:space="0" w:color="auto"/>
              <w:bottom w:val="single" w:sz="4" w:space="0" w:color="auto"/>
              <w:right w:val="single" w:sz="4" w:space="0" w:color="auto"/>
            </w:tcBorders>
          </w:tcPr>
          <w:p w14:paraId="533D6C66" w14:textId="77777777" w:rsidR="00714DCE" w:rsidRDefault="00714DCE" w:rsidP="00714DCE">
            <w:pPr>
              <w:pStyle w:val="Tabletext1"/>
            </w:pPr>
          </w:p>
        </w:tc>
        <w:tc>
          <w:tcPr>
            <w:tcW w:w="0" w:type="auto"/>
            <w:tcBorders>
              <w:top w:val="nil"/>
              <w:left w:val="single" w:sz="4" w:space="0" w:color="auto"/>
              <w:bottom w:val="single" w:sz="4" w:space="0" w:color="auto"/>
              <w:right w:val="single" w:sz="4" w:space="0" w:color="auto"/>
            </w:tcBorders>
          </w:tcPr>
          <w:p w14:paraId="76747944" w14:textId="77777777" w:rsidR="00714DCE" w:rsidRDefault="00714DCE" w:rsidP="00C6168E">
            <w:pPr>
              <w:pStyle w:val="Tabletext1"/>
              <w:jc w:val="center"/>
              <w:rPr>
                <w:rFonts w:cs="Calibri"/>
                <w:color w:val="0563C1"/>
                <w:u w:val="single"/>
              </w:rPr>
            </w:pPr>
          </w:p>
        </w:tc>
        <w:tc>
          <w:tcPr>
            <w:tcW w:w="0" w:type="auto"/>
            <w:tcBorders>
              <w:top w:val="single" w:sz="4" w:space="0" w:color="auto"/>
              <w:left w:val="single" w:sz="4" w:space="0" w:color="auto"/>
              <w:bottom w:val="single" w:sz="4" w:space="0" w:color="auto"/>
            </w:tcBorders>
          </w:tcPr>
          <w:p w14:paraId="6D5D1B57" w14:textId="4D42BEAD" w:rsidR="00714DCE" w:rsidRPr="0003573E" w:rsidRDefault="00714DCE" w:rsidP="00C6168E">
            <w:pPr>
              <w:pStyle w:val="Tabletext1"/>
              <w:jc w:val="center"/>
              <w:rPr>
                <w:snapToGrid w:val="0"/>
              </w:rPr>
            </w:pPr>
            <w:r>
              <w:rPr>
                <w:snapToGrid w:val="0"/>
              </w:rPr>
              <w:t>DMR</w:t>
            </w:r>
          </w:p>
        </w:tc>
        <w:tc>
          <w:tcPr>
            <w:tcW w:w="923" w:type="dxa"/>
            <w:tcBorders>
              <w:top w:val="single" w:sz="4" w:space="0" w:color="auto"/>
              <w:bottom w:val="single" w:sz="4" w:space="0" w:color="auto"/>
            </w:tcBorders>
          </w:tcPr>
          <w:p w14:paraId="0C490544" w14:textId="77777777" w:rsidR="00714DCE" w:rsidRPr="0003573E" w:rsidRDefault="00714DCE" w:rsidP="00C6168E">
            <w:pPr>
              <w:pStyle w:val="Tabletext1"/>
              <w:jc w:val="center"/>
              <w:rPr>
                <w:snapToGrid w:val="0"/>
              </w:rPr>
            </w:pPr>
          </w:p>
        </w:tc>
        <w:tc>
          <w:tcPr>
            <w:tcW w:w="878" w:type="dxa"/>
            <w:tcBorders>
              <w:top w:val="single" w:sz="4" w:space="0" w:color="auto"/>
              <w:bottom w:val="single" w:sz="4" w:space="0" w:color="auto"/>
            </w:tcBorders>
          </w:tcPr>
          <w:p w14:paraId="685BC031" w14:textId="69884B89" w:rsidR="00714DCE" w:rsidRDefault="00714DCE" w:rsidP="00C6168E">
            <w:pPr>
              <w:pStyle w:val="Tabletext1"/>
              <w:jc w:val="center"/>
              <w:rPr>
                <w:snapToGrid w:val="0"/>
              </w:rPr>
            </w:pPr>
            <w:r>
              <w:rPr>
                <w:snapToGrid w:val="0"/>
              </w:rPr>
              <w:t>20%</w:t>
            </w:r>
          </w:p>
        </w:tc>
        <w:tc>
          <w:tcPr>
            <w:tcW w:w="877" w:type="dxa"/>
            <w:tcBorders>
              <w:top w:val="single" w:sz="4" w:space="0" w:color="auto"/>
              <w:bottom w:val="single" w:sz="4" w:space="0" w:color="auto"/>
            </w:tcBorders>
          </w:tcPr>
          <w:p w14:paraId="22E90460" w14:textId="77777777" w:rsidR="00714DCE" w:rsidRPr="0003573E" w:rsidRDefault="00714DCE" w:rsidP="00C6168E">
            <w:pPr>
              <w:pStyle w:val="Tabletext1"/>
              <w:jc w:val="center"/>
              <w:rPr>
                <w:snapToGrid w:val="0"/>
              </w:rPr>
            </w:pPr>
          </w:p>
        </w:tc>
        <w:tc>
          <w:tcPr>
            <w:tcW w:w="878" w:type="dxa"/>
            <w:gridSpan w:val="3"/>
            <w:tcBorders>
              <w:top w:val="single" w:sz="4" w:space="0" w:color="auto"/>
              <w:bottom w:val="single" w:sz="4" w:space="0" w:color="auto"/>
            </w:tcBorders>
          </w:tcPr>
          <w:p w14:paraId="605991EB" w14:textId="77777777" w:rsidR="00714DCE" w:rsidRPr="0003573E" w:rsidRDefault="00714DCE" w:rsidP="00C6168E">
            <w:pPr>
              <w:pStyle w:val="Tabletext1"/>
              <w:jc w:val="center"/>
              <w:rPr>
                <w:snapToGrid w:val="0"/>
              </w:rPr>
            </w:pPr>
          </w:p>
        </w:tc>
      </w:tr>
      <w:tr w:rsidR="00714DCE" w:rsidRPr="00E54FA2" w14:paraId="32F6417D" w14:textId="7F9B5103" w:rsidTr="005756F5">
        <w:tc>
          <w:tcPr>
            <w:tcW w:w="0" w:type="auto"/>
            <w:tcBorders>
              <w:top w:val="single" w:sz="4" w:space="0" w:color="auto"/>
              <w:left w:val="single" w:sz="4" w:space="0" w:color="auto"/>
              <w:bottom w:val="nil"/>
              <w:right w:val="single" w:sz="4" w:space="0" w:color="auto"/>
            </w:tcBorders>
          </w:tcPr>
          <w:p w14:paraId="443A8727" w14:textId="699D8933" w:rsidR="00714DCE" w:rsidRDefault="00211285" w:rsidP="00714DCE">
            <w:pPr>
              <w:pStyle w:val="Tabletext1"/>
              <w:rPr>
                <w:rFonts w:eastAsiaTheme="minorHAnsi"/>
              </w:rPr>
            </w:pPr>
            <w:hyperlink w:anchor="_ENREF_45" w:tooltip="Kilburn, 2016 #56" w:history="1">
              <w:r w:rsidR="008B6FC0">
                <w:fldChar w:fldCharType="begin"/>
              </w:r>
              <w:r w:rsidR="008B6FC0">
                <w:instrText xml:space="preserve"> ADDIN EN.CITE &lt;EndNote&gt;&lt;Cite AuthorYear="1"&gt;&lt;Author&gt;Kilburn&lt;/Author&gt;&lt;Year&gt;2016&lt;/Year&gt;&lt;RecNum&gt;56&lt;/RecNum&gt;&lt;DisplayText&gt;Kilburn et al. (2016)&lt;/DisplayText&gt;&lt;record&gt;&lt;rec-number&gt;56&lt;/rec-number&gt;&lt;foreign-keys&gt;&lt;key app="EN" db-id="sx5wsdwv795wvue959xxw0ptaewvdezxxp05" timestamp="1604876396"&gt;56&lt;/key&gt;&lt;/foreign-keys&gt;&lt;ref-type name="Journal Article"&gt;17&lt;/ref-type&gt;&lt;contributors&gt;&lt;authors&gt;&lt;author&gt;Kilburn, J. M.&lt;/author&gt;&lt;author&gt;Soike, M. H.&lt;/author&gt;&lt;author&gt;Lucas, J. T.&lt;/author&gt;&lt;author&gt;Ayala-Peacock, D.&lt;/author&gt;&lt;author&gt;Blackstock, W.&lt;/author&gt;&lt;author&gt;Isom, S.&lt;/author&gt;&lt;author&gt;Kearns, W. T.&lt;/author&gt;&lt;author&gt;Hinson, W. H.&lt;/author&gt;&lt;author&gt;Miller, A. A.&lt;/author&gt;&lt;author&gt;Petty, W. J.&lt;/author&gt;&lt;author&gt;Munley, M. T.&lt;/author&gt;&lt;author&gt;Urbanic, J. J.&lt;/author&gt;&lt;/authors&gt;&lt;/contributors&gt;&lt;titles&gt;&lt;title&gt;Image guided radiation therapy may result in improved local control in locally advanced lung cancer patients&lt;/title&gt;&lt;secondary-title&gt;Pract Radiat Oncol&lt;/secondary-title&gt;&lt;/titles&gt;&lt;pages&gt;e73-e80&lt;/pages&gt;&lt;volume&gt;6&lt;/volume&gt;&lt;number&gt;3&lt;/number&gt;&lt;dates&gt;&lt;year&gt;2016&lt;/year&gt;&lt;/dates&gt;&lt;accession-num&gt;26725964&lt;/accession-num&gt;&lt;urls&gt;&lt;related-urls&gt;&lt;url&gt;http://ezproxy.library.usyd.edu.au/login?url=http://ovidsp.ovid.com/ovidweb.cgi?T=JS&amp;amp;CSC=Y&amp;amp;NEWS=N&amp;amp;PAGE=fulltext&amp;amp;D=med13&amp;amp;AN=26725964https://sydney.alma.exlibrisgroup.com/openurl/61USYD_INST/61USYD_INST:sydney?sid=OVID:medline&amp;amp;id=pmid:26725964&amp;amp;id=doi:10.101&lt;/url&gt;&lt;url&gt;https://www.ncbi.nlm.nih.gov/pmc/articles/PMC5555210/pdf/nihms767206.pdf&lt;/url&gt;&lt;/related-urls&gt;&lt;/urls&gt;&lt;custom2&gt;lung, LFFS, RFFS, LRFFS, PFS, and OS&lt;/custom2&gt;&lt;electronic-resource-num&gt;https://dx.doi.org/10.1016/j.prro.2015.10.004&lt;/electronic-resource-num&gt;&lt;/record&gt;&lt;/Cite&gt;&lt;/EndNote&gt;</w:instrText>
              </w:r>
              <w:r w:rsidR="008B6FC0">
                <w:fldChar w:fldCharType="separate"/>
              </w:r>
              <w:r w:rsidR="008B6FC0">
                <w:rPr>
                  <w:noProof/>
                </w:rPr>
                <w:t>Kilburn et al. (2016)</w:t>
              </w:r>
              <w:r w:rsidR="008B6FC0">
                <w:fldChar w:fldCharType="end"/>
              </w:r>
            </w:hyperlink>
          </w:p>
        </w:tc>
        <w:tc>
          <w:tcPr>
            <w:tcW w:w="0" w:type="auto"/>
            <w:tcBorders>
              <w:top w:val="single" w:sz="4" w:space="0" w:color="auto"/>
              <w:left w:val="single" w:sz="4" w:space="0" w:color="auto"/>
              <w:bottom w:val="nil"/>
              <w:right w:val="single" w:sz="4" w:space="0" w:color="auto"/>
            </w:tcBorders>
          </w:tcPr>
          <w:p w14:paraId="145FB8E4" w14:textId="3215572C" w:rsidR="00714DCE" w:rsidRDefault="00714DCE" w:rsidP="00C6168E">
            <w:pPr>
              <w:pStyle w:val="Tabletext1"/>
              <w:jc w:val="center"/>
              <w:rPr>
                <w:snapToGrid w:val="0"/>
              </w:rPr>
            </w:pPr>
            <w:r>
              <w:rPr>
                <w:snapToGrid w:val="0"/>
              </w:rPr>
              <w:t>NSCLC stage IIB-IIIB with curative intent</w:t>
            </w:r>
          </w:p>
        </w:tc>
        <w:tc>
          <w:tcPr>
            <w:tcW w:w="0" w:type="auto"/>
            <w:tcBorders>
              <w:top w:val="single" w:sz="4" w:space="0" w:color="auto"/>
              <w:left w:val="single" w:sz="4" w:space="0" w:color="auto"/>
              <w:bottom w:val="single" w:sz="4" w:space="0" w:color="auto"/>
            </w:tcBorders>
          </w:tcPr>
          <w:p w14:paraId="3744AE83" w14:textId="3A6A114E" w:rsidR="00714DCE" w:rsidRPr="0003573E" w:rsidRDefault="00714DCE" w:rsidP="00C6168E">
            <w:pPr>
              <w:pStyle w:val="Tabletext1"/>
              <w:jc w:val="center"/>
              <w:rPr>
                <w:snapToGrid w:val="0"/>
              </w:rPr>
            </w:pPr>
            <w:r>
              <w:rPr>
                <w:snapToGrid w:val="0"/>
              </w:rPr>
              <w:t>OS</w:t>
            </w:r>
          </w:p>
        </w:tc>
        <w:tc>
          <w:tcPr>
            <w:tcW w:w="923" w:type="dxa"/>
            <w:tcBorders>
              <w:top w:val="single" w:sz="4" w:space="0" w:color="auto"/>
              <w:bottom w:val="single" w:sz="4" w:space="0" w:color="auto"/>
            </w:tcBorders>
          </w:tcPr>
          <w:p w14:paraId="68ADCAB3"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6AA3E15F" w14:textId="6E0E5437" w:rsidR="00714DCE" w:rsidRPr="00D95409" w:rsidRDefault="00714DCE" w:rsidP="00C6168E">
            <w:pPr>
              <w:pStyle w:val="Tabletext1"/>
              <w:jc w:val="center"/>
            </w:pPr>
            <w:r>
              <w:t>47%</w:t>
            </w:r>
          </w:p>
        </w:tc>
        <w:tc>
          <w:tcPr>
            <w:tcW w:w="877" w:type="dxa"/>
            <w:tcBorders>
              <w:top w:val="single" w:sz="4" w:space="0" w:color="auto"/>
              <w:bottom w:val="single" w:sz="4" w:space="0" w:color="auto"/>
            </w:tcBorders>
          </w:tcPr>
          <w:p w14:paraId="0A6FB690"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047FE265" w14:textId="6ADBB9B1" w:rsidR="00714DCE" w:rsidRPr="00D95409" w:rsidRDefault="00714DCE" w:rsidP="00C6168E">
            <w:pPr>
              <w:pStyle w:val="Tabletext1"/>
              <w:jc w:val="center"/>
            </w:pPr>
          </w:p>
        </w:tc>
      </w:tr>
      <w:tr w:rsidR="00714DCE" w:rsidRPr="00E54FA2" w14:paraId="02C064CD" w14:textId="77777777" w:rsidTr="005756F5">
        <w:tc>
          <w:tcPr>
            <w:tcW w:w="0" w:type="auto"/>
            <w:tcBorders>
              <w:top w:val="nil"/>
              <w:left w:val="single" w:sz="4" w:space="0" w:color="auto"/>
              <w:bottom w:val="nil"/>
              <w:right w:val="single" w:sz="4" w:space="0" w:color="auto"/>
            </w:tcBorders>
          </w:tcPr>
          <w:p w14:paraId="4206E207" w14:textId="77777777" w:rsidR="00714DCE" w:rsidRDefault="00714DCE" w:rsidP="00714DCE">
            <w:pPr>
              <w:pStyle w:val="Tabletext1"/>
            </w:pPr>
          </w:p>
        </w:tc>
        <w:tc>
          <w:tcPr>
            <w:tcW w:w="0" w:type="auto"/>
            <w:tcBorders>
              <w:top w:val="nil"/>
              <w:left w:val="single" w:sz="4" w:space="0" w:color="auto"/>
              <w:bottom w:val="nil"/>
              <w:right w:val="single" w:sz="4" w:space="0" w:color="auto"/>
            </w:tcBorders>
          </w:tcPr>
          <w:p w14:paraId="1D19F1D9" w14:textId="77777777" w:rsidR="00714DCE" w:rsidRDefault="00714DCE" w:rsidP="00C6168E">
            <w:pPr>
              <w:spacing w:after="0"/>
              <w:jc w:val="center"/>
              <w:rPr>
                <w:snapToGrid w:val="0"/>
              </w:rPr>
            </w:pPr>
          </w:p>
        </w:tc>
        <w:tc>
          <w:tcPr>
            <w:tcW w:w="0" w:type="auto"/>
            <w:tcBorders>
              <w:top w:val="single" w:sz="4" w:space="0" w:color="auto"/>
              <w:left w:val="single" w:sz="4" w:space="0" w:color="auto"/>
              <w:bottom w:val="single" w:sz="4" w:space="0" w:color="auto"/>
            </w:tcBorders>
          </w:tcPr>
          <w:p w14:paraId="075FDA5E" w14:textId="2A474C08" w:rsidR="00714DCE" w:rsidRDefault="00714DCE" w:rsidP="00C6168E">
            <w:pPr>
              <w:pStyle w:val="Tabletext1"/>
              <w:jc w:val="center"/>
              <w:rPr>
                <w:snapToGrid w:val="0"/>
              </w:rPr>
            </w:pPr>
            <w:r>
              <w:rPr>
                <w:snapToGrid w:val="0"/>
              </w:rPr>
              <w:t>LFFS</w:t>
            </w:r>
          </w:p>
        </w:tc>
        <w:tc>
          <w:tcPr>
            <w:tcW w:w="923" w:type="dxa"/>
            <w:tcBorders>
              <w:top w:val="single" w:sz="4" w:space="0" w:color="auto"/>
              <w:bottom w:val="single" w:sz="4" w:space="0" w:color="auto"/>
            </w:tcBorders>
          </w:tcPr>
          <w:p w14:paraId="20ED062E"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4012D720" w14:textId="01427572" w:rsidR="00714DCE" w:rsidRDefault="00714DCE" w:rsidP="00C6168E">
            <w:pPr>
              <w:pStyle w:val="Tabletext1"/>
              <w:jc w:val="center"/>
            </w:pPr>
            <w:r>
              <w:t>75%</w:t>
            </w:r>
          </w:p>
        </w:tc>
        <w:tc>
          <w:tcPr>
            <w:tcW w:w="877" w:type="dxa"/>
            <w:tcBorders>
              <w:top w:val="single" w:sz="4" w:space="0" w:color="auto"/>
              <w:bottom w:val="single" w:sz="4" w:space="0" w:color="auto"/>
            </w:tcBorders>
          </w:tcPr>
          <w:p w14:paraId="2DD3AAE3"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2C4F8C26" w14:textId="77777777" w:rsidR="00714DCE" w:rsidRPr="00D95409" w:rsidRDefault="00714DCE" w:rsidP="00C6168E">
            <w:pPr>
              <w:pStyle w:val="Tabletext1"/>
              <w:jc w:val="center"/>
            </w:pPr>
          </w:p>
        </w:tc>
      </w:tr>
      <w:tr w:rsidR="00714DCE" w:rsidRPr="00E54FA2" w14:paraId="667C90CA" w14:textId="77777777" w:rsidTr="005756F5">
        <w:tc>
          <w:tcPr>
            <w:tcW w:w="0" w:type="auto"/>
            <w:tcBorders>
              <w:top w:val="nil"/>
              <w:left w:val="single" w:sz="4" w:space="0" w:color="auto"/>
              <w:bottom w:val="nil"/>
              <w:right w:val="single" w:sz="4" w:space="0" w:color="auto"/>
            </w:tcBorders>
          </w:tcPr>
          <w:p w14:paraId="0C2AA7D1" w14:textId="77777777" w:rsidR="00714DCE" w:rsidRDefault="00714DCE" w:rsidP="00714DCE">
            <w:pPr>
              <w:pStyle w:val="Tabletext1"/>
            </w:pPr>
          </w:p>
        </w:tc>
        <w:tc>
          <w:tcPr>
            <w:tcW w:w="0" w:type="auto"/>
            <w:tcBorders>
              <w:top w:val="nil"/>
              <w:left w:val="single" w:sz="4" w:space="0" w:color="auto"/>
              <w:bottom w:val="nil"/>
              <w:right w:val="single" w:sz="4" w:space="0" w:color="auto"/>
            </w:tcBorders>
          </w:tcPr>
          <w:p w14:paraId="5B74AD54" w14:textId="77777777" w:rsidR="00714DCE" w:rsidRDefault="00714DCE" w:rsidP="00C6168E">
            <w:pPr>
              <w:spacing w:after="0"/>
              <w:jc w:val="center"/>
              <w:rPr>
                <w:rFonts w:cs="Calibri"/>
                <w:color w:val="000000"/>
              </w:rPr>
            </w:pPr>
          </w:p>
        </w:tc>
        <w:tc>
          <w:tcPr>
            <w:tcW w:w="0" w:type="auto"/>
            <w:tcBorders>
              <w:top w:val="single" w:sz="4" w:space="0" w:color="auto"/>
              <w:left w:val="single" w:sz="4" w:space="0" w:color="auto"/>
              <w:bottom w:val="single" w:sz="4" w:space="0" w:color="auto"/>
            </w:tcBorders>
          </w:tcPr>
          <w:p w14:paraId="262A5665" w14:textId="03649CE3" w:rsidR="00714DCE" w:rsidRDefault="00714DCE" w:rsidP="00C6168E">
            <w:pPr>
              <w:pStyle w:val="Tabletext1"/>
              <w:jc w:val="center"/>
              <w:rPr>
                <w:snapToGrid w:val="0"/>
              </w:rPr>
            </w:pPr>
            <w:r>
              <w:rPr>
                <w:snapToGrid w:val="0"/>
              </w:rPr>
              <w:t>RFFS</w:t>
            </w:r>
          </w:p>
        </w:tc>
        <w:tc>
          <w:tcPr>
            <w:tcW w:w="923" w:type="dxa"/>
            <w:tcBorders>
              <w:top w:val="single" w:sz="4" w:space="0" w:color="auto"/>
              <w:bottom w:val="single" w:sz="4" w:space="0" w:color="auto"/>
            </w:tcBorders>
          </w:tcPr>
          <w:p w14:paraId="7AF14D4C"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162F45A9" w14:textId="198EBD9D" w:rsidR="00714DCE" w:rsidRDefault="00714DCE" w:rsidP="00C6168E">
            <w:pPr>
              <w:pStyle w:val="Tabletext1"/>
              <w:jc w:val="center"/>
            </w:pPr>
            <w:r>
              <w:t>84%</w:t>
            </w:r>
          </w:p>
        </w:tc>
        <w:tc>
          <w:tcPr>
            <w:tcW w:w="877" w:type="dxa"/>
            <w:tcBorders>
              <w:top w:val="single" w:sz="4" w:space="0" w:color="auto"/>
              <w:bottom w:val="single" w:sz="4" w:space="0" w:color="auto"/>
            </w:tcBorders>
          </w:tcPr>
          <w:p w14:paraId="2E903159"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6CC1EBB6" w14:textId="77777777" w:rsidR="00714DCE" w:rsidRPr="00D95409" w:rsidRDefault="00714DCE" w:rsidP="00C6168E">
            <w:pPr>
              <w:pStyle w:val="Tabletext1"/>
              <w:jc w:val="center"/>
            </w:pPr>
          </w:p>
        </w:tc>
      </w:tr>
      <w:tr w:rsidR="00714DCE" w:rsidRPr="00E54FA2" w14:paraId="63CCC1CC" w14:textId="77777777" w:rsidTr="005756F5">
        <w:tc>
          <w:tcPr>
            <w:tcW w:w="0" w:type="auto"/>
            <w:tcBorders>
              <w:top w:val="nil"/>
              <w:left w:val="single" w:sz="4" w:space="0" w:color="auto"/>
              <w:bottom w:val="nil"/>
              <w:right w:val="single" w:sz="4" w:space="0" w:color="auto"/>
            </w:tcBorders>
          </w:tcPr>
          <w:p w14:paraId="4DFD9576" w14:textId="77777777" w:rsidR="00714DCE" w:rsidRDefault="00714DCE" w:rsidP="00714DCE">
            <w:pPr>
              <w:pStyle w:val="Tabletext1"/>
            </w:pPr>
          </w:p>
        </w:tc>
        <w:tc>
          <w:tcPr>
            <w:tcW w:w="0" w:type="auto"/>
            <w:tcBorders>
              <w:top w:val="nil"/>
              <w:left w:val="single" w:sz="4" w:space="0" w:color="auto"/>
              <w:bottom w:val="nil"/>
              <w:right w:val="single" w:sz="4" w:space="0" w:color="auto"/>
            </w:tcBorders>
          </w:tcPr>
          <w:p w14:paraId="145BC189" w14:textId="77777777" w:rsidR="00714DCE" w:rsidRDefault="00714DCE" w:rsidP="00C6168E">
            <w:pPr>
              <w:spacing w:after="0"/>
              <w:jc w:val="center"/>
              <w:rPr>
                <w:rFonts w:cs="Calibri"/>
                <w:color w:val="000000"/>
              </w:rPr>
            </w:pPr>
          </w:p>
        </w:tc>
        <w:tc>
          <w:tcPr>
            <w:tcW w:w="0" w:type="auto"/>
            <w:tcBorders>
              <w:top w:val="single" w:sz="4" w:space="0" w:color="auto"/>
              <w:left w:val="single" w:sz="4" w:space="0" w:color="auto"/>
              <w:bottom w:val="single" w:sz="4" w:space="0" w:color="auto"/>
            </w:tcBorders>
          </w:tcPr>
          <w:p w14:paraId="1F1C6D4D" w14:textId="3CC692D9" w:rsidR="00714DCE" w:rsidRDefault="00714DCE" w:rsidP="00C6168E">
            <w:pPr>
              <w:pStyle w:val="Tabletext1"/>
              <w:jc w:val="center"/>
              <w:rPr>
                <w:snapToGrid w:val="0"/>
              </w:rPr>
            </w:pPr>
            <w:r>
              <w:rPr>
                <w:snapToGrid w:val="0"/>
              </w:rPr>
              <w:t>DFFS</w:t>
            </w:r>
          </w:p>
        </w:tc>
        <w:tc>
          <w:tcPr>
            <w:tcW w:w="923" w:type="dxa"/>
            <w:tcBorders>
              <w:top w:val="single" w:sz="4" w:space="0" w:color="auto"/>
              <w:bottom w:val="single" w:sz="4" w:space="0" w:color="auto"/>
            </w:tcBorders>
          </w:tcPr>
          <w:p w14:paraId="4D87949D"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655D35CE" w14:textId="3F7ED095" w:rsidR="00714DCE" w:rsidRDefault="00714DCE" w:rsidP="00C6168E">
            <w:pPr>
              <w:pStyle w:val="Tabletext1"/>
              <w:jc w:val="center"/>
            </w:pPr>
            <w:r>
              <w:t>58%</w:t>
            </w:r>
          </w:p>
        </w:tc>
        <w:tc>
          <w:tcPr>
            <w:tcW w:w="877" w:type="dxa"/>
            <w:tcBorders>
              <w:top w:val="single" w:sz="4" w:space="0" w:color="auto"/>
              <w:bottom w:val="single" w:sz="4" w:space="0" w:color="auto"/>
            </w:tcBorders>
          </w:tcPr>
          <w:p w14:paraId="43E619D2"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6D795C09" w14:textId="77777777" w:rsidR="00714DCE" w:rsidRPr="00D95409" w:rsidRDefault="00714DCE" w:rsidP="00C6168E">
            <w:pPr>
              <w:pStyle w:val="Tabletext1"/>
              <w:jc w:val="center"/>
            </w:pPr>
          </w:p>
        </w:tc>
      </w:tr>
      <w:tr w:rsidR="00714DCE" w:rsidRPr="00E54FA2" w14:paraId="3A6FD881" w14:textId="77777777" w:rsidTr="005756F5">
        <w:tc>
          <w:tcPr>
            <w:tcW w:w="0" w:type="auto"/>
            <w:tcBorders>
              <w:top w:val="nil"/>
              <w:left w:val="single" w:sz="4" w:space="0" w:color="auto"/>
              <w:bottom w:val="single" w:sz="4" w:space="0" w:color="auto"/>
              <w:right w:val="single" w:sz="4" w:space="0" w:color="auto"/>
            </w:tcBorders>
          </w:tcPr>
          <w:p w14:paraId="3CB4337D" w14:textId="77777777" w:rsidR="00714DCE" w:rsidRDefault="00714DCE" w:rsidP="00714DCE">
            <w:pPr>
              <w:pStyle w:val="Tabletext1"/>
            </w:pPr>
          </w:p>
        </w:tc>
        <w:tc>
          <w:tcPr>
            <w:tcW w:w="0" w:type="auto"/>
            <w:tcBorders>
              <w:top w:val="nil"/>
              <w:left w:val="single" w:sz="4" w:space="0" w:color="auto"/>
              <w:bottom w:val="single" w:sz="4" w:space="0" w:color="auto"/>
              <w:right w:val="single" w:sz="4" w:space="0" w:color="auto"/>
            </w:tcBorders>
          </w:tcPr>
          <w:p w14:paraId="68282430" w14:textId="77777777" w:rsidR="00714DCE" w:rsidRDefault="00714DCE" w:rsidP="00C6168E">
            <w:pPr>
              <w:spacing w:after="0"/>
              <w:jc w:val="center"/>
              <w:rPr>
                <w:rFonts w:cs="Calibri"/>
                <w:color w:val="000000"/>
              </w:rPr>
            </w:pPr>
          </w:p>
        </w:tc>
        <w:tc>
          <w:tcPr>
            <w:tcW w:w="0" w:type="auto"/>
            <w:tcBorders>
              <w:top w:val="single" w:sz="4" w:space="0" w:color="auto"/>
              <w:left w:val="single" w:sz="4" w:space="0" w:color="auto"/>
              <w:bottom w:val="single" w:sz="4" w:space="0" w:color="auto"/>
            </w:tcBorders>
          </w:tcPr>
          <w:p w14:paraId="67014736" w14:textId="692A7BBC" w:rsidR="00714DCE" w:rsidRDefault="00714DCE" w:rsidP="00C6168E">
            <w:pPr>
              <w:pStyle w:val="Tabletext1"/>
              <w:jc w:val="center"/>
              <w:rPr>
                <w:snapToGrid w:val="0"/>
              </w:rPr>
            </w:pPr>
            <w:r>
              <w:rPr>
                <w:snapToGrid w:val="0"/>
              </w:rPr>
              <w:t>PFS</w:t>
            </w:r>
          </w:p>
        </w:tc>
        <w:tc>
          <w:tcPr>
            <w:tcW w:w="923" w:type="dxa"/>
            <w:tcBorders>
              <w:top w:val="single" w:sz="4" w:space="0" w:color="auto"/>
              <w:bottom w:val="single" w:sz="4" w:space="0" w:color="auto"/>
            </w:tcBorders>
          </w:tcPr>
          <w:p w14:paraId="5B60FE58"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330A4C10" w14:textId="18C144FB" w:rsidR="00714DCE" w:rsidRDefault="00714DCE" w:rsidP="00C6168E">
            <w:pPr>
              <w:pStyle w:val="Tabletext1"/>
              <w:jc w:val="center"/>
            </w:pPr>
            <w:r>
              <w:t>43%</w:t>
            </w:r>
          </w:p>
        </w:tc>
        <w:tc>
          <w:tcPr>
            <w:tcW w:w="877" w:type="dxa"/>
            <w:tcBorders>
              <w:top w:val="single" w:sz="4" w:space="0" w:color="auto"/>
              <w:bottom w:val="single" w:sz="4" w:space="0" w:color="auto"/>
            </w:tcBorders>
          </w:tcPr>
          <w:p w14:paraId="2D14D057"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12895ADF" w14:textId="77777777" w:rsidR="00714DCE" w:rsidRPr="00D95409" w:rsidRDefault="00714DCE" w:rsidP="00C6168E">
            <w:pPr>
              <w:pStyle w:val="Tabletext1"/>
              <w:jc w:val="center"/>
            </w:pPr>
          </w:p>
        </w:tc>
      </w:tr>
      <w:tr w:rsidR="00714DCE" w:rsidRPr="00E54FA2" w14:paraId="26D22CBF" w14:textId="005764A3" w:rsidTr="005756F5">
        <w:tc>
          <w:tcPr>
            <w:tcW w:w="0" w:type="auto"/>
            <w:tcBorders>
              <w:top w:val="single" w:sz="4" w:space="0" w:color="auto"/>
              <w:bottom w:val="single" w:sz="4" w:space="0" w:color="auto"/>
            </w:tcBorders>
          </w:tcPr>
          <w:p w14:paraId="7400B449" w14:textId="5BA56947" w:rsidR="00714DCE" w:rsidRDefault="00211285" w:rsidP="00714DCE">
            <w:pPr>
              <w:pStyle w:val="Tabletext1"/>
              <w:rPr>
                <w:snapToGrid w:val="0"/>
              </w:rPr>
            </w:pPr>
            <w:hyperlink w:anchor="_ENREF_67" w:tooltip="Stone, 2015 #70" w:history="1">
              <w:r w:rsidR="008B6FC0">
                <w:fldChar w:fldCharType="begin"/>
              </w:r>
              <w:r w:rsidR="008B6FC0">
                <w:instrText xml:space="preserve"> ADDIN EN.CITE &lt;EndNote&gt;&lt;Cite AuthorYear="1"&gt;&lt;Author&gt;Stone&lt;/Author&gt;&lt;Year&gt;2015&lt;/Year&gt;&lt;RecNum&gt;70&lt;/RecNum&gt;&lt;DisplayText&gt;Stone et al. (2015)&lt;/DisplayText&gt;&lt;record&gt;&lt;rec-number&gt;70&lt;/rec-number&gt;&lt;foreign-keys&gt;&lt;key app="EN" db-id="sx5wsdwv795wvue959xxw0ptaewvdezxxp05" timestamp="1604876398"&gt;70&lt;/key&gt;&lt;/foreign-keys&gt;&lt;ref-type name="Journal Article"&gt;17&lt;/ref-type&gt;&lt;contributors&gt;&lt;authors&gt;&lt;author&gt;Stone, B.&lt;/author&gt;&lt;author&gt;Mangona, V. S.&lt;/author&gt;&lt;author&gt;Johnson, M. D.&lt;/author&gt;&lt;author&gt;Ye, H.&lt;/author&gt;&lt;author&gt;Grills, I. S.&lt;/author&gt;&lt;/authors&gt;&lt;/contributors&gt;&lt;titles&gt;&lt;title&gt;Changes in Pulmonary Function Following Image-Guided Stereotactic Lung Radiotherapy: Neither Lower Baseline Nor Post-SBRT Pulmonary Function Are Associated with Worse Overall Survival&lt;/title&gt;&lt;secondary-title&gt;Journal of Thoracic Oncology&lt;/secondary-title&gt;&lt;/titles&gt;&lt;pages&gt;1762-1769&lt;/pages&gt;&lt;volume&gt;10&lt;/volume&gt;&lt;number&gt;12&lt;/number&gt;&lt;dates&gt;&lt;year&gt;2015&lt;/year&gt;&lt;/dates&gt;&lt;accession-num&gt;607042040&lt;/accession-num&gt;&lt;urls&gt;&lt;related-urls&gt;&lt;url&gt;https://www.journals.elsevier.com/journal-of-thoracic-oncology/http://ezproxy.library.usyd.edu.au/login?url=http://ovidsp.ovid.com/ovidweb.cgi?T=JS&amp;amp;CSC=Y&amp;amp;NEWS=N&amp;amp;PAGE=fulltext&amp;amp;D=emed16&amp;amp;AN=607042040https://sydney.alma.exlibrisgroup.com/openurl/61USYD_INST/6&lt;/url&gt;&lt;/related-urls&gt;&lt;/urls&gt;&lt;electronic-resource-num&gt;http://dx.doi.org/10.1097/JTO.0000000000000670&lt;/electronic-resource-num&gt;&lt;/record&gt;&lt;/Cite&gt;&lt;/EndNote&gt;</w:instrText>
              </w:r>
              <w:r w:rsidR="008B6FC0">
                <w:fldChar w:fldCharType="separate"/>
              </w:r>
              <w:r w:rsidR="008B6FC0">
                <w:rPr>
                  <w:noProof/>
                </w:rPr>
                <w:t>Stone et al. (2015)</w:t>
              </w:r>
              <w:r w:rsidR="008B6FC0">
                <w:fldChar w:fldCharType="end"/>
              </w:r>
            </w:hyperlink>
          </w:p>
        </w:tc>
        <w:tc>
          <w:tcPr>
            <w:tcW w:w="0" w:type="auto"/>
            <w:tcBorders>
              <w:top w:val="single" w:sz="4" w:space="0" w:color="auto"/>
              <w:bottom w:val="single" w:sz="4" w:space="0" w:color="auto"/>
            </w:tcBorders>
          </w:tcPr>
          <w:p w14:paraId="5A1137B9" w14:textId="10A0E267" w:rsidR="00714DCE" w:rsidRDefault="00714DCE" w:rsidP="00C6168E">
            <w:pPr>
              <w:pStyle w:val="Tabletext1"/>
              <w:jc w:val="center"/>
              <w:rPr>
                <w:snapToGrid w:val="0"/>
              </w:rPr>
            </w:pPr>
            <w:r>
              <w:rPr>
                <w:snapToGrid w:val="0"/>
              </w:rPr>
              <w:t>NSCLC stage I peripheral</w:t>
            </w:r>
          </w:p>
        </w:tc>
        <w:tc>
          <w:tcPr>
            <w:tcW w:w="0" w:type="auto"/>
            <w:tcBorders>
              <w:top w:val="single" w:sz="4" w:space="0" w:color="auto"/>
              <w:bottom w:val="single" w:sz="4" w:space="0" w:color="auto"/>
            </w:tcBorders>
          </w:tcPr>
          <w:p w14:paraId="6193A0ED" w14:textId="4B77266F" w:rsidR="00714DCE" w:rsidRPr="0003573E" w:rsidRDefault="00714DCE" w:rsidP="00C6168E">
            <w:pPr>
              <w:pStyle w:val="Tabletext1"/>
              <w:jc w:val="center"/>
              <w:rPr>
                <w:snapToGrid w:val="0"/>
              </w:rPr>
            </w:pPr>
            <w:r>
              <w:rPr>
                <w:snapToGrid w:val="0"/>
              </w:rPr>
              <w:t>OS</w:t>
            </w:r>
          </w:p>
        </w:tc>
        <w:tc>
          <w:tcPr>
            <w:tcW w:w="923" w:type="dxa"/>
            <w:tcBorders>
              <w:top w:val="single" w:sz="4" w:space="0" w:color="auto"/>
              <w:bottom w:val="single" w:sz="4" w:space="0" w:color="auto"/>
            </w:tcBorders>
          </w:tcPr>
          <w:p w14:paraId="29BE1109" w14:textId="42EF6504" w:rsidR="00714DCE" w:rsidRPr="00D95409" w:rsidRDefault="00714DCE" w:rsidP="00C6168E">
            <w:pPr>
              <w:pStyle w:val="Tabletext1"/>
              <w:jc w:val="center"/>
            </w:pPr>
            <w:r>
              <w:t>87%</w:t>
            </w:r>
          </w:p>
        </w:tc>
        <w:tc>
          <w:tcPr>
            <w:tcW w:w="878" w:type="dxa"/>
            <w:tcBorders>
              <w:top w:val="single" w:sz="4" w:space="0" w:color="auto"/>
              <w:bottom w:val="single" w:sz="4" w:space="0" w:color="auto"/>
            </w:tcBorders>
          </w:tcPr>
          <w:p w14:paraId="63A18580" w14:textId="77777777" w:rsidR="00714DCE" w:rsidRPr="00D95409" w:rsidRDefault="00714DCE" w:rsidP="00C6168E">
            <w:pPr>
              <w:pStyle w:val="Tabletext1"/>
              <w:jc w:val="center"/>
            </w:pPr>
          </w:p>
        </w:tc>
        <w:tc>
          <w:tcPr>
            <w:tcW w:w="877" w:type="dxa"/>
            <w:tcBorders>
              <w:top w:val="single" w:sz="4" w:space="0" w:color="auto"/>
              <w:bottom w:val="single" w:sz="4" w:space="0" w:color="auto"/>
            </w:tcBorders>
          </w:tcPr>
          <w:p w14:paraId="307213DE" w14:textId="351335DA" w:rsidR="00714DCE" w:rsidRPr="00D95409" w:rsidRDefault="00714DCE" w:rsidP="00C6168E">
            <w:pPr>
              <w:pStyle w:val="Tabletext1"/>
              <w:jc w:val="center"/>
            </w:pPr>
            <w:r>
              <w:t>62%</w:t>
            </w:r>
          </w:p>
        </w:tc>
        <w:tc>
          <w:tcPr>
            <w:tcW w:w="878" w:type="dxa"/>
            <w:gridSpan w:val="3"/>
            <w:tcBorders>
              <w:top w:val="single" w:sz="4" w:space="0" w:color="auto"/>
              <w:bottom w:val="single" w:sz="4" w:space="0" w:color="auto"/>
            </w:tcBorders>
          </w:tcPr>
          <w:p w14:paraId="33BC7777" w14:textId="00C569A2" w:rsidR="00714DCE" w:rsidRPr="00D95409" w:rsidRDefault="00714DCE" w:rsidP="00C6168E">
            <w:pPr>
              <w:pStyle w:val="Tabletext1"/>
              <w:jc w:val="center"/>
            </w:pPr>
          </w:p>
        </w:tc>
      </w:tr>
      <w:tr w:rsidR="00714DCE" w:rsidRPr="00E54FA2" w14:paraId="51DE86AB" w14:textId="603FD730" w:rsidTr="005756F5">
        <w:tc>
          <w:tcPr>
            <w:tcW w:w="0" w:type="auto"/>
            <w:tcBorders>
              <w:top w:val="single" w:sz="4" w:space="0" w:color="auto"/>
              <w:left w:val="single" w:sz="4" w:space="0" w:color="auto"/>
              <w:bottom w:val="nil"/>
              <w:right w:val="single" w:sz="4" w:space="0" w:color="auto"/>
            </w:tcBorders>
          </w:tcPr>
          <w:p w14:paraId="7F2C1BC8" w14:textId="73C4BD61" w:rsidR="00714DCE" w:rsidRDefault="00211285" w:rsidP="00714DCE">
            <w:pPr>
              <w:pStyle w:val="Tabletext1"/>
            </w:pPr>
            <w:hyperlink w:anchor="_ENREF_85" w:tooltip="Yegya-Raman, 2018 #83" w:history="1">
              <w:r w:rsidR="008B6FC0">
                <w:fldChar w:fldCharType="begin"/>
              </w:r>
              <w:r w:rsidR="008B6FC0">
                <w:instrText xml:space="preserve"> ADDIN EN.CITE &lt;EndNote&gt;&lt;Cite AuthorYear="1"&gt;&lt;Author&gt;Yegya-Raman&lt;/Author&gt;&lt;Year&gt;2018&lt;/Year&gt;&lt;RecNum&gt;83&lt;/RecNum&gt;&lt;DisplayText&gt;Yegya-Raman et al. (2018)&lt;/DisplayText&gt;&lt;record&gt;&lt;rec-number&gt;83&lt;/rec-number&gt;&lt;foreign-keys&gt;&lt;key app="EN" db-id="sx5wsdwv795wvue959xxw0ptaewvdezxxp05" timestamp="1604876399"&gt;83&lt;/key&gt;&lt;/foreign-keys&gt;&lt;ref-type name="Journal Article"&gt;17&lt;/ref-type&gt;&lt;contributors&gt;&lt;authors&gt;&lt;author&gt;Yegya-Raman, N.&lt;/author&gt;&lt;author&gt;Kim, S.&lt;/author&gt;&lt;author&gt;Deek, M. P.&lt;/author&gt;&lt;author&gt;Li, D.&lt;/author&gt;&lt;author&gt;Gupta, A.&lt;/author&gt;&lt;author&gt;Bond, L.&lt;/author&gt;&lt;author&gt;Dwivedi, A.&lt;/author&gt;&lt;author&gt;Braver, J. K.&lt;/author&gt;&lt;author&gt;Reyhan, M.&lt;/author&gt;&lt;author&gt;Mittal, A.&lt;/author&gt;&lt;author&gt;Gui, B.&lt;/author&gt;&lt;author&gt;Malhotra, J.&lt;/author&gt;&lt;author&gt;Aisner, J.&lt;/author&gt;&lt;author&gt;Jabbour, S. K.&lt;/author&gt;&lt;/authors&gt;&lt;/contributors&gt;&lt;titles&gt;&lt;title&gt;Daily Image Guidance With Cone Beam Computed Tomography May Reduce Radiation Pneumonitis in Unresectable Non-Small Cell Lung Cancer&lt;/title&gt;&lt;secondary-title&gt;Int J Radiat Oncol Biol Phys&lt;/secondary-title&gt;&lt;/titles&gt;&lt;pages&gt;1104-1112&lt;/pages&gt;&lt;volume&gt;101&lt;/volume&gt;&lt;number&gt;5&lt;/number&gt;&lt;dates&gt;&lt;year&gt;2018&lt;/year&gt;&lt;/dates&gt;&lt;accession-num&gt;29730063&lt;/accession-num&gt;&lt;urls&gt;&lt;related-urls&gt;&lt;url&gt;http://ezproxy.library.usyd.edu.au/login?url=http://ovidsp.ovid.com/ovidweb.cgi?T=JS&amp;amp;CSC=Y&amp;amp;NEWS=N&amp;amp;PAGE=fulltext&amp;amp;D=med15&amp;amp;AN=29730063https://sydney.alma.exlibrisgroup.com/openurl/61USYD_INST/61USYD_INST:sydney?sid=OVID:medline&amp;amp;id=pmid:29730063&amp;amp;id=doi:10.101&lt;/url&gt;&lt;/related-urls&gt;&lt;/urls&gt;&lt;electronic-resource-num&gt;https://dx.doi.org/10.1016/j.ijrobp.2018.03.025&lt;/electronic-resource-num&gt;&lt;/record&gt;&lt;/Cite&gt;&lt;/EndNote&gt;</w:instrText>
              </w:r>
              <w:r w:rsidR="008B6FC0">
                <w:fldChar w:fldCharType="separate"/>
              </w:r>
              <w:r w:rsidR="008B6FC0">
                <w:rPr>
                  <w:noProof/>
                </w:rPr>
                <w:t>Yegya-Raman et al. (2018)</w:t>
              </w:r>
              <w:r w:rsidR="008B6FC0">
                <w:fldChar w:fldCharType="end"/>
              </w:r>
            </w:hyperlink>
          </w:p>
        </w:tc>
        <w:tc>
          <w:tcPr>
            <w:tcW w:w="0" w:type="auto"/>
            <w:tcBorders>
              <w:top w:val="single" w:sz="4" w:space="0" w:color="auto"/>
              <w:left w:val="single" w:sz="4" w:space="0" w:color="auto"/>
              <w:bottom w:val="nil"/>
              <w:right w:val="single" w:sz="4" w:space="0" w:color="auto"/>
            </w:tcBorders>
          </w:tcPr>
          <w:p w14:paraId="5A32B9C5" w14:textId="1AA46CA7" w:rsidR="00714DCE" w:rsidRDefault="00714DCE" w:rsidP="00C6168E">
            <w:pPr>
              <w:pStyle w:val="Tabletext1"/>
              <w:jc w:val="center"/>
              <w:rPr>
                <w:snapToGrid w:val="0"/>
              </w:rPr>
            </w:pPr>
            <w:r w:rsidRPr="00BF7B97">
              <w:rPr>
                <w:snapToGrid w:val="0"/>
              </w:rPr>
              <w:t xml:space="preserve">NSCLC </w:t>
            </w:r>
            <w:r>
              <w:rPr>
                <w:snapToGrid w:val="0"/>
              </w:rPr>
              <w:t>(</w:t>
            </w:r>
            <w:r w:rsidRPr="00BF7B97">
              <w:rPr>
                <w:snapToGrid w:val="0"/>
              </w:rPr>
              <w:t xml:space="preserve">unresectable, locally advanced or </w:t>
            </w:r>
            <w:r>
              <w:rPr>
                <w:snapToGrid w:val="0"/>
              </w:rPr>
              <w:t>s</w:t>
            </w:r>
            <w:r w:rsidRPr="00BF7B97">
              <w:rPr>
                <w:snapToGrid w:val="0"/>
              </w:rPr>
              <w:t>tage IV oligometa</w:t>
            </w:r>
            <w:r w:rsidR="00251626">
              <w:rPr>
                <w:snapToGrid w:val="0"/>
              </w:rPr>
              <w:t>stases</w:t>
            </w:r>
            <w:r>
              <w:rPr>
                <w:snapToGrid w:val="0"/>
              </w:rPr>
              <w:t>)</w:t>
            </w:r>
          </w:p>
        </w:tc>
        <w:tc>
          <w:tcPr>
            <w:tcW w:w="0" w:type="auto"/>
            <w:tcBorders>
              <w:top w:val="single" w:sz="4" w:space="0" w:color="auto"/>
              <w:left w:val="single" w:sz="4" w:space="0" w:color="auto"/>
              <w:bottom w:val="single" w:sz="4" w:space="0" w:color="auto"/>
            </w:tcBorders>
          </w:tcPr>
          <w:p w14:paraId="670DACFB" w14:textId="040CD44A" w:rsidR="00714DCE" w:rsidRDefault="00714DCE" w:rsidP="00C6168E">
            <w:pPr>
              <w:pStyle w:val="Tabletext1"/>
              <w:jc w:val="center"/>
              <w:rPr>
                <w:snapToGrid w:val="0"/>
              </w:rPr>
            </w:pPr>
            <w:r>
              <w:rPr>
                <w:snapToGrid w:val="0"/>
              </w:rPr>
              <w:t>OS</w:t>
            </w:r>
          </w:p>
        </w:tc>
        <w:tc>
          <w:tcPr>
            <w:tcW w:w="923" w:type="dxa"/>
            <w:tcBorders>
              <w:top w:val="single" w:sz="4" w:space="0" w:color="auto"/>
              <w:bottom w:val="single" w:sz="4" w:space="0" w:color="auto"/>
            </w:tcBorders>
          </w:tcPr>
          <w:p w14:paraId="4F860705"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6C5F1FB9" w14:textId="56D765D0" w:rsidR="00714DCE" w:rsidRPr="00D95409" w:rsidRDefault="00714DCE" w:rsidP="00C6168E">
            <w:pPr>
              <w:pStyle w:val="Tabletext1"/>
              <w:jc w:val="center"/>
            </w:pPr>
            <w:r>
              <w:t>50%</w:t>
            </w:r>
          </w:p>
        </w:tc>
        <w:tc>
          <w:tcPr>
            <w:tcW w:w="877" w:type="dxa"/>
            <w:tcBorders>
              <w:top w:val="single" w:sz="4" w:space="0" w:color="auto"/>
              <w:bottom w:val="single" w:sz="4" w:space="0" w:color="auto"/>
            </w:tcBorders>
          </w:tcPr>
          <w:p w14:paraId="3DE005B4"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0C2F3531" w14:textId="2370EA7A" w:rsidR="00714DCE" w:rsidRPr="00D95409" w:rsidRDefault="00714DCE" w:rsidP="00C6168E">
            <w:pPr>
              <w:pStyle w:val="Tabletext1"/>
              <w:jc w:val="center"/>
            </w:pPr>
          </w:p>
        </w:tc>
      </w:tr>
      <w:tr w:rsidR="00714DCE" w:rsidRPr="00E54FA2" w14:paraId="6A40D214" w14:textId="77777777" w:rsidTr="005756F5">
        <w:tc>
          <w:tcPr>
            <w:tcW w:w="0" w:type="auto"/>
            <w:tcBorders>
              <w:top w:val="nil"/>
              <w:left w:val="single" w:sz="4" w:space="0" w:color="auto"/>
              <w:bottom w:val="nil"/>
              <w:right w:val="single" w:sz="4" w:space="0" w:color="auto"/>
            </w:tcBorders>
          </w:tcPr>
          <w:p w14:paraId="1FAD291A" w14:textId="77777777" w:rsidR="00714DCE" w:rsidRDefault="00714DCE" w:rsidP="00714DCE">
            <w:pPr>
              <w:spacing w:after="0"/>
            </w:pPr>
          </w:p>
        </w:tc>
        <w:tc>
          <w:tcPr>
            <w:tcW w:w="0" w:type="auto"/>
            <w:tcBorders>
              <w:top w:val="nil"/>
              <w:left w:val="single" w:sz="4" w:space="0" w:color="auto"/>
              <w:bottom w:val="nil"/>
              <w:right w:val="single" w:sz="4" w:space="0" w:color="auto"/>
            </w:tcBorders>
          </w:tcPr>
          <w:p w14:paraId="510E930D" w14:textId="77777777" w:rsidR="00714DCE" w:rsidRDefault="00714DCE" w:rsidP="00C6168E">
            <w:pPr>
              <w:pStyle w:val="Tabletext1"/>
              <w:jc w:val="center"/>
              <w:rPr>
                <w:snapToGrid w:val="0"/>
              </w:rPr>
            </w:pPr>
          </w:p>
        </w:tc>
        <w:tc>
          <w:tcPr>
            <w:tcW w:w="0" w:type="auto"/>
            <w:tcBorders>
              <w:top w:val="single" w:sz="4" w:space="0" w:color="auto"/>
              <w:left w:val="single" w:sz="4" w:space="0" w:color="auto"/>
              <w:bottom w:val="single" w:sz="4" w:space="0" w:color="auto"/>
            </w:tcBorders>
          </w:tcPr>
          <w:p w14:paraId="372C33F0" w14:textId="0BCA09A6" w:rsidR="00714DCE" w:rsidRDefault="00714DCE" w:rsidP="00C6168E">
            <w:pPr>
              <w:pStyle w:val="Tabletext1"/>
              <w:jc w:val="center"/>
              <w:rPr>
                <w:snapToGrid w:val="0"/>
              </w:rPr>
            </w:pPr>
            <w:r w:rsidRPr="00BF7B97">
              <w:rPr>
                <w:snapToGrid w:val="0"/>
              </w:rPr>
              <w:t>Cumulative locoregional progression incidence</w:t>
            </w:r>
          </w:p>
        </w:tc>
        <w:tc>
          <w:tcPr>
            <w:tcW w:w="923" w:type="dxa"/>
            <w:tcBorders>
              <w:top w:val="single" w:sz="4" w:space="0" w:color="auto"/>
              <w:bottom w:val="single" w:sz="4" w:space="0" w:color="auto"/>
            </w:tcBorders>
          </w:tcPr>
          <w:p w14:paraId="396A6A64"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6B05F72E" w14:textId="77777777" w:rsidR="00714DCE" w:rsidRDefault="00714DCE" w:rsidP="00C6168E">
            <w:pPr>
              <w:pStyle w:val="Tabletext1"/>
              <w:jc w:val="center"/>
            </w:pPr>
            <w:r w:rsidRPr="00BF7B97">
              <w:t>38%</w:t>
            </w:r>
          </w:p>
          <w:p w14:paraId="42804E6D" w14:textId="1D9D2E06" w:rsidR="00714DCE" w:rsidRPr="00BF7B97" w:rsidRDefault="00714DCE" w:rsidP="00C6168E">
            <w:pPr>
              <w:pStyle w:val="Tabletext1"/>
              <w:jc w:val="center"/>
            </w:pPr>
            <w:r>
              <w:t>50%</w:t>
            </w:r>
            <w:r w:rsidR="00B21A20">
              <w:t>*</w:t>
            </w:r>
          </w:p>
        </w:tc>
        <w:tc>
          <w:tcPr>
            <w:tcW w:w="877" w:type="dxa"/>
            <w:tcBorders>
              <w:top w:val="single" w:sz="4" w:space="0" w:color="auto"/>
              <w:bottom w:val="single" w:sz="4" w:space="0" w:color="auto"/>
            </w:tcBorders>
          </w:tcPr>
          <w:p w14:paraId="4F4D8C1B"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6D04BFD9" w14:textId="77777777" w:rsidR="00714DCE" w:rsidRPr="00D95409" w:rsidRDefault="00714DCE" w:rsidP="00C6168E">
            <w:pPr>
              <w:pStyle w:val="Tabletext1"/>
              <w:jc w:val="center"/>
            </w:pPr>
          </w:p>
        </w:tc>
      </w:tr>
      <w:tr w:rsidR="00714DCE" w:rsidRPr="00E54FA2" w14:paraId="7145E2C8" w14:textId="77777777" w:rsidTr="005756F5">
        <w:tc>
          <w:tcPr>
            <w:tcW w:w="0" w:type="auto"/>
            <w:tcBorders>
              <w:top w:val="nil"/>
              <w:left w:val="single" w:sz="4" w:space="0" w:color="auto"/>
              <w:bottom w:val="nil"/>
              <w:right w:val="single" w:sz="4" w:space="0" w:color="auto"/>
            </w:tcBorders>
          </w:tcPr>
          <w:p w14:paraId="2DE449A9" w14:textId="77777777" w:rsidR="00714DCE" w:rsidRDefault="00714DCE" w:rsidP="00714DCE">
            <w:pPr>
              <w:pStyle w:val="Tabletext1"/>
            </w:pPr>
          </w:p>
        </w:tc>
        <w:tc>
          <w:tcPr>
            <w:tcW w:w="0" w:type="auto"/>
            <w:tcBorders>
              <w:top w:val="nil"/>
              <w:left w:val="single" w:sz="4" w:space="0" w:color="auto"/>
              <w:bottom w:val="nil"/>
              <w:right w:val="single" w:sz="4" w:space="0" w:color="auto"/>
            </w:tcBorders>
          </w:tcPr>
          <w:p w14:paraId="29EAA619" w14:textId="77777777" w:rsidR="00714DCE" w:rsidRDefault="00714DCE" w:rsidP="00C6168E">
            <w:pPr>
              <w:pStyle w:val="Tabletext1"/>
              <w:jc w:val="center"/>
              <w:rPr>
                <w:snapToGrid w:val="0"/>
              </w:rPr>
            </w:pPr>
          </w:p>
        </w:tc>
        <w:tc>
          <w:tcPr>
            <w:tcW w:w="0" w:type="auto"/>
            <w:tcBorders>
              <w:top w:val="single" w:sz="4" w:space="0" w:color="auto"/>
              <w:left w:val="single" w:sz="4" w:space="0" w:color="auto"/>
              <w:bottom w:val="single" w:sz="4" w:space="0" w:color="auto"/>
            </w:tcBorders>
          </w:tcPr>
          <w:p w14:paraId="29F2CE6C" w14:textId="2CBB4466" w:rsidR="00714DCE" w:rsidRDefault="00714DCE" w:rsidP="00C6168E">
            <w:pPr>
              <w:pStyle w:val="Tabletext1"/>
              <w:jc w:val="center"/>
              <w:rPr>
                <w:snapToGrid w:val="0"/>
              </w:rPr>
            </w:pPr>
            <w:r w:rsidRPr="00BF7B97">
              <w:rPr>
                <w:snapToGrid w:val="0"/>
              </w:rPr>
              <w:t>Cumulative distant meta incidence</w:t>
            </w:r>
          </w:p>
        </w:tc>
        <w:tc>
          <w:tcPr>
            <w:tcW w:w="923" w:type="dxa"/>
            <w:tcBorders>
              <w:top w:val="single" w:sz="4" w:space="0" w:color="auto"/>
              <w:bottom w:val="single" w:sz="4" w:space="0" w:color="auto"/>
            </w:tcBorders>
          </w:tcPr>
          <w:p w14:paraId="242AD5ED"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1A5DABE8" w14:textId="57EB8F74" w:rsidR="00714DCE" w:rsidRPr="00BF7B97" w:rsidRDefault="00714DCE" w:rsidP="00C6168E">
            <w:pPr>
              <w:pStyle w:val="Tabletext1"/>
              <w:jc w:val="center"/>
            </w:pPr>
            <w:r w:rsidRPr="00BF7B97">
              <w:t>38%</w:t>
            </w:r>
          </w:p>
        </w:tc>
        <w:tc>
          <w:tcPr>
            <w:tcW w:w="877" w:type="dxa"/>
            <w:tcBorders>
              <w:top w:val="single" w:sz="4" w:space="0" w:color="auto"/>
              <w:bottom w:val="single" w:sz="4" w:space="0" w:color="auto"/>
            </w:tcBorders>
          </w:tcPr>
          <w:p w14:paraId="1698AFB6"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7A999714" w14:textId="77777777" w:rsidR="00714DCE" w:rsidRPr="00D95409" w:rsidRDefault="00714DCE" w:rsidP="00C6168E">
            <w:pPr>
              <w:pStyle w:val="Tabletext1"/>
              <w:jc w:val="center"/>
            </w:pPr>
          </w:p>
        </w:tc>
      </w:tr>
      <w:tr w:rsidR="00714DCE" w:rsidRPr="00E54FA2" w14:paraId="271728AA" w14:textId="77777777" w:rsidTr="005756F5">
        <w:tc>
          <w:tcPr>
            <w:tcW w:w="0" w:type="auto"/>
            <w:tcBorders>
              <w:top w:val="nil"/>
              <w:left w:val="single" w:sz="4" w:space="0" w:color="auto"/>
              <w:bottom w:val="single" w:sz="4" w:space="0" w:color="auto"/>
              <w:right w:val="single" w:sz="4" w:space="0" w:color="auto"/>
            </w:tcBorders>
          </w:tcPr>
          <w:p w14:paraId="18CFE99C" w14:textId="77777777" w:rsidR="00714DCE" w:rsidRDefault="00714DCE" w:rsidP="00714DCE">
            <w:pPr>
              <w:pStyle w:val="Tabletext1"/>
            </w:pPr>
          </w:p>
        </w:tc>
        <w:tc>
          <w:tcPr>
            <w:tcW w:w="0" w:type="auto"/>
            <w:tcBorders>
              <w:top w:val="nil"/>
              <w:left w:val="single" w:sz="4" w:space="0" w:color="auto"/>
              <w:bottom w:val="single" w:sz="4" w:space="0" w:color="auto"/>
              <w:right w:val="single" w:sz="4" w:space="0" w:color="auto"/>
            </w:tcBorders>
          </w:tcPr>
          <w:p w14:paraId="7B41C5A8" w14:textId="77777777" w:rsidR="00714DCE" w:rsidRDefault="00714DCE" w:rsidP="00C6168E">
            <w:pPr>
              <w:pStyle w:val="Tabletext1"/>
              <w:jc w:val="center"/>
              <w:rPr>
                <w:snapToGrid w:val="0"/>
              </w:rPr>
            </w:pPr>
          </w:p>
        </w:tc>
        <w:tc>
          <w:tcPr>
            <w:tcW w:w="0" w:type="auto"/>
            <w:tcBorders>
              <w:top w:val="single" w:sz="4" w:space="0" w:color="auto"/>
              <w:left w:val="single" w:sz="4" w:space="0" w:color="auto"/>
              <w:bottom w:val="single" w:sz="4" w:space="0" w:color="auto"/>
            </w:tcBorders>
          </w:tcPr>
          <w:p w14:paraId="2548C2E2" w14:textId="273BCBA8" w:rsidR="00714DCE" w:rsidRDefault="00714DCE" w:rsidP="00C6168E">
            <w:pPr>
              <w:pStyle w:val="Tabletext1"/>
              <w:jc w:val="center"/>
              <w:rPr>
                <w:snapToGrid w:val="0"/>
              </w:rPr>
            </w:pPr>
            <w:r w:rsidRPr="00BF7B97">
              <w:rPr>
                <w:snapToGrid w:val="0"/>
              </w:rPr>
              <w:t>Cumulative any progression incidence</w:t>
            </w:r>
          </w:p>
        </w:tc>
        <w:tc>
          <w:tcPr>
            <w:tcW w:w="923" w:type="dxa"/>
            <w:tcBorders>
              <w:top w:val="single" w:sz="4" w:space="0" w:color="auto"/>
              <w:bottom w:val="single" w:sz="4" w:space="0" w:color="auto"/>
            </w:tcBorders>
          </w:tcPr>
          <w:p w14:paraId="2038BB14" w14:textId="77777777" w:rsidR="00714DCE" w:rsidRPr="00D95409" w:rsidRDefault="00714DCE" w:rsidP="00C6168E">
            <w:pPr>
              <w:pStyle w:val="Tabletext1"/>
              <w:jc w:val="center"/>
            </w:pPr>
          </w:p>
        </w:tc>
        <w:tc>
          <w:tcPr>
            <w:tcW w:w="878" w:type="dxa"/>
            <w:tcBorders>
              <w:top w:val="single" w:sz="4" w:space="0" w:color="auto"/>
              <w:bottom w:val="single" w:sz="4" w:space="0" w:color="auto"/>
            </w:tcBorders>
          </w:tcPr>
          <w:p w14:paraId="3B6DA93C" w14:textId="100CB7AA" w:rsidR="00714DCE" w:rsidRPr="00BF7B97" w:rsidRDefault="00714DCE" w:rsidP="00C6168E">
            <w:pPr>
              <w:pStyle w:val="Tabletext1"/>
              <w:jc w:val="center"/>
            </w:pPr>
            <w:r w:rsidRPr="00BF7B97">
              <w:t>62%</w:t>
            </w:r>
          </w:p>
        </w:tc>
        <w:tc>
          <w:tcPr>
            <w:tcW w:w="877" w:type="dxa"/>
            <w:tcBorders>
              <w:top w:val="single" w:sz="4" w:space="0" w:color="auto"/>
              <w:bottom w:val="single" w:sz="4" w:space="0" w:color="auto"/>
            </w:tcBorders>
          </w:tcPr>
          <w:p w14:paraId="79023AC2" w14:textId="77777777" w:rsidR="00714DCE" w:rsidRPr="00D95409" w:rsidRDefault="00714DCE" w:rsidP="00C6168E">
            <w:pPr>
              <w:pStyle w:val="Tabletext1"/>
              <w:jc w:val="center"/>
            </w:pPr>
          </w:p>
        </w:tc>
        <w:tc>
          <w:tcPr>
            <w:tcW w:w="878" w:type="dxa"/>
            <w:gridSpan w:val="3"/>
            <w:tcBorders>
              <w:top w:val="single" w:sz="4" w:space="0" w:color="auto"/>
              <w:bottom w:val="single" w:sz="4" w:space="0" w:color="auto"/>
            </w:tcBorders>
          </w:tcPr>
          <w:p w14:paraId="65952E1E" w14:textId="77777777" w:rsidR="00714DCE" w:rsidRPr="00D95409" w:rsidRDefault="00714DCE" w:rsidP="00C6168E">
            <w:pPr>
              <w:pStyle w:val="Tabletext1"/>
              <w:jc w:val="center"/>
            </w:pPr>
          </w:p>
        </w:tc>
      </w:tr>
    </w:tbl>
    <w:p w14:paraId="14A3A25F" w14:textId="664CAA96" w:rsidR="00096AAE" w:rsidRPr="00B21A20" w:rsidRDefault="006E7834" w:rsidP="00411D51">
      <w:pPr>
        <w:pStyle w:val="Tablenotes0"/>
        <w:spacing w:after="0"/>
        <w:jc w:val="left"/>
      </w:pPr>
      <w:r>
        <w:t>CI</w:t>
      </w:r>
      <w:r w:rsidR="00F70266">
        <w:t>=</w:t>
      </w:r>
      <w:r>
        <w:t xml:space="preserve">confidence interval; </w:t>
      </w:r>
      <w:r w:rsidR="00D8629A">
        <w:t>CSS</w:t>
      </w:r>
      <w:r w:rsidR="00F70266">
        <w:t>=</w:t>
      </w:r>
      <w:r w:rsidR="00D8629A">
        <w:t>cancer-specific survival; DFFS</w:t>
      </w:r>
      <w:r w:rsidR="00F70266">
        <w:t>=</w:t>
      </w:r>
      <w:r w:rsidR="00D8629A">
        <w:t>distant failure-free survival;</w:t>
      </w:r>
      <w:r w:rsidR="00E901CE">
        <w:t xml:space="preserve"> </w:t>
      </w:r>
      <w:r w:rsidR="006874B5">
        <w:t>DFS</w:t>
      </w:r>
      <w:r w:rsidR="00F70266">
        <w:t>=</w:t>
      </w:r>
      <w:r w:rsidR="006874B5">
        <w:t xml:space="preserve">disease-free survival; </w:t>
      </w:r>
      <w:r w:rsidR="00E901CE">
        <w:t>DMR</w:t>
      </w:r>
      <w:r w:rsidR="00F70266">
        <w:t>=</w:t>
      </w:r>
      <w:r w:rsidR="00E901CE">
        <w:t>distant metastasis rate;</w:t>
      </w:r>
      <w:r w:rsidR="00D8629A">
        <w:t xml:space="preserve"> LC</w:t>
      </w:r>
      <w:r w:rsidR="00F70266">
        <w:t>=</w:t>
      </w:r>
      <w:r w:rsidR="00D8629A">
        <w:t>local control; LFFS</w:t>
      </w:r>
      <w:r w:rsidR="00F70266">
        <w:t>=</w:t>
      </w:r>
      <w:r w:rsidR="00D8629A">
        <w:t>local failure-free survival; LRR</w:t>
      </w:r>
      <w:r w:rsidR="00F70266">
        <w:t>=</w:t>
      </w:r>
      <w:r w:rsidR="00D8629A">
        <w:t>local relapse rate;</w:t>
      </w:r>
      <w:r w:rsidR="00E901CE">
        <w:t xml:space="preserve"> NSCLC</w:t>
      </w:r>
      <w:r w:rsidR="00F70266">
        <w:t>=</w:t>
      </w:r>
      <w:r w:rsidR="00E901CE">
        <w:t>non-small cell lung cancer;</w:t>
      </w:r>
      <w:r w:rsidR="00D8629A">
        <w:t xml:space="preserve"> OS</w:t>
      </w:r>
      <w:r w:rsidR="00F70266">
        <w:t>=</w:t>
      </w:r>
      <w:r w:rsidR="00D8629A">
        <w:t>overall survival; PFS</w:t>
      </w:r>
      <w:r w:rsidR="00F70266">
        <w:t>=</w:t>
      </w:r>
      <w:r w:rsidR="00D8629A">
        <w:t>progression-free survival; RFFS</w:t>
      </w:r>
      <w:r w:rsidR="00F70266">
        <w:t>=</w:t>
      </w:r>
      <w:r w:rsidR="00D8629A">
        <w:t>regional failure-free survival; RRR</w:t>
      </w:r>
      <w:r w:rsidR="00F70266">
        <w:t>=</w:t>
      </w:r>
      <w:r w:rsidR="00D8629A">
        <w:t xml:space="preserve">regional relapse rate; </w:t>
      </w:r>
      <w:r w:rsidR="001F734E">
        <w:t>SCLC</w:t>
      </w:r>
      <w:r w:rsidR="00F70266">
        <w:t>=</w:t>
      </w:r>
      <w:r w:rsidR="001F734E">
        <w:t>small-cell lung cancer;</w:t>
      </w:r>
      <w:r w:rsidR="00C6168E">
        <w:br/>
      </w:r>
      <w:r w:rsidR="00B21A20" w:rsidRPr="00B21A20">
        <w:t>*</w:t>
      </w:r>
      <w:r w:rsidR="008C2751">
        <w:t xml:space="preserve"> A</w:t>
      </w:r>
      <w:r w:rsidR="00B21A20" w:rsidRPr="00B21A20">
        <w:t>djusted for distant metastases</w:t>
      </w:r>
    </w:p>
    <w:p w14:paraId="79878FD4" w14:textId="2437E360" w:rsidR="00DF7AC0" w:rsidRDefault="0098423E" w:rsidP="00DF7AC0">
      <w:pPr>
        <w:pStyle w:val="Heading4"/>
        <w:keepNext w:val="0"/>
      </w:pPr>
      <w:r>
        <w:t>Abdominal malignancies</w:t>
      </w:r>
    </w:p>
    <w:p w14:paraId="60A5B9B7" w14:textId="4D429656" w:rsidR="00DF7AC0" w:rsidRPr="00B16C86" w:rsidRDefault="00211285" w:rsidP="00DF7AC0">
      <w:hyperlink w:anchor="_ENREF_60" w:tooltip="Rosenberg, 2019 #25" w:history="1">
        <w:r w:rsidR="008B6FC0">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instrText xml:space="preserve"> ADDIN EN.CITE </w:instrText>
        </w:r>
        <w:r w:rsidR="008B6FC0">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instrText xml:space="preserve"> ADDIN EN.CITE.DATA </w:instrText>
        </w:r>
        <w:r w:rsidR="008B6FC0">
          <w:fldChar w:fldCharType="end"/>
        </w:r>
        <w:r w:rsidR="008B6FC0">
          <w:fldChar w:fldCharType="separate"/>
        </w:r>
        <w:r w:rsidR="008B6FC0">
          <w:rPr>
            <w:noProof/>
          </w:rPr>
          <w:t>Rosenberg et al. (2019)</w:t>
        </w:r>
        <w:r w:rsidR="008B6FC0">
          <w:fldChar w:fldCharType="end"/>
        </w:r>
      </w:hyperlink>
      <w:r w:rsidR="00DF01D0">
        <w:t xml:space="preserve"> </w:t>
      </w:r>
      <w:r w:rsidR="008960F4">
        <w:t xml:space="preserve">reported survival outcomes </w:t>
      </w:r>
      <w:r w:rsidR="008456E7">
        <w:t xml:space="preserve">for patients with hepatocellular carcinoma and metastases </w:t>
      </w:r>
      <w:r w:rsidR="00EF1B42">
        <w:t xml:space="preserve">to the liver deemed inappropriate </w:t>
      </w:r>
      <w:r w:rsidR="0057286E">
        <w:t xml:space="preserve">for surgical treatment </w:t>
      </w:r>
      <w:r w:rsidR="008456E7">
        <w:t>treated with MR-</w:t>
      </w:r>
      <w:r w:rsidR="003E2266">
        <w:t>guided liver SBRT</w:t>
      </w:r>
      <w:r w:rsidR="008960F4">
        <w:t xml:space="preserve">. </w:t>
      </w:r>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r w:rsidR="008960F4">
        <w:t xml:space="preserve"> reported</w:t>
      </w:r>
      <w:r w:rsidR="0018528A">
        <w:t xml:space="preserve"> survival in a case series of patients with</w:t>
      </w:r>
      <w:r w:rsidR="008960F4">
        <w:t xml:space="preserve"> </w:t>
      </w:r>
      <w:r w:rsidR="0018528A">
        <w:t>unresectable abdominal cancers</w:t>
      </w:r>
      <w:r w:rsidR="009620C1">
        <w:t xml:space="preserve"> (primary liver and non-liver malignancies)</w:t>
      </w:r>
      <w:r w:rsidR="008960F4">
        <w:t>.</w:t>
      </w:r>
      <w:r w:rsidR="00A85BB1">
        <w:t xml:space="preserve"> The results of the two studies are</w:t>
      </w:r>
      <w:r w:rsidR="008456E7">
        <w:t xml:space="preserve"> </w:t>
      </w:r>
      <w:r w:rsidR="00B21A20">
        <w:t xml:space="preserve">summarised in </w:t>
      </w:r>
      <w:r w:rsidR="006F509C">
        <w:fldChar w:fldCharType="begin"/>
      </w:r>
      <w:r w:rsidR="006F509C">
        <w:instrText xml:space="preserve"> REF _Ref55894906 \h </w:instrText>
      </w:r>
      <w:r w:rsidR="006F509C">
        <w:fldChar w:fldCharType="separate"/>
      </w:r>
      <w:r w:rsidR="00451350" w:rsidRPr="00E54FA2">
        <w:t xml:space="preserve">Table </w:t>
      </w:r>
      <w:r w:rsidR="00451350">
        <w:rPr>
          <w:noProof/>
        </w:rPr>
        <w:t>34</w:t>
      </w:r>
      <w:r w:rsidR="006F509C">
        <w:fldChar w:fldCharType="end"/>
      </w:r>
      <w:r w:rsidR="00B21A20">
        <w:t>.</w:t>
      </w:r>
    </w:p>
    <w:p w14:paraId="2DBC9283" w14:textId="7EE83871" w:rsidR="00DF7AC0" w:rsidRPr="00E54FA2" w:rsidRDefault="00DF7AC0" w:rsidP="008D7C53">
      <w:pPr>
        <w:pStyle w:val="Caption"/>
        <w:keepNext/>
        <w:jc w:val="both"/>
        <w:rPr>
          <w:rFonts w:cs="Arial"/>
          <w:snapToGrid w:val="0"/>
          <w:szCs w:val="16"/>
          <w:lang w:eastAsia="en-US"/>
        </w:rPr>
      </w:pPr>
      <w:bookmarkStart w:id="411" w:name="_Ref55894906"/>
      <w:bookmarkStart w:id="412" w:name="_Toc89857905"/>
      <w:r w:rsidRPr="00E54FA2">
        <w:lastRenderedPageBreak/>
        <w:t xml:space="preserve">Table </w:t>
      </w:r>
      <w:r w:rsidR="00211285">
        <w:fldChar w:fldCharType="begin"/>
      </w:r>
      <w:r w:rsidR="00211285">
        <w:instrText xml:space="preserve"> SEQ Table \* ARABIC </w:instrText>
      </w:r>
      <w:r w:rsidR="00211285">
        <w:fldChar w:fldCharType="separate"/>
      </w:r>
      <w:r w:rsidR="00451350">
        <w:rPr>
          <w:noProof/>
        </w:rPr>
        <w:t>34</w:t>
      </w:r>
      <w:r w:rsidR="00211285">
        <w:rPr>
          <w:noProof/>
        </w:rPr>
        <w:fldChar w:fldCharType="end"/>
      </w:r>
      <w:bookmarkEnd w:id="411"/>
      <w:r w:rsidRPr="00E54FA2">
        <w:tab/>
      </w:r>
      <w:r w:rsidRPr="00E54FA2">
        <w:rPr>
          <w:rFonts w:cs="Arial"/>
          <w:snapToGrid w:val="0"/>
          <w:szCs w:val="16"/>
          <w:lang w:eastAsia="en-US"/>
        </w:rPr>
        <w:t>Results of key patient-relevant outcome</w:t>
      </w:r>
      <w:r>
        <w:rPr>
          <w:rFonts w:cs="Arial"/>
          <w:snapToGrid w:val="0"/>
          <w:szCs w:val="16"/>
          <w:lang w:eastAsia="en-US"/>
        </w:rPr>
        <w:t>s</w:t>
      </w:r>
      <w:r w:rsidR="009D1C99">
        <w:rPr>
          <w:rFonts w:cs="Arial"/>
          <w:snapToGrid w:val="0"/>
          <w:szCs w:val="16"/>
          <w:lang w:eastAsia="en-US"/>
        </w:rPr>
        <w:t xml:space="preserve">, </w:t>
      </w:r>
      <w:r w:rsidR="007C71C7">
        <w:rPr>
          <w:rFonts w:cs="Arial"/>
          <w:snapToGrid w:val="0"/>
          <w:szCs w:val="16"/>
          <w:lang w:eastAsia="en-US"/>
        </w:rPr>
        <w:t>abdominal malignancies</w:t>
      </w:r>
      <w:r w:rsidR="009D1C99">
        <w:rPr>
          <w:rFonts w:cs="Arial"/>
          <w:snapToGrid w:val="0"/>
          <w:szCs w:val="16"/>
          <w:lang w:eastAsia="en-US"/>
        </w:rPr>
        <w:t>, MR-IGRT</w:t>
      </w:r>
      <w:bookmarkEnd w:id="412"/>
    </w:p>
    <w:tbl>
      <w:tblPr>
        <w:tblStyle w:val="TableGrid1"/>
        <w:tblW w:w="5000" w:type="pct"/>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861"/>
        <w:gridCol w:w="3086"/>
        <w:gridCol w:w="1269"/>
        <w:gridCol w:w="1269"/>
        <w:gridCol w:w="1269"/>
        <w:gridCol w:w="1262"/>
      </w:tblGrid>
      <w:tr w:rsidR="00C261D3" w:rsidRPr="00E54FA2" w14:paraId="7CEF5621" w14:textId="34B4357F" w:rsidTr="004E56C3">
        <w:trPr>
          <w:cnfStyle w:val="100000000000" w:firstRow="1" w:lastRow="0" w:firstColumn="0" w:lastColumn="0" w:oddVBand="0" w:evenVBand="0" w:oddHBand="0" w:evenHBand="0" w:firstRowFirstColumn="0" w:firstRowLastColumn="0" w:lastRowFirstColumn="0" w:lastRowLastColumn="0"/>
          <w:trHeight w:val="70"/>
          <w:tblHeader/>
        </w:trPr>
        <w:tc>
          <w:tcPr>
            <w:tcW w:w="477" w:type="pct"/>
            <w:tcBorders>
              <w:top w:val="single" w:sz="4" w:space="0" w:color="auto"/>
              <w:left w:val="single" w:sz="4" w:space="0" w:color="auto"/>
              <w:bottom w:val="nil"/>
              <w:right w:val="single" w:sz="4" w:space="0" w:color="auto"/>
            </w:tcBorders>
          </w:tcPr>
          <w:p w14:paraId="364D7758" w14:textId="77777777" w:rsidR="00C261D3" w:rsidRDefault="00C261D3" w:rsidP="00BD4D8B">
            <w:pPr>
              <w:pStyle w:val="TableHeading"/>
              <w:rPr>
                <w:snapToGrid w:val="0"/>
                <w:lang w:eastAsia="en-US"/>
              </w:rPr>
            </w:pPr>
            <w:r w:rsidRPr="00E54FA2">
              <w:rPr>
                <w:snapToGrid w:val="0"/>
                <w:lang w:eastAsia="en-US"/>
              </w:rPr>
              <w:t>Study ID</w:t>
            </w:r>
          </w:p>
        </w:tc>
        <w:tc>
          <w:tcPr>
            <w:tcW w:w="1711" w:type="pct"/>
            <w:tcBorders>
              <w:top w:val="single" w:sz="4" w:space="0" w:color="auto"/>
              <w:left w:val="single" w:sz="4" w:space="0" w:color="auto"/>
              <w:bottom w:val="nil"/>
              <w:right w:val="single" w:sz="4" w:space="0" w:color="auto"/>
            </w:tcBorders>
          </w:tcPr>
          <w:p w14:paraId="6B90C2CB" w14:textId="77777777" w:rsidR="00C261D3" w:rsidRPr="00E54FA2" w:rsidRDefault="00C261D3" w:rsidP="00BD4D8B">
            <w:pPr>
              <w:pStyle w:val="TableHeading"/>
              <w:ind w:left="16" w:right="117"/>
              <w:rPr>
                <w:snapToGrid w:val="0"/>
                <w:lang w:eastAsia="en-US"/>
              </w:rPr>
            </w:pPr>
            <w:r>
              <w:rPr>
                <w:snapToGrid w:val="0"/>
                <w:lang w:eastAsia="en-US"/>
              </w:rPr>
              <w:t>Outcome</w:t>
            </w:r>
          </w:p>
        </w:tc>
        <w:tc>
          <w:tcPr>
            <w:tcW w:w="704" w:type="pct"/>
            <w:tcBorders>
              <w:top w:val="single" w:sz="4" w:space="0" w:color="auto"/>
              <w:left w:val="single" w:sz="4" w:space="0" w:color="auto"/>
              <w:bottom w:val="single" w:sz="4" w:space="0" w:color="auto"/>
              <w:right w:val="nil"/>
            </w:tcBorders>
          </w:tcPr>
          <w:p w14:paraId="72572301" w14:textId="1837D29A" w:rsidR="004E56C3" w:rsidRDefault="004E56C3" w:rsidP="00BD4D8B">
            <w:pPr>
              <w:pStyle w:val="TableHeading"/>
              <w:ind w:left="111" w:right="117"/>
              <w:jc w:val="center"/>
              <w:rPr>
                <w:snapToGrid w:val="0"/>
                <w:lang w:eastAsia="en-US"/>
              </w:rPr>
            </w:pPr>
            <w:r>
              <w:rPr>
                <w:snapToGrid w:val="0"/>
                <w:lang w:eastAsia="en-US"/>
              </w:rPr>
              <w:t>Survival</w:t>
            </w:r>
            <w:r w:rsidR="00394EFD">
              <w:rPr>
                <w:snapToGrid w:val="0"/>
                <w:lang w:eastAsia="en-US"/>
              </w:rPr>
              <w:t xml:space="preserve"> rate</w:t>
            </w:r>
            <w:r>
              <w:rPr>
                <w:snapToGrid w:val="0"/>
                <w:lang w:eastAsia="en-US"/>
              </w:rPr>
              <w:t xml:space="preserve"> </w:t>
            </w:r>
          </w:p>
          <w:p w14:paraId="2A20CF25" w14:textId="1C688F88" w:rsidR="00C261D3" w:rsidRDefault="004E56C3" w:rsidP="00BD4D8B">
            <w:pPr>
              <w:pStyle w:val="TableHeading"/>
              <w:ind w:left="111" w:right="117"/>
              <w:jc w:val="center"/>
              <w:rPr>
                <w:snapToGrid w:val="0"/>
                <w:lang w:eastAsia="en-US"/>
              </w:rPr>
            </w:pPr>
            <w:r w:rsidRPr="00E54FA2">
              <w:rPr>
                <w:snapToGrid w:val="0"/>
                <w:lang w:eastAsia="en-US"/>
              </w:rPr>
              <w:t>n /N (%)</w:t>
            </w:r>
          </w:p>
        </w:tc>
        <w:tc>
          <w:tcPr>
            <w:tcW w:w="704" w:type="pct"/>
            <w:tcBorders>
              <w:top w:val="single" w:sz="4" w:space="0" w:color="auto"/>
              <w:left w:val="nil"/>
              <w:bottom w:val="single" w:sz="4" w:space="0" w:color="auto"/>
              <w:right w:val="nil"/>
            </w:tcBorders>
          </w:tcPr>
          <w:p w14:paraId="779CC32F" w14:textId="41C127CE" w:rsidR="00C261D3" w:rsidRDefault="00C261D3" w:rsidP="00BD4D8B">
            <w:pPr>
              <w:pStyle w:val="TableHeading"/>
              <w:ind w:left="111" w:right="117"/>
              <w:jc w:val="center"/>
              <w:rPr>
                <w:snapToGrid w:val="0"/>
                <w:lang w:eastAsia="en-US"/>
              </w:rPr>
            </w:pPr>
          </w:p>
        </w:tc>
        <w:tc>
          <w:tcPr>
            <w:tcW w:w="704" w:type="pct"/>
            <w:tcBorders>
              <w:top w:val="single" w:sz="4" w:space="0" w:color="auto"/>
              <w:left w:val="nil"/>
              <w:bottom w:val="single" w:sz="4" w:space="0" w:color="auto"/>
              <w:right w:val="nil"/>
            </w:tcBorders>
            <w:shd w:val="clear" w:color="auto" w:fill="auto"/>
          </w:tcPr>
          <w:p w14:paraId="2B8DE0A1" w14:textId="71BE2B8B" w:rsidR="00C261D3" w:rsidRPr="00E54FA2" w:rsidRDefault="00C261D3" w:rsidP="00BD4D8B">
            <w:pPr>
              <w:pStyle w:val="TableHeading"/>
              <w:ind w:left="111" w:right="117"/>
              <w:jc w:val="center"/>
              <w:rPr>
                <w:snapToGrid w:val="0"/>
                <w:lang w:eastAsia="en-US"/>
              </w:rPr>
            </w:pPr>
          </w:p>
        </w:tc>
        <w:tc>
          <w:tcPr>
            <w:tcW w:w="700" w:type="pct"/>
            <w:tcBorders>
              <w:top w:val="single" w:sz="4" w:space="0" w:color="auto"/>
              <w:left w:val="nil"/>
              <w:bottom w:val="single" w:sz="4" w:space="0" w:color="auto"/>
              <w:right w:val="single" w:sz="4" w:space="0" w:color="auto"/>
            </w:tcBorders>
          </w:tcPr>
          <w:p w14:paraId="0075198A" w14:textId="77777777" w:rsidR="00C261D3" w:rsidRPr="00E54FA2" w:rsidRDefault="00C261D3" w:rsidP="00BD4D8B">
            <w:pPr>
              <w:pStyle w:val="TableHeading"/>
              <w:ind w:left="111" w:right="117"/>
              <w:jc w:val="center"/>
              <w:rPr>
                <w:snapToGrid w:val="0"/>
                <w:lang w:eastAsia="en-US"/>
              </w:rPr>
            </w:pPr>
          </w:p>
        </w:tc>
      </w:tr>
      <w:tr w:rsidR="004E56C3" w:rsidRPr="00E54FA2" w14:paraId="19D3B1D3" w14:textId="77777777" w:rsidTr="004E56C3">
        <w:trPr>
          <w:cnfStyle w:val="100000000000" w:firstRow="1" w:lastRow="0" w:firstColumn="0" w:lastColumn="0" w:oddVBand="0" w:evenVBand="0" w:oddHBand="0" w:evenHBand="0" w:firstRowFirstColumn="0" w:firstRowLastColumn="0" w:lastRowFirstColumn="0" w:lastRowLastColumn="0"/>
          <w:tblHeader/>
        </w:trPr>
        <w:tc>
          <w:tcPr>
            <w:tcW w:w="477" w:type="pct"/>
            <w:tcBorders>
              <w:top w:val="nil"/>
              <w:left w:val="single" w:sz="4" w:space="0" w:color="auto"/>
              <w:bottom w:val="single" w:sz="4" w:space="0" w:color="auto"/>
              <w:right w:val="single" w:sz="4" w:space="0" w:color="auto"/>
            </w:tcBorders>
          </w:tcPr>
          <w:p w14:paraId="5474955B" w14:textId="77777777" w:rsidR="004E56C3" w:rsidRPr="00E54FA2" w:rsidRDefault="004E56C3" w:rsidP="004E56C3">
            <w:pPr>
              <w:pStyle w:val="TableHeading"/>
              <w:rPr>
                <w:snapToGrid w:val="0"/>
                <w:lang w:eastAsia="en-US"/>
              </w:rPr>
            </w:pPr>
          </w:p>
        </w:tc>
        <w:tc>
          <w:tcPr>
            <w:tcW w:w="1711" w:type="pct"/>
            <w:tcBorders>
              <w:top w:val="nil"/>
              <w:left w:val="single" w:sz="4" w:space="0" w:color="auto"/>
              <w:bottom w:val="single" w:sz="4" w:space="0" w:color="auto"/>
              <w:right w:val="single" w:sz="4" w:space="0" w:color="auto"/>
            </w:tcBorders>
          </w:tcPr>
          <w:p w14:paraId="6E503745" w14:textId="77777777" w:rsidR="004E56C3" w:rsidRDefault="004E56C3" w:rsidP="004E56C3">
            <w:pPr>
              <w:pStyle w:val="TableHeading"/>
              <w:ind w:left="16" w:right="117"/>
              <w:rPr>
                <w:snapToGrid w:val="0"/>
                <w:lang w:eastAsia="en-US"/>
              </w:rPr>
            </w:pPr>
          </w:p>
        </w:tc>
        <w:tc>
          <w:tcPr>
            <w:tcW w:w="704" w:type="pct"/>
            <w:tcBorders>
              <w:top w:val="single" w:sz="4" w:space="0" w:color="auto"/>
              <w:left w:val="single" w:sz="4" w:space="0" w:color="auto"/>
              <w:right w:val="single" w:sz="4" w:space="0" w:color="auto"/>
            </w:tcBorders>
          </w:tcPr>
          <w:p w14:paraId="2CC246D5" w14:textId="016BD007" w:rsidR="004E56C3" w:rsidRDefault="004E56C3" w:rsidP="004E56C3">
            <w:pPr>
              <w:pStyle w:val="TableHeading"/>
              <w:ind w:left="111" w:right="117"/>
              <w:jc w:val="center"/>
              <w:rPr>
                <w:snapToGrid w:val="0"/>
                <w:lang w:eastAsia="en-US"/>
              </w:rPr>
            </w:pPr>
            <w:r>
              <w:rPr>
                <w:snapToGrid w:val="0"/>
                <w:lang w:eastAsia="en-US"/>
              </w:rPr>
              <w:t>3 months</w:t>
            </w:r>
          </w:p>
        </w:tc>
        <w:tc>
          <w:tcPr>
            <w:tcW w:w="704" w:type="pct"/>
            <w:tcBorders>
              <w:top w:val="single" w:sz="4" w:space="0" w:color="auto"/>
              <w:left w:val="single" w:sz="4" w:space="0" w:color="auto"/>
              <w:right w:val="single" w:sz="4" w:space="0" w:color="auto"/>
            </w:tcBorders>
          </w:tcPr>
          <w:p w14:paraId="569BF3CA" w14:textId="20183B57" w:rsidR="004E56C3" w:rsidRDefault="004E56C3" w:rsidP="004E56C3">
            <w:pPr>
              <w:pStyle w:val="TableHeading"/>
              <w:ind w:left="111" w:right="117"/>
              <w:jc w:val="center"/>
              <w:rPr>
                <w:snapToGrid w:val="0"/>
                <w:lang w:eastAsia="en-US"/>
              </w:rPr>
            </w:pPr>
            <w:r>
              <w:rPr>
                <w:snapToGrid w:val="0"/>
                <w:lang w:eastAsia="en-US"/>
              </w:rPr>
              <w:t>6 months</w:t>
            </w:r>
          </w:p>
        </w:tc>
        <w:tc>
          <w:tcPr>
            <w:tcW w:w="704" w:type="pct"/>
            <w:tcBorders>
              <w:top w:val="single" w:sz="4" w:space="0" w:color="auto"/>
              <w:left w:val="single" w:sz="4" w:space="0" w:color="auto"/>
            </w:tcBorders>
            <w:shd w:val="clear" w:color="auto" w:fill="auto"/>
          </w:tcPr>
          <w:p w14:paraId="166532BA" w14:textId="48DC6FC7" w:rsidR="004E56C3" w:rsidRPr="00E54FA2" w:rsidRDefault="004E56C3" w:rsidP="004E56C3">
            <w:pPr>
              <w:pStyle w:val="TableHeading"/>
              <w:ind w:left="111" w:right="117"/>
              <w:jc w:val="center"/>
              <w:rPr>
                <w:snapToGrid w:val="0"/>
                <w:lang w:eastAsia="en-US"/>
              </w:rPr>
            </w:pPr>
            <w:r>
              <w:rPr>
                <w:snapToGrid w:val="0"/>
                <w:lang w:eastAsia="en-US"/>
              </w:rPr>
              <w:t>1</w:t>
            </w:r>
            <w:r w:rsidR="008150BF">
              <w:rPr>
                <w:snapToGrid w:val="0"/>
                <w:lang w:eastAsia="en-US"/>
              </w:rPr>
              <w:t xml:space="preserve"> </w:t>
            </w:r>
            <w:r>
              <w:rPr>
                <w:snapToGrid w:val="0"/>
                <w:lang w:eastAsia="en-US"/>
              </w:rPr>
              <w:t>year</w:t>
            </w:r>
          </w:p>
        </w:tc>
        <w:tc>
          <w:tcPr>
            <w:tcW w:w="700" w:type="pct"/>
            <w:tcBorders>
              <w:top w:val="single" w:sz="4" w:space="0" w:color="auto"/>
            </w:tcBorders>
          </w:tcPr>
          <w:p w14:paraId="4357C956" w14:textId="43A608E8" w:rsidR="004E56C3" w:rsidRPr="00E54FA2" w:rsidRDefault="004E56C3" w:rsidP="004E56C3">
            <w:pPr>
              <w:pStyle w:val="TableHeading"/>
              <w:ind w:left="111" w:right="117"/>
              <w:jc w:val="center"/>
              <w:rPr>
                <w:snapToGrid w:val="0"/>
                <w:lang w:eastAsia="en-US"/>
              </w:rPr>
            </w:pPr>
            <w:r>
              <w:rPr>
                <w:snapToGrid w:val="0"/>
                <w:lang w:eastAsia="en-US"/>
              </w:rPr>
              <w:t>2</w:t>
            </w:r>
            <w:r w:rsidR="008150BF">
              <w:rPr>
                <w:snapToGrid w:val="0"/>
                <w:lang w:eastAsia="en-US"/>
              </w:rPr>
              <w:t xml:space="preserve"> </w:t>
            </w:r>
            <w:r>
              <w:rPr>
                <w:snapToGrid w:val="0"/>
                <w:lang w:eastAsia="en-US"/>
              </w:rPr>
              <w:t>year</w:t>
            </w:r>
            <w:r w:rsidR="008150BF">
              <w:rPr>
                <w:snapToGrid w:val="0"/>
                <w:lang w:eastAsia="en-US"/>
              </w:rPr>
              <w:t>s</w:t>
            </w:r>
          </w:p>
        </w:tc>
      </w:tr>
      <w:tr w:rsidR="00C261D3" w:rsidRPr="00E54FA2" w14:paraId="1AC8C191" w14:textId="77777777" w:rsidTr="00765C09">
        <w:tc>
          <w:tcPr>
            <w:tcW w:w="477" w:type="pct"/>
            <w:tcBorders>
              <w:top w:val="single" w:sz="4" w:space="0" w:color="auto"/>
              <w:left w:val="single" w:sz="4" w:space="0" w:color="auto"/>
              <w:bottom w:val="nil"/>
              <w:right w:val="single" w:sz="4" w:space="0" w:color="auto"/>
            </w:tcBorders>
          </w:tcPr>
          <w:p w14:paraId="443C16DF" w14:textId="0E8E2CEC" w:rsidR="00C261D3" w:rsidRDefault="00211285" w:rsidP="00765C09">
            <w:pPr>
              <w:pStyle w:val="TableText0"/>
              <w:rPr>
                <w:snapToGrid w:val="0"/>
              </w:rPr>
            </w:pPr>
            <w:hyperlink w:anchor="_ENREF_37" w:tooltip="Henke, 2018 #18" w:history="1">
              <w:r w:rsidR="008B6FC0">
                <w:rPr>
                  <w:snapToGrid w:val="0"/>
                </w:rPr>
                <w:fldChar w:fldCharType="begin"/>
              </w:r>
              <w:r w:rsidR="008B6FC0">
                <w:rPr>
                  <w:snapToGrid w:val="0"/>
                </w:rPr>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rPr>
                  <w:snapToGrid w:val="0"/>
                </w:rPr>
                <w:fldChar w:fldCharType="separate"/>
              </w:r>
              <w:r w:rsidR="008B6FC0">
                <w:rPr>
                  <w:noProof/>
                  <w:snapToGrid w:val="0"/>
                </w:rPr>
                <w:t>Henke et al. (2018)</w:t>
              </w:r>
              <w:r w:rsidR="008B6FC0">
                <w:rPr>
                  <w:snapToGrid w:val="0"/>
                </w:rPr>
                <w:fldChar w:fldCharType="end"/>
              </w:r>
            </w:hyperlink>
          </w:p>
        </w:tc>
        <w:tc>
          <w:tcPr>
            <w:tcW w:w="1711" w:type="pct"/>
            <w:tcBorders>
              <w:top w:val="single" w:sz="4" w:space="0" w:color="auto"/>
              <w:left w:val="single" w:sz="4" w:space="0" w:color="auto"/>
            </w:tcBorders>
          </w:tcPr>
          <w:p w14:paraId="504645B3" w14:textId="140B15B2" w:rsidR="00C261D3" w:rsidRDefault="00C261D3" w:rsidP="00765C09">
            <w:pPr>
              <w:pStyle w:val="TableText0"/>
              <w:ind w:left="16" w:right="117"/>
              <w:rPr>
                <w:snapToGrid w:val="0"/>
              </w:rPr>
            </w:pPr>
            <w:r>
              <w:rPr>
                <w:snapToGrid w:val="0"/>
              </w:rPr>
              <w:t>OS</w:t>
            </w:r>
          </w:p>
        </w:tc>
        <w:tc>
          <w:tcPr>
            <w:tcW w:w="704" w:type="pct"/>
          </w:tcPr>
          <w:p w14:paraId="338AF79F" w14:textId="77777777" w:rsidR="00C261D3" w:rsidRDefault="00C261D3" w:rsidP="00765C09">
            <w:pPr>
              <w:pStyle w:val="TableText0"/>
              <w:ind w:left="111" w:right="117"/>
              <w:jc w:val="center"/>
              <w:rPr>
                <w:snapToGrid w:val="0"/>
              </w:rPr>
            </w:pPr>
          </w:p>
        </w:tc>
        <w:tc>
          <w:tcPr>
            <w:tcW w:w="704" w:type="pct"/>
          </w:tcPr>
          <w:p w14:paraId="0DB17697" w14:textId="299E28AB" w:rsidR="00C261D3" w:rsidRDefault="00C261D3" w:rsidP="00765C09">
            <w:pPr>
              <w:pStyle w:val="TableText0"/>
              <w:ind w:left="111" w:right="117"/>
              <w:jc w:val="center"/>
              <w:rPr>
                <w:snapToGrid w:val="0"/>
              </w:rPr>
            </w:pPr>
          </w:p>
        </w:tc>
        <w:tc>
          <w:tcPr>
            <w:tcW w:w="704" w:type="pct"/>
            <w:shd w:val="clear" w:color="auto" w:fill="auto"/>
          </w:tcPr>
          <w:p w14:paraId="32ECB1F4" w14:textId="5FD1ABB8" w:rsidR="00C261D3" w:rsidRDefault="00C261D3" w:rsidP="00765C09">
            <w:pPr>
              <w:pStyle w:val="TableText0"/>
              <w:ind w:left="111" w:right="117"/>
              <w:jc w:val="center"/>
              <w:rPr>
                <w:snapToGrid w:val="0"/>
              </w:rPr>
            </w:pPr>
            <w:r>
              <w:rPr>
                <w:snapToGrid w:val="0"/>
              </w:rPr>
              <w:t>15/20 (75%)</w:t>
            </w:r>
          </w:p>
        </w:tc>
        <w:tc>
          <w:tcPr>
            <w:tcW w:w="700" w:type="pct"/>
          </w:tcPr>
          <w:p w14:paraId="3D73B3E2" w14:textId="77777777" w:rsidR="00C261D3" w:rsidRDefault="00C261D3" w:rsidP="00765C09">
            <w:pPr>
              <w:pStyle w:val="TableText0"/>
              <w:ind w:left="111" w:right="117"/>
              <w:jc w:val="center"/>
              <w:rPr>
                <w:snapToGrid w:val="0"/>
              </w:rPr>
            </w:pPr>
          </w:p>
        </w:tc>
      </w:tr>
      <w:tr w:rsidR="00C261D3" w:rsidRPr="00E54FA2" w14:paraId="514A0773" w14:textId="77777777" w:rsidTr="00765C09">
        <w:tc>
          <w:tcPr>
            <w:tcW w:w="477" w:type="pct"/>
            <w:tcBorders>
              <w:top w:val="nil"/>
              <w:left w:val="single" w:sz="4" w:space="0" w:color="auto"/>
              <w:bottom w:val="single" w:sz="4" w:space="0" w:color="auto"/>
              <w:right w:val="single" w:sz="4" w:space="0" w:color="auto"/>
            </w:tcBorders>
          </w:tcPr>
          <w:p w14:paraId="17A6AF04" w14:textId="77777777" w:rsidR="00C261D3" w:rsidRDefault="00C261D3" w:rsidP="00765C09">
            <w:pPr>
              <w:pStyle w:val="TableText0"/>
              <w:rPr>
                <w:snapToGrid w:val="0"/>
              </w:rPr>
            </w:pPr>
          </w:p>
        </w:tc>
        <w:tc>
          <w:tcPr>
            <w:tcW w:w="1711" w:type="pct"/>
            <w:tcBorders>
              <w:top w:val="single" w:sz="4" w:space="0" w:color="auto"/>
              <w:left w:val="single" w:sz="4" w:space="0" w:color="auto"/>
            </w:tcBorders>
          </w:tcPr>
          <w:p w14:paraId="7094D8A8" w14:textId="09B59713" w:rsidR="00C261D3" w:rsidRDefault="00C261D3" w:rsidP="00765C09">
            <w:pPr>
              <w:pStyle w:val="TableText0"/>
              <w:ind w:left="16" w:right="117"/>
              <w:rPr>
                <w:snapToGrid w:val="0"/>
              </w:rPr>
            </w:pPr>
            <w:r>
              <w:rPr>
                <w:snapToGrid w:val="0"/>
              </w:rPr>
              <w:t>Local PFS</w:t>
            </w:r>
          </w:p>
        </w:tc>
        <w:tc>
          <w:tcPr>
            <w:tcW w:w="704" w:type="pct"/>
          </w:tcPr>
          <w:p w14:paraId="59A9A97B" w14:textId="16717697" w:rsidR="00C261D3" w:rsidRDefault="00C261D3" w:rsidP="00765C09">
            <w:pPr>
              <w:pStyle w:val="TableText0"/>
              <w:ind w:left="111" w:right="117"/>
              <w:jc w:val="center"/>
              <w:rPr>
                <w:snapToGrid w:val="0"/>
              </w:rPr>
            </w:pPr>
            <w:r>
              <w:rPr>
                <w:snapToGrid w:val="0"/>
              </w:rPr>
              <w:t>95%</w:t>
            </w:r>
          </w:p>
        </w:tc>
        <w:tc>
          <w:tcPr>
            <w:tcW w:w="704" w:type="pct"/>
          </w:tcPr>
          <w:p w14:paraId="6B56B9B1" w14:textId="19DF4BA9" w:rsidR="00C261D3" w:rsidRDefault="00C261D3" w:rsidP="00765C09">
            <w:pPr>
              <w:pStyle w:val="TableText0"/>
              <w:ind w:left="111" w:right="117"/>
              <w:jc w:val="center"/>
              <w:rPr>
                <w:snapToGrid w:val="0"/>
              </w:rPr>
            </w:pPr>
            <w:r>
              <w:rPr>
                <w:snapToGrid w:val="0"/>
              </w:rPr>
              <w:t>89.1%</w:t>
            </w:r>
          </w:p>
        </w:tc>
        <w:tc>
          <w:tcPr>
            <w:tcW w:w="704" w:type="pct"/>
            <w:shd w:val="clear" w:color="auto" w:fill="auto"/>
          </w:tcPr>
          <w:p w14:paraId="1948ABAE" w14:textId="364AB6E2" w:rsidR="00C261D3" w:rsidRDefault="00C261D3" w:rsidP="00765C09">
            <w:pPr>
              <w:pStyle w:val="TableText0"/>
              <w:ind w:left="111" w:right="117"/>
              <w:jc w:val="center"/>
              <w:rPr>
                <w:snapToGrid w:val="0"/>
              </w:rPr>
            </w:pPr>
          </w:p>
        </w:tc>
        <w:tc>
          <w:tcPr>
            <w:tcW w:w="700" w:type="pct"/>
          </w:tcPr>
          <w:p w14:paraId="13EEF56D" w14:textId="77777777" w:rsidR="00C261D3" w:rsidRDefault="00C261D3" w:rsidP="00765C09">
            <w:pPr>
              <w:pStyle w:val="TableText0"/>
              <w:ind w:left="111" w:right="117"/>
              <w:jc w:val="center"/>
              <w:rPr>
                <w:snapToGrid w:val="0"/>
              </w:rPr>
            </w:pPr>
          </w:p>
        </w:tc>
      </w:tr>
      <w:tr w:rsidR="00C261D3" w:rsidRPr="00E54FA2" w14:paraId="6348F34A" w14:textId="4848CC70" w:rsidTr="00765C09">
        <w:tc>
          <w:tcPr>
            <w:tcW w:w="477" w:type="pct"/>
            <w:tcBorders>
              <w:top w:val="single" w:sz="4" w:space="0" w:color="auto"/>
              <w:bottom w:val="nil"/>
            </w:tcBorders>
          </w:tcPr>
          <w:p w14:paraId="714AE7C3" w14:textId="7F5E1EBD" w:rsidR="00C261D3" w:rsidRDefault="00211285" w:rsidP="00765C09">
            <w:pPr>
              <w:pStyle w:val="TableText0"/>
              <w:rPr>
                <w:snapToGrid w:val="0"/>
              </w:rPr>
            </w:pPr>
            <w:hyperlink w:anchor="_ENREF_60" w:tooltip="Rosenberg, 2019 #25" w:history="1">
              <w:r w:rsidR="008B6FC0">
                <w:rPr>
                  <w:snapToGrid w:val="0"/>
                </w:rPr>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rPr>
                  <w:snapToGrid w:val="0"/>
                </w:rPr>
                <w:instrText xml:space="preserve"> ADDIN EN.CITE </w:instrText>
              </w:r>
              <w:r w:rsidR="008B6FC0">
                <w:rPr>
                  <w:snapToGrid w:val="0"/>
                </w:rPr>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rPr>
                  <w:snapToGrid w:val="0"/>
                </w:rPr>
                <w:instrText xml:space="preserve"> ADDIN EN.CITE.DATA </w:instrText>
              </w:r>
              <w:r w:rsidR="008B6FC0">
                <w:rPr>
                  <w:snapToGrid w:val="0"/>
                </w:rPr>
              </w:r>
              <w:r w:rsidR="008B6FC0">
                <w:rPr>
                  <w:snapToGrid w:val="0"/>
                </w:rPr>
                <w:fldChar w:fldCharType="end"/>
              </w:r>
              <w:r w:rsidR="008B6FC0">
                <w:rPr>
                  <w:snapToGrid w:val="0"/>
                </w:rPr>
              </w:r>
              <w:r w:rsidR="008B6FC0">
                <w:rPr>
                  <w:snapToGrid w:val="0"/>
                </w:rPr>
                <w:fldChar w:fldCharType="separate"/>
              </w:r>
              <w:r w:rsidR="008B6FC0">
                <w:rPr>
                  <w:noProof/>
                  <w:snapToGrid w:val="0"/>
                </w:rPr>
                <w:t>Rosenberg et al. (2019)</w:t>
              </w:r>
              <w:r w:rsidR="008B6FC0">
                <w:rPr>
                  <w:snapToGrid w:val="0"/>
                </w:rPr>
                <w:fldChar w:fldCharType="end"/>
              </w:r>
            </w:hyperlink>
          </w:p>
        </w:tc>
        <w:tc>
          <w:tcPr>
            <w:tcW w:w="1711" w:type="pct"/>
            <w:tcBorders>
              <w:top w:val="single" w:sz="4" w:space="0" w:color="auto"/>
            </w:tcBorders>
          </w:tcPr>
          <w:p w14:paraId="55865F24" w14:textId="2EC50C8F" w:rsidR="00C261D3" w:rsidRPr="0003573E" w:rsidRDefault="00C261D3" w:rsidP="00765C09">
            <w:pPr>
              <w:pStyle w:val="TableText0"/>
              <w:ind w:left="16" w:right="117"/>
              <w:rPr>
                <w:snapToGrid w:val="0"/>
              </w:rPr>
            </w:pPr>
            <w:r>
              <w:rPr>
                <w:snapToGrid w:val="0"/>
              </w:rPr>
              <w:t>OS</w:t>
            </w:r>
          </w:p>
        </w:tc>
        <w:tc>
          <w:tcPr>
            <w:tcW w:w="704" w:type="pct"/>
          </w:tcPr>
          <w:p w14:paraId="343A001F" w14:textId="77777777" w:rsidR="00C261D3" w:rsidRDefault="00C261D3" w:rsidP="00765C09">
            <w:pPr>
              <w:pStyle w:val="TableText0"/>
              <w:ind w:left="111" w:right="117"/>
              <w:jc w:val="center"/>
              <w:rPr>
                <w:snapToGrid w:val="0"/>
              </w:rPr>
            </w:pPr>
          </w:p>
        </w:tc>
        <w:tc>
          <w:tcPr>
            <w:tcW w:w="704" w:type="pct"/>
          </w:tcPr>
          <w:p w14:paraId="2F57E196" w14:textId="5A1D61B3" w:rsidR="00C261D3" w:rsidRDefault="00C261D3" w:rsidP="00765C09">
            <w:pPr>
              <w:pStyle w:val="TableText0"/>
              <w:ind w:left="111" w:right="117"/>
              <w:jc w:val="center"/>
              <w:rPr>
                <w:snapToGrid w:val="0"/>
              </w:rPr>
            </w:pPr>
          </w:p>
        </w:tc>
        <w:tc>
          <w:tcPr>
            <w:tcW w:w="704" w:type="pct"/>
            <w:shd w:val="clear" w:color="auto" w:fill="auto"/>
          </w:tcPr>
          <w:p w14:paraId="1EFCCCC9" w14:textId="1C02B7F5" w:rsidR="00C261D3" w:rsidRPr="0003573E" w:rsidRDefault="00C261D3" w:rsidP="00765C09">
            <w:pPr>
              <w:pStyle w:val="TableText0"/>
              <w:ind w:left="111" w:right="117"/>
              <w:jc w:val="center"/>
              <w:rPr>
                <w:snapToGrid w:val="0"/>
              </w:rPr>
            </w:pPr>
            <w:r>
              <w:rPr>
                <w:snapToGrid w:val="0"/>
              </w:rPr>
              <w:t>69%</w:t>
            </w:r>
          </w:p>
        </w:tc>
        <w:tc>
          <w:tcPr>
            <w:tcW w:w="700" w:type="pct"/>
          </w:tcPr>
          <w:p w14:paraId="2BD7AE6B" w14:textId="7B929D33" w:rsidR="00C261D3" w:rsidRDefault="00C261D3" w:rsidP="00765C09">
            <w:pPr>
              <w:pStyle w:val="TableText0"/>
              <w:ind w:left="111" w:right="117"/>
              <w:jc w:val="center"/>
              <w:rPr>
                <w:snapToGrid w:val="0"/>
              </w:rPr>
            </w:pPr>
            <w:r>
              <w:rPr>
                <w:snapToGrid w:val="0"/>
              </w:rPr>
              <w:t>60%</w:t>
            </w:r>
          </w:p>
        </w:tc>
      </w:tr>
      <w:tr w:rsidR="00C261D3" w:rsidRPr="00E54FA2" w14:paraId="0FC54A22" w14:textId="5EC43D03" w:rsidTr="00765C09">
        <w:tc>
          <w:tcPr>
            <w:tcW w:w="477" w:type="pct"/>
            <w:tcBorders>
              <w:top w:val="nil"/>
              <w:bottom w:val="nil"/>
            </w:tcBorders>
          </w:tcPr>
          <w:p w14:paraId="201D0AC1" w14:textId="77777777" w:rsidR="00C261D3" w:rsidRDefault="00C261D3" w:rsidP="00765C09">
            <w:pPr>
              <w:pStyle w:val="TableText0"/>
              <w:rPr>
                <w:snapToGrid w:val="0"/>
              </w:rPr>
            </w:pPr>
          </w:p>
        </w:tc>
        <w:tc>
          <w:tcPr>
            <w:tcW w:w="1711" w:type="pct"/>
          </w:tcPr>
          <w:p w14:paraId="43F6F06F" w14:textId="4B55969E" w:rsidR="00C261D3" w:rsidRDefault="00C261D3" w:rsidP="00765C09">
            <w:pPr>
              <w:pStyle w:val="TableText0"/>
              <w:ind w:left="16" w:right="117"/>
              <w:rPr>
                <w:snapToGrid w:val="0"/>
              </w:rPr>
            </w:pPr>
            <w:r>
              <w:rPr>
                <w:snapToGrid w:val="0"/>
              </w:rPr>
              <w:t>FFLP at median follow-up (21.2 months)</w:t>
            </w:r>
          </w:p>
        </w:tc>
        <w:tc>
          <w:tcPr>
            <w:tcW w:w="704" w:type="pct"/>
          </w:tcPr>
          <w:p w14:paraId="3C0E6B88" w14:textId="77777777" w:rsidR="00C261D3" w:rsidRDefault="00C261D3" w:rsidP="00765C09">
            <w:pPr>
              <w:pStyle w:val="TableText0"/>
              <w:ind w:left="111" w:right="117"/>
              <w:jc w:val="center"/>
              <w:rPr>
                <w:snapToGrid w:val="0"/>
              </w:rPr>
            </w:pPr>
          </w:p>
        </w:tc>
        <w:tc>
          <w:tcPr>
            <w:tcW w:w="704" w:type="pct"/>
          </w:tcPr>
          <w:p w14:paraId="409F65EE" w14:textId="17874929" w:rsidR="00C261D3" w:rsidRDefault="00C261D3" w:rsidP="00765C09">
            <w:pPr>
              <w:pStyle w:val="TableText0"/>
              <w:ind w:left="111" w:right="117"/>
              <w:jc w:val="center"/>
              <w:rPr>
                <w:snapToGrid w:val="0"/>
              </w:rPr>
            </w:pPr>
          </w:p>
        </w:tc>
        <w:tc>
          <w:tcPr>
            <w:tcW w:w="704" w:type="pct"/>
            <w:shd w:val="clear" w:color="auto" w:fill="auto"/>
          </w:tcPr>
          <w:p w14:paraId="7372A232" w14:textId="2B0D8476" w:rsidR="00C261D3" w:rsidRDefault="00C261D3" w:rsidP="00765C09">
            <w:pPr>
              <w:pStyle w:val="TableText0"/>
              <w:ind w:left="111" w:right="117"/>
              <w:jc w:val="center"/>
              <w:rPr>
                <w:snapToGrid w:val="0"/>
              </w:rPr>
            </w:pPr>
          </w:p>
        </w:tc>
        <w:tc>
          <w:tcPr>
            <w:tcW w:w="700" w:type="pct"/>
          </w:tcPr>
          <w:p w14:paraId="296580DF" w14:textId="47383BCF" w:rsidR="00C261D3" w:rsidRDefault="00C261D3" w:rsidP="00765C09">
            <w:pPr>
              <w:pStyle w:val="TableText0"/>
              <w:ind w:left="111" w:right="117"/>
              <w:jc w:val="center"/>
              <w:rPr>
                <w:snapToGrid w:val="0"/>
              </w:rPr>
            </w:pPr>
            <w:r>
              <w:rPr>
                <w:snapToGrid w:val="0"/>
              </w:rPr>
              <w:t>80.4%</w:t>
            </w:r>
          </w:p>
        </w:tc>
      </w:tr>
      <w:tr w:rsidR="00C261D3" w:rsidRPr="00E54FA2" w14:paraId="1C92FB2D" w14:textId="25FA36DB" w:rsidTr="00765C09">
        <w:tc>
          <w:tcPr>
            <w:tcW w:w="477" w:type="pct"/>
            <w:tcBorders>
              <w:top w:val="nil"/>
            </w:tcBorders>
          </w:tcPr>
          <w:p w14:paraId="1EB9B878" w14:textId="77777777" w:rsidR="00C261D3" w:rsidRDefault="00C261D3" w:rsidP="00765C09">
            <w:pPr>
              <w:pStyle w:val="TableText0"/>
              <w:rPr>
                <w:snapToGrid w:val="0"/>
              </w:rPr>
            </w:pPr>
          </w:p>
        </w:tc>
        <w:tc>
          <w:tcPr>
            <w:tcW w:w="1711" w:type="pct"/>
          </w:tcPr>
          <w:p w14:paraId="0B2E48CE" w14:textId="58A43654" w:rsidR="00C261D3" w:rsidRDefault="00C261D3" w:rsidP="00765C09">
            <w:pPr>
              <w:pStyle w:val="TableText0"/>
              <w:ind w:left="16" w:right="117"/>
              <w:rPr>
                <w:snapToGrid w:val="0"/>
              </w:rPr>
            </w:pPr>
            <w:r>
              <w:rPr>
                <w:snapToGrid w:val="0"/>
              </w:rPr>
              <w:t>PFS (local, regional, distant) at median follow-up (21.2 months)</w:t>
            </w:r>
          </w:p>
        </w:tc>
        <w:tc>
          <w:tcPr>
            <w:tcW w:w="704" w:type="pct"/>
          </w:tcPr>
          <w:p w14:paraId="17BEC300" w14:textId="77777777" w:rsidR="00C261D3" w:rsidRDefault="00C261D3" w:rsidP="00765C09">
            <w:pPr>
              <w:pStyle w:val="TableText0"/>
              <w:ind w:left="111" w:right="117"/>
              <w:jc w:val="center"/>
              <w:rPr>
                <w:snapToGrid w:val="0"/>
              </w:rPr>
            </w:pPr>
          </w:p>
        </w:tc>
        <w:tc>
          <w:tcPr>
            <w:tcW w:w="704" w:type="pct"/>
          </w:tcPr>
          <w:p w14:paraId="17D6314C" w14:textId="140B7CC8" w:rsidR="00C261D3" w:rsidRDefault="00C261D3" w:rsidP="00765C09">
            <w:pPr>
              <w:pStyle w:val="TableText0"/>
              <w:ind w:left="111" w:right="117"/>
              <w:jc w:val="center"/>
              <w:rPr>
                <w:snapToGrid w:val="0"/>
              </w:rPr>
            </w:pPr>
          </w:p>
        </w:tc>
        <w:tc>
          <w:tcPr>
            <w:tcW w:w="704" w:type="pct"/>
            <w:shd w:val="clear" w:color="auto" w:fill="auto"/>
          </w:tcPr>
          <w:p w14:paraId="09ABBD8A" w14:textId="0D47D57F" w:rsidR="00C261D3" w:rsidRDefault="00C261D3" w:rsidP="00765C09">
            <w:pPr>
              <w:pStyle w:val="TableText0"/>
              <w:ind w:left="111" w:right="117"/>
              <w:jc w:val="center"/>
              <w:rPr>
                <w:snapToGrid w:val="0"/>
              </w:rPr>
            </w:pPr>
          </w:p>
        </w:tc>
        <w:tc>
          <w:tcPr>
            <w:tcW w:w="700" w:type="pct"/>
          </w:tcPr>
          <w:p w14:paraId="0B172BE1" w14:textId="01B37A50" w:rsidR="00C261D3" w:rsidRDefault="00C261D3" w:rsidP="00765C09">
            <w:pPr>
              <w:pStyle w:val="TableText0"/>
              <w:ind w:left="111" w:right="117"/>
              <w:jc w:val="center"/>
              <w:rPr>
                <w:snapToGrid w:val="0"/>
              </w:rPr>
            </w:pPr>
            <w:r>
              <w:rPr>
                <w:snapToGrid w:val="0"/>
              </w:rPr>
              <w:t>35%</w:t>
            </w:r>
          </w:p>
        </w:tc>
      </w:tr>
    </w:tbl>
    <w:p w14:paraId="2299AAF1" w14:textId="4DF00A30" w:rsidR="000A2481" w:rsidRDefault="006A2EE6" w:rsidP="009B0737">
      <w:pPr>
        <w:pStyle w:val="Tablenotes0"/>
        <w:keepNext/>
        <w:jc w:val="left"/>
      </w:pPr>
      <w:r>
        <w:t>FF</w:t>
      </w:r>
      <w:r w:rsidR="003605C7">
        <w:t>LP</w:t>
      </w:r>
      <w:r w:rsidR="00DF406C">
        <w:t>=</w:t>
      </w:r>
      <w:r w:rsidR="003605C7">
        <w:t>freedom from local progression</w:t>
      </w:r>
      <w:r w:rsidR="00DF7AC0">
        <w:t>; OS</w:t>
      </w:r>
      <w:r w:rsidR="00DF406C">
        <w:t>=</w:t>
      </w:r>
      <w:r w:rsidR="00DF7AC0">
        <w:t>overall survival; PFS</w:t>
      </w:r>
      <w:r w:rsidR="00DF406C">
        <w:t>=</w:t>
      </w:r>
      <w:r w:rsidR="00DF7AC0">
        <w:t xml:space="preserve">progression-free survival </w:t>
      </w:r>
      <w:r w:rsidR="00DF7AC0">
        <w:br/>
      </w:r>
    </w:p>
    <w:p w14:paraId="51C98BF0" w14:textId="4658BE5A" w:rsidR="006F509C" w:rsidRDefault="008456E7" w:rsidP="000A2481">
      <w:r>
        <w:t xml:space="preserve">Three studies </w:t>
      </w:r>
      <w:r w:rsidR="006518C5">
        <w:t xml:space="preserve">evaluated survival outcomes in </w:t>
      </w:r>
      <w:r w:rsidR="00872C19">
        <w:t xml:space="preserve">hepatocellular carcinoma patients treated with CBCT-IGRT </w:t>
      </w:r>
      <w:r w:rsidR="000C77B0">
        <w:fldChar w:fldCharType="begin">
          <w:fldData xml:space="preserve">PEVuZE5vdGU+PENpdGU+PEF1dGhvcj5LaW08L0F1dGhvcj48WWVhcj4yMDE5PC9ZZWFyPjxSZWNO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</w:fldData>
        </w:fldChar>
      </w:r>
      <w:r w:rsidR="000C77B0">
        <w:instrText xml:space="preserve"> ADDIN EN.CITE </w:instrText>
      </w:r>
      <w:r w:rsidR="000C77B0">
        <w:fldChar w:fldCharType="begin">
          <w:fldData xml:space="preserve">PEVuZE5vdGU+PENpdGU+PEF1dGhvcj5LaW08L0F1dGhvcj48WWVhcj4yMDE5PC9ZZWFyPjxSZWNO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</w:fldData>
        </w:fldChar>
      </w:r>
      <w:r w:rsidR="000C77B0">
        <w:instrText xml:space="preserve"> ADDIN EN.CITE.DATA </w:instrText>
      </w:r>
      <w:r w:rsidR="000C77B0">
        <w:fldChar w:fldCharType="end"/>
      </w:r>
      <w:r w:rsidR="000C77B0">
        <w:fldChar w:fldCharType="separate"/>
      </w:r>
      <w:r w:rsidR="000C77B0">
        <w:rPr>
          <w:noProof/>
        </w:rPr>
        <w:t>(</w:t>
      </w:r>
      <w:hyperlink w:anchor="_ENREF_47" w:tooltip="Kim, 2019 #57" w:history="1">
        <w:r w:rsidR="001F781A">
          <w:rPr>
            <w:noProof/>
          </w:rPr>
          <w:t xml:space="preserve">N. </w:t>
        </w:r>
        <w:r w:rsidR="008B6FC0">
          <w:rPr>
            <w:noProof/>
          </w:rPr>
          <w:t>Kim et al., 2019</w:t>
        </w:r>
      </w:hyperlink>
      <w:r w:rsidR="000C77B0">
        <w:rPr>
          <w:noProof/>
        </w:rPr>
        <w:t xml:space="preserve">; </w:t>
      </w:r>
      <w:hyperlink w:anchor="_ENREF_58" w:tooltip="Price, 2012 #64" w:history="1">
        <w:r w:rsidR="008B6FC0">
          <w:rPr>
            <w:noProof/>
          </w:rPr>
          <w:t>Price et al., 2012</w:t>
        </w:r>
      </w:hyperlink>
      <w:r w:rsidR="000C77B0">
        <w:rPr>
          <w:noProof/>
        </w:rPr>
        <w:t xml:space="preserve">; </w:t>
      </w:r>
      <w:hyperlink w:anchor="_ENREF_73" w:tooltip="Valakh, 2018 #74" w:history="1">
        <w:r w:rsidR="008B6FC0">
          <w:rPr>
            <w:noProof/>
          </w:rPr>
          <w:t>Valakh et al., 2018</w:t>
        </w:r>
      </w:hyperlink>
      <w:r w:rsidR="000C77B0">
        <w:rPr>
          <w:noProof/>
        </w:rPr>
        <w:t>)</w:t>
      </w:r>
      <w:r w:rsidR="000C77B0">
        <w:fldChar w:fldCharType="end"/>
      </w:r>
      <w:r w:rsidR="00754867">
        <w:t xml:space="preserve">. Results of these studies are </w:t>
      </w:r>
      <w:r w:rsidR="00B21A20">
        <w:t xml:space="preserve">summarised in </w:t>
      </w:r>
      <w:r w:rsidR="006F509C">
        <w:fldChar w:fldCharType="begin"/>
      </w:r>
      <w:r w:rsidR="006F509C">
        <w:instrText xml:space="preserve"> REF _Ref55894918 \h </w:instrText>
      </w:r>
      <w:r w:rsidR="00A85BB1">
        <w:instrText xml:space="preserve"> \* MERGEFORMAT </w:instrText>
      </w:r>
      <w:r w:rsidR="006F509C">
        <w:fldChar w:fldCharType="separate"/>
      </w:r>
      <w:r w:rsidR="00451350" w:rsidRPr="00E54FA2">
        <w:t xml:space="preserve">Table </w:t>
      </w:r>
      <w:r w:rsidR="00451350">
        <w:t>35</w:t>
      </w:r>
      <w:r w:rsidR="006F509C">
        <w:fldChar w:fldCharType="end"/>
      </w:r>
      <w:r w:rsidR="00B21A20">
        <w:t>.</w:t>
      </w:r>
    </w:p>
    <w:p w14:paraId="75D98A54" w14:textId="36A79D40" w:rsidR="004E41D7" w:rsidRPr="00E54FA2" w:rsidRDefault="004E41D7" w:rsidP="008D7C53">
      <w:pPr>
        <w:pStyle w:val="Caption"/>
        <w:keepNext/>
        <w:jc w:val="both"/>
        <w:rPr>
          <w:rFonts w:cs="Arial"/>
          <w:snapToGrid w:val="0"/>
          <w:szCs w:val="16"/>
          <w:lang w:eastAsia="en-US"/>
        </w:rPr>
      </w:pPr>
      <w:bookmarkStart w:id="413" w:name="_Ref55894918"/>
      <w:bookmarkStart w:id="414" w:name="_Toc89857906"/>
      <w:r w:rsidRPr="00E54FA2">
        <w:t xml:space="preserve">Table </w:t>
      </w:r>
      <w:r w:rsidR="00211285">
        <w:fldChar w:fldCharType="begin"/>
      </w:r>
      <w:r w:rsidR="00211285">
        <w:instrText xml:space="preserve"> SEQ Table \* ARABIC </w:instrText>
      </w:r>
      <w:r w:rsidR="00211285">
        <w:fldChar w:fldCharType="separate"/>
      </w:r>
      <w:r w:rsidR="00451350">
        <w:rPr>
          <w:noProof/>
        </w:rPr>
        <w:t>35</w:t>
      </w:r>
      <w:r w:rsidR="00211285">
        <w:rPr>
          <w:noProof/>
        </w:rPr>
        <w:fldChar w:fldCharType="end"/>
      </w:r>
      <w:bookmarkEnd w:id="413"/>
      <w:r w:rsidRPr="00E54FA2">
        <w:tab/>
      </w:r>
      <w:r w:rsidRPr="00E54FA2">
        <w:rPr>
          <w:rFonts w:cs="Arial"/>
          <w:snapToGrid w:val="0"/>
          <w:szCs w:val="16"/>
          <w:lang w:eastAsia="en-US"/>
        </w:rPr>
        <w:t>Results of key patient-relevant outcome</w:t>
      </w:r>
      <w:r>
        <w:rPr>
          <w:rFonts w:cs="Arial"/>
          <w:snapToGrid w:val="0"/>
          <w:szCs w:val="16"/>
          <w:lang w:eastAsia="en-US"/>
        </w:rPr>
        <w:t xml:space="preserve">s, </w:t>
      </w:r>
      <w:r w:rsidR="007C71C7">
        <w:rPr>
          <w:rFonts w:cs="Arial"/>
          <w:snapToGrid w:val="0"/>
          <w:szCs w:val="16"/>
          <w:lang w:eastAsia="en-US"/>
        </w:rPr>
        <w:t>abdominal malignancies</w:t>
      </w:r>
      <w:r>
        <w:rPr>
          <w:rFonts w:cs="Arial"/>
          <w:snapToGrid w:val="0"/>
          <w:szCs w:val="16"/>
          <w:lang w:eastAsia="en-US"/>
        </w:rPr>
        <w:t xml:space="preserve">, </w:t>
      </w:r>
      <w:r w:rsidR="006F509C">
        <w:rPr>
          <w:rFonts w:cs="Arial"/>
          <w:snapToGrid w:val="0"/>
          <w:szCs w:val="16"/>
          <w:lang w:eastAsia="en-US"/>
        </w:rPr>
        <w:t>CBCT</w:t>
      </w:r>
      <w:r>
        <w:rPr>
          <w:rFonts w:cs="Arial"/>
          <w:snapToGrid w:val="0"/>
          <w:szCs w:val="16"/>
          <w:lang w:eastAsia="en-US"/>
        </w:rPr>
        <w:t>-IGRT</w:t>
      </w:r>
      <w:bookmarkEnd w:id="414"/>
    </w:p>
    <w:tbl>
      <w:tblPr>
        <w:tblStyle w:val="TableGrid1"/>
        <w:tblW w:w="5000" w:type="pct"/>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999"/>
        <w:gridCol w:w="3590"/>
        <w:gridCol w:w="1477"/>
        <w:gridCol w:w="1477"/>
        <w:gridCol w:w="532"/>
        <w:gridCol w:w="941"/>
      </w:tblGrid>
      <w:tr w:rsidR="00C55F8E" w:rsidRPr="00E54FA2" w14:paraId="005D3B4D" w14:textId="77777777" w:rsidTr="00A85BB1">
        <w:trPr>
          <w:cnfStyle w:val="100000000000" w:firstRow="1" w:lastRow="0" w:firstColumn="0" w:lastColumn="0" w:oddVBand="0" w:evenVBand="0" w:oddHBand="0" w:evenHBand="0" w:firstRowFirstColumn="0" w:firstRowLastColumn="0" w:lastRowFirstColumn="0" w:lastRowLastColumn="0"/>
          <w:tblHeader/>
        </w:trPr>
        <w:tc>
          <w:tcPr>
            <w:tcW w:w="554" w:type="pct"/>
            <w:tcBorders>
              <w:top w:val="single" w:sz="4" w:space="0" w:color="auto"/>
              <w:left w:val="single" w:sz="4" w:space="0" w:color="auto"/>
              <w:bottom w:val="nil"/>
              <w:right w:val="single" w:sz="4" w:space="0" w:color="auto"/>
            </w:tcBorders>
          </w:tcPr>
          <w:p w14:paraId="359CA6E3" w14:textId="77777777" w:rsidR="00C55F8E" w:rsidRDefault="00C55F8E" w:rsidP="00BD4D8B">
            <w:pPr>
              <w:pStyle w:val="TableHeading"/>
              <w:rPr>
                <w:snapToGrid w:val="0"/>
                <w:lang w:eastAsia="en-US"/>
              </w:rPr>
            </w:pPr>
            <w:r w:rsidRPr="00E54FA2">
              <w:rPr>
                <w:snapToGrid w:val="0"/>
                <w:lang w:eastAsia="en-US"/>
              </w:rPr>
              <w:t>Study ID</w:t>
            </w:r>
          </w:p>
        </w:tc>
        <w:tc>
          <w:tcPr>
            <w:tcW w:w="1991" w:type="pct"/>
            <w:tcBorders>
              <w:top w:val="single" w:sz="4" w:space="0" w:color="auto"/>
              <w:left w:val="single" w:sz="4" w:space="0" w:color="auto"/>
              <w:bottom w:val="nil"/>
              <w:right w:val="single" w:sz="4" w:space="0" w:color="auto"/>
            </w:tcBorders>
          </w:tcPr>
          <w:p w14:paraId="55BB1B5E" w14:textId="77777777" w:rsidR="00C55F8E" w:rsidRPr="00E54FA2" w:rsidRDefault="00C55F8E" w:rsidP="00BD4D8B">
            <w:pPr>
              <w:pStyle w:val="TableHeading"/>
              <w:ind w:left="16" w:right="117"/>
              <w:rPr>
                <w:snapToGrid w:val="0"/>
                <w:lang w:eastAsia="en-US"/>
              </w:rPr>
            </w:pPr>
            <w:r>
              <w:rPr>
                <w:snapToGrid w:val="0"/>
                <w:lang w:eastAsia="en-US"/>
              </w:rPr>
              <w:t>Outcome</w:t>
            </w:r>
          </w:p>
        </w:tc>
        <w:tc>
          <w:tcPr>
            <w:tcW w:w="819" w:type="pct"/>
            <w:tcBorders>
              <w:top w:val="single" w:sz="4" w:space="0" w:color="auto"/>
              <w:left w:val="single" w:sz="4" w:space="0" w:color="auto"/>
              <w:bottom w:val="single" w:sz="4" w:space="0" w:color="auto"/>
              <w:right w:val="nil"/>
            </w:tcBorders>
          </w:tcPr>
          <w:p w14:paraId="722BC9F6" w14:textId="77777777" w:rsidR="00C55F8E" w:rsidRDefault="00C55F8E" w:rsidP="00BD4D8B">
            <w:pPr>
              <w:pStyle w:val="TableHeading"/>
              <w:ind w:left="111" w:right="117"/>
              <w:jc w:val="center"/>
              <w:rPr>
                <w:snapToGrid w:val="0"/>
                <w:lang w:eastAsia="en-US"/>
              </w:rPr>
            </w:pPr>
            <w:r>
              <w:rPr>
                <w:snapToGrid w:val="0"/>
                <w:lang w:eastAsia="en-US"/>
              </w:rPr>
              <w:t>Survival (%)</w:t>
            </w:r>
          </w:p>
          <w:p w14:paraId="18867B07" w14:textId="158DCB62" w:rsidR="00C55F8E" w:rsidRDefault="00C55F8E" w:rsidP="00BD4D8B">
            <w:pPr>
              <w:pStyle w:val="TableHeading"/>
              <w:ind w:left="111" w:right="117"/>
              <w:jc w:val="center"/>
              <w:rPr>
                <w:snapToGrid w:val="0"/>
                <w:lang w:eastAsia="en-US"/>
              </w:rPr>
            </w:pPr>
            <w:r>
              <w:rPr>
                <w:snapToGrid w:val="0"/>
                <w:lang w:eastAsia="en-US"/>
              </w:rPr>
              <w:t>(95% CI)</w:t>
            </w:r>
          </w:p>
        </w:tc>
        <w:tc>
          <w:tcPr>
            <w:tcW w:w="1114" w:type="pct"/>
            <w:gridSpan w:val="2"/>
            <w:tcBorders>
              <w:top w:val="single" w:sz="4" w:space="0" w:color="auto"/>
              <w:left w:val="nil"/>
              <w:bottom w:val="single" w:sz="4" w:space="0" w:color="auto"/>
              <w:right w:val="nil"/>
            </w:tcBorders>
            <w:shd w:val="clear" w:color="auto" w:fill="auto"/>
          </w:tcPr>
          <w:p w14:paraId="0615DB3D" w14:textId="1B6699A1" w:rsidR="00C55F8E" w:rsidRPr="00E54FA2" w:rsidRDefault="00C55F8E" w:rsidP="00BD4D8B">
            <w:pPr>
              <w:pStyle w:val="TableHeading"/>
              <w:ind w:left="111" w:right="117"/>
              <w:jc w:val="center"/>
              <w:rPr>
                <w:snapToGrid w:val="0"/>
                <w:lang w:eastAsia="en-US"/>
              </w:rPr>
            </w:pPr>
          </w:p>
        </w:tc>
        <w:tc>
          <w:tcPr>
            <w:tcW w:w="522" w:type="pct"/>
            <w:tcBorders>
              <w:top w:val="single" w:sz="4" w:space="0" w:color="auto"/>
              <w:left w:val="nil"/>
              <w:bottom w:val="single" w:sz="4" w:space="0" w:color="auto"/>
              <w:right w:val="single" w:sz="4" w:space="0" w:color="auto"/>
            </w:tcBorders>
          </w:tcPr>
          <w:p w14:paraId="0F8870D4" w14:textId="77777777" w:rsidR="00C55F8E" w:rsidRPr="00E54FA2" w:rsidRDefault="00C55F8E" w:rsidP="00BD4D8B">
            <w:pPr>
              <w:pStyle w:val="TableHeading"/>
              <w:ind w:left="111" w:right="117"/>
              <w:jc w:val="center"/>
              <w:rPr>
                <w:snapToGrid w:val="0"/>
                <w:lang w:eastAsia="en-US"/>
              </w:rPr>
            </w:pPr>
          </w:p>
        </w:tc>
      </w:tr>
      <w:tr w:rsidR="00C55F8E" w:rsidRPr="00E54FA2" w14:paraId="367D1BAC" w14:textId="77777777" w:rsidTr="00A85BB1">
        <w:trPr>
          <w:cnfStyle w:val="100000000000" w:firstRow="1" w:lastRow="0" w:firstColumn="0" w:lastColumn="0" w:oddVBand="0" w:evenVBand="0" w:oddHBand="0" w:evenHBand="0" w:firstRowFirstColumn="0" w:firstRowLastColumn="0" w:lastRowFirstColumn="0" w:lastRowLastColumn="0"/>
          <w:tblHeader/>
        </w:trPr>
        <w:tc>
          <w:tcPr>
            <w:tcW w:w="554" w:type="pct"/>
            <w:tcBorders>
              <w:top w:val="nil"/>
              <w:left w:val="single" w:sz="4" w:space="0" w:color="auto"/>
              <w:bottom w:val="single" w:sz="4" w:space="0" w:color="auto"/>
              <w:right w:val="single" w:sz="4" w:space="0" w:color="auto"/>
            </w:tcBorders>
          </w:tcPr>
          <w:p w14:paraId="13B8BAFD" w14:textId="77777777" w:rsidR="00C55F8E" w:rsidRPr="00E54FA2" w:rsidRDefault="00C55F8E" w:rsidP="00BD4D8B">
            <w:pPr>
              <w:pStyle w:val="TableHeading"/>
              <w:rPr>
                <w:snapToGrid w:val="0"/>
                <w:lang w:eastAsia="en-US"/>
              </w:rPr>
            </w:pPr>
          </w:p>
        </w:tc>
        <w:tc>
          <w:tcPr>
            <w:tcW w:w="1991" w:type="pct"/>
            <w:tcBorders>
              <w:top w:val="nil"/>
              <w:left w:val="single" w:sz="4" w:space="0" w:color="auto"/>
              <w:bottom w:val="single" w:sz="4" w:space="0" w:color="auto"/>
              <w:right w:val="single" w:sz="4" w:space="0" w:color="auto"/>
            </w:tcBorders>
          </w:tcPr>
          <w:p w14:paraId="30EA305D" w14:textId="77777777" w:rsidR="00C55F8E" w:rsidRDefault="00C55F8E" w:rsidP="00BD4D8B">
            <w:pPr>
              <w:pStyle w:val="TableHeading"/>
              <w:ind w:left="16" w:right="117"/>
              <w:rPr>
                <w:snapToGrid w:val="0"/>
                <w:lang w:eastAsia="en-US"/>
              </w:rPr>
            </w:pPr>
          </w:p>
        </w:tc>
        <w:tc>
          <w:tcPr>
            <w:tcW w:w="819" w:type="pct"/>
            <w:tcBorders>
              <w:top w:val="single" w:sz="4" w:space="0" w:color="auto"/>
              <w:left w:val="single" w:sz="4" w:space="0" w:color="auto"/>
              <w:right w:val="single" w:sz="4" w:space="0" w:color="auto"/>
            </w:tcBorders>
          </w:tcPr>
          <w:p w14:paraId="5B89226B" w14:textId="0893DB24" w:rsidR="00C55F8E" w:rsidRDefault="00C55F8E" w:rsidP="00BD4D8B">
            <w:pPr>
              <w:pStyle w:val="TableHeading"/>
              <w:ind w:left="111" w:right="117"/>
              <w:jc w:val="center"/>
              <w:rPr>
                <w:snapToGrid w:val="0"/>
                <w:lang w:eastAsia="en-US"/>
              </w:rPr>
            </w:pPr>
            <w:r>
              <w:rPr>
                <w:snapToGrid w:val="0"/>
                <w:lang w:eastAsia="en-US"/>
              </w:rPr>
              <w:t>6 months</w:t>
            </w:r>
          </w:p>
        </w:tc>
        <w:tc>
          <w:tcPr>
            <w:tcW w:w="819" w:type="pct"/>
            <w:tcBorders>
              <w:top w:val="single" w:sz="4" w:space="0" w:color="auto"/>
              <w:left w:val="single" w:sz="4" w:space="0" w:color="auto"/>
            </w:tcBorders>
            <w:shd w:val="clear" w:color="auto" w:fill="auto"/>
          </w:tcPr>
          <w:p w14:paraId="234E2753" w14:textId="68D45239" w:rsidR="00C55F8E" w:rsidRPr="00E54FA2" w:rsidRDefault="00C55F8E" w:rsidP="00BD4D8B">
            <w:pPr>
              <w:pStyle w:val="TableHeading"/>
              <w:ind w:left="111" w:right="117"/>
              <w:jc w:val="center"/>
              <w:rPr>
                <w:snapToGrid w:val="0"/>
                <w:lang w:eastAsia="en-US"/>
              </w:rPr>
            </w:pPr>
            <w:r>
              <w:rPr>
                <w:snapToGrid w:val="0"/>
                <w:lang w:eastAsia="en-US"/>
              </w:rPr>
              <w:t>1 year</w:t>
            </w:r>
          </w:p>
        </w:tc>
        <w:tc>
          <w:tcPr>
            <w:tcW w:w="817" w:type="pct"/>
            <w:gridSpan w:val="2"/>
            <w:tcBorders>
              <w:top w:val="single" w:sz="4" w:space="0" w:color="auto"/>
              <w:right w:val="single" w:sz="4" w:space="0" w:color="auto"/>
            </w:tcBorders>
          </w:tcPr>
          <w:p w14:paraId="08476868" w14:textId="3E965FC7" w:rsidR="00C55F8E" w:rsidRPr="00E54FA2" w:rsidRDefault="00C55F8E" w:rsidP="00BD4D8B">
            <w:pPr>
              <w:pStyle w:val="TableHeading"/>
              <w:ind w:left="111" w:right="117"/>
              <w:jc w:val="center"/>
              <w:rPr>
                <w:snapToGrid w:val="0"/>
                <w:lang w:eastAsia="en-US"/>
              </w:rPr>
            </w:pPr>
            <w:r>
              <w:rPr>
                <w:snapToGrid w:val="0"/>
                <w:lang w:eastAsia="en-US"/>
              </w:rPr>
              <w:t>2 years</w:t>
            </w:r>
          </w:p>
        </w:tc>
      </w:tr>
      <w:tr w:rsidR="00C55F8E" w:rsidRPr="00E54FA2" w14:paraId="74369AF8" w14:textId="77777777" w:rsidTr="00A85BB1">
        <w:tc>
          <w:tcPr>
            <w:tcW w:w="554" w:type="pct"/>
            <w:tcBorders>
              <w:top w:val="single" w:sz="4" w:space="0" w:color="auto"/>
              <w:left w:val="single" w:sz="4" w:space="0" w:color="auto"/>
              <w:bottom w:val="nil"/>
            </w:tcBorders>
            <w:vAlign w:val="center"/>
          </w:tcPr>
          <w:p w14:paraId="789B70AB" w14:textId="558B6C45" w:rsidR="00C55F8E" w:rsidRPr="00AA03D8" w:rsidRDefault="00211285" w:rsidP="00AA03D8">
            <w:pPr>
              <w:pStyle w:val="Tabletext1"/>
              <w:rPr>
                <w:snapToGrid w:val="0"/>
              </w:rPr>
            </w:pPr>
            <w:hyperlink w:anchor="_ENREF_47" w:tooltip="Kim, 2019 #57" w:history="1">
              <w:r w:rsidR="001F781A">
                <w:rPr>
                  <w:snapToGrid w:val="0"/>
                </w:rPr>
                <w:fldChar w:fldCharType="begin"/>
              </w:r>
              <w:r w:rsidR="001F781A">
                <w:rPr>
                  <w:snapToGrid w:val="0"/>
                </w:rPr>
                <w:instrText xml:space="preserve"> ADDIN EN.CITE &lt;EndNote&gt;&lt;Cite AuthorYear="1"&gt;&lt;Author&gt;Kim&lt;/Author&gt;&lt;Year&gt;2019&lt;/Year&gt;&lt;RecNum&gt;57&lt;/RecNum&gt;&lt;DisplayText&gt;N. Kim et al. (2019)&lt;/DisplayText&gt;&lt;record&gt;&lt;rec-number&gt;57&lt;/rec-number&gt;&lt;foreign-keys&gt;&lt;key app="EN" db-id="sx5wsdwv795wvue959xxw0ptaewvdezxxp05" timestamp="1604876396"&gt;57&lt;/key&gt;&lt;/foreign-keys&gt;&lt;ref-type name="Journal Article"&gt;17&lt;/ref-type&gt;&lt;contributors&gt;&lt;authors&gt;&lt;author&gt;Kim, N.&lt;/author&gt;&lt;author&gt;Kim, H. J.&lt;/author&gt;&lt;author&gt;Won, J. Y.&lt;/author&gt;&lt;author&gt;Kim, D. Y.&lt;/author&gt;&lt;author&gt;Han, K. H.&lt;/author&gt;&lt;author&gt;Jung, I.&lt;/author&gt;&lt;author&gt;Seong, J.&lt;/author&gt;&lt;/authors&gt;&lt;/contributors&gt;&lt;titles&gt;&lt;title&gt;Retrospective analysis of stereotactic body radiation therapy efficacy over radiofrequency ablation for hepatocellular carcinoma&lt;/title&gt;&lt;secondary-title&gt;Radiotherapy and Oncology&lt;/secondary-title&gt;&lt;/titles&gt;&lt;pages&gt;81-87&lt;/pages&gt;&lt;volume&gt;131&lt;/volume&gt;&lt;dates&gt;&lt;year&gt;2019&lt;/year&gt;&lt;/dates&gt;&lt;accession-num&gt;2001419407&lt;/accession-num&gt;&lt;urls&gt;&lt;related-urls&gt;&lt;url&gt;http://www.elsevier.com/locate/radonchttp://ezproxy.library.usyd.edu.au/login?url=http://ovidsp.ovid.com/ovidweb.cgi?T=JS&amp;amp;CSC=Y&amp;amp;NEWS=N&amp;amp;PAGE=fulltext&amp;amp;D=emexa&amp;amp;AN=2001419407https://sydney.alma.exlibrisgroup.com/openurl/61USYD_INST/61USYD_INST:sydney?sid=OVID&lt;/url&gt;&lt;/related-urls&gt;&lt;/urls&gt;&lt;custom2&gt;liver, FFLP, toxicity&lt;/custom2&gt;&lt;electronic-resource-num&gt;http://dx.doi.org/10.1016/j.radonc.2018.12.013&lt;/electronic-resource-num&gt;&lt;/record&gt;&lt;/Cite&gt;&lt;/EndNote&gt;</w:instrText>
              </w:r>
              <w:r w:rsidR="001F781A">
                <w:rPr>
                  <w:snapToGrid w:val="0"/>
                </w:rPr>
                <w:fldChar w:fldCharType="separate"/>
              </w:r>
              <w:r w:rsidR="001F781A">
                <w:rPr>
                  <w:noProof/>
                  <w:snapToGrid w:val="0"/>
                </w:rPr>
                <w:t>N. Kim et al. (2019)</w:t>
              </w:r>
              <w:r w:rsidR="001F781A">
                <w:rPr>
                  <w:snapToGrid w:val="0"/>
                </w:rPr>
                <w:fldChar w:fldCharType="end"/>
              </w:r>
            </w:hyperlink>
          </w:p>
        </w:tc>
        <w:tc>
          <w:tcPr>
            <w:tcW w:w="1991" w:type="pct"/>
            <w:tcBorders>
              <w:top w:val="single" w:sz="4" w:space="0" w:color="auto"/>
            </w:tcBorders>
          </w:tcPr>
          <w:p w14:paraId="7E3E527E" w14:textId="77777777" w:rsidR="00C55F8E" w:rsidRPr="00AA03D8" w:rsidRDefault="00C55F8E" w:rsidP="00AA03D8">
            <w:pPr>
              <w:pStyle w:val="Tabletext1"/>
              <w:rPr>
                <w:snapToGrid w:val="0"/>
              </w:rPr>
            </w:pPr>
            <w:r w:rsidRPr="00AA03D8">
              <w:rPr>
                <w:snapToGrid w:val="0"/>
              </w:rPr>
              <w:t>OS</w:t>
            </w:r>
          </w:p>
        </w:tc>
        <w:tc>
          <w:tcPr>
            <w:tcW w:w="819" w:type="pct"/>
          </w:tcPr>
          <w:p w14:paraId="21BDEC43" w14:textId="77777777" w:rsidR="00C55F8E" w:rsidRPr="00AA03D8" w:rsidRDefault="00C55F8E" w:rsidP="008D7C53">
            <w:pPr>
              <w:pStyle w:val="Tabletext1"/>
              <w:jc w:val="center"/>
              <w:rPr>
                <w:snapToGrid w:val="0"/>
              </w:rPr>
            </w:pPr>
          </w:p>
        </w:tc>
        <w:tc>
          <w:tcPr>
            <w:tcW w:w="819" w:type="pct"/>
            <w:shd w:val="clear" w:color="auto" w:fill="auto"/>
          </w:tcPr>
          <w:p w14:paraId="37EFAE13" w14:textId="44A40147" w:rsidR="00C55F8E" w:rsidRPr="00AA03D8" w:rsidRDefault="00C55F8E" w:rsidP="008D7C53">
            <w:pPr>
              <w:pStyle w:val="Tabletext1"/>
              <w:jc w:val="center"/>
              <w:rPr>
                <w:snapToGrid w:val="0"/>
              </w:rPr>
            </w:pPr>
            <w:r w:rsidRPr="00AA03D8">
              <w:rPr>
                <w:snapToGrid w:val="0"/>
              </w:rPr>
              <w:t>88.5%</w:t>
            </w:r>
          </w:p>
        </w:tc>
        <w:tc>
          <w:tcPr>
            <w:tcW w:w="817" w:type="pct"/>
            <w:gridSpan w:val="2"/>
            <w:tcBorders>
              <w:right w:val="single" w:sz="4" w:space="0" w:color="auto"/>
            </w:tcBorders>
          </w:tcPr>
          <w:p w14:paraId="00F5E3F3" w14:textId="2C34C8AC" w:rsidR="00C55F8E" w:rsidRPr="00AA03D8" w:rsidRDefault="00C55F8E" w:rsidP="008D7C53">
            <w:pPr>
              <w:pStyle w:val="Tabletext1"/>
              <w:jc w:val="center"/>
              <w:rPr>
                <w:snapToGrid w:val="0"/>
              </w:rPr>
            </w:pPr>
            <w:r w:rsidRPr="00AA03D8">
              <w:rPr>
                <w:snapToGrid w:val="0"/>
              </w:rPr>
              <w:t>74.8%</w:t>
            </w:r>
          </w:p>
        </w:tc>
      </w:tr>
      <w:tr w:rsidR="00C55F8E" w:rsidRPr="00E54FA2" w14:paraId="3AD8C75A" w14:textId="77777777" w:rsidTr="00A85BB1">
        <w:tc>
          <w:tcPr>
            <w:tcW w:w="554" w:type="pct"/>
            <w:tcBorders>
              <w:top w:val="nil"/>
              <w:left w:val="single" w:sz="4" w:space="0" w:color="auto"/>
              <w:bottom w:val="nil"/>
            </w:tcBorders>
            <w:vAlign w:val="center"/>
          </w:tcPr>
          <w:p w14:paraId="4104B329" w14:textId="77777777" w:rsidR="00C55F8E" w:rsidRPr="00AA03D8" w:rsidRDefault="00C55F8E" w:rsidP="00AA03D8">
            <w:pPr>
              <w:pStyle w:val="Tabletext1"/>
              <w:rPr>
                <w:snapToGrid w:val="0"/>
              </w:rPr>
            </w:pPr>
          </w:p>
        </w:tc>
        <w:tc>
          <w:tcPr>
            <w:tcW w:w="1991" w:type="pct"/>
          </w:tcPr>
          <w:p w14:paraId="6C59F3C0" w14:textId="4AF3E43E" w:rsidR="00C55F8E" w:rsidRPr="00AA03D8" w:rsidRDefault="00C55F8E" w:rsidP="00AA03D8">
            <w:pPr>
              <w:pStyle w:val="Tabletext1"/>
              <w:rPr>
                <w:snapToGrid w:val="0"/>
              </w:rPr>
            </w:pPr>
            <w:r w:rsidRPr="00AA03D8">
              <w:rPr>
                <w:snapToGrid w:val="0"/>
              </w:rPr>
              <w:t>PFS</w:t>
            </w:r>
          </w:p>
        </w:tc>
        <w:tc>
          <w:tcPr>
            <w:tcW w:w="819" w:type="pct"/>
          </w:tcPr>
          <w:p w14:paraId="5EB18393" w14:textId="77777777" w:rsidR="00C55F8E" w:rsidRPr="00AA03D8" w:rsidRDefault="00C55F8E" w:rsidP="008D7C53">
            <w:pPr>
              <w:pStyle w:val="Tabletext1"/>
              <w:jc w:val="center"/>
              <w:rPr>
                <w:snapToGrid w:val="0"/>
              </w:rPr>
            </w:pPr>
          </w:p>
        </w:tc>
        <w:tc>
          <w:tcPr>
            <w:tcW w:w="819" w:type="pct"/>
            <w:shd w:val="clear" w:color="auto" w:fill="auto"/>
          </w:tcPr>
          <w:p w14:paraId="51E8EE02" w14:textId="4A9A448B" w:rsidR="00C55F8E" w:rsidRPr="00AA03D8" w:rsidRDefault="00C55F8E" w:rsidP="008D7C53">
            <w:pPr>
              <w:pStyle w:val="Tabletext1"/>
              <w:jc w:val="center"/>
              <w:rPr>
                <w:snapToGrid w:val="0"/>
              </w:rPr>
            </w:pPr>
            <w:r w:rsidRPr="00AA03D8">
              <w:rPr>
                <w:snapToGrid w:val="0"/>
              </w:rPr>
              <w:t>37.8%</w:t>
            </w:r>
          </w:p>
        </w:tc>
        <w:tc>
          <w:tcPr>
            <w:tcW w:w="817" w:type="pct"/>
            <w:gridSpan w:val="2"/>
            <w:tcBorders>
              <w:right w:val="single" w:sz="4" w:space="0" w:color="auto"/>
            </w:tcBorders>
          </w:tcPr>
          <w:p w14:paraId="6FFF93DF" w14:textId="5AA6AECA" w:rsidR="00C55F8E" w:rsidRPr="00AA03D8" w:rsidRDefault="00C55F8E" w:rsidP="008D7C53">
            <w:pPr>
              <w:pStyle w:val="Tabletext1"/>
              <w:jc w:val="center"/>
              <w:rPr>
                <w:snapToGrid w:val="0"/>
              </w:rPr>
            </w:pPr>
            <w:r w:rsidRPr="00AA03D8">
              <w:rPr>
                <w:snapToGrid w:val="0"/>
              </w:rPr>
              <w:t>35.6%</w:t>
            </w:r>
          </w:p>
        </w:tc>
      </w:tr>
      <w:tr w:rsidR="00C55F8E" w:rsidRPr="00E54FA2" w14:paraId="55354FEB" w14:textId="77777777" w:rsidTr="00A85BB1">
        <w:tc>
          <w:tcPr>
            <w:tcW w:w="554" w:type="pct"/>
            <w:tcBorders>
              <w:top w:val="nil"/>
              <w:left w:val="single" w:sz="4" w:space="0" w:color="auto"/>
              <w:bottom w:val="single" w:sz="4" w:space="0" w:color="auto"/>
            </w:tcBorders>
            <w:vAlign w:val="center"/>
          </w:tcPr>
          <w:p w14:paraId="762EBF39" w14:textId="77777777" w:rsidR="00C55F8E" w:rsidRPr="00AA03D8" w:rsidRDefault="00C55F8E" w:rsidP="00AA03D8">
            <w:pPr>
              <w:pStyle w:val="Tabletext1"/>
              <w:rPr>
                <w:snapToGrid w:val="0"/>
              </w:rPr>
            </w:pPr>
          </w:p>
        </w:tc>
        <w:tc>
          <w:tcPr>
            <w:tcW w:w="1991" w:type="pct"/>
          </w:tcPr>
          <w:p w14:paraId="7A6AEF08" w14:textId="48EF6D1C" w:rsidR="00C55F8E" w:rsidRPr="00AA03D8" w:rsidRDefault="00C55F8E" w:rsidP="00AA03D8">
            <w:pPr>
              <w:pStyle w:val="Tabletext1"/>
              <w:rPr>
                <w:snapToGrid w:val="0"/>
              </w:rPr>
            </w:pPr>
            <w:r w:rsidRPr="00AA03D8">
              <w:rPr>
                <w:snapToGrid w:val="0"/>
              </w:rPr>
              <w:t>FFLP</w:t>
            </w:r>
          </w:p>
        </w:tc>
        <w:tc>
          <w:tcPr>
            <w:tcW w:w="819" w:type="pct"/>
          </w:tcPr>
          <w:p w14:paraId="351ACA90" w14:textId="77777777" w:rsidR="00C55F8E" w:rsidRPr="00AA03D8" w:rsidRDefault="00C55F8E" w:rsidP="008D7C53">
            <w:pPr>
              <w:pStyle w:val="Tabletext1"/>
              <w:jc w:val="center"/>
              <w:rPr>
                <w:snapToGrid w:val="0"/>
              </w:rPr>
            </w:pPr>
          </w:p>
        </w:tc>
        <w:tc>
          <w:tcPr>
            <w:tcW w:w="819" w:type="pct"/>
            <w:shd w:val="clear" w:color="auto" w:fill="auto"/>
          </w:tcPr>
          <w:p w14:paraId="7360F386" w14:textId="1A5F220E" w:rsidR="00C55F8E" w:rsidRPr="00AA03D8" w:rsidRDefault="00C55F8E" w:rsidP="008D7C53">
            <w:pPr>
              <w:pStyle w:val="Tabletext1"/>
              <w:jc w:val="center"/>
              <w:rPr>
                <w:snapToGrid w:val="0"/>
              </w:rPr>
            </w:pPr>
            <w:r w:rsidRPr="00AA03D8">
              <w:rPr>
                <w:snapToGrid w:val="0"/>
              </w:rPr>
              <w:t>85.7%</w:t>
            </w:r>
          </w:p>
        </w:tc>
        <w:tc>
          <w:tcPr>
            <w:tcW w:w="817" w:type="pct"/>
            <w:gridSpan w:val="2"/>
            <w:tcBorders>
              <w:right w:val="single" w:sz="4" w:space="0" w:color="auto"/>
            </w:tcBorders>
          </w:tcPr>
          <w:p w14:paraId="696B51FD" w14:textId="3D71667D" w:rsidR="00C55F8E" w:rsidRPr="00AA03D8" w:rsidRDefault="00C55F8E" w:rsidP="008D7C53">
            <w:pPr>
              <w:pStyle w:val="Tabletext1"/>
              <w:jc w:val="center"/>
              <w:rPr>
                <w:snapToGrid w:val="0"/>
              </w:rPr>
            </w:pPr>
            <w:r w:rsidRPr="00AA03D8">
              <w:rPr>
                <w:snapToGrid w:val="0"/>
              </w:rPr>
              <w:t>76.3%</w:t>
            </w:r>
          </w:p>
        </w:tc>
      </w:tr>
      <w:tr w:rsidR="00C55F8E" w:rsidRPr="00E54FA2" w14:paraId="068A285B" w14:textId="77777777" w:rsidTr="00A85BB1">
        <w:tc>
          <w:tcPr>
            <w:tcW w:w="554" w:type="pct"/>
            <w:tcBorders>
              <w:top w:val="single" w:sz="4" w:space="0" w:color="auto"/>
              <w:left w:val="single" w:sz="4" w:space="0" w:color="auto"/>
              <w:bottom w:val="single" w:sz="4" w:space="0" w:color="auto"/>
            </w:tcBorders>
            <w:vAlign w:val="center"/>
          </w:tcPr>
          <w:p w14:paraId="465A39B9" w14:textId="60C56A48" w:rsidR="00C55F8E" w:rsidRPr="00AA03D8" w:rsidRDefault="00211285" w:rsidP="00AA03D8">
            <w:pPr>
              <w:pStyle w:val="Tabletext1"/>
              <w:rPr>
                <w:snapToGrid w:val="0"/>
              </w:rPr>
            </w:pPr>
            <w:hyperlink w:anchor="_ENREF_58" w:tooltip="Price, 2012 #64" w:history="1">
              <w:r w:rsidR="008B6FC0">
                <w:rPr>
                  <w:snapToGrid w:val="0"/>
                </w:rPr>
                <w:fldChar w:fldCharType="begin"/>
              </w:r>
              <w:r w:rsidR="008B6FC0">
                <w:rPr>
                  <w:snapToGrid w:val="0"/>
                </w:rPr>
                <w:instrText xml:space="preserve"> ADDIN EN.CITE &lt;EndNote&gt;&lt;Cite AuthorYear="1"&gt;&lt;Author&gt;Price&lt;/Author&gt;&lt;Year&gt;2012&lt;/Year&gt;&lt;RecNum&gt;64&lt;/RecNum&gt;&lt;DisplayText&gt;Price et al. (2012)&lt;/DisplayText&gt;&lt;record&gt;&lt;rec-number&gt;64&lt;/rec-number&gt;&lt;foreign-keys&gt;&lt;key app="EN" db-id="sx5wsdwv795wvue959xxw0ptaewvdezxxp05" timestamp="1604876397"&gt;64&lt;/key&gt;&lt;/foreign-keys&gt;&lt;ref-type name="Journal Article"&gt;17&lt;/ref-type&gt;&lt;contributors&gt;&lt;authors&gt;&lt;author&gt;Price, T. R.&lt;/author&gt;&lt;author&gt;Perkins, S. M.&lt;/author&gt;&lt;author&gt;Sandrasegaran, K.&lt;/author&gt;&lt;author&gt;Henderson, M. A.&lt;/author&gt;&lt;author&gt;Maluccio, M. A.&lt;/author&gt;&lt;author&gt;Zook, J. E.&lt;/author&gt;&lt;author&gt;Tector, A. J.&lt;/author&gt;&lt;author&gt;Vianna, R. M.&lt;/author&gt;&lt;author&gt;Johnstone, P. A. S.&lt;/author&gt;&lt;author&gt;Cardenes, H. R.&lt;/author&gt;&lt;/authors&gt;&lt;/contributors&gt;&lt;titles&gt;&lt;title&gt;Evaluation of response after stereotactic body radiotherapy for hepatocellular carcinoma&lt;/title&gt;&lt;secondary-title&gt;Cancer&lt;/secondary-title&gt;&lt;/titles&gt;&lt;pages&gt;3191-3198&lt;/pages&gt;&lt;volume&gt;118&lt;/volume&gt;&lt;number&gt;12&lt;/number&gt;&lt;dates&gt;&lt;year&gt;2012&lt;/year&gt;&lt;/dates&gt;&lt;accession-num&gt;51687899&lt;/accession-num&gt;&lt;urls&gt;&lt;related-urls&gt;&lt;url&gt;http://ezproxy.library.usyd.edu.au/login?url=http://ovidsp.ovid.com/ovidweb.cgi?T=JS&amp;amp;CSC=Y&amp;amp;NEWS=N&amp;amp;PAGE=fulltext&amp;amp;D=emed13&amp;amp;AN=51687899https://sydney.alma.exlibrisgroup.com/openurl/61USYD_INST/61USYD_INST:sydney?sid=OVID:embase&amp;amp;id=pmid:22025126&amp;amp;id=doi:10.100&lt;/url&gt;&lt;url&gt;https://acsjournals.onlinelibrary.wiley.com/doi/pdfdirect/10.1002/cncr.26404?download=true&lt;/url&gt;&lt;/related-urls&gt;&lt;/urls&gt;&lt;electronic-resource-num&gt;http://dx.doi.org/10.1002/cncr.26404&lt;/electronic-resource-num&gt;&lt;/record&gt;&lt;/Cite&gt;&lt;/EndNote&gt;</w:instrText>
              </w:r>
              <w:r w:rsidR="008B6FC0">
                <w:rPr>
                  <w:snapToGrid w:val="0"/>
                </w:rPr>
                <w:fldChar w:fldCharType="separate"/>
              </w:r>
              <w:r w:rsidR="008B6FC0">
                <w:rPr>
                  <w:noProof/>
                  <w:snapToGrid w:val="0"/>
                </w:rPr>
                <w:t>Price et al. (2012)</w:t>
              </w:r>
              <w:r w:rsidR="008B6FC0">
                <w:rPr>
                  <w:snapToGrid w:val="0"/>
                </w:rPr>
                <w:fldChar w:fldCharType="end"/>
              </w:r>
            </w:hyperlink>
          </w:p>
        </w:tc>
        <w:tc>
          <w:tcPr>
            <w:tcW w:w="1991" w:type="pct"/>
          </w:tcPr>
          <w:p w14:paraId="0E655B75" w14:textId="150DB3F7" w:rsidR="00C55F8E" w:rsidRPr="00AA03D8" w:rsidRDefault="00C55F8E" w:rsidP="00AA03D8">
            <w:pPr>
              <w:pStyle w:val="Tabletext1"/>
              <w:rPr>
                <w:snapToGrid w:val="0"/>
              </w:rPr>
            </w:pPr>
            <w:r w:rsidRPr="00AA03D8">
              <w:rPr>
                <w:snapToGrid w:val="0"/>
              </w:rPr>
              <w:t>OS</w:t>
            </w:r>
          </w:p>
        </w:tc>
        <w:tc>
          <w:tcPr>
            <w:tcW w:w="819" w:type="pct"/>
          </w:tcPr>
          <w:p w14:paraId="208A8A0B" w14:textId="77777777" w:rsidR="00C55F8E" w:rsidRPr="00AA03D8" w:rsidRDefault="00C55F8E" w:rsidP="008D7C53">
            <w:pPr>
              <w:pStyle w:val="Tabletext1"/>
              <w:jc w:val="center"/>
              <w:rPr>
                <w:snapToGrid w:val="0"/>
              </w:rPr>
            </w:pPr>
          </w:p>
        </w:tc>
        <w:tc>
          <w:tcPr>
            <w:tcW w:w="819" w:type="pct"/>
            <w:shd w:val="clear" w:color="auto" w:fill="auto"/>
          </w:tcPr>
          <w:p w14:paraId="61724489" w14:textId="49BDB703" w:rsidR="00C55F8E" w:rsidRPr="00AA03D8" w:rsidRDefault="00C55F8E" w:rsidP="008D7C53">
            <w:pPr>
              <w:pStyle w:val="Tabletext1"/>
              <w:jc w:val="center"/>
              <w:rPr>
                <w:snapToGrid w:val="0"/>
              </w:rPr>
            </w:pPr>
            <w:r w:rsidRPr="00AA03D8">
              <w:rPr>
                <w:snapToGrid w:val="0"/>
              </w:rPr>
              <w:t>77%</w:t>
            </w:r>
          </w:p>
        </w:tc>
        <w:tc>
          <w:tcPr>
            <w:tcW w:w="817" w:type="pct"/>
            <w:gridSpan w:val="2"/>
            <w:tcBorders>
              <w:right w:val="single" w:sz="4" w:space="0" w:color="auto"/>
            </w:tcBorders>
          </w:tcPr>
          <w:p w14:paraId="77BC1BF9" w14:textId="0E22D558" w:rsidR="00C55F8E" w:rsidRPr="00AA03D8" w:rsidRDefault="00C55F8E" w:rsidP="008D7C53">
            <w:pPr>
              <w:pStyle w:val="Tabletext1"/>
              <w:jc w:val="center"/>
              <w:rPr>
                <w:snapToGrid w:val="0"/>
              </w:rPr>
            </w:pPr>
            <w:r w:rsidRPr="00AA03D8">
              <w:rPr>
                <w:snapToGrid w:val="0"/>
              </w:rPr>
              <w:t>60%</w:t>
            </w:r>
          </w:p>
        </w:tc>
      </w:tr>
      <w:tr w:rsidR="00C55F8E" w:rsidRPr="00E54FA2" w14:paraId="6C7E2F99" w14:textId="77777777" w:rsidTr="00A85BB1">
        <w:tc>
          <w:tcPr>
            <w:tcW w:w="554" w:type="pct"/>
            <w:tcBorders>
              <w:top w:val="single" w:sz="4" w:space="0" w:color="auto"/>
              <w:left w:val="single" w:sz="4" w:space="0" w:color="auto"/>
              <w:bottom w:val="nil"/>
            </w:tcBorders>
          </w:tcPr>
          <w:p w14:paraId="79DD5CC2" w14:textId="108B367C" w:rsidR="00C55F8E" w:rsidRPr="00AA03D8" w:rsidRDefault="00211285" w:rsidP="00AA03D8">
            <w:pPr>
              <w:pStyle w:val="Tabletext1"/>
              <w:rPr>
                <w:snapToGrid w:val="0"/>
              </w:rPr>
            </w:pPr>
            <w:hyperlink w:anchor="_ENREF_73" w:tooltip="Valakh, 2018 #74" w:history="1">
              <w:r w:rsidR="008B6FC0">
                <w:rPr>
                  <w:snapToGrid w:val="0"/>
                </w:rPr>
                <w:fldChar w:fldCharType="begin"/>
              </w:r>
              <w:r w:rsidR="008B6FC0">
                <w:rPr>
                  <w:snapToGrid w:val="0"/>
                </w:rPr>
                <w:instrText xml:space="preserve"> ADDIN EN.CITE &lt;EndNote&gt;&lt;Cite AuthorYear="1"&gt;&lt;Author&gt;Valakh&lt;/Author&gt;&lt;Year&gt;2018&lt;/Year&gt;&lt;RecNum&gt;74&lt;/RecNum&gt;&lt;DisplayText&gt;Valakh et al. (2018)&lt;/DisplayText&gt;&lt;record&gt;&lt;rec-number&gt;74&lt;/rec-number&gt;&lt;foreign-keys&gt;&lt;key app="EN" db-id="sx5wsdwv795wvue959xxw0ptaewvdezxxp05" timestamp="1604876398"&gt;74&lt;/key&gt;&lt;/foreign-keys&gt;&lt;ref-type name="Journal Article"&gt;17&lt;/ref-type&gt;&lt;contributors&gt;&lt;authors&gt;&lt;author&gt;Valakh, V.&lt;/author&gt;&lt;author&gt;Gresswell, S.&lt;/author&gt;&lt;author&gt;Kirichenko, A.&lt;/author&gt;&lt;/authors&gt;&lt;/contributors&gt;&lt;titles&gt;&lt;title&gt;Outcomes of stereotactic body radiotherapy for hepatocellular carcinoma with severe cirrhosis and ineligibility for transplant&lt;/title&gt;&lt;secondary-title&gt;Anticancer Research&lt;/secondary-title&gt;&lt;/titles&gt;&lt;pages&gt;6815-6820&lt;/pages&gt;&lt;volume&gt;38&lt;/volume&gt;&lt;number&gt;12&lt;/number&gt;&lt;dates&gt;&lt;year&gt;2018&lt;/year&gt;&lt;/dates&gt;&lt;accession-num&gt;625292734&lt;/accession-num&gt;&lt;urls&gt;&lt;related-urls&gt;&lt;url&gt;http://ar.iiarjournals.org/content/38/12/6815.full.pdf+htmlhttp://ezproxy.library.usyd.edu.au/login?url=http://ovidsp.ovid.com/ovidweb.cgi?T=JS&amp;amp;CSC=Y&amp;amp;NEWS=N&amp;amp;PAGE=fulltext&amp;amp;D=emed19&amp;amp;AN=625292734https://sydney.alma.exlibrisgroup.com/openurl/61USYD_INST/61USY&lt;/url&gt;&lt;url&gt;http://ar.iiarjournals.org/content/38/12/6815.full.pdf&lt;/url&gt;&lt;/related-urls&gt;&lt;/urls&gt;&lt;electronic-resource-num&gt;http://dx.doi.org/10.21873/anticanres.13054&lt;/electronic-resource-num&gt;&lt;/record&gt;&lt;/Cite&gt;&lt;/EndNote&gt;</w:instrText>
              </w:r>
              <w:r w:rsidR="008B6FC0">
                <w:rPr>
                  <w:snapToGrid w:val="0"/>
                </w:rPr>
                <w:fldChar w:fldCharType="separate"/>
              </w:r>
              <w:r w:rsidR="008B6FC0">
                <w:rPr>
                  <w:noProof/>
                  <w:snapToGrid w:val="0"/>
                </w:rPr>
                <w:t>Valakh et al. (2018)</w:t>
              </w:r>
              <w:r w:rsidR="008B6FC0">
                <w:rPr>
                  <w:snapToGrid w:val="0"/>
                </w:rPr>
                <w:fldChar w:fldCharType="end"/>
              </w:r>
            </w:hyperlink>
          </w:p>
        </w:tc>
        <w:tc>
          <w:tcPr>
            <w:tcW w:w="1991" w:type="pct"/>
          </w:tcPr>
          <w:p w14:paraId="3C3C64FB" w14:textId="4E1A154A" w:rsidR="00C55F8E" w:rsidRPr="00AA03D8" w:rsidRDefault="00C55F8E" w:rsidP="00AA03D8">
            <w:pPr>
              <w:pStyle w:val="Tabletext1"/>
              <w:rPr>
                <w:snapToGrid w:val="0"/>
              </w:rPr>
            </w:pPr>
            <w:r w:rsidRPr="00AA03D8">
              <w:t xml:space="preserve">OS </w:t>
            </w:r>
          </w:p>
        </w:tc>
        <w:tc>
          <w:tcPr>
            <w:tcW w:w="819" w:type="pct"/>
          </w:tcPr>
          <w:p w14:paraId="7646F331" w14:textId="084C100E" w:rsidR="00C55F8E" w:rsidRPr="00AA03D8" w:rsidRDefault="00C55F8E" w:rsidP="008D7C53">
            <w:pPr>
              <w:pStyle w:val="Tabletext1"/>
              <w:jc w:val="center"/>
              <w:rPr>
                <w:rFonts w:ascii="Calibri" w:hAnsi="Calibri" w:cs="Calibri"/>
                <w:color w:val="000000"/>
                <w:sz w:val="22"/>
              </w:rPr>
            </w:pPr>
            <w:r w:rsidRPr="00AA03D8">
              <w:t>26.7% (4.4-49%)</w:t>
            </w:r>
          </w:p>
        </w:tc>
        <w:tc>
          <w:tcPr>
            <w:tcW w:w="819" w:type="pct"/>
            <w:shd w:val="clear" w:color="auto" w:fill="auto"/>
          </w:tcPr>
          <w:p w14:paraId="73FAB73D" w14:textId="77777777" w:rsidR="00C55F8E" w:rsidRPr="00AA03D8" w:rsidRDefault="00C55F8E" w:rsidP="008D7C53">
            <w:pPr>
              <w:pStyle w:val="Tabletext1"/>
              <w:jc w:val="center"/>
              <w:rPr>
                <w:snapToGrid w:val="0"/>
              </w:rPr>
            </w:pPr>
          </w:p>
        </w:tc>
        <w:tc>
          <w:tcPr>
            <w:tcW w:w="817" w:type="pct"/>
            <w:gridSpan w:val="2"/>
            <w:tcBorders>
              <w:right w:val="single" w:sz="4" w:space="0" w:color="auto"/>
            </w:tcBorders>
          </w:tcPr>
          <w:p w14:paraId="745498FE" w14:textId="77777777" w:rsidR="00C55F8E" w:rsidRPr="00AA03D8" w:rsidRDefault="00C55F8E" w:rsidP="008D7C53">
            <w:pPr>
              <w:pStyle w:val="Tabletext1"/>
              <w:jc w:val="center"/>
              <w:rPr>
                <w:snapToGrid w:val="0"/>
              </w:rPr>
            </w:pPr>
          </w:p>
        </w:tc>
      </w:tr>
      <w:tr w:rsidR="00C55F8E" w:rsidRPr="00E54FA2" w14:paraId="1636D6F8" w14:textId="77777777" w:rsidTr="00A85BB1">
        <w:tc>
          <w:tcPr>
            <w:tcW w:w="554" w:type="pct"/>
            <w:tcBorders>
              <w:top w:val="nil"/>
              <w:left w:val="single" w:sz="4" w:space="0" w:color="auto"/>
              <w:bottom w:val="nil"/>
            </w:tcBorders>
            <w:vAlign w:val="center"/>
          </w:tcPr>
          <w:p w14:paraId="6DB90895" w14:textId="77777777" w:rsidR="00C55F8E" w:rsidRPr="00AA03D8" w:rsidRDefault="00C55F8E" w:rsidP="00AA03D8">
            <w:pPr>
              <w:pStyle w:val="Tabletext1"/>
              <w:rPr>
                <w:snapToGrid w:val="0"/>
              </w:rPr>
            </w:pPr>
          </w:p>
        </w:tc>
        <w:tc>
          <w:tcPr>
            <w:tcW w:w="1991" w:type="pct"/>
          </w:tcPr>
          <w:p w14:paraId="6E8B2327" w14:textId="20530B1B" w:rsidR="00C55F8E" w:rsidRPr="00AA03D8" w:rsidRDefault="00AA03D8" w:rsidP="00AA03D8">
            <w:pPr>
              <w:pStyle w:val="Tabletext1"/>
              <w:rPr>
                <w:snapToGrid w:val="0"/>
              </w:rPr>
            </w:pPr>
            <w:r w:rsidRPr="00AA03D8">
              <w:t>Freedom from in-field tumour failure</w:t>
            </w:r>
          </w:p>
        </w:tc>
        <w:tc>
          <w:tcPr>
            <w:tcW w:w="819" w:type="pct"/>
          </w:tcPr>
          <w:p w14:paraId="53D33293" w14:textId="5AEBEB04" w:rsidR="00C55F8E" w:rsidRPr="00AA03D8" w:rsidRDefault="00C55F8E" w:rsidP="008D7C53">
            <w:pPr>
              <w:pStyle w:val="Tabletext1"/>
              <w:jc w:val="center"/>
              <w:rPr>
                <w:snapToGrid w:val="0"/>
              </w:rPr>
            </w:pPr>
            <w:r w:rsidRPr="00AA03D8">
              <w:rPr>
                <w:snapToGrid w:val="0"/>
              </w:rPr>
              <w:t>100%</w:t>
            </w:r>
          </w:p>
        </w:tc>
        <w:tc>
          <w:tcPr>
            <w:tcW w:w="819" w:type="pct"/>
            <w:shd w:val="clear" w:color="auto" w:fill="auto"/>
          </w:tcPr>
          <w:p w14:paraId="6AD08614" w14:textId="77777777" w:rsidR="00C55F8E" w:rsidRPr="00AA03D8" w:rsidRDefault="00C55F8E" w:rsidP="008D7C53">
            <w:pPr>
              <w:pStyle w:val="Tabletext1"/>
              <w:jc w:val="center"/>
              <w:rPr>
                <w:snapToGrid w:val="0"/>
              </w:rPr>
            </w:pPr>
          </w:p>
        </w:tc>
        <w:tc>
          <w:tcPr>
            <w:tcW w:w="817" w:type="pct"/>
            <w:gridSpan w:val="2"/>
            <w:tcBorders>
              <w:right w:val="single" w:sz="4" w:space="0" w:color="auto"/>
            </w:tcBorders>
          </w:tcPr>
          <w:p w14:paraId="5CB4914B" w14:textId="77777777" w:rsidR="00C55F8E" w:rsidRPr="00AA03D8" w:rsidRDefault="00C55F8E" w:rsidP="008D7C53">
            <w:pPr>
              <w:pStyle w:val="Tabletext1"/>
              <w:jc w:val="center"/>
              <w:rPr>
                <w:snapToGrid w:val="0"/>
              </w:rPr>
            </w:pPr>
          </w:p>
        </w:tc>
      </w:tr>
      <w:tr w:rsidR="00C55F8E" w:rsidRPr="00E54FA2" w14:paraId="450592DE" w14:textId="77777777" w:rsidTr="00A85BB1">
        <w:tc>
          <w:tcPr>
            <w:tcW w:w="554" w:type="pct"/>
            <w:tcBorders>
              <w:top w:val="nil"/>
              <w:left w:val="single" w:sz="4" w:space="0" w:color="auto"/>
              <w:bottom w:val="single" w:sz="4" w:space="0" w:color="auto"/>
            </w:tcBorders>
            <w:vAlign w:val="center"/>
          </w:tcPr>
          <w:p w14:paraId="47AD81DF" w14:textId="77777777" w:rsidR="00C55F8E" w:rsidRPr="00AA03D8" w:rsidRDefault="00C55F8E" w:rsidP="00AA03D8">
            <w:pPr>
              <w:pStyle w:val="Tabletext1"/>
              <w:rPr>
                <w:snapToGrid w:val="0"/>
              </w:rPr>
            </w:pPr>
          </w:p>
        </w:tc>
        <w:tc>
          <w:tcPr>
            <w:tcW w:w="1991" w:type="pct"/>
            <w:tcBorders>
              <w:bottom w:val="single" w:sz="4" w:space="0" w:color="auto"/>
            </w:tcBorders>
          </w:tcPr>
          <w:p w14:paraId="665C1543" w14:textId="3858C7BD" w:rsidR="00C55F8E" w:rsidRPr="00AA03D8" w:rsidRDefault="00AA03D8" w:rsidP="00AA03D8">
            <w:pPr>
              <w:pStyle w:val="Tabletext1"/>
              <w:rPr>
                <w:snapToGrid w:val="0"/>
              </w:rPr>
            </w:pPr>
            <w:r w:rsidRPr="00AA03D8">
              <w:t>Freedom from intrahepatic cancer relapse</w:t>
            </w:r>
          </w:p>
        </w:tc>
        <w:tc>
          <w:tcPr>
            <w:tcW w:w="819" w:type="pct"/>
            <w:tcBorders>
              <w:bottom w:val="single" w:sz="4" w:space="0" w:color="auto"/>
            </w:tcBorders>
          </w:tcPr>
          <w:p w14:paraId="3AB59A19" w14:textId="3AA43218" w:rsidR="00C55F8E" w:rsidRPr="00AA03D8" w:rsidRDefault="006864A8" w:rsidP="008D7C53">
            <w:pPr>
              <w:pStyle w:val="Tabletext1"/>
              <w:jc w:val="center"/>
              <w:rPr>
                <w:snapToGrid w:val="0"/>
              </w:rPr>
            </w:pPr>
            <w:r>
              <w:rPr>
                <w:snapToGrid w:val="0"/>
              </w:rPr>
              <w:t>91%</w:t>
            </w:r>
          </w:p>
        </w:tc>
        <w:tc>
          <w:tcPr>
            <w:tcW w:w="819" w:type="pct"/>
            <w:tcBorders>
              <w:bottom w:val="single" w:sz="4" w:space="0" w:color="auto"/>
            </w:tcBorders>
            <w:shd w:val="clear" w:color="auto" w:fill="auto"/>
          </w:tcPr>
          <w:p w14:paraId="75A88F97" w14:textId="77777777" w:rsidR="00C55F8E" w:rsidRPr="00AA03D8" w:rsidRDefault="00C55F8E" w:rsidP="008D7C53">
            <w:pPr>
              <w:pStyle w:val="Tabletext1"/>
              <w:jc w:val="center"/>
              <w:rPr>
                <w:snapToGrid w:val="0"/>
              </w:rPr>
            </w:pPr>
          </w:p>
        </w:tc>
        <w:tc>
          <w:tcPr>
            <w:tcW w:w="817" w:type="pct"/>
            <w:gridSpan w:val="2"/>
            <w:tcBorders>
              <w:bottom w:val="single" w:sz="4" w:space="0" w:color="auto"/>
              <w:right w:val="single" w:sz="4" w:space="0" w:color="auto"/>
            </w:tcBorders>
          </w:tcPr>
          <w:p w14:paraId="5E999568" w14:textId="77777777" w:rsidR="00C55F8E" w:rsidRPr="00AA03D8" w:rsidRDefault="00C55F8E" w:rsidP="008D7C53">
            <w:pPr>
              <w:pStyle w:val="Tabletext1"/>
              <w:jc w:val="center"/>
              <w:rPr>
                <w:snapToGrid w:val="0"/>
              </w:rPr>
            </w:pPr>
          </w:p>
        </w:tc>
      </w:tr>
    </w:tbl>
    <w:p w14:paraId="6F7226D7" w14:textId="2B50FA1A" w:rsidR="00B93C7E" w:rsidRDefault="004E41D7" w:rsidP="00411D51">
      <w:pPr>
        <w:pStyle w:val="Tablenotes0"/>
      </w:pPr>
      <w:r>
        <w:t>CI</w:t>
      </w:r>
      <w:r w:rsidR="00204471">
        <w:t>=</w:t>
      </w:r>
      <w:r>
        <w:t>confidence interval; DFS</w:t>
      </w:r>
      <w:r w:rsidR="007F41FA">
        <w:t>=</w:t>
      </w:r>
      <w:r>
        <w:t>disease-free survival; FFLP</w:t>
      </w:r>
      <w:r w:rsidR="007F41FA">
        <w:t>=</w:t>
      </w:r>
      <w:r>
        <w:t>freedom from local progression; OS</w:t>
      </w:r>
      <w:r w:rsidR="007F41FA">
        <w:t>=</w:t>
      </w:r>
      <w:r>
        <w:t>overall survival; PFS</w:t>
      </w:r>
      <w:r w:rsidR="007F41FA">
        <w:t>=</w:t>
      </w:r>
      <w:r>
        <w:t xml:space="preserve">progression-free survival </w:t>
      </w:r>
    </w:p>
    <w:p w14:paraId="18116FED" w14:textId="77777777" w:rsidR="00B073C2" w:rsidRDefault="00B073C2" w:rsidP="00722261">
      <w:pPr>
        <w:pStyle w:val="Heading4"/>
      </w:pPr>
      <w:r>
        <w:t xml:space="preserve">Head and neck cancer </w:t>
      </w:r>
    </w:p>
    <w:p w14:paraId="6FFFA0C0" w14:textId="0A819CF6" w:rsidR="00B073C2" w:rsidRPr="00B16C86" w:rsidRDefault="00EB132A" w:rsidP="00B073C2">
      <w:r>
        <w:t>S</w:t>
      </w:r>
      <w:r w:rsidR="00E27AFD">
        <w:t xml:space="preserve">urvival data </w:t>
      </w:r>
      <w:r>
        <w:t xml:space="preserve">for </w:t>
      </w:r>
      <w:r w:rsidR="00FA559F">
        <w:t xml:space="preserve">patients with </w:t>
      </w:r>
      <w:r>
        <w:t>head and neck cancer treated with MR-IGRT were</w:t>
      </w:r>
      <w:r w:rsidR="00E27AFD">
        <w:t xml:space="preserve"> reported </w:t>
      </w:r>
      <w:r>
        <w:t>by</w:t>
      </w:r>
      <w:r w:rsidR="00E27AFD">
        <w:t xml:space="preserve"> </w:t>
      </w:r>
      <w:hyperlink w:anchor="_ENREF_21" w:tooltip="Chen, 2018 #24" w:history="1">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 </w:instrText>
        </w:r>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EN.CITE.DATA </w:instrText>
        </w:r>
        <w:r w:rsidR="008B6FC0">
          <w:fldChar w:fldCharType="end"/>
        </w:r>
        <w:r w:rsidR="008B6FC0">
          <w:fldChar w:fldCharType="separate"/>
        </w:r>
        <w:r w:rsidR="008B6FC0">
          <w:rPr>
            <w:noProof/>
          </w:rPr>
          <w:t>Chen et al. (2018)</w:t>
        </w:r>
        <w:r w:rsidR="008B6FC0">
          <w:fldChar w:fldCharType="end"/>
        </w:r>
      </w:hyperlink>
      <w:r w:rsidR="00B93C7E">
        <w:t xml:space="preserve"> and </w:t>
      </w:r>
      <w:r>
        <w:t>are</w:t>
      </w:r>
      <w:r w:rsidR="00E27AFD">
        <w:t xml:space="preserve"> </w:t>
      </w:r>
      <w:r w:rsidR="00B073C2">
        <w:t xml:space="preserve">summarised in </w:t>
      </w:r>
      <w:r w:rsidR="00B073C2">
        <w:fldChar w:fldCharType="begin"/>
      </w:r>
      <w:r w:rsidR="00B073C2">
        <w:instrText xml:space="preserve"> REF _Ref55895469 \h </w:instrText>
      </w:r>
      <w:r w:rsidR="00B073C2">
        <w:fldChar w:fldCharType="separate"/>
      </w:r>
      <w:r w:rsidR="00451350" w:rsidRPr="00E54FA2">
        <w:t xml:space="preserve">Table </w:t>
      </w:r>
      <w:r w:rsidR="00451350">
        <w:rPr>
          <w:noProof/>
        </w:rPr>
        <w:t>36</w:t>
      </w:r>
      <w:r w:rsidR="00B073C2">
        <w:fldChar w:fldCharType="end"/>
      </w:r>
      <w:r w:rsidR="00B073C2">
        <w:t>.</w:t>
      </w:r>
    </w:p>
    <w:p w14:paraId="3CC6D4CB" w14:textId="2848E593" w:rsidR="00B073C2" w:rsidRPr="00E54FA2" w:rsidRDefault="00B073C2" w:rsidP="008D7C53">
      <w:pPr>
        <w:pStyle w:val="Caption"/>
        <w:keepNext/>
        <w:jc w:val="both"/>
        <w:rPr>
          <w:rFonts w:cs="Arial"/>
          <w:snapToGrid w:val="0"/>
          <w:szCs w:val="16"/>
          <w:lang w:eastAsia="en-US"/>
        </w:rPr>
      </w:pPr>
      <w:bookmarkStart w:id="415" w:name="_Ref55895469"/>
      <w:bookmarkStart w:id="416" w:name="_Toc89857907"/>
      <w:r w:rsidRPr="00E54FA2">
        <w:lastRenderedPageBreak/>
        <w:t xml:space="preserve">Table </w:t>
      </w:r>
      <w:r w:rsidR="00211285">
        <w:fldChar w:fldCharType="begin"/>
      </w:r>
      <w:r w:rsidR="00211285">
        <w:instrText xml:space="preserve"> SEQ Table \* ARABIC </w:instrText>
      </w:r>
      <w:r w:rsidR="00211285">
        <w:fldChar w:fldCharType="separate"/>
      </w:r>
      <w:r w:rsidR="00451350">
        <w:rPr>
          <w:noProof/>
        </w:rPr>
        <w:t>36</w:t>
      </w:r>
      <w:r w:rsidR="00211285">
        <w:rPr>
          <w:noProof/>
        </w:rPr>
        <w:fldChar w:fldCharType="end"/>
      </w:r>
      <w:bookmarkEnd w:id="415"/>
      <w:r w:rsidRPr="00E54FA2">
        <w:tab/>
      </w:r>
      <w:r w:rsidRPr="00E54FA2">
        <w:rPr>
          <w:rFonts w:cs="Arial"/>
          <w:snapToGrid w:val="0"/>
          <w:szCs w:val="16"/>
          <w:lang w:eastAsia="en-US"/>
        </w:rPr>
        <w:t>Results of key patient-relevant outcome</w:t>
      </w:r>
      <w:r>
        <w:rPr>
          <w:rFonts w:cs="Arial"/>
          <w:snapToGrid w:val="0"/>
          <w:szCs w:val="16"/>
          <w:lang w:eastAsia="en-US"/>
        </w:rPr>
        <w:t>s</w:t>
      </w:r>
      <w:r w:rsidRPr="00047990">
        <w:t xml:space="preserve">, </w:t>
      </w:r>
      <w:r>
        <w:t>head and neck</w:t>
      </w:r>
      <w:r w:rsidRPr="00047990">
        <w:t xml:space="preserve"> cancer, </w:t>
      </w:r>
      <w:r>
        <w:t>MR</w:t>
      </w:r>
      <w:r w:rsidRPr="00047990">
        <w:t>-IGRT</w:t>
      </w:r>
      <w:bookmarkEnd w:id="416"/>
    </w:p>
    <w:tbl>
      <w:tblPr>
        <w:tblStyle w:val="TableGrid1"/>
        <w:tblW w:w="5000" w:type="pct"/>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710"/>
        <w:gridCol w:w="2396"/>
        <w:gridCol w:w="4910"/>
      </w:tblGrid>
      <w:tr w:rsidR="00B073C2" w:rsidRPr="00E54FA2" w14:paraId="76732FCE" w14:textId="77777777" w:rsidTr="00BD4D8B">
        <w:trPr>
          <w:cnfStyle w:val="100000000000" w:firstRow="1" w:lastRow="0" w:firstColumn="0" w:lastColumn="0" w:oddVBand="0" w:evenVBand="0" w:oddHBand="0" w:evenHBand="0" w:firstRowFirstColumn="0" w:firstRowLastColumn="0" w:lastRowFirstColumn="0" w:lastRowLastColumn="0"/>
          <w:tblHeader/>
        </w:trPr>
        <w:tc>
          <w:tcPr>
            <w:tcW w:w="948" w:type="pct"/>
            <w:tcBorders>
              <w:bottom w:val="single" w:sz="4" w:space="0" w:color="auto"/>
            </w:tcBorders>
          </w:tcPr>
          <w:p w14:paraId="32DE5114" w14:textId="77777777" w:rsidR="00B073C2" w:rsidRDefault="00B073C2" w:rsidP="00BD4D8B">
            <w:pPr>
              <w:pStyle w:val="TableHeading"/>
              <w:rPr>
                <w:snapToGrid w:val="0"/>
                <w:lang w:eastAsia="en-US"/>
              </w:rPr>
            </w:pPr>
            <w:r w:rsidRPr="00E54FA2">
              <w:rPr>
                <w:snapToGrid w:val="0"/>
                <w:lang w:eastAsia="en-US"/>
              </w:rPr>
              <w:t>Study ID</w:t>
            </w:r>
          </w:p>
        </w:tc>
        <w:tc>
          <w:tcPr>
            <w:tcW w:w="1329" w:type="pct"/>
          </w:tcPr>
          <w:p w14:paraId="15D9443C" w14:textId="77777777" w:rsidR="00B073C2" w:rsidRPr="00E54FA2" w:rsidRDefault="00B073C2" w:rsidP="00BD4D8B">
            <w:pPr>
              <w:pStyle w:val="TableHeading"/>
              <w:ind w:left="16" w:right="117"/>
              <w:rPr>
                <w:snapToGrid w:val="0"/>
                <w:lang w:eastAsia="en-US"/>
              </w:rPr>
            </w:pPr>
            <w:r>
              <w:rPr>
                <w:snapToGrid w:val="0"/>
                <w:lang w:eastAsia="en-US"/>
              </w:rPr>
              <w:t>Outcome</w:t>
            </w:r>
          </w:p>
        </w:tc>
        <w:tc>
          <w:tcPr>
            <w:tcW w:w="2723" w:type="pct"/>
            <w:shd w:val="clear" w:color="auto" w:fill="auto"/>
          </w:tcPr>
          <w:p w14:paraId="4B1B6EB7" w14:textId="5A3491CF" w:rsidR="00B073C2" w:rsidRPr="00E54FA2" w:rsidRDefault="001A721A" w:rsidP="00BD4D8B">
            <w:pPr>
              <w:pStyle w:val="TableHeading"/>
              <w:ind w:left="111" w:right="117"/>
              <w:jc w:val="center"/>
              <w:rPr>
                <w:snapToGrid w:val="0"/>
                <w:lang w:eastAsia="en-US"/>
              </w:rPr>
            </w:pPr>
            <w:r>
              <w:rPr>
                <w:snapToGrid w:val="0"/>
                <w:lang w:eastAsia="en-US"/>
              </w:rPr>
              <w:t>One year</w:t>
            </w:r>
            <w:r w:rsidR="00B073C2">
              <w:rPr>
                <w:snapToGrid w:val="0"/>
                <w:lang w:eastAsia="en-US"/>
              </w:rPr>
              <w:t xml:space="preserve"> survival rate</w:t>
            </w:r>
            <w:r w:rsidR="00B073C2" w:rsidRPr="00E54FA2">
              <w:rPr>
                <w:snapToGrid w:val="0"/>
                <w:lang w:eastAsia="en-US"/>
              </w:rPr>
              <w:t xml:space="preserve"> (%)</w:t>
            </w:r>
          </w:p>
        </w:tc>
      </w:tr>
      <w:tr w:rsidR="00B073C2" w:rsidRPr="00E54FA2" w14:paraId="304776EA" w14:textId="77777777" w:rsidTr="00BD4D8B">
        <w:tc>
          <w:tcPr>
            <w:tcW w:w="948" w:type="pct"/>
            <w:tcBorders>
              <w:bottom w:val="nil"/>
            </w:tcBorders>
            <w:vAlign w:val="center"/>
          </w:tcPr>
          <w:p w14:paraId="3BFDDD0F" w14:textId="296F3A13" w:rsidR="00B073C2" w:rsidRDefault="00211285" w:rsidP="00BD4D8B">
            <w:pPr>
              <w:pStyle w:val="TableText0"/>
              <w:rPr>
                <w:snapToGrid w:val="0"/>
              </w:rPr>
            </w:pPr>
            <w:hyperlink w:anchor="_ENREF_21" w:tooltip="Chen, 2018 #24" w:history="1">
              <w:r w:rsidR="008B6FC0">
                <w:rPr>
                  <w:snapToGrid w:val="0"/>
                </w:rPr>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rPr>
                  <w:snapToGrid w:val="0"/>
                </w:rPr>
                <w:instrText xml:space="preserve"> ADDIN EN.CITE </w:instrText>
              </w:r>
              <w:r w:rsidR="008B6FC0">
                <w:rPr>
                  <w:snapToGrid w:val="0"/>
                </w:rPr>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rPr>
                  <w:snapToGrid w:val="0"/>
                </w:rPr>
                <w:instrText xml:space="preserve"> ADDIN EN.CITE.DATA </w:instrText>
              </w:r>
              <w:r w:rsidR="008B6FC0">
                <w:rPr>
                  <w:snapToGrid w:val="0"/>
                </w:rPr>
              </w:r>
              <w:r w:rsidR="008B6FC0">
                <w:rPr>
                  <w:snapToGrid w:val="0"/>
                </w:rPr>
                <w:fldChar w:fldCharType="end"/>
              </w:r>
              <w:r w:rsidR="008B6FC0">
                <w:rPr>
                  <w:snapToGrid w:val="0"/>
                </w:rPr>
              </w:r>
              <w:r w:rsidR="008B6FC0">
                <w:rPr>
                  <w:snapToGrid w:val="0"/>
                </w:rPr>
                <w:fldChar w:fldCharType="separate"/>
              </w:r>
              <w:r w:rsidR="008B6FC0">
                <w:rPr>
                  <w:noProof/>
                  <w:snapToGrid w:val="0"/>
                </w:rPr>
                <w:t>Chen et al. (2018)</w:t>
              </w:r>
              <w:r w:rsidR="008B6FC0">
                <w:rPr>
                  <w:snapToGrid w:val="0"/>
                </w:rPr>
                <w:fldChar w:fldCharType="end"/>
              </w:r>
            </w:hyperlink>
          </w:p>
        </w:tc>
        <w:tc>
          <w:tcPr>
            <w:tcW w:w="1329" w:type="pct"/>
          </w:tcPr>
          <w:p w14:paraId="15165F98" w14:textId="77777777" w:rsidR="00B073C2" w:rsidRPr="0003573E" w:rsidRDefault="00B073C2" w:rsidP="00BD4D8B">
            <w:pPr>
              <w:pStyle w:val="TableText0"/>
              <w:ind w:left="16" w:right="117"/>
              <w:rPr>
                <w:snapToGrid w:val="0"/>
              </w:rPr>
            </w:pPr>
            <w:r>
              <w:rPr>
                <w:snapToGrid w:val="0"/>
              </w:rPr>
              <w:t xml:space="preserve">OS </w:t>
            </w:r>
          </w:p>
        </w:tc>
        <w:tc>
          <w:tcPr>
            <w:tcW w:w="2723" w:type="pct"/>
            <w:shd w:val="clear" w:color="auto" w:fill="auto"/>
            <w:vAlign w:val="center"/>
          </w:tcPr>
          <w:p w14:paraId="165E0737" w14:textId="77777777" w:rsidR="00B073C2" w:rsidRPr="0003573E" w:rsidRDefault="00B073C2" w:rsidP="00BD4D8B">
            <w:pPr>
              <w:pStyle w:val="TableText0"/>
              <w:ind w:left="111" w:right="117"/>
              <w:jc w:val="center"/>
              <w:rPr>
                <w:snapToGrid w:val="0"/>
              </w:rPr>
            </w:pPr>
            <w:r>
              <w:rPr>
                <w:snapToGrid w:val="0"/>
              </w:rPr>
              <w:t>96%</w:t>
            </w:r>
          </w:p>
        </w:tc>
      </w:tr>
      <w:tr w:rsidR="00B073C2" w:rsidRPr="00E54FA2" w14:paraId="2465BBEA" w14:textId="77777777" w:rsidTr="00BD4D8B">
        <w:tc>
          <w:tcPr>
            <w:tcW w:w="948" w:type="pct"/>
            <w:tcBorders>
              <w:top w:val="nil"/>
              <w:bottom w:val="nil"/>
            </w:tcBorders>
            <w:vAlign w:val="center"/>
          </w:tcPr>
          <w:p w14:paraId="40A9AFBF" w14:textId="77777777" w:rsidR="00B073C2" w:rsidRDefault="00B073C2" w:rsidP="00BD4D8B">
            <w:pPr>
              <w:pStyle w:val="TableText0"/>
              <w:rPr>
                <w:snapToGrid w:val="0"/>
              </w:rPr>
            </w:pPr>
          </w:p>
        </w:tc>
        <w:tc>
          <w:tcPr>
            <w:tcW w:w="1329" w:type="pct"/>
          </w:tcPr>
          <w:p w14:paraId="48C809D4" w14:textId="77777777" w:rsidR="00B073C2" w:rsidRPr="0003573E" w:rsidRDefault="00B073C2" w:rsidP="00BD4D8B">
            <w:pPr>
              <w:pStyle w:val="TableText0"/>
              <w:ind w:left="16" w:right="117"/>
              <w:rPr>
                <w:snapToGrid w:val="0"/>
              </w:rPr>
            </w:pPr>
            <w:r>
              <w:rPr>
                <w:snapToGrid w:val="0"/>
              </w:rPr>
              <w:t xml:space="preserve">PFS </w:t>
            </w:r>
          </w:p>
        </w:tc>
        <w:tc>
          <w:tcPr>
            <w:tcW w:w="2723" w:type="pct"/>
            <w:shd w:val="clear" w:color="auto" w:fill="auto"/>
            <w:vAlign w:val="center"/>
          </w:tcPr>
          <w:p w14:paraId="3D2DE2E2" w14:textId="77777777" w:rsidR="00B073C2" w:rsidRPr="0003573E" w:rsidRDefault="00B073C2" w:rsidP="00BD4D8B">
            <w:pPr>
              <w:pStyle w:val="TableText0"/>
              <w:ind w:left="111" w:right="117"/>
              <w:jc w:val="center"/>
              <w:rPr>
                <w:snapToGrid w:val="0"/>
              </w:rPr>
            </w:pPr>
            <w:r>
              <w:rPr>
                <w:snapToGrid w:val="0"/>
              </w:rPr>
              <w:t>95%</w:t>
            </w:r>
          </w:p>
        </w:tc>
      </w:tr>
      <w:tr w:rsidR="00B073C2" w:rsidRPr="00E54FA2" w14:paraId="00D834D8" w14:textId="77777777" w:rsidTr="00BD4D8B">
        <w:tc>
          <w:tcPr>
            <w:tcW w:w="948" w:type="pct"/>
            <w:tcBorders>
              <w:top w:val="nil"/>
              <w:bottom w:val="single" w:sz="4" w:space="0" w:color="auto"/>
            </w:tcBorders>
            <w:vAlign w:val="center"/>
          </w:tcPr>
          <w:p w14:paraId="6DE6C23E" w14:textId="77777777" w:rsidR="00B073C2" w:rsidRDefault="00B073C2" w:rsidP="00BD4D8B">
            <w:pPr>
              <w:pStyle w:val="TableText0"/>
              <w:rPr>
                <w:snapToGrid w:val="0"/>
              </w:rPr>
            </w:pPr>
          </w:p>
        </w:tc>
        <w:tc>
          <w:tcPr>
            <w:tcW w:w="1329" w:type="pct"/>
          </w:tcPr>
          <w:p w14:paraId="48B6B43E" w14:textId="77777777" w:rsidR="00B073C2" w:rsidRPr="0003573E" w:rsidRDefault="00B073C2" w:rsidP="00BD4D8B">
            <w:pPr>
              <w:pStyle w:val="TableText0"/>
              <w:ind w:left="16" w:right="117"/>
              <w:rPr>
                <w:snapToGrid w:val="0"/>
              </w:rPr>
            </w:pPr>
            <w:r>
              <w:rPr>
                <w:snapToGrid w:val="0"/>
              </w:rPr>
              <w:t xml:space="preserve">LRC </w:t>
            </w:r>
          </w:p>
        </w:tc>
        <w:tc>
          <w:tcPr>
            <w:tcW w:w="2723" w:type="pct"/>
            <w:shd w:val="clear" w:color="auto" w:fill="auto"/>
            <w:vAlign w:val="center"/>
          </w:tcPr>
          <w:p w14:paraId="242D81C5" w14:textId="77777777" w:rsidR="00B073C2" w:rsidRPr="0003573E" w:rsidRDefault="00B073C2" w:rsidP="00BD4D8B">
            <w:pPr>
              <w:pStyle w:val="TableText0"/>
              <w:ind w:left="111" w:right="117"/>
              <w:jc w:val="center"/>
              <w:rPr>
                <w:snapToGrid w:val="0"/>
              </w:rPr>
            </w:pPr>
            <w:r>
              <w:rPr>
                <w:snapToGrid w:val="0"/>
              </w:rPr>
              <w:t>95%</w:t>
            </w:r>
          </w:p>
        </w:tc>
      </w:tr>
    </w:tbl>
    <w:p w14:paraId="016FE085" w14:textId="77777777" w:rsidR="00B073C2" w:rsidRDefault="00B073C2" w:rsidP="00411D51">
      <w:pPr>
        <w:pStyle w:val="Tablenotes0"/>
      </w:pPr>
      <w:r>
        <w:t>LRC=loco-regional control; PFS=progression-free survival; OS=overall survival</w:t>
      </w:r>
    </w:p>
    <w:p w14:paraId="263410A7" w14:textId="4FD86A34" w:rsidR="00B073C2" w:rsidRDefault="006518C5" w:rsidP="00B073C2">
      <w:r>
        <w:t xml:space="preserve">One study reported </w:t>
      </w:r>
      <w:r w:rsidR="007F54D0">
        <w:t>two</w:t>
      </w:r>
      <w:r w:rsidR="00EB132A">
        <w:t>-</w:t>
      </w:r>
      <w:r w:rsidR="007F54D0">
        <w:t>year survival</w:t>
      </w:r>
      <w:r w:rsidR="00EB132A">
        <w:t xml:space="preserve"> rates for </w:t>
      </w:r>
      <w:r w:rsidR="00FA559F">
        <w:t xml:space="preserve">patients with </w:t>
      </w:r>
      <w:r w:rsidR="00EB132A">
        <w:t>head and neck cancer treated with CBCT-IGRT</w:t>
      </w:r>
      <w:r w:rsidR="008D7C53">
        <w:t>,</w:t>
      </w:r>
      <w:r w:rsidR="00B073C2">
        <w:t xml:space="preserve"> summarised in </w:t>
      </w:r>
      <w:r w:rsidR="00B073C2">
        <w:fldChar w:fldCharType="begin"/>
      </w:r>
      <w:r w:rsidR="00B073C2">
        <w:instrText xml:space="preserve"> REF _Ref55895485 \h </w:instrText>
      </w:r>
      <w:r w:rsidR="00B073C2">
        <w:fldChar w:fldCharType="separate"/>
      </w:r>
      <w:r w:rsidR="00451350">
        <w:t xml:space="preserve">Table </w:t>
      </w:r>
      <w:r w:rsidR="00451350">
        <w:rPr>
          <w:noProof/>
        </w:rPr>
        <w:t>37</w:t>
      </w:r>
      <w:r w:rsidR="00B073C2">
        <w:fldChar w:fldCharType="end"/>
      </w:r>
      <w:r w:rsidR="00B073C2">
        <w:t>.</w:t>
      </w:r>
    </w:p>
    <w:p w14:paraId="366FA485" w14:textId="0760C264" w:rsidR="00B073C2" w:rsidRDefault="00B073C2" w:rsidP="008D7C53">
      <w:pPr>
        <w:pStyle w:val="Caption"/>
        <w:keepNext/>
        <w:jc w:val="both"/>
      </w:pPr>
      <w:bookmarkStart w:id="417" w:name="_Ref55895485"/>
      <w:bookmarkStart w:id="418" w:name="_Toc89857908"/>
      <w:r>
        <w:t xml:space="preserve">Table </w:t>
      </w:r>
      <w:r w:rsidR="00211285">
        <w:fldChar w:fldCharType="begin"/>
      </w:r>
      <w:r w:rsidR="00211285">
        <w:instrText xml:space="preserve"> SEQ Table \* ARABIC </w:instrText>
      </w:r>
      <w:r w:rsidR="00211285">
        <w:fldChar w:fldCharType="separate"/>
      </w:r>
      <w:r w:rsidR="00451350">
        <w:rPr>
          <w:noProof/>
        </w:rPr>
        <w:t>37</w:t>
      </w:r>
      <w:r w:rsidR="00211285">
        <w:rPr>
          <w:noProof/>
        </w:rPr>
        <w:fldChar w:fldCharType="end"/>
      </w:r>
      <w:bookmarkEnd w:id="417"/>
      <w:r>
        <w:tab/>
      </w:r>
      <w:r w:rsidRPr="00E54FA2">
        <w:rPr>
          <w:rFonts w:cs="Arial"/>
          <w:snapToGrid w:val="0"/>
          <w:szCs w:val="16"/>
          <w:lang w:eastAsia="en-US"/>
        </w:rPr>
        <w:t>Results of key patient-relevant outcomes</w:t>
      </w:r>
      <w:r w:rsidRPr="00047990">
        <w:t xml:space="preserve">, </w:t>
      </w:r>
      <w:r>
        <w:t>head and neck</w:t>
      </w:r>
      <w:r w:rsidRPr="00047990">
        <w:t xml:space="preserve"> cancer, </w:t>
      </w:r>
      <w:r>
        <w:t>CBCT</w:t>
      </w:r>
      <w:r w:rsidRPr="00047990">
        <w:t>-IGRT</w:t>
      </w:r>
      <w:bookmarkEnd w:id="418"/>
    </w:p>
    <w:tbl>
      <w:tblPr>
        <w:tblStyle w:val="TableGrid1"/>
        <w:tblW w:w="5000" w:type="pct"/>
        <w:tblCellMar>
          <w:left w:w="28" w:type="dxa"/>
          <w:right w:w="28" w:type="dxa"/>
        </w:tblCellMar>
        <w:tblLook w:val="04A0" w:firstRow="1" w:lastRow="0" w:firstColumn="1" w:lastColumn="0" w:noHBand="0" w:noVBand="1"/>
      </w:tblPr>
      <w:tblGrid>
        <w:gridCol w:w="1704"/>
        <w:gridCol w:w="1540"/>
        <w:gridCol w:w="2887"/>
        <w:gridCol w:w="671"/>
        <w:gridCol w:w="2214"/>
      </w:tblGrid>
      <w:tr w:rsidR="00B073C2" w:rsidRPr="00E54FA2" w14:paraId="711A6E37" w14:textId="77777777" w:rsidTr="00BD4D8B">
        <w:trPr>
          <w:cnfStyle w:val="100000000000" w:firstRow="1" w:lastRow="0" w:firstColumn="0" w:lastColumn="0" w:oddVBand="0" w:evenVBand="0" w:oddHBand="0" w:evenHBand="0" w:firstRowFirstColumn="0" w:firstRowLastColumn="0" w:lastRowFirstColumn="0" w:lastRowLastColumn="0"/>
          <w:tblHeader/>
        </w:trPr>
        <w:tc>
          <w:tcPr>
            <w:tcW w:w="945" w:type="pct"/>
            <w:tcBorders>
              <w:top w:val="single" w:sz="4" w:space="0" w:color="auto"/>
              <w:left w:val="single" w:sz="4" w:space="0" w:color="auto"/>
              <w:bottom w:val="nil"/>
              <w:right w:val="single" w:sz="4" w:space="0" w:color="auto"/>
            </w:tcBorders>
          </w:tcPr>
          <w:p w14:paraId="74075196" w14:textId="77777777" w:rsidR="00B073C2" w:rsidRDefault="00B073C2" w:rsidP="00BD4D8B">
            <w:pPr>
              <w:pStyle w:val="TableHeading"/>
              <w:rPr>
                <w:snapToGrid w:val="0"/>
                <w:lang w:eastAsia="en-US"/>
              </w:rPr>
            </w:pPr>
            <w:r w:rsidRPr="00E54FA2">
              <w:rPr>
                <w:snapToGrid w:val="0"/>
                <w:lang w:eastAsia="en-US"/>
              </w:rPr>
              <w:t>Study ID</w:t>
            </w:r>
          </w:p>
        </w:tc>
        <w:tc>
          <w:tcPr>
            <w:tcW w:w="854" w:type="pct"/>
            <w:tcBorders>
              <w:top w:val="single" w:sz="4" w:space="0" w:color="auto"/>
              <w:left w:val="single" w:sz="4" w:space="0" w:color="auto"/>
              <w:bottom w:val="nil"/>
              <w:right w:val="single" w:sz="4" w:space="0" w:color="auto"/>
            </w:tcBorders>
          </w:tcPr>
          <w:p w14:paraId="57D1EE70" w14:textId="77777777" w:rsidR="00B073C2" w:rsidRPr="00E54FA2" w:rsidRDefault="00B073C2" w:rsidP="00BD4D8B">
            <w:pPr>
              <w:pStyle w:val="TableHeading"/>
              <w:ind w:left="16" w:right="117"/>
              <w:rPr>
                <w:snapToGrid w:val="0"/>
                <w:lang w:eastAsia="en-US"/>
              </w:rPr>
            </w:pPr>
            <w:r>
              <w:rPr>
                <w:snapToGrid w:val="0"/>
                <w:lang w:eastAsia="en-US"/>
              </w:rPr>
              <w:t>Outcome</w:t>
            </w:r>
          </w:p>
        </w:tc>
        <w:tc>
          <w:tcPr>
            <w:tcW w:w="1973" w:type="pct"/>
            <w:gridSpan w:val="2"/>
            <w:tcBorders>
              <w:top w:val="single" w:sz="4" w:space="0" w:color="auto"/>
              <w:left w:val="single" w:sz="4" w:space="0" w:color="auto"/>
              <w:bottom w:val="single" w:sz="4" w:space="0" w:color="auto"/>
              <w:right w:val="nil"/>
            </w:tcBorders>
          </w:tcPr>
          <w:p w14:paraId="2BB51DC6" w14:textId="32179B9D" w:rsidR="00B073C2" w:rsidRPr="00E54FA2" w:rsidRDefault="001A721A" w:rsidP="00BD4D8B">
            <w:pPr>
              <w:pStyle w:val="TableHeading"/>
              <w:ind w:left="111" w:right="117"/>
              <w:jc w:val="center"/>
              <w:rPr>
                <w:snapToGrid w:val="0"/>
                <w:lang w:eastAsia="en-US"/>
              </w:rPr>
            </w:pPr>
            <w:r>
              <w:rPr>
                <w:snapToGrid w:val="0"/>
                <w:lang w:eastAsia="en-US"/>
              </w:rPr>
              <w:t>Two year</w:t>
            </w:r>
            <w:r w:rsidR="00B073C2">
              <w:rPr>
                <w:snapToGrid w:val="0"/>
                <w:lang w:eastAsia="en-US"/>
              </w:rPr>
              <w:t xml:space="preserve"> survival rate (%)</w:t>
            </w:r>
          </w:p>
        </w:tc>
        <w:tc>
          <w:tcPr>
            <w:tcW w:w="1228" w:type="pct"/>
            <w:tcBorders>
              <w:top w:val="single" w:sz="4" w:space="0" w:color="auto"/>
              <w:left w:val="nil"/>
              <w:bottom w:val="single" w:sz="4" w:space="0" w:color="auto"/>
              <w:right w:val="single" w:sz="4" w:space="0" w:color="auto"/>
            </w:tcBorders>
          </w:tcPr>
          <w:p w14:paraId="5E43FBA9" w14:textId="77777777" w:rsidR="00B073C2" w:rsidRPr="00E54FA2" w:rsidRDefault="00B073C2" w:rsidP="00BD4D8B">
            <w:pPr>
              <w:pStyle w:val="TableHeading"/>
              <w:ind w:left="111" w:right="117"/>
              <w:jc w:val="center"/>
              <w:rPr>
                <w:snapToGrid w:val="0"/>
                <w:lang w:eastAsia="en-US"/>
              </w:rPr>
            </w:pPr>
          </w:p>
        </w:tc>
      </w:tr>
      <w:tr w:rsidR="00B073C2" w14:paraId="41C4823F" w14:textId="77777777" w:rsidTr="00BD4D8B">
        <w:trPr>
          <w:cnfStyle w:val="100000000000" w:firstRow="1" w:lastRow="0" w:firstColumn="0" w:lastColumn="0" w:oddVBand="0" w:evenVBand="0" w:oddHBand="0" w:evenHBand="0" w:firstRowFirstColumn="0" w:firstRowLastColumn="0" w:lastRowFirstColumn="0" w:lastRowLastColumn="0"/>
          <w:tblHeader/>
        </w:trPr>
        <w:tc>
          <w:tcPr>
            <w:tcW w:w="945" w:type="pct"/>
            <w:tcBorders>
              <w:top w:val="nil"/>
              <w:left w:val="single" w:sz="4" w:space="0" w:color="auto"/>
              <w:bottom w:val="single" w:sz="4" w:space="0" w:color="auto"/>
              <w:right w:val="single" w:sz="4" w:space="0" w:color="auto"/>
            </w:tcBorders>
          </w:tcPr>
          <w:p w14:paraId="1E031C6F" w14:textId="77777777" w:rsidR="00B073C2" w:rsidRPr="00E54FA2" w:rsidRDefault="00B073C2" w:rsidP="00BD4D8B">
            <w:pPr>
              <w:pStyle w:val="TableHeading"/>
              <w:rPr>
                <w:snapToGrid w:val="0"/>
                <w:lang w:eastAsia="en-US"/>
              </w:rPr>
            </w:pPr>
          </w:p>
        </w:tc>
        <w:tc>
          <w:tcPr>
            <w:tcW w:w="854" w:type="pct"/>
            <w:tcBorders>
              <w:top w:val="nil"/>
              <w:left w:val="single" w:sz="4" w:space="0" w:color="auto"/>
              <w:bottom w:val="single" w:sz="4" w:space="0" w:color="auto"/>
              <w:right w:val="single" w:sz="4" w:space="0" w:color="auto"/>
            </w:tcBorders>
          </w:tcPr>
          <w:p w14:paraId="786689E4" w14:textId="77777777" w:rsidR="00B073C2" w:rsidRDefault="00B073C2" w:rsidP="00BD4D8B">
            <w:pPr>
              <w:pStyle w:val="TableHeading"/>
              <w:ind w:left="16" w:right="117"/>
              <w:rPr>
                <w:snapToGrid w:val="0"/>
                <w:lang w:eastAsia="en-US"/>
              </w:rPr>
            </w:pPr>
          </w:p>
        </w:tc>
        <w:tc>
          <w:tcPr>
            <w:tcW w:w="1601" w:type="pct"/>
            <w:tcBorders>
              <w:top w:val="single" w:sz="4" w:space="0" w:color="auto"/>
              <w:left w:val="single" w:sz="4" w:space="0" w:color="auto"/>
              <w:bottom w:val="single" w:sz="4" w:space="0" w:color="auto"/>
            </w:tcBorders>
          </w:tcPr>
          <w:p w14:paraId="10C4D92E" w14:textId="77777777" w:rsidR="00B073C2" w:rsidRDefault="00B073C2" w:rsidP="00BD4D8B">
            <w:pPr>
              <w:pStyle w:val="TableHeading"/>
              <w:ind w:left="111" w:right="117"/>
              <w:jc w:val="center"/>
              <w:rPr>
                <w:snapToGrid w:val="0"/>
                <w:lang w:eastAsia="en-US"/>
              </w:rPr>
            </w:pPr>
            <w:r>
              <w:rPr>
                <w:snapToGrid w:val="0"/>
                <w:lang w:eastAsia="en-US"/>
              </w:rPr>
              <w:t>Margin 3 mm</w:t>
            </w:r>
          </w:p>
        </w:tc>
        <w:tc>
          <w:tcPr>
            <w:tcW w:w="1600" w:type="pct"/>
            <w:gridSpan w:val="2"/>
            <w:tcBorders>
              <w:top w:val="single" w:sz="4" w:space="0" w:color="auto"/>
              <w:bottom w:val="single" w:sz="4" w:space="0" w:color="auto"/>
            </w:tcBorders>
          </w:tcPr>
          <w:p w14:paraId="6ACC7C2C" w14:textId="77777777" w:rsidR="00B073C2" w:rsidRDefault="00B073C2" w:rsidP="00BD4D8B">
            <w:pPr>
              <w:pStyle w:val="TableHeading"/>
              <w:ind w:left="111" w:right="117"/>
              <w:jc w:val="center"/>
              <w:rPr>
                <w:snapToGrid w:val="0"/>
                <w:lang w:eastAsia="en-US"/>
              </w:rPr>
            </w:pPr>
            <w:r>
              <w:rPr>
                <w:snapToGrid w:val="0"/>
                <w:lang w:eastAsia="en-US"/>
              </w:rPr>
              <w:t>Margin 5 mm</w:t>
            </w:r>
          </w:p>
        </w:tc>
      </w:tr>
      <w:tr w:rsidR="00B073C2" w14:paraId="61EB5F6E" w14:textId="77777777" w:rsidTr="00BD4D8B">
        <w:tc>
          <w:tcPr>
            <w:tcW w:w="945" w:type="pct"/>
            <w:tcBorders>
              <w:top w:val="single" w:sz="4" w:space="0" w:color="auto"/>
              <w:left w:val="single" w:sz="4" w:space="0" w:color="auto"/>
              <w:bottom w:val="nil"/>
              <w:right w:val="single" w:sz="4" w:space="0" w:color="auto"/>
            </w:tcBorders>
          </w:tcPr>
          <w:p w14:paraId="2AC571D8" w14:textId="3C6F25D5" w:rsidR="00B073C2" w:rsidRDefault="00211285" w:rsidP="00BD4D8B">
            <w:pPr>
              <w:pStyle w:val="Tabletext1"/>
              <w:rPr>
                <w:snapToGrid w:val="0"/>
              </w:rPr>
            </w:pPr>
            <w:hyperlink w:anchor="_ENREF_55" w:tooltip="Navran, 2019 #62" w:history="1">
              <w:r w:rsidR="008B6FC0">
                <w:fldChar w:fldCharType="begin"/>
              </w:r>
              <w:r w:rsidR="008B6FC0">
                <w:instrText xml:space="preserve"> ADDIN EN.CITE &lt;EndNote&gt;&lt;Cite AuthorYear="1"&gt;&lt;Author&gt;Navran&lt;/Author&gt;&lt;Year&gt;2019&lt;/Year&gt;&lt;RecNum&gt;62&lt;/RecNum&gt;&lt;DisplayText&gt;Navran et al. (2019)&lt;/DisplayText&gt;&lt;record&gt;&lt;rec-number&gt;62&lt;/rec-number&gt;&lt;foreign-keys&gt;&lt;key app="EN" db-id="sx5wsdwv795wvue959xxw0ptaewvdezxxp05" timestamp="1604876396"&gt;62&lt;/key&gt;&lt;/foreign-keys&gt;&lt;ref-type name="Journal Article"&gt;17&lt;/ref-type&gt;&lt;contributors&gt;&lt;authors&gt;&lt;author&gt;Navran, A.&lt;/author&gt;&lt;author&gt;Heemsbergen, W.&lt;/author&gt;&lt;author&gt;Janssen, T.&lt;/author&gt;&lt;author&gt;Hamming-Vrieze, O.&lt;/author&gt;&lt;author&gt;Jonker, M.&lt;/author&gt;&lt;author&gt;Zuur, C.&lt;/author&gt;&lt;author&gt;Verheij, M.&lt;/author&gt;&lt;author&gt;Remeijer, P.&lt;/author&gt;&lt;author&gt;Sonke, J. J.&lt;/author&gt;&lt;author&gt;van den Brekel, M.&lt;/author&gt;&lt;author&gt;Al-Mamgani, A.&lt;/author&gt;&lt;/authors&gt;&lt;/contributors&gt;&lt;titles&gt;&lt;title&gt;The impact of margin reduction on outcome and toxicity in head and neck cancer patients treated with image-guided volumetric modulated arc therapy (VMAT)&lt;/title&gt;&lt;secondary-title&gt;Radiother Oncol&lt;/secondary-title&gt;&lt;/titles&gt;&lt;pages&gt;25-31&lt;/pages&gt;&lt;volume&gt;130&lt;/volume&gt;&lt;dates&gt;&lt;year&gt;2019&lt;/year&gt;&lt;/dates&gt;&lt;accession-num&gt;30005953&lt;/accession-num&gt;&lt;urls&gt;&lt;related-urls&gt;&lt;url&gt;http://ezproxy.library.usyd.edu.au/login?url=http://ovidsp.ovid.com/ovidweb.cgi?T=JS&amp;amp;CSC=Y&amp;amp;NEWS=N&amp;amp;PAGE=fulltext&amp;amp;D=medl&amp;amp;AN=30005953https://sydney.alma.exlibrisgroup.com/openurl/61USYD_INST/61USYD_INST:sydney?sid=OVID:medline&amp;amp;id=pmid:30005953&amp;amp;id=doi:10.1016&lt;/url&gt;&lt;/related-urls&gt;&lt;/urls&gt;&lt;electronic-resource-num&gt;https://dx.doi.org/10.1016/j.radonc.2018.06.032&lt;/electronic-resource-num&gt;&lt;/record&gt;&lt;/Cite&gt;&lt;/EndNote&gt;</w:instrText>
              </w:r>
              <w:r w:rsidR="008B6FC0">
                <w:fldChar w:fldCharType="separate"/>
              </w:r>
              <w:r w:rsidR="008B6FC0">
                <w:rPr>
                  <w:noProof/>
                </w:rPr>
                <w:t>Navran et al. (2019)</w:t>
              </w:r>
              <w:r w:rsidR="008B6FC0">
                <w:fldChar w:fldCharType="end"/>
              </w:r>
            </w:hyperlink>
          </w:p>
        </w:tc>
        <w:tc>
          <w:tcPr>
            <w:tcW w:w="854" w:type="pct"/>
            <w:tcBorders>
              <w:top w:val="single" w:sz="4" w:space="0" w:color="auto"/>
              <w:left w:val="single" w:sz="4" w:space="0" w:color="auto"/>
              <w:bottom w:val="single" w:sz="4" w:space="0" w:color="auto"/>
            </w:tcBorders>
          </w:tcPr>
          <w:p w14:paraId="73AD45D4" w14:textId="77777777" w:rsidR="00B073C2" w:rsidRPr="0003573E" w:rsidRDefault="00B073C2" w:rsidP="00BD4D8B">
            <w:pPr>
              <w:pStyle w:val="Tabletext1"/>
              <w:rPr>
                <w:snapToGrid w:val="0"/>
              </w:rPr>
            </w:pPr>
            <w:r>
              <w:rPr>
                <w:snapToGrid w:val="0"/>
              </w:rPr>
              <w:t>OS</w:t>
            </w:r>
          </w:p>
        </w:tc>
        <w:tc>
          <w:tcPr>
            <w:tcW w:w="1601" w:type="pct"/>
            <w:tcBorders>
              <w:top w:val="single" w:sz="4" w:space="0" w:color="auto"/>
              <w:bottom w:val="single" w:sz="4" w:space="0" w:color="auto"/>
            </w:tcBorders>
          </w:tcPr>
          <w:p w14:paraId="595CD877" w14:textId="77777777" w:rsidR="00B073C2" w:rsidRDefault="00B073C2" w:rsidP="00BD4D8B">
            <w:pPr>
              <w:pStyle w:val="Tabletext1"/>
              <w:jc w:val="center"/>
              <w:rPr>
                <w:snapToGrid w:val="0"/>
              </w:rPr>
            </w:pPr>
            <w:r w:rsidRPr="00CD62BD">
              <w:rPr>
                <w:snapToGrid w:val="0"/>
              </w:rPr>
              <w:t>75.2%</w:t>
            </w:r>
          </w:p>
        </w:tc>
        <w:tc>
          <w:tcPr>
            <w:tcW w:w="1600" w:type="pct"/>
            <w:gridSpan w:val="2"/>
            <w:tcBorders>
              <w:top w:val="single" w:sz="4" w:space="0" w:color="auto"/>
              <w:bottom w:val="single" w:sz="4" w:space="0" w:color="auto"/>
            </w:tcBorders>
          </w:tcPr>
          <w:p w14:paraId="59E93036" w14:textId="77777777" w:rsidR="00B073C2" w:rsidRDefault="00B073C2" w:rsidP="00BD4D8B">
            <w:pPr>
              <w:pStyle w:val="Tabletext1"/>
              <w:jc w:val="center"/>
              <w:rPr>
                <w:snapToGrid w:val="0"/>
              </w:rPr>
            </w:pPr>
            <w:r w:rsidRPr="00CD62BD">
              <w:rPr>
                <w:snapToGrid w:val="0"/>
              </w:rPr>
              <w:t>75.1%</w:t>
            </w:r>
          </w:p>
        </w:tc>
      </w:tr>
      <w:tr w:rsidR="00B073C2" w14:paraId="2F940BD9" w14:textId="77777777" w:rsidTr="00BD4D8B">
        <w:tc>
          <w:tcPr>
            <w:tcW w:w="945" w:type="pct"/>
            <w:tcBorders>
              <w:top w:val="nil"/>
              <w:left w:val="single" w:sz="4" w:space="0" w:color="auto"/>
              <w:bottom w:val="nil"/>
              <w:right w:val="single" w:sz="4" w:space="0" w:color="auto"/>
            </w:tcBorders>
          </w:tcPr>
          <w:p w14:paraId="1DB8FAAC" w14:textId="77777777" w:rsidR="00B073C2" w:rsidRDefault="00B073C2" w:rsidP="00BD4D8B">
            <w:pPr>
              <w:pStyle w:val="Tabletext1"/>
            </w:pPr>
          </w:p>
        </w:tc>
        <w:tc>
          <w:tcPr>
            <w:tcW w:w="854" w:type="pct"/>
            <w:tcBorders>
              <w:top w:val="single" w:sz="4" w:space="0" w:color="auto"/>
              <w:left w:val="single" w:sz="4" w:space="0" w:color="auto"/>
              <w:bottom w:val="single" w:sz="4" w:space="0" w:color="auto"/>
            </w:tcBorders>
          </w:tcPr>
          <w:p w14:paraId="5C7547B0" w14:textId="77777777" w:rsidR="00B073C2" w:rsidRDefault="00B073C2" w:rsidP="00BD4D8B">
            <w:pPr>
              <w:pStyle w:val="Tabletext1"/>
              <w:rPr>
                <w:snapToGrid w:val="0"/>
              </w:rPr>
            </w:pPr>
            <w:r>
              <w:rPr>
                <w:snapToGrid w:val="0"/>
              </w:rPr>
              <w:t>DFS</w:t>
            </w:r>
          </w:p>
        </w:tc>
        <w:tc>
          <w:tcPr>
            <w:tcW w:w="1601" w:type="pct"/>
            <w:tcBorders>
              <w:top w:val="single" w:sz="4" w:space="0" w:color="auto"/>
              <w:bottom w:val="single" w:sz="4" w:space="0" w:color="auto"/>
            </w:tcBorders>
          </w:tcPr>
          <w:p w14:paraId="1A4C156A" w14:textId="77777777" w:rsidR="00B073C2" w:rsidRDefault="00B073C2" w:rsidP="00BD4D8B">
            <w:pPr>
              <w:pStyle w:val="Tabletext1"/>
              <w:jc w:val="center"/>
              <w:rPr>
                <w:snapToGrid w:val="0"/>
              </w:rPr>
            </w:pPr>
            <w:r w:rsidRPr="00CD62BD">
              <w:rPr>
                <w:snapToGrid w:val="0"/>
              </w:rPr>
              <w:t>71.5%</w:t>
            </w:r>
          </w:p>
        </w:tc>
        <w:tc>
          <w:tcPr>
            <w:tcW w:w="1600" w:type="pct"/>
            <w:gridSpan w:val="2"/>
            <w:tcBorders>
              <w:top w:val="single" w:sz="4" w:space="0" w:color="auto"/>
              <w:bottom w:val="single" w:sz="4" w:space="0" w:color="auto"/>
            </w:tcBorders>
          </w:tcPr>
          <w:p w14:paraId="73DE3B40" w14:textId="77777777" w:rsidR="00B073C2" w:rsidRDefault="00B073C2" w:rsidP="00BD4D8B">
            <w:pPr>
              <w:pStyle w:val="Tabletext1"/>
              <w:jc w:val="center"/>
              <w:rPr>
                <w:snapToGrid w:val="0"/>
              </w:rPr>
            </w:pPr>
            <w:r w:rsidRPr="00CD62BD">
              <w:rPr>
                <w:snapToGrid w:val="0"/>
              </w:rPr>
              <w:t>72.7%</w:t>
            </w:r>
          </w:p>
        </w:tc>
      </w:tr>
      <w:tr w:rsidR="00B073C2" w14:paraId="585EC707" w14:textId="77777777" w:rsidTr="00BD4D8B">
        <w:tc>
          <w:tcPr>
            <w:tcW w:w="945" w:type="pct"/>
            <w:tcBorders>
              <w:top w:val="nil"/>
              <w:left w:val="single" w:sz="4" w:space="0" w:color="auto"/>
              <w:bottom w:val="single" w:sz="4" w:space="0" w:color="auto"/>
              <w:right w:val="single" w:sz="4" w:space="0" w:color="auto"/>
            </w:tcBorders>
          </w:tcPr>
          <w:p w14:paraId="5D975893" w14:textId="77777777" w:rsidR="00B073C2" w:rsidRDefault="00B073C2" w:rsidP="00BD4D8B">
            <w:pPr>
              <w:pStyle w:val="Tabletext1"/>
            </w:pPr>
          </w:p>
        </w:tc>
        <w:tc>
          <w:tcPr>
            <w:tcW w:w="854" w:type="pct"/>
            <w:tcBorders>
              <w:top w:val="single" w:sz="4" w:space="0" w:color="auto"/>
              <w:left w:val="single" w:sz="4" w:space="0" w:color="auto"/>
              <w:bottom w:val="single" w:sz="4" w:space="0" w:color="auto"/>
            </w:tcBorders>
          </w:tcPr>
          <w:p w14:paraId="122DE9F4" w14:textId="77777777" w:rsidR="00B073C2" w:rsidRDefault="00B073C2" w:rsidP="00BD4D8B">
            <w:pPr>
              <w:pStyle w:val="Tabletext1"/>
              <w:rPr>
                <w:snapToGrid w:val="0"/>
              </w:rPr>
            </w:pPr>
            <w:r>
              <w:rPr>
                <w:snapToGrid w:val="0"/>
              </w:rPr>
              <w:t>LRC</w:t>
            </w:r>
          </w:p>
        </w:tc>
        <w:tc>
          <w:tcPr>
            <w:tcW w:w="1601" w:type="pct"/>
            <w:tcBorders>
              <w:top w:val="single" w:sz="4" w:space="0" w:color="auto"/>
              <w:bottom w:val="single" w:sz="4" w:space="0" w:color="auto"/>
            </w:tcBorders>
          </w:tcPr>
          <w:p w14:paraId="0674F45C" w14:textId="77777777" w:rsidR="00B073C2" w:rsidRDefault="00B073C2" w:rsidP="00BD4D8B">
            <w:pPr>
              <w:pStyle w:val="Tabletext1"/>
              <w:jc w:val="center"/>
              <w:rPr>
                <w:snapToGrid w:val="0"/>
              </w:rPr>
            </w:pPr>
            <w:r w:rsidRPr="00CD62BD">
              <w:rPr>
                <w:snapToGrid w:val="0"/>
              </w:rPr>
              <w:t>79.9%</w:t>
            </w:r>
          </w:p>
        </w:tc>
        <w:tc>
          <w:tcPr>
            <w:tcW w:w="1600" w:type="pct"/>
            <w:gridSpan w:val="2"/>
            <w:tcBorders>
              <w:top w:val="single" w:sz="4" w:space="0" w:color="auto"/>
              <w:bottom w:val="single" w:sz="4" w:space="0" w:color="auto"/>
            </w:tcBorders>
          </w:tcPr>
          <w:p w14:paraId="4FCF222C" w14:textId="77777777" w:rsidR="00B073C2" w:rsidRDefault="00B073C2" w:rsidP="00BD4D8B">
            <w:pPr>
              <w:pStyle w:val="Tabletext1"/>
              <w:jc w:val="center"/>
              <w:rPr>
                <w:snapToGrid w:val="0"/>
              </w:rPr>
            </w:pPr>
            <w:r w:rsidRPr="00CD62BD">
              <w:rPr>
                <w:snapToGrid w:val="0"/>
              </w:rPr>
              <w:t>79.2%</w:t>
            </w:r>
          </w:p>
        </w:tc>
      </w:tr>
    </w:tbl>
    <w:p w14:paraId="4706379A" w14:textId="77777777" w:rsidR="00B073C2" w:rsidRDefault="00B073C2" w:rsidP="00B073C2">
      <w:pPr>
        <w:pStyle w:val="Tablenotes0"/>
      </w:pPr>
      <w:r>
        <w:t>LRC=loco-regional control; PFS=progression-free survival; OS=overall survival</w:t>
      </w:r>
    </w:p>
    <w:p w14:paraId="71E324B8" w14:textId="77777777" w:rsidR="00EF1479" w:rsidRDefault="00EF1479" w:rsidP="00EF1479">
      <w:pPr>
        <w:pStyle w:val="Heading3"/>
        <w:jc w:val="both"/>
      </w:pPr>
      <w:bookmarkStart w:id="419" w:name="_Toc59018783"/>
      <w:bookmarkStart w:id="420" w:name="_Toc59020327"/>
      <w:bookmarkStart w:id="421" w:name="_Toc59439549"/>
      <w:bookmarkStart w:id="422" w:name="_Toc89857821"/>
      <w:r>
        <w:t>Quality of life</w:t>
      </w:r>
      <w:bookmarkEnd w:id="419"/>
      <w:bookmarkEnd w:id="420"/>
      <w:bookmarkEnd w:id="421"/>
      <w:bookmarkEnd w:id="422"/>
      <w:r>
        <w:t xml:space="preserve"> </w:t>
      </w:r>
    </w:p>
    <w:p w14:paraId="32049FC7" w14:textId="30482275" w:rsidR="00EF1479" w:rsidRDefault="00601301" w:rsidP="00EF1479">
      <w:r>
        <w:t xml:space="preserve">For </w:t>
      </w:r>
      <w:r w:rsidR="00771A13">
        <w:t xml:space="preserve">MR-IGRT, </w:t>
      </w:r>
      <w:r w:rsidR="00EF1479">
        <w:t xml:space="preserve">QoL was measured in three of the included case series </w:t>
      </w:r>
      <w:r w:rsidR="000C77B0">
        <w:fldChar w:fldCharType="begin">
          <w:fldData xml:space="preserve">PEVuZE5vdGU+PENpdGU+PEF1dGhvcj5BbG9uZ2k8L0F1dGhvcj48WWVhcj4yMDIwPC9ZZWFyPjxS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==
</w:fldData>
        </w:fldChar>
      </w:r>
      <w:r w:rsidR="000C77B0">
        <w:instrText xml:space="preserve"> ADDIN EN.CITE </w:instrText>
      </w:r>
      <w:r w:rsidR="000C77B0">
        <w:fldChar w:fldCharType="begin">
          <w:fldData xml:space="preserve">PEVuZE5vdGU+PENpdGU+PEF1dGhvcj5BbG9uZ2k8L0F1dGhvcj48WWVhcj4yMDIwPC9ZZWFyPjxS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==
</w:fldData>
        </w:fldChar>
      </w:r>
      <w:r w:rsidR="000C77B0">
        <w:instrText xml:space="preserve"> ADDIN EN.CITE.DATA </w:instrText>
      </w:r>
      <w:r w:rsidR="000C77B0">
        <w:fldChar w:fldCharType="end"/>
      </w:r>
      <w:r w:rsidR="000C77B0">
        <w:fldChar w:fldCharType="separate"/>
      </w:r>
      <w:r w:rsidR="000C77B0">
        <w:rPr>
          <w:noProof/>
        </w:rPr>
        <w:t>(</w:t>
      </w:r>
      <w:hyperlink w:anchor="_ENREF_1" w:tooltip="Alongi, 2020 #13" w:history="1">
        <w:r w:rsidR="008B6FC0">
          <w:rPr>
            <w:noProof/>
          </w:rPr>
          <w:t>Alongi et al., 2020</w:t>
        </w:r>
      </w:hyperlink>
      <w:r w:rsidR="000C77B0">
        <w:rPr>
          <w:noProof/>
        </w:rPr>
        <w:t xml:space="preserve">; </w:t>
      </w:r>
      <w:hyperlink w:anchor="_ENREF_21" w:tooltip="Chen, 2018 #24" w:history="1">
        <w:r w:rsidR="008B6FC0">
          <w:rPr>
            <w:noProof/>
          </w:rPr>
          <w:t>Chen et al., 2018</w:t>
        </w:r>
      </w:hyperlink>
      <w:r w:rsidR="000C77B0">
        <w:rPr>
          <w:noProof/>
        </w:rPr>
        <w:t xml:space="preserve">; </w:t>
      </w:r>
      <w:hyperlink w:anchor="_ENREF_37" w:tooltip="Henke, 2018 #18" w:history="1">
        <w:r w:rsidR="008B6FC0">
          <w:rPr>
            <w:noProof/>
          </w:rPr>
          <w:t>Henke et al., 2018</w:t>
        </w:r>
      </w:hyperlink>
      <w:r w:rsidR="000C77B0">
        <w:rPr>
          <w:noProof/>
        </w:rPr>
        <w:t>)</w:t>
      </w:r>
      <w:r w:rsidR="000C77B0">
        <w:fldChar w:fldCharType="end"/>
      </w:r>
      <w:r w:rsidR="00EF1479">
        <w:t xml:space="preserve">.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rsidR="00EF1479" w:rsidRPr="00271996">
        <w:t xml:space="preserve"> </w:t>
      </w:r>
      <w:r w:rsidR="00EF1479" w:rsidRPr="00627F6D">
        <w:t xml:space="preserve">and </w:t>
      </w:r>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r w:rsidR="00EF1479">
        <w:t xml:space="preserve"> reported the EORTC QLQ-C30 QoL scores in patients with localised prostate cancer and unresectable abdominal malignancies, respectively.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rsidR="00EF1479" w:rsidRPr="003E5484">
        <w:t xml:space="preserve"> </w:t>
      </w:r>
      <w:r w:rsidR="00EF1479">
        <w:t xml:space="preserve">also utilised the EORTC QLQ-PR25 which is designed for </w:t>
      </w:r>
      <w:r w:rsidR="00FA559F">
        <w:t xml:space="preserve">patients with </w:t>
      </w:r>
      <w:r w:rsidR="00EF1479">
        <w:t xml:space="preserve">prostate cancer. EORTC QLQ-PR25 has 25 items examining urinary and bowel symptoms, sexual activity and function, and treatment-related symptoms, using a four-point Likert response scale. </w:t>
      </w:r>
      <w:hyperlink w:anchor="_ENREF_21" w:tooltip="Chen, 2018 #24" w:history="1">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 </w:instrText>
        </w:r>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EN.CITE.DATA </w:instrText>
        </w:r>
        <w:r w:rsidR="008B6FC0">
          <w:fldChar w:fldCharType="end"/>
        </w:r>
        <w:r w:rsidR="008B6FC0">
          <w:fldChar w:fldCharType="separate"/>
        </w:r>
        <w:r w:rsidR="008B6FC0">
          <w:rPr>
            <w:noProof/>
          </w:rPr>
          <w:t>Chen et al. (2018)</w:t>
        </w:r>
        <w:r w:rsidR="008B6FC0">
          <w:fldChar w:fldCharType="end"/>
        </w:r>
      </w:hyperlink>
      <w:r w:rsidR="0074640A">
        <w:t>used t</w:t>
      </w:r>
      <w:r w:rsidR="00EF1479">
        <w:t xml:space="preserve">he University of Washington </w:t>
      </w:r>
      <w:r w:rsidR="00C62939">
        <w:t>QoL</w:t>
      </w:r>
      <w:r w:rsidR="00EF1479">
        <w:t xml:space="preserve"> instrument (UW-QOL), v4</w:t>
      </w:r>
      <w:r w:rsidR="00E67E85">
        <w:t>,</w:t>
      </w:r>
      <w:r w:rsidR="00EF1479">
        <w:t xml:space="preserve"> to</w:t>
      </w:r>
      <w:r w:rsidR="0074640A">
        <w:t xml:space="preserve"> measure the QoL of</w:t>
      </w:r>
      <w:r w:rsidR="00EF1479">
        <w:t xml:space="preserve"> </w:t>
      </w:r>
      <w:r w:rsidR="00FA559F">
        <w:t xml:space="preserve">patients with </w:t>
      </w:r>
      <w:r w:rsidR="00EF1479">
        <w:t>head and neck cancer</w:t>
      </w:r>
      <w:hyperlink w:anchor="_ENREF_21" w:tooltip="Chen, 2018 #24" w:history="1">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 </w:instrText>
        </w:r>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EN.CITE.DATA </w:instrText>
        </w:r>
        <w:r w:rsidR="008B6FC0">
          <w:fldChar w:fldCharType="end"/>
        </w:r>
        <w:r w:rsidR="008B6FC0">
          <w:fldChar w:fldCharType="separate"/>
        </w:r>
        <w:r w:rsidR="008B6FC0">
          <w:rPr>
            <w:noProof/>
          </w:rPr>
          <w:t>Chen et al. (2018)</w:t>
        </w:r>
        <w:r w:rsidR="008B6FC0">
          <w:fldChar w:fldCharType="end"/>
        </w:r>
      </w:hyperlink>
      <w:r w:rsidR="00EF1479">
        <w:t>.</w:t>
      </w:r>
    </w:p>
    <w:p w14:paraId="767275B9" w14:textId="5A5EB047" w:rsidR="00EF1479" w:rsidRPr="00DB55A1" w:rsidRDefault="00211285" w:rsidP="00EF1479">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r w:rsidR="00EF1479">
        <w:t xml:space="preserve"> reported no significant difference in the median global QoL scores during </w:t>
      </w:r>
      <w:r w:rsidR="0033530C">
        <w:t xml:space="preserve">the </w:t>
      </w:r>
      <w:r w:rsidR="00EF1479">
        <w:t>treatment</w:t>
      </w:r>
      <w:r w:rsidR="0033530C">
        <w:t xml:space="preserve"> period</w:t>
      </w:r>
      <w:r w:rsidR="00EF1479">
        <w:t xml:space="preserve"> and </w:t>
      </w:r>
      <w:r w:rsidR="00AD6E55">
        <w:t xml:space="preserve">in </w:t>
      </w:r>
      <w:r w:rsidR="00EF1479">
        <w:t>the acute post-treatment time (p=0.29</w:t>
      </w:r>
      <w:r w:rsidR="008242F9">
        <w:t>)</w:t>
      </w:r>
      <w:r w:rsidR="00EF1479">
        <w:t xml:space="preserve">. </w:t>
      </w:r>
      <w:r w:rsidR="00EF1479" w:rsidRPr="00F6217E">
        <w:rPr>
          <w:snapToGrid w:val="0"/>
        </w:rPr>
        <w:t>Single-item Q</w:t>
      </w:r>
      <w:r w:rsidR="00EF1479">
        <w:rPr>
          <w:snapToGrid w:val="0"/>
        </w:rPr>
        <w:t>o</w:t>
      </w:r>
      <w:r w:rsidR="00EF1479" w:rsidRPr="00F6217E">
        <w:rPr>
          <w:snapToGrid w:val="0"/>
        </w:rPr>
        <w:t>L scores such</w:t>
      </w:r>
      <w:r w:rsidR="00EF1479">
        <w:rPr>
          <w:snapToGrid w:val="0"/>
        </w:rPr>
        <w:t xml:space="preserve"> </w:t>
      </w:r>
      <w:r w:rsidR="00EF1479" w:rsidRPr="00F6217E">
        <w:rPr>
          <w:snapToGrid w:val="0"/>
        </w:rPr>
        <w:t>as for diarrhea, constipation, nausea, emesis, appetite, pain</w:t>
      </w:r>
      <w:r w:rsidR="00F624E2">
        <w:rPr>
          <w:snapToGrid w:val="0"/>
        </w:rPr>
        <w:t>,</w:t>
      </w:r>
      <w:r w:rsidR="00EF1479" w:rsidRPr="00F6217E">
        <w:rPr>
          <w:snapToGrid w:val="0"/>
        </w:rPr>
        <w:t xml:space="preserve"> or</w:t>
      </w:r>
      <w:r w:rsidR="00EF1479">
        <w:rPr>
          <w:snapToGrid w:val="0"/>
        </w:rPr>
        <w:t xml:space="preserve"> </w:t>
      </w:r>
      <w:r w:rsidR="00EF1479" w:rsidRPr="00F6217E">
        <w:rPr>
          <w:snapToGrid w:val="0"/>
        </w:rPr>
        <w:t>activity tolerance, were also unchanged</w:t>
      </w:r>
      <w:r w:rsidR="00EF1479">
        <w:rPr>
          <w:snapToGrid w:val="0"/>
        </w:rPr>
        <w:t xml:space="preserve">. </w:t>
      </w:r>
    </w:p>
    <w:p w14:paraId="0EE4CB63" w14:textId="4938C711" w:rsidR="00B4610E" w:rsidRDefault="00211285" w:rsidP="00EF1479">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rsidR="00EF1479">
        <w:t xml:space="preserve"> reported no clinically or statistically relevant difference on the functional scales of the EORTC QLQ-C30 questionnaire with the exception of physical functioning</w:t>
      </w:r>
      <w:r w:rsidR="0025013B">
        <w:t>,</w:t>
      </w:r>
      <w:r w:rsidR="00EF1479">
        <w:t xml:space="preserve"> which decreased from </w:t>
      </w:r>
      <w:r w:rsidR="00EF1479" w:rsidRPr="00A83F1A">
        <w:t>94.5</w:t>
      </w:r>
      <w:r w:rsidR="00035746">
        <w:t>%</w:t>
      </w:r>
      <w:r w:rsidR="00EF1479">
        <w:t xml:space="preserve"> </w:t>
      </w:r>
      <w:r w:rsidR="00EF1479">
        <w:rPr>
          <w:rFonts w:cs="Calibri"/>
        </w:rPr>
        <w:t>±</w:t>
      </w:r>
      <w:r w:rsidR="00EF1479" w:rsidRPr="00A83F1A">
        <w:t>10.4</w:t>
      </w:r>
      <w:r w:rsidR="00035746">
        <w:t>%</w:t>
      </w:r>
      <w:r w:rsidR="00EF1479">
        <w:t xml:space="preserve"> at baseline to 91.6</w:t>
      </w:r>
      <w:r w:rsidR="00035746">
        <w:t>%</w:t>
      </w:r>
      <w:r w:rsidR="00EF1479">
        <w:t xml:space="preserve"> ± 12.6</w:t>
      </w:r>
      <w:r w:rsidR="00F20FA6">
        <w:t>%</w:t>
      </w:r>
      <w:r w:rsidR="00EF1479">
        <w:t xml:space="preserve"> at the end of MR-guided SBRT. On the symptom scale, insomnia and constipation worsened relative to baseline. Global health status values were 72.5</w:t>
      </w:r>
      <w:r w:rsidR="00F20FA6">
        <w:t>%</w:t>
      </w:r>
      <w:r w:rsidR="00EF1479">
        <w:t xml:space="preserve"> and 72.1</w:t>
      </w:r>
      <w:r w:rsidR="00F20FA6">
        <w:t>%</w:t>
      </w:r>
      <w:r w:rsidR="00EF1479">
        <w:t xml:space="preserve"> at baseline and at the end of treatment, with no statistically significant difference. All scores are shown in </w:t>
      </w:r>
      <w:r w:rsidR="00EF1479">
        <w:fldChar w:fldCharType="begin"/>
      </w:r>
      <w:r w:rsidR="00EF1479">
        <w:instrText xml:space="preserve"> REF _Ref55812260 \h </w:instrText>
      </w:r>
      <w:r w:rsidR="00EF1479">
        <w:fldChar w:fldCharType="separate"/>
      </w:r>
      <w:r w:rsidR="00451350">
        <w:t xml:space="preserve">Table </w:t>
      </w:r>
      <w:r w:rsidR="00451350">
        <w:rPr>
          <w:noProof/>
        </w:rPr>
        <w:t>38</w:t>
      </w:r>
      <w:r w:rsidR="00EF1479">
        <w:fldChar w:fldCharType="end"/>
      </w:r>
      <w:r w:rsidR="00EF1479">
        <w:t xml:space="preserve">. </w:t>
      </w:r>
    </w:p>
    <w:p w14:paraId="4E4C4F19" w14:textId="2239B836" w:rsidR="00EF1479" w:rsidRPr="00B14E2D" w:rsidRDefault="00EF1479" w:rsidP="00D347A1">
      <w:pPr>
        <w:pStyle w:val="Caption"/>
        <w:keepNext/>
        <w:ind w:left="1134" w:hanging="1134"/>
      </w:pPr>
      <w:bookmarkStart w:id="423" w:name="_Ref55812260"/>
      <w:bookmarkStart w:id="424" w:name="_Toc55815618"/>
      <w:bookmarkStart w:id="425" w:name="_Toc89857909"/>
      <w:r>
        <w:t xml:space="preserve">Table </w:t>
      </w:r>
      <w:r w:rsidR="00211285">
        <w:fldChar w:fldCharType="begin"/>
      </w:r>
      <w:r w:rsidR="00211285">
        <w:instrText xml:space="preserve"> SEQ Table \* ARABIC </w:instrText>
      </w:r>
      <w:r w:rsidR="00211285">
        <w:fldChar w:fldCharType="separate"/>
      </w:r>
      <w:r w:rsidR="00451350">
        <w:rPr>
          <w:noProof/>
        </w:rPr>
        <w:t>38</w:t>
      </w:r>
      <w:r w:rsidR="00211285">
        <w:rPr>
          <w:noProof/>
        </w:rPr>
        <w:fldChar w:fldCharType="end"/>
      </w:r>
      <w:bookmarkEnd w:id="423"/>
      <w:r>
        <w:rPr>
          <w:noProof/>
        </w:rPr>
        <w:tab/>
        <w:t xml:space="preserve">QoL scores on EORTC QLQ-C30 at baseline and post-treatment </w:t>
      </w:r>
      <w:r w:rsidR="00CD3194">
        <w:rPr>
          <w:noProof/>
        </w:rPr>
        <w:t xml:space="preserve">with MR-IGRT </w:t>
      </w:r>
      <w:r>
        <w:rPr>
          <w:noProof/>
        </w:rPr>
        <w:t xml:space="preserve">for </w:t>
      </w:r>
      <w:r w:rsidR="00FA559F">
        <w:rPr>
          <w:noProof/>
        </w:rPr>
        <w:t xml:space="preserve">patients with </w:t>
      </w:r>
      <w:r>
        <w:rPr>
          <w:noProof/>
        </w:rPr>
        <w:t xml:space="preserve">prostate cancer </w:t>
      </w:r>
      <w:bookmarkEnd w:id="424"/>
      <w:r w:rsidR="008B6FC0">
        <w:rPr>
          <w:noProof/>
        </w:rPr>
        <w:fldChar w:fldCharType="begin"/>
      </w:r>
      <w:r w:rsidR="008B6FC0">
        <w:rPr>
          <w:noProof/>
        </w:rPr>
        <w:instrText xml:space="preserve"> HYPERLINK \l "_ENREF_1" \o "Alongi, 2020 #13" </w:instrText>
      </w:r>
      <w:r w:rsidR="00451350">
        <w:rPr>
          <w:noProof/>
        </w:rPr>
      </w:r>
      <w:r w:rsidR="008B6FC0">
        <w:rPr>
          <w:noProof/>
        </w:rPr>
        <w:fldChar w:fldCharType="separate"/>
      </w:r>
      <w:r w:rsidR="008B6FC0">
        <w:rPr>
          <w:noProof/>
        </w:rPr>
        <w:fldChar w:fldCharType="begin"/>
      </w:r>
      <w:r w:rsidR="008B6FC0">
        <w:rPr>
          <w:noProof/>
        </w:rPr>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rPr>
          <w:noProof/>
        </w:rPr>
        <w:fldChar w:fldCharType="separate"/>
      </w:r>
      <w:r w:rsidR="008B6FC0">
        <w:rPr>
          <w:noProof/>
        </w:rPr>
        <w:t>Alongi et al. (2020)</w:t>
      </w:r>
      <w:bookmarkEnd w:id="425"/>
      <w:r w:rsidR="008B6FC0">
        <w:rPr>
          <w:noProof/>
        </w:rPr>
        <w:fldChar w:fldCharType="end"/>
      </w:r>
      <w:r w:rsidR="008B6FC0">
        <w:rPr>
          <w:noProof/>
        </w:rPr>
        <w:fldChar w:fldCharType="end"/>
      </w:r>
    </w:p>
    <w:tbl>
      <w:tblPr>
        <w:tblStyle w:val="TableGrid"/>
        <w:tblW w:w="5000" w:type="pct"/>
        <w:tblLook w:val="04A0" w:firstRow="1" w:lastRow="0" w:firstColumn="1" w:lastColumn="0" w:noHBand="0" w:noVBand="1"/>
      </w:tblPr>
      <w:tblGrid>
        <w:gridCol w:w="2501"/>
        <w:gridCol w:w="2506"/>
        <w:gridCol w:w="2173"/>
        <w:gridCol w:w="1836"/>
      </w:tblGrid>
      <w:tr w:rsidR="00EF1479" w:rsidRPr="00215BAA" w14:paraId="42CEC03E" w14:textId="47E862C0" w:rsidTr="00F519BC">
        <w:trPr>
          <w:trHeight w:val="260"/>
          <w:tblHeader/>
        </w:trPr>
        <w:tc>
          <w:tcPr>
            <w:tcW w:w="1387" w:type="pct"/>
            <w:tcBorders>
              <w:bottom w:val="single" w:sz="4" w:space="0" w:color="auto"/>
            </w:tcBorders>
            <w:noWrap/>
            <w:hideMark/>
          </w:tcPr>
          <w:p w14:paraId="608348D9" w14:textId="77777777" w:rsidR="00EF1479" w:rsidRPr="00271996" w:rsidRDefault="00EF1479" w:rsidP="00D347A1">
            <w:pPr>
              <w:pStyle w:val="Tabletext1"/>
              <w:keepNext/>
              <w:ind w:left="0"/>
              <w:rPr>
                <w:b/>
                <w:bCs/>
              </w:rPr>
            </w:pPr>
            <w:r w:rsidRPr="00271996">
              <w:rPr>
                <w:b/>
                <w:bCs/>
              </w:rPr>
              <w:lastRenderedPageBreak/>
              <w:t>EORTC QLQ-C30*</w:t>
            </w:r>
          </w:p>
        </w:tc>
        <w:tc>
          <w:tcPr>
            <w:tcW w:w="1390" w:type="pct"/>
            <w:tcBorders>
              <w:bottom w:val="single" w:sz="4" w:space="0" w:color="auto"/>
            </w:tcBorders>
            <w:noWrap/>
            <w:hideMark/>
          </w:tcPr>
          <w:p w14:paraId="133583C6" w14:textId="77777777" w:rsidR="00024C44" w:rsidRDefault="00EF1479" w:rsidP="00D347A1">
            <w:pPr>
              <w:pStyle w:val="Tabletext1"/>
              <w:keepNext/>
              <w:ind w:left="0"/>
              <w:jc w:val="center"/>
              <w:rPr>
                <w:b/>
                <w:bCs/>
              </w:rPr>
            </w:pPr>
            <w:r w:rsidRPr="00271996">
              <w:rPr>
                <w:b/>
                <w:bCs/>
              </w:rPr>
              <w:t>Baseline</w:t>
            </w:r>
          </w:p>
          <w:p w14:paraId="278E93B6" w14:textId="00DDB2A5" w:rsidR="00EF1479" w:rsidRPr="00271996" w:rsidRDefault="00B247DB" w:rsidP="00D347A1">
            <w:pPr>
              <w:pStyle w:val="Tabletext1"/>
              <w:keepNext/>
              <w:ind w:left="0"/>
              <w:jc w:val="center"/>
              <w:rPr>
                <w:b/>
                <w:bCs/>
              </w:rPr>
            </w:pPr>
            <w:r>
              <w:rPr>
                <w:b/>
                <w:bCs/>
              </w:rPr>
              <w:t>(mean ± SD)</w:t>
            </w:r>
          </w:p>
        </w:tc>
        <w:tc>
          <w:tcPr>
            <w:tcW w:w="1205" w:type="pct"/>
            <w:tcBorders>
              <w:bottom w:val="single" w:sz="4" w:space="0" w:color="auto"/>
            </w:tcBorders>
            <w:noWrap/>
            <w:hideMark/>
          </w:tcPr>
          <w:p w14:paraId="550D4B27" w14:textId="77777777" w:rsidR="00024C44" w:rsidRDefault="00EF1479" w:rsidP="00D347A1">
            <w:pPr>
              <w:pStyle w:val="Tabletext1"/>
              <w:keepNext/>
              <w:ind w:left="0"/>
              <w:jc w:val="center"/>
              <w:rPr>
                <w:b/>
                <w:bCs/>
              </w:rPr>
            </w:pPr>
            <w:r w:rsidRPr="00271996">
              <w:rPr>
                <w:b/>
                <w:bCs/>
              </w:rPr>
              <w:t>Post-RT</w:t>
            </w:r>
          </w:p>
          <w:p w14:paraId="23C56FA8" w14:textId="7A08EB76" w:rsidR="00EF1479" w:rsidRPr="00271996" w:rsidRDefault="00B247DB" w:rsidP="00D347A1">
            <w:pPr>
              <w:pStyle w:val="Tabletext1"/>
              <w:keepNext/>
              <w:ind w:left="0"/>
              <w:jc w:val="center"/>
              <w:rPr>
                <w:b/>
                <w:bCs/>
              </w:rPr>
            </w:pPr>
            <w:r>
              <w:rPr>
                <w:b/>
                <w:bCs/>
              </w:rPr>
              <w:t>(mean ± SD)</w:t>
            </w:r>
          </w:p>
        </w:tc>
        <w:tc>
          <w:tcPr>
            <w:tcW w:w="1018" w:type="pct"/>
            <w:tcBorders>
              <w:bottom w:val="single" w:sz="4" w:space="0" w:color="auto"/>
            </w:tcBorders>
            <w:noWrap/>
            <w:hideMark/>
          </w:tcPr>
          <w:p w14:paraId="68593EE5" w14:textId="77777777" w:rsidR="00EF1479" w:rsidRPr="00271996" w:rsidRDefault="00EF1479" w:rsidP="00D347A1">
            <w:pPr>
              <w:pStyle w:val="Tabletext1"/>
              <w:keepNext/>
              <w:ind w:left="0"/>
              <w:jc w:val="center"/>
              <w:rPr>
                <w:b/>
                <w:bCs/>
              </w:rPr>
            </w:pPr>
            <w:r w:rsidRPr="00271996">
              <w:rPr>
                <w:b/>
                <w:bCs/>
              </w:rPr>
              <w:t>P value</w:t>
            </w:r>
          </w:p>
        </w:tc>
      </w:tr>
      <w:tr w:rsidR="00587C90" w:rsidRPr="00215BAA" w14:paraId="06DABB2B" w14:textId="55F749D1" w:rsidTr="00F519BC">
        <w:trPr>
          <w:trHeight w:val="260"/>
        </w:trPr>
        <w:tc>
          <w:tcPr>
            <w:tcW w:w="1387" w:type="pct"/>
            <w:tcBorders>
              <w:top w:val="single" w:sz="4" w:space="0" w:color="auto"/>
              <w:left w:val="single" w:sz="4" w:space="0" w:color="auto"/>
              <w:bottom w:val="single" w:sz="4" w:space="0" w:color="auto"/>
              <w:right w:val="nil"/>
            </w:tcBorders>
            <w:noWrap/>
          </w:tcPr>
          <w:p w14:paraId="380941EE" w14:textId="6CBB2DE2" w:rsidR="00587C90" w:rsidRPr="00271996" w:rsidRDefault="00587C90" w:rsidP="00D347A1">
            <w:pPr>
              <w:pStyle w:val="Tabletext1"/>
              <w:keepNext/>
              <w:ind w:left="0"/>
            </w:pPr>
            <w:r>
              <w:t>Functioning scale</w:t>
            </w:r>
          </w:p>
        </w:tc>
        <w:tc>
          <w:tcPr>
            <w:tcW w:w="1390" w:type="pct"/>
            <w:tcBorders>
              <w:top w:val="single" w:sz="4" w:space="0" w:color="auto"/>
              <w:left w:val="nil"/>
              <w:bottom w:val="single" w:sz="4" w:space="0" w:color="auto"/>
              <w:right w:val="nil"/>
            </w:tcBorders>
            <w:noWrap/>
            <w:vAlign w:val="center"/>
          </w:tcPr>
          <w:p w14:paraId="56331730" w14:textId="77777777" w:rsidR="00587C90" w:rsidRPr="00271996" w:rsidRDefault="00587C90" w:rsidP="00D347A1">
            <w:pPr>
              <w:pStyle w:val="Tabletext1"/>
              <w:keepNext/>
              <w:jc w:val="center"/>
            </w:pPr>
          </w:p>
        </w:tc>
        <w:tc>
          <w:tcPr>
            <w:tcW w:w="1205" w:type="pct"/>
            <w:tcBorders>
              <w:top w:val="single" w:sz="4" w:space="0" w:color="auto"/>
              <w:left w:val="nil"/>
              <w:bottom w:val="single" w:sz="4" w:space="0" w:color="auto"/>
              <w:right w:val="nil"/>
            </w:tcBorders>
            <w:noWrap/>
            <w:vAlign w:val="center"/>
          </w:tcPr>
          <w:p w14:paraId="010D611C" w14:textId="77777777" w:rsidR="00587C90" w:rsidRPr="00271996" w:rsidRDefault="00587C90" w:rsidP="00D347A1">
            <w:pPr>
              <w:pStyle w:val="Tabletext1"/>
              <w:keepNext/>
              <w:jc w:val="center"/>
            </w:pPr>
          </w:p>
        </w:tc>
        <w:tc>
          <w:tcPr>
            <w:tcW w:w="1018" w:type="pct"/>
            <w:tcBorders>
              <w:top w:val="single" w:sz="4" w:space="0" w:color="auto"/>
              <w:left w:val="nil"/>
              <w:bottom w:val="single" w:sz="4" w:space="0" w:color="auto"/>
              <w:right w:val="single" w:sz="4" w:space="0" w:color="auto"/>
            </w:tcBorders>
            <w:noWrap/>
            <w:vAlign w:val="center"/>
          </w:tcPr>
          <w:p w14:paraId="79532C63" w14:textId="77777777" w:rsidR="00587C90" w:rsidRPr="00271996" w:rsidRDefault="00587C90" w:rsidP="00D347A1">
            <w:pPr>
              <w:pStyle w:val="Tabletext1"/>
              <w:keepNext/>
              <w:jc w:val="center"/>
            </w:pPr>
          </w:p>
        </w:tc>
      </w:tr>
      <w:tr w:rsidR="00EF1479" w:rsidRPr="00215BAA" w14:paraId="453EC76B" w14:textId="31FF137C" w:rsidTr="00F519BC">
        <w:trPr>
          <w:trHeight w:val="260"/>
        </w:trPr>
        <w:tc>
          <w:tcPr>
            <w:tcW w:w="1387" w:type="pct"/>
            <w:tcBorders>
              <w:top w:val="single" w:sz="4" w:space="0" w:color="auto"/>
            </w:tcBorders>
            <w:noWrap/>
            <w:hideMark/>
          </w:tcPr>
          <w:p w14:paraId="10B1D754" w14:textId="77777777" w:rsidR="00EF1479" w:rsidRPr="00271996" w:rsidRDefault="00EF1479" w:rsidP="00D347A1">
            <w:pPr>
              <w:pStyle w:val="Tabletext1"/>
              <w:keepNext/>
              <w:ind w:left="0"/>
            </w:pPr>
            <w:r w:rsidRPr="00271996">
              <w:t>Physical Functioning</w:t>
            </w:r>
          </w:p>
        </w:tc>
        <w:tc>
          <w:tcPr>
            <w:tcW w:w="1390" w:type="pct"/>
            <w:tcBorders>
              <w:top w:val="single" w:sz="4" w:space="0" w:color="auto"/>
            </w:tcBorders>
            <w:noWrap/>
            <w:vAlign w:val="center"/>
            <w:hideMark/>
          </w:tcPr>
          <w:p w14:paraId="119E6BF6" w14:textId="77777777" w:rsidR="00EF1479" w:rsidRPr="00271996" w:rsidRDefault="00EF1479" w:rsidP="00D347A1">
            <w:pPr>
              <w:pStyle w:val="Tabletext1"/>
              <w:keepNext/>
              <w:ind w:left="0"/>
              <w:jc w:val="center"/>
            </w:pPr>
            <w:r w:rsidRPr="00271996">
              <w:t>94.5 ± 10.4</w:t>
            </w:r>
          </w:p>
        </w:tc>
        <w:tc>
          <w:tcPr>
            <w:tcW w:w="1205" w:type="pct"/>
            <w:tcBorders>
              <w:top w:val="single" w:sz="4" w:space="0" w:color="auto"/>
            </w:tcBorders>
            <w:noWrap/>
            <w:vAlign w:val="center"/>
            <w:hideMark/>
          </w:tcPr>
          <w:p w14:paraId="05A089EC" w14:textId="77777777" w:rsidR="00EF1479" w:rsidRPr="00271996" w:rsidRDefault="00EF1479" w:rsidP="00D347A1">
            <w:pPr>
              <w:pStyle w:val="Tabletext1"/>
              <w:keepNext/>
              <w:ind w:left="0"/>
              <w:jc w:val="center"/>
            </w:pPr>
            <w:r w:rsidRPr="00271996">
              <w:t>91.6 ± 12.6</w:t>
            </w:r>
          </w:p>
        </w:tc>
        <w:tc>
          <w:tcPr>
            <w:tcW w:w="1018" w:type="pct"/>
            <w:tcBorders>
              <w:top w:val="single" w:sz="4" w:space="0" w:color="auto"/>
            </w:tcBorders>
            <w:noWrap/>
            <w:vAlign w:val="center"/>
            <w:hideMark/>
          </w:tcPr>
          <w:p w14:paraId="7AD7D622" w14:textId="77777777" w:rsidR="00EF1479" w:rsidRPr="00271996" w:rsidRDefault="00EF1479" w:rsidP="00D347A1">
            <w:pPr>
              <w:pStyle w:val="Tabletext1"/>
              <w:keepNext/>
              <w:ind w:left="0"/>
              <w:jc w:val="center"/>
            </w:pPr>
            <w:r w:rsidRPr="00271996">
              <w:t>0.04</w:t>
            </w:r>
          </w:p>
        </w:tc>
      </w:tr>
      <w:tr w:rsidR="00EF1479" w:rsidRPr="00215BAA" w14:paraId="668FCA9A" w14:textId="7067ABF2" w:rsidTr="00024C44">
        <w:trPr>
          <w:trHeight w:val="260"/>
        </w:trPr>
        <w:tc>
          <w:tcPr>
            <w:tcW w:w="1387" w:type="pct"/>
            <w:noWrap/>
            <w:hideMark/>
          </w:tcPr>
          <w:p w14:paraId="14753176" w14:textId="77777777" w:rsidR="00EF1479" w:rsidRPr="00215BAA" w:rsidRDefault="00EF1479" w:rsidP="009F61F1">
            <w:pPr>
              <w:pStyle w:val="Tabletext1"/>
              <w:ind w:left="0"/>
            </w:pPr>
            <w:r w:rsidRPr="00215BAA">
              <w:t>Role Functioning</w:t>
            </w:r>
          </w:p>
        </w:tc>
        <w:tc>
          <w:tcPr>
            <w:tcW w:w="1390" w:type="pct"/>
            <w:noWrap/>
            <w:vAlign w:val="center"/>
            <w:hideMark/>
          </w:tcPr>
          <w:p w14:paraId="6EF72A52" w14:textId="77777777" w:rsidR="00EF1479" w:rsidRPr="00215BAA" w:rsidRDefault="00EF1479" w:rsidP="009F61F1">
            <w:pPr>
              <w:pStyle w:val="Tabletext1"/>
              <w:ind w:left="0"/>
              <w:jc w:val="center"/>
            </w:pPr>
            <w:r w:rsidRPr="00215BAA">
              <w:t>94.6 ± 9.9</w:t>
            </w:r>
          </w:p>
        </w:tc>
        <w:tc>
          <w:tcPr>
            <w:tcW w:w="1205" w:type="pct"/>
            <w:noWrap/>
            <w:vAlign w:val="center"/>
            <w:hideMark/>
          </w:tcPr>
          <w:p w14:paraId="1B1F7D4F" w14:textId="77777777" w:rsidR="00EF1479" w:rsidRPr="00215BAA" w:rsidRDefault="00EF1479" w:rsidP="009F61F1">
            <w:pPr>
              <w:pStyle w:val="Tabletext1"/>
              <w:ind w:left="0"/>
              <w:jc w:val="center"/>
            </w:pPr>
            <w:r w:rsidRPr="00215BAA">
              <w:t>88.8 ± 17.3</w:t>
            </w:r>
          </w:p>
        </w:tc>
        <w:tc>
          <w:tcPr>
            <w:tcW w:w="1018" w:type="pct"/>
            <w:noWrap/>
            <w:vAlign w:val="center"/>
            <w:hideMark/>
          </w:tcPr>
          <w:p w14:paraId="2216FA5F" w14:textId="3E8FF37D" w:rsidR="00EF1479" w:rsidRPr="00215BAA" w:rsidRDefault="00EF1479" w:rsidP="009F61F1">
            <w:pPr>
              <w:pStyle w:val="Tabletext1"/>
              <w:ind w:left="0"/>
              <w:jc w:val="center"/>
            </w:pPr>
            <w:r w:rsidRPr="00215BAA">
              <w:t>0.1</w:t>
            </w:r>
            <w:r w:rsidR="00564455">
              <w:t>0</w:t>
            </w:r>
          </w:p>
        </w:tc>
      </w:tr>
      <w:tr w:rsidR="00EF1479" w:rsidRPr="00215BAA" w14:paraId="7FCE6677" w14:textId="47976FEA" w:rsidTr="00024C44">
        <w:trPr>
          <w:trHeight w:val="260"/>
        </w:trPr>
        <w:tc>
          <w:tcPr>
            <w:tcW w:w="1387" w:type="pct"/>
            <w:noWrap/>
            <w:hideMark/>
          </w:tcPr>
          <w:p w14:paraId="355C69B6" w14:textId="77777777" w:rsidR="00EF1479" w:rsidRPr="00215BAA" w:rsidRDefault="00EF1479" w:rsidP="009F61F1">
            <w:pPr>
              <w:pStyle w:val="Tabletext1"/>
              <w:ind w:left="0"/>
            </w:pPr>
            <w:r w:rsidRPr="00215BAA">
              <w:t>Emotional Functioning</w:t>
            </w:r>
          </w:p>
        </w:tc>
        <w:tc>
          <w:tcPr>
            <w:tcW w:w="1390" w:type="pct"/>
            <w:noWrap/>
            <w:vAlign w:val="center"/>
            <w:hideMark/>
          </w:tcPr>
          <w:p w14:paraId="355036F2" w14:textId="77777777" w:rsidR="00EF1479" w:rsidRPr="00215BAA" w:rsidRDefault="00EF1479" w:rsidP="009F61F1">
            <w:pPr>
              <w:pStyle w:val="Tabletext1"/>
              <w:ind w:left="0"/>
              <w:jc w:val="center"/>
            </w:pPr>
            <w:r w:rsidRPr="00215BAA">
              <w:t>82.2 ± 18.7</w:t>
            </w:r>
          </w:p>
        </w:tc>
        <w:tc>
          <w:tcPr>
            <w:tcW w:w="1205" w:type="pct"/>
            <w:noWrap/>
            <w:vAlign w:val="center"/>
            <w:hideMark/>
          </w:tcPr>
          <w:p w14:paraId="6158B4DC" w14:textId="77777777" w:rsidR="00EF1479" w:rsidRPr="00215BAA" w:rsidRDefault="00EF1479" w:rsidP="009F61F1">
            <w:pPr>
              <w:pStyle w:val="Tabletext1"/>
              <w:ind w:left="0"/>
              <w:jc w:val="center"/>
            </w:pPr>
            <w:r w:rsidRPr="00215BAA">
              <w:t>79.7 ± 16.6</w:t>
            </w:r>
          </w:p>
        </w:tc>
        <w:tc>
          <w:tcPr>
            <w:tcW w:w="1018" w:type="pct"/>
            <w:noWrap/>
            <w:vAlign w:val="center"/>
            <w:hideMark/>
          </w:tcPr>
          <w:p w14:paraId="231F38AF" w14:textId="77777777" w:rsidR="00EF1479" w:rsidRPr="00215BAA" w:rsidRDefault="00EF1479" w:rsidP="009F61F1">
            <w:pPr>
              <w:pStyle w:val="Tabletext1"/>
              <w:ind w:left="0"/>
              <w:jc w:val="center"/>
            </w:pPr>
            <w:r w:rsidRPr="00215BAA">
              <w:t>0.23</w:t>
            </w:r>
          </w:p>
        </w:tc>
      </w:tr>
      <w:tr w:rsidR="00EF1479" w:rsidRPr="00215BAA" w14:paraId="0805FE51" w14:textId="17D79D78" w:rsidTr="00024C44">
        <w:trPr>
          <w:trHeight w:val="260"/>
        </w:trPr>
        <w:tc>
          <w:tcPr>
            <w:tcW w:w="1387" w:type="pct"/>
            <w:noWrap/>
            <w:hideMark/>
          </w:tcPr>
          <w:p w14:paraId="2C3DDBB7" w14:textId="77777777" w:rsidR="00EF1479" w:rsidRPr="00215BAA" w:rsidRDefault="00EF1479" w:rsidP="009F61F1">
            <w:pPr>
              <w:pStyle w:val="Tabletext1"/>
              <w:ind w:left="0"/>
            </w:pPr>
            <w:r w:rsidRPr="00215BAA">
              <w:t>Cognitive Functioning</w:t>
            </w:r>
          </w:p>
        </w:tc>
        <w:tc>
          <w:tcPr>
            <w:tcW w:w="1390" w:type="pct"/>
            <w:noWrap/>
            <w:vAlign w:val="center"/>
            <w:hideMark/>
          </w:tcPr>
          <w:p w14:paraId="5C22D851" w14:textId="77777777" w:rsidR="00EF1479" w:rsidRPr="00215BAA" w:rsidRDefault="00EF1479" w:rsidP="009F61F1">
            <w:pPr>
              <w:pStyle w:val="Tabletext1"/>
              <w:ind w:left="0"/>
              <w:jc w:val="center"/>
            </w:pPr>
            <w:r w:rsidRPr="00215BAA">
              <w:t>94.9 ± 11.7</w:t>
            </w:r>
          </w:p>
        </w:tc>
        <w:tc>
          <w:tcPr>
            <w:tcW w:w="1205" w:type="pct"/>
            <w:noWrap/>
            <w:vAlign w:val="center"/>
            <w:hideMark/>
          </w:tcPr>
          <w:p w14:paraId="3FD1774A" w14:textId="77777777" w:rsidR="00EF1479" w:rsidRPr="00215BAA" w:rsidRDefault="00EF1479" w:rsidP="009F61F1">
            <w:pPr>
              <w:pStyle w:val="Tabletext1"/>
              <w:ind w:left="0"/>
              <w:jc w:val="center"/>
            </w:pPr>
            <w:r w:rsidRPr="00215BAA">
              <w:t>92 ± 12.2</w:t>
            </w:r>
          </w:p>
        </w:tc>
        <w:tc>
          <w:tcPr>
            <w:tcW w:w="1018" w:type="pct"/>
            <w:noWrap/>
            <w:vAlign w:val="center"/>
            <w:hideMark/>
          </w:tcPr>
          <w:p w14:paraId="61DA1FE2" w14:textId="77777777" w:rsidR="00EF1479" w:rsidRPr="00215BAA" w:rsidRDefault="00EF1479" w:rsidP="009F61F1">
            <w:pPr>
              <w:pStyle w:val="Tabletext1"/>
              <w:ind w:left="0"/>
              <w:jc w:val="center"/>
            </w:pPr>
            <w:r w:rsidRPr="00215BAA">
              <w:t>0.16</w:t>
            </w:r>
          </w:p>
        </w:tc>
      </w:tr>
      <w:tr w:rsidR="00EF1479" w:rsidRPr="00215BAA" w14:paraId="29F604E9" w14:textId="192D1F2E" w:rsidTr="00024C44">
        <w:trPr>
          <w:trHeight w:val="260"/>
        </w:trPr>
        <w:tc>
          <w:tcPr>
            <w:tcW w:w="1387" w:type="pct"/>
            <w:noWrap/>
            <w:hideMark/>
          </w:tcPr>
          <w:p w14:paraId="68FA1B67" w14:textId="77777777" w:rsidR="00EF1479" w:rsidRPr="00215BAA" w:rsidRDefault="00EF1479" w:rsidP="009F61F1">
            <w:pPr>
              <w:pStyle w:val="Tabletext1"/>
              <w:ind w:left="0"/>
            </w:pPr>
            <w:r w:rsidRPr="00215BAA">
              <w:t>Social Functioning</w:t>
            </w:r>
          </w:p>
        </w:tc>
        <w:tc>
          <w:tcPr>
            <w:tcW w:w="1390" w:type="pct"/>
            <w:noWrap/>
            <w:vAlign w:val="center"/>
            <w:hideMark/>
          </w:tcPr>
          <w:p w14:paraId="5DFA1E2D" w14:textId="77777777" w:rsidR="00EF1479" w:rsidRPr="00215BAA" w:rsidRDefault="00EF1479" w:rsidP="009F61F1">
            <w:pPr>
              <w:pStyle w:val="Tabletext1"/>
              <w:ind w:left="0"/>
              <w:jc w:val="center"/>
            </w:pPr>
            <w:r w:rsidRPr="00215BAA">
              <w:t>65.5 ± 40.5</w:t>
            </w:r>
          </w:p>
        </w:tc>
        <w:tc>
          <w:tcPr>
            <w:tcW w:w="1205" w:type="pct"/>
            <w:noWrap/>
            <w:vAlign w:val="center"/>
            <w:hideMark/>
          </w:tcPr>
          <w:p w14:paraId="5F64836E" w14:textId="77777777" w:rsidR="00EF1479" w:rsidRPr="00215BAA" w:rsidRDefault="00EF1479" w:rsidP="009F61F1">
            <w:pPr>
              <w:pStyle w:val="Tabletext1"/>
              <w:ind w:left="0"/>
              <w:jc w:val="center"/>
            </w:pPr>
            <w:r w:rsidRPr="00215BAA">
              <w:t>73.2 ± 35.8</w:t>
            </w:r>
          </w:p>
        </w:tc>
        <w:tc>
          <w:tcPr>
            <w:tcW w:w="1018" w:type="pct"/>
            <w:noWrap/>
            <w:vAlign w:val="center"/>
            <w:hideMark/>
          </w:tcPr>
          <w:p w14:paraId="2E13000F" w14:textId="77777777" w:rsidR="00EF1479" w:rsidRPr="00215BAA" w:rsidRDefault="00EF1479" w:rsidP="009F61F1">
            <w:pPr>
              <w:pStyle w:val="Tabletext1"/>
              <w:ind w:left="0"/>
              <w:jc w:val="center"/>
            </w:pPr>
            <w:r w:rsidRPr="00215BAA">
              <w:t>0.29</w:t>
            </w:r>
          </w:p>
        </w:tc>
      </w:tr>
      <w:tr w:rsidR="00B16A6B" w:rsidRPr="00215BAA" w14:paraId="4A7AF84D" w14:textId="77777777" w:rsidTr="00F519BC">
        <w:trPr>
          <w:trHeight w:val="260"/>
        </w:trPr>
        <w:tc>
          <w:tcPr>
            <w:tcW w:w="1387" w:type="pct"/>
            <w:tcBorders>
              <w:bottom w:val="single" w:sz="4" w:space="0" w:color="auto"/>
            </w:tcBorders>
            <w:noWrap/>
          </w:tcPr>
          <w:p w14:paraId="1873BED3" w14:textId="211F7683" w:rsidR="00B16A6B" w:rsidRPr="00215BAA" w:rsidRDefault="00B16A6B" w:rsidP="00B16A6B">
            <w:pPr>
              <w:pStyle w:val="Tabletext1"/>
              <w:ind w:left="33"/>
            </w:pPr>
            <w:r w:rsidRPr="00215BAA">
              <w:t>Global Health Status</w:t>
            </w:r>
          </w:p>
        </w:tc>
        <w:tc>
          <w:tcPr>
            <w:tcW w:w="1390" w:type="pct"/>
            <w:tcBorders>
              <w:bottom w:val="single" w:sz="4" w:space="0" w:color="auto"/>
            </w:tcBorders>
            <w:noWrap/>
            <w:vAlign w:val="center"/>
          </w:tcPr>
          <w:p w14:paraId="2B6C6278" w14:textId="4F124918" w:rsidR="00B16A6B" w:rsidRPr="00215BAA" w:rsidRDefault="00B16A6B" w:rsidP="00B16A6B">
            <w:pPr>
              <w:pStyle w:val="Tabletext1"/>
              <w:ind w:left="0"/>
              <w:jc w:val="center"/>
            </w:pPr>
            <w:r w:rsidRPr="00215BAA">
              <w:t>72.5 ± 13.4</w:t>
            </w:r>
          </w:p>
        </w:tc>
        <w:tc>
          <w:tcPr>
            <w:tcW w:w="1205" w:type="pct"/>
            <w:tcBorders>
              <w:bottom w:val="single" w:sz="4" w:space="0" w:color="auto"/>
            </w:tcBorders>
            <w:noWrap/>
            <w:vAlign w:val="center"/>
          </w:tcPr>
          <w:p w14:paraId="780A69CF" w14:textId="0B8AFED4" w:rsidR="00B16A6B" w:rsidRPr="00215BAA" w:rsidRDefault="00B16A6B" w:rsidP="00B16A6B">
            <w:pPr>
              <w:pStyle w:val="Tabletext1"/>
              <w:ind w:left="-19"/>
              <w:jc w:val="center"/>
            </w:pPr>
            <w:r w:rsidRPr="00215BAA">
              <w:t>72.1 ± 15.8</w:t>
            </w:r>
          </w:p>
        </w:tc>
        <w:tc>
          <w:tcPr>
            <w:tcW w:w="1018" w:type="pct"/>
            <w:tcBorders>
              <w:bottom w:val="single" w:sz="4" w:space="0" w:color="auto"/>
            </w:tcBorders>
            <w:noWrap/>
            <w:vAlign w:val="center"/>
          </w:tcPr>
          <w:p w14:paraId="428A30B2" w14:textId="6E5ECE13" w:rsidR="00B16A6B" w:rsidRPr="00215BAA" w:rsidRDefault="00B16A6B" w:rsidP="00B16A6B">
            <w:pPr>
              <w:pStyle w:val="Tabletext1"/>
              <w:ind w:left="0"/>
              <w:jc w:val="center"/>
            </w:pPr>
            <w:r w:rsidRPr="00215BAA">
              <w:t>0.91</w:t>
            </w:r>
          </w:p>
        </w:tc>
      </w:tr>
      <w:tr w:rsidR="00587C90" w:rsidRPr="00215BAA" w14:paraId="14A4625E" w14:textId="3E474F3A" w:rsidTr="00F519BC">
        <w:trPr>
          <w:trHeight w:val="260"/>
        </w:trPr>
        <w:tc>
          <w:tcPr>
            <w:tcW w:w="1387" w:type="pct"/>
            <w:tcBorders>
              <w:top w:val="single" w:sz="4" w:space="0" w:color="auto"/>
              <w:left w:val="single" w:sz="4" w:space="0" w:color="auto"/>
              <w:bottom w:val="single" w:sz="4" w:space="0" w:color="auto"/>
              <w:right w:val="nil"/>
            </w:tcBorders>
            <w:noWrap/>
          </w:tcPr>
          <w:p w14:paraId="043813B6" w14:textId="7E5FC41C" w:rsidR="00587C90" w:rsidRPr="00215BAA" w:rsidRDefault="000F7480" w:rsidP="002429E5">
            <w:pPr>
              <w:pStyle w:val="Tabletext1"/>
              <w:ind w:left="0"/>
            </w:pPr>
            <w:r>
              <w:t>Single item</w:t>
            </w:r>
          </w:p>
        </w:tc>
        <w:tc>
          <w:tcPr>
            <w:tcW w:w="1390" w:type="pct"/>
            <w:tcBorders>
              <w:top w:val="single" w:sz="4" w:space="0" w:color="auto"/>
              <w:left w:val="nil"/>
              <w:bottom w:val="single" w:sz="4" w:space="0" w:color="auto"/>
              <w:right w:val="nil"/>
            </w:tcBorders>
            <w:noWrap/>
            <w:vAlign w:val="center"/>
          </w:tcPr>
          <w:p w14:paraId="7658E217" w14:textId="77777777" w:rsidR="00587C90" w:rsidRPr="00215BAA" w:rsidRDefault="00587C90" w:rsidP="009F61F1">
            <w:pPr>
              <w:pStyle w:val="Tabletext1"/>
              <w:jc w:val="center"/>
            </w:pPr>
          </w:p>
        </w:tc>
        <w:tc>
          <w:tcPr>
            <w:tcW w:w="1205" w:type="pct"/>
            <w:tcBorders>
              <w:top w:val="single" w:sz="4" w:space="0" w:color="auto"/>
              <w:left w:val="nil"/>
              <w:bottom w:val="single" w:sz="4" w:space="0" w:color="auto"/>
              <w:right w:val="nil"/>
            </w:tcBorders>
            <w:noWrap/>
            <w:vAlign w:val="center"/>
          </w:tcPr>
          <w:p w14:paraId="4AE6764E" w14:textId="77777777" w:rsidR="00587C90" w:rsidRPr="00215BAA" w:rsidRDefault="00587C90" w:rsidP="009F61F1">
            <w:pPr>
              <w:pStyle w:val="Tabletext1"/>
              <w:jc w:val="center"/>
            </w:pPr>
          </w:p>
        </w:tc>
        <w:tc>
          <w:tcPr>
            <w:tcW w:w="1018" w:type="pct"/>
            <w:tcBorders>
              <w:top w:val="single" w:sz="4" w:space="0" w:color="auto"/>
              <w:left w:val="nil"/>
              <w:bottom w:val="single" w:sz="4" w:space="0" w:color="auto"/>
              <w:right w:val="single" w:sz="4" w:space="0" w:color="auto"/>
            </w:tcBorders>
            <w:noWrap/>
            <w:vAlign w:val="center"/>
          </w:tcPr>
          <w:p w14:paraId="0655622F" w14:textId="77777777" w:rsidR="00587C90" w:rsidRPr="00215BAA" w:rsidRDefault="00587C90" w:rsidP="009F61F1">
            <w:pPr>
              <w:pStyle w:val="Tabletext1"/>
              <w:jc w:val="center"/>
            </w:pPr>
          </w:p>
        </w:tc>
      </w:tr>
      <w:tr w:rsidR="00EF1479" w:rsidRPr="00215BAA" w14:paraId="7E689FF5" w14:textId="5C817F90" w:rsidTr="00F519BC">
        <w:trPr>
          <w:trHeight w:val="260"/>
        </w:trPr>
        <w:tc>
          <w:tcPr>
            <w:tcW w:w="1387" w:type="pct"/>
            <w:tcBorders>
              <w:top w:val="single" w:sz="4" w:space="0" w:color="auto"/>
            </w:tcBorders>
            <w:noWrap/>
            <w:hideMark/>
          </w:tcPr>
          <w:p w14:paraId="5E2720BB" w14:textId="77777777" w:rsidR="00EF1479" w:rsidRPr="00215BAA" w:rsidRDefault="00EF1479" w:rsidP="009F61F1">
            <w:pPr>
              <w:pStyle w:val="Tabletext1"/>
              <w:ind w:left="0"/>
            </w:pPr>
            <w:r w:rsidRPr="00215BAA">
              <w:t>Fatigue</w:t>
            </w:r>
          </w:p>
        </w:tc>
        <w:tc>
          <w:tcPr>
            <w:tcW w:w="1390" w:type="pct"/>
            <w:tcBorders>
              <w:top w:val="single" w:sz="4" w:space="0" w:color="auto"/>
            </w:tcBorders>
            <w:noWrap/>
            <w:vAlign w:val="center"/>
            <w:hideMark/>
          </w:tcPr>
          <w:p w14:paraId="1E1F87B8" w14:textId="77777777" w:rsidR="00EF1479" w:rsidRPr="00215BAA" w:rsidRDefault="00EF1479" w:rsidP="009F61F1">
            <w:pPr>
              <w:pStyle w:val="Tabletext1"/>
              <w:ind w:left="0"/>
              <w:jc w:val="center"/>
            </w:pPr>
            <w:r w:rsidRPr="00215BAA">
              <w:t>12.1 ± 15.3</w:t>
            </w:r>
          </w:p>
        </w:tc>
        <w:tc>
          <w:tcPr>
            <w:tcW w:w="1205" w:type="pct"/>
            <w:tcBorders>
              <w:top w:val="single" w:sz="4" w:space="0" w:color="auto"/>
            </w:tcBorders>
            <w:noWrap/>
            <w:vAlign w:val="center"/>
            <w:hideMark/>
          </w:tcPr>
          <w:p w14:paraId="3AA652E5" w14:textId="77777777" w:rsidR="00EF1479" w:rsidRPr="00215BAA" w:rsidRDefault="00EF1479" w:rsidP="009F61F1">
            <w:pPr>
              <w:pStyle w:val="Tabletext1"/>
              <w:ind w:left="0"/>
              <w:jc w:val="center"/>
            </w:pPr>
            <w:r w:rsidRPr="00215BAA">
              <w:t>17.4 ± 18.3</w:t>
            </w:r>
          </w:p>
        </w:tc>
        <w:tc>
          <w:tcPr>
            <w:tcW w:w="1018" w:type="pct"/>
            <w:tcBorders>
              <w:top w:val="single" w:sz="4" w:space="0" w:color="auto"/>
            </w:tcBorders>
            <w:noWrap/>
            <w:vAlign w:val="center"/>
            <w:hideMark/>
          </w:tcPr>
          <w:p w14:paraId="19C6E5BF" w14:textId="77777777" w:rsidR="00EF1479" w:rsidRPr="00215BAA" w:rsidRDefault="00EF1479" w:rsidP="009F61F1">
            <w:pPr>
              <w:pStyle w:val="Tabletext1"/>
              <w:ind w:left="0"/>
              <w:jc w:val="center"/>
            </w:pPr>
            <w:r w:rsidRPr="00215BAA">
              <w:t>0.22</w:t>
            </w:r>
          </w:p>
        </w:tc>
      </w:tr>
      <w:tr w:rsidR="00EF1479" w:rsidRPr="00215BAA" w14:paraId="7342A6B8" w14:textId="0535121A" w:rsidTr="00024C44">
        <w:trPr>
          <w:trHeight w:val="260"/>
        </w:trPr>
        <w:tc>
          <w:tcPr>
            <w:tcW w:w="1387" w:type="pct"/>
            <w:noWrap/>
            <w:hideMark/>
          </w:tcPr>
          <w:p w14:paraId="0ECD7677" w14:textId="77777777" w:rsidR="00EF1479" w:rsidRPr="00215BAA" w:rsidRDefault="00EF1479" w:rsidP="009F61F1">
            <w:pPr>
              <w:pStyle w:val="Tabletext1"/>
              <w:ind w:left="0"/>
            </w:pPr>
            <w:r w:rsidRPr="00215BAA">
              <w:t>Nausea and Vomiting</w:t>
            </w:r>
          </w:p>
        </w:tc>
        <w:tc>
          <w:tcPr>
            <w:tcW w:w="1390" w:type="pct"/>
            <w:noWrap/>
            <w:vAlign w:val="center"/>
            <w:hideMark/>
          </w:tcPr>
          <w:p w14:paraId="7B465B77" w14:textId="77777777" w:rsidR="00EF1479" w:rsidRPr="00215BAA" w:rsidRDefault="00EF1479" w:rsidP="009F61F1">
            <w:pPr>
              <w:pStyle w:val="Tabletext1"/>
              <w:ind w:left="0"/>
              <w:jc w:val="center"/>
            </w:pPr>
            <w:r w:rsidRPr="00215BAA">
              <w:t>0.7 ± 3.5</w:t>
            </w:r>
          </w:p>
        </w:tc>
        <w:tc>
          <w:tcPr>
            <w:tcW w:w="1205" w:type="pct"/>
            <w:noWrap/>
            <w:vAlign w:val="center"/>
            <w:hideMark/>
          </w:tcPr>
          <w:p w14:paraId="552FD2D3" w14:textId="77777777" w:rsidR="00EF1479" w:rsidRPr="00215BAA" w:rsidRDefault="00EF1479" w:rsidP="009F61F1">
            <w:pPr>
              <w:pStyle w:val="Tabletext1"/>
              <w:ind w:left="0"/>
              <w:jc w:val="center"/>
            </w:pPr>
            <w:r w:rsidRPr="00215BAA">
              <w:t>0.7 ± 3.5</w:t>
            </w:r>
          </w:p>
        </w:tc>
        <w:tc>
          <w:tcPr>
            <w:tcW w:w="1018" w:type="pct"/>
            <w:noWrap/>
            <w:vAlign w:val="center"/>
            <w:hideMark/>
          </w:tcPr>
          <w:p w14:paraId="26B7C664" w14:textId="77777777" w:rsidR="00EF1479" w:rsidRPr="00215BAA" w:rsidRDefault="00EF1479" w:rsidP="009F61F1">
            <w:pPr>
              <w:pStyle w:val="Tabletext1"/>
              <w:ind w:left="0"/>
              <w:jc w:val="center"/>
            </w:pPr>
            <w:r w:rsidRPr="00215BAA">
              <w:t>0.23</w:t>
            </w:r>
          </w:p>
        </w:tc>
      </w:tr>
      <w:tr w:rsidR="00EF1479" w:rsidRPr="00215BAA" w14:paraId="38C4BEC9" w14:textId="3CB1D0BC" w:rsidTr="00024C44">
        <w:trPr>
          <w:trHeight w:val="260"/>
        </w:trPr>
        <w:tc>
          <w:tcPr>
            <w:tcW w:w="1387" w:type="pct"/>
            <w:noWrap/>
            <w:hideMark/>
          </w:tcPr>
          <w:p w14:paraId="5F02CA1E" w14:textId="77777777" w:rsidR="00EF1479" w:rsidRPr="00215BAA" w:rsidRDefault="00EF1479" w:rsidP="009F61F1">
            <w:pPr>
              <w:pStyle w:val="Tabletext1"/>
              <w:ind w:left="0"/>
            </w:pPr>
            <w:r w:rsidRPr="00215BAA">
              <w:t>Pain</w:t>
            </w:r>
          </w:p>
        </w:tc>
        <w:tc>
          <w:tcPr>
            <w:tcW w:w="1390" w:type="pct"/>
            <w:noWrap/>
            <w:vAlign w:val="center"/>
            <w:hideMark/>
          </w:tcPr>
          <w:p w14:paraId="0910C2AF" w14:textId="77777777" w:rsidR="00EF1479" w:rsidRPr="00215BAA" w:rsidRDefault="00EF1479" w:rsidP="009F61F1">
            <w:pPr>
              <w:pStyle w:val="Tabletext1"/>
              <w:ind w:left="0"/>
              <w:jc w:val="center"/>
            </w:pPr>
            <w:r w:rsidRPr="00215BAA">
              <w:t>1.5 ± 4.8</w:t>
            </w:r>
          </w:p>
        </w:tc>
        <w:tc>
          <w:tcPr>
            <w:tcW w:w="1205" w:type="pct"/>
            <w:noWrap/>
            <w:vAlign w:val="center"/>
            <w:hideMark/>
          </w:tcPr>
          <w:p w14:paraId="6309689F" w14:textId="77777777" w:rsidR="00EF1479" w:rsidRPr="00215BAA" w:rsidRDefault="00EF1479" w:rsidP="009F61F1">
            <w:pPr>
              <w:pStyle w:val="Tabletext1"/>
              <w:ind w:left="0"/>
              <w:jc w:val="center"/>
            </w:pPr>
            <w:r w:rsidRPr="00215BAA">
              <w:t>7.2 ± 17.3</w:t>
            </w:r>
          </w:p>
        </w:tc>
        <w:tc>
          <w:tcPr>
            <w:tcW w:w="1018" w:type="pct"/>
            <w:noWrap/>
            <w:vAlign w:val="center"/>
            <w:hideMark/>
          </w:tcPr>
          <w:p w14:paraId="7AFF8CAD" w14:textId="77777777" w:rsidR="00EF1479" w:rsidRPr="00215BAA" w:rsidRDefault="00EF1479" w:rsidP="009F61F1">
            <w:pPr>
              <w:pStyle w:val="Tabletext1"/>
              <w:ind w:left="0"/>
              <w:jc w:val="center"/>
            </w:pPr>
            <w:r w:rsidRPr="00215BAA">
              <w:t>0.12</w:t>
            </w:r>
          </w:p>
        </w:tc>
      </w:tr>
      <w:tr w:rsidR="00EF1479" w:rsidRPr="00215BAA" w14:paraId="0E1D3640" w14:textId="78B03627" w:rsidTr="00024C44">
        <w:trPr>
          <w:trHeight w:val="260"/>
        </w:trPr>
        <w:tc>
          <w:tcPr>
            <w:tcW w:w="1387" w:type="pct"/>
            <w:noWrap/>
            <w:hideMark/>
          </w:tcPr>
          <w:p w14:paraId="6ED7FB42" w14:textId="77777777" w:rsidR="00EF1479" w:rsidRPr="00215BAA" w:rsidRDefault="00EF1479" w:rsidP="009F61F1">
            <w:pPr>
              <w:pStyle w:val="Tabletext1"/>
              <w:ind w:left="0"/>
            </w:pPr>
            <w:r w:rsidRPr="00215BAA">
              <w:t>Dyspnoea</w:t>
            </w:r>
          </w:p>
        </w:tc>
        <w:tc>
          <w:tcPr>
            <w:tcW w:w="1390" w:type="pct"/>
            <w:noWrap/>
            <w:vAlign w:val="center"/>
            <w:hideMark/>
          </w:tcPr>
          <w:p w14:paraId="6ECF15CD" w14:textId="77777777" w:rsidR="00EF1479" w:rsidRPr="00215BAA" w:rsidRDefault="00EF1479" w:rsidP="009F61F1">
            <w:pPr>
              <w:pStyle w:val="Tabletext1"/>
              <w:ind w:left="0"/>
              <w:jc w:val="center"/>
            </w:pPr>
            <w:r w:rsidRPr="00215BAA">
              <w:t>10.1 ± 18.6</w:t>
            </w:r>
          </w:p>
        </w:tc>
        <w:tc>
          <w:tcPr>
            <w:tcW w:w="1205" w:type="pct"/>
            <w:noWrap/>
            <w:vAlign w:val="center"/>
            <w:hideMark/>
          </w:tcPr>
          <w:p w14:paraId="19843902" w14:textId="77777777" w:rsidR="00EF1479" w:rsidRPr="00215BAA" w:rsidRDefault="00EF1479" w:rsidP="009F61F1">
            <w:pPr>
              <w:pStyle w:val="Tabletext1"/>
              <w:ind w:left="0"/>
              <w:jc w:val="center"/>
            </w:pPr>
            <w:r w:rsidRPr="00215BAA">
              <w:t>8.7 ± 20.6</w:t>
            </w:r>
          </w:p>
        </w:tc>
        <w:tc>
          <w:tcPr>
            <w:tcW w:w="1018" w:type="pct"/>
            <w:noWrap/>
            <w:vAlign w:val="center"/>
            <w:hideMark/>
          </w:tcPr>
          <w:p w14:paraId="008BCBFC" w14:textId="77777777" w:rsidR="00EF1479" w:rsidRPr="00215BAA" w:rsidRDefault="00EF1479" w:rsidP="009F61F1">
            <w:pPr>
              <w:pStyle w:val="Tabletext1"/>
              <w:ind w:left="0"/>
              <w:jc w:val="center"/>
            </w:pPr>
            <w:r w:rsidRPr="00215BAA">
              <w:t>0.72</w:t>
            </w:r>
          </w:p>
        </w:tc>
      </w:tr>
      <w:tr w:rsidR="00EF1479" w:rsidRPr="00215BAA" w14:paraId="339C405E" w14:textId="1DE5880A" w:rsidTr="00024C44">
        <w:trPr>
          <w:trHeight w:val="260"/>
        </w:trPr>
        <w:tc>
          <w:tcPr>
            <w:tcW w:w="1387" w:type="pct"/>
            <w:noWrap/>
            <w:hideMark/>
          </w:tcPr>
          <w:p w14:paraId="11B6F578" w14:textId="77777777" w:rsidR="00EF1479" w:rsidRPr="00215BAA" w:rsidRDefault="00EF1479" w:rsidP="009F61F1">
            <w:pPr>
              <w:pStyle w:val="Tabletext1"/>
              <w:ind w:left="0"/>
            </w:pPr>
            <w:r w:rsidRPr="00215BAA">
              <w:t>Insomnia</w:t>
            </w:r>
          </w:p>
        </w:tc>
        <w:tc>
          <w:tcPr>
            <w:tcW w:w="1390" w:type="pct"/>
            <w:noWrap/>
            <w:vAlign w:val="center"/>
            <w:hideMark/>
          </w:tcPr>
          <w:p w14:paraId="32F3AEC2" w14:textId="77777777" w:rsidR="00EF1479" w:rsidRPr="00215BAA" w:rsidRDefault="00EF1479" w:rsidP="009F61F1">
            <w:pPr>
              <w:pStyle w:val="Tabletext1"/>
              <w:ind w:left="0"/>
              <w:jc w:val="center"/>
            </w:pPr>
            <w:r w:rsidRPr="00215BAA">
              <w:t>10.1 ± 15.7</w:t>
            </w:r>
          </w:p>
        </w:tc>
        <w:tc>
          <w:tcPr>
            <w:tcW w:w="1205" w:type="pct"/>
            <w:noWrap/>
            <w:vAlign w:val="center"/>
            <w:hideMark/>
          </w:tcPr>
          <w:p w14:paraId="49842679" w14:textId="77777777" w:rsidR="00EF1479" w:rsidRPr="00215BAA" w:rsidRDefault="00EF1479" w:rsidP="009F61F1">
            <w:pPr>
              <w:pStyle w:val="Tabletext1"/>
              <w:ind w:left="0"/>
              <w:jc w:val="center"/>
            </w:pPr>
            <w:r w:rsidRPr="00215BAA">
              <w:t>26.1 ± 26.5</w:t>
            </w:r>
          </w:p>
        </w:tc>
        <w:tc>
          <w:tcPr>
            <w:tcW w:w="1018" w:type="pct"/>
            <w:noWrap/>
            <w:vAlign w:val="center"/>
            <w:hideMark/>
          </w:tcPr>
          <w:p w14:paraId="6DC4D7EB" w14:textId="77777777" w:rsidR="00EF1479" w:rsidRPr="00215BAA" w:rsidRDefault="00EF1479" w:rsidP="009F61F1">
            <w:pPr>
              <w:pStyle w:val="Tabletext1"/>
              <w:ind w:left="0"/>
              <w:jc w:val="center"/>
            </w:pPr>
            <w:r w:rsidRPr="00215BAA">
              <w:t>0.005</w:t>
            </w:r>
          </w:p>
        </w:tc>
      </w:tr>
      <w:tr w:rsidR="00EF1479" w:rsidRPr="00215BAA" w14:paraId="2B90D8D5" w14:textId="2BF3AAA7" w:rsidTr="00024C44">
        <w:trPr>
          <w:trHeight w:val="260"/>
        </w:trPr>
        <w:tc>
          <w:tcPr>
            <w:tcW w:w="1387" w:type="pct"/>
            <w:noWrap/>
            <w:hideMark/>
          </w:tcPr>
          <w:p w14:paraId="0C5E2281" w14:textId="77777777" w:rsidR="00EF1479" w:rsidRPr="00215BAA" w:rsidRDefault="00EF1479" w:rsidP="009F61F1">
            <w:pPr>
              <w:pStyle w:val="Tabletext1"/>
              <w:ind w:left="0"/>
            </w:pPr>
            <w:r w:rsidRPr="00215BAA">
              <w:t>Appetite Loss</w:t>
            </w:r>
          </w:p>
        </w:tc>
        <w:tc>
          <w:tcPr>
            <w:tcW w:w="1390" w:type="pct"/>
            <w:noWrap/>
            <w:vAlign w:val="center"/>
            <w:hideMark/>
          </w:tcPr>
          <w:p w14:paraId="125E65DD" w14:textId="77777777" w:rsidR="00EF1479" w:rsidRPr="00215BAA" w:rsidRDefault="00EF1479" w:rsidP="009F61F1">
            <w:pPr>
              <w:pStyle w:val="Tabletext1"/>
              <w:ind w:left="0"/>
              <w:jc w:val="center"/>
            </w:pPr>
            <w:r w:rsidRPr="00215BAA">
              <w:t>1.4 ± 6.9</w:t>
            </w:r>
          </w:p>
        </w:tc>
        <w:tc>
          <w:tcPr>
            <w:tcW w:w="1205" w:type="pct"/>
            <w:noWrap/>
            <w:vAlign w:val="center"/>
            <w:hideMark/>
          </w:tcPr>
          <w:p w14:paraId="4A768F33" w14:textId="77777777" w:rsidR="00EF1479" w:rsidRPr="00215BAA" w:rsidRDefault="00EF1479" w:rsidP="009F61F1">
            <w:pPr>
              <w:pStyle w:val="Tabletext1"/>
              <w:ind w:left="0"/>
              <w:jc w:val="center"/>
            </w:pPr>
            <w:r w:rsidRPr="00215BAA">
              <w:t>2.9 ± 9.6</w:t>
            </w:r>
          </w:p>
        </w:tc>
        <w:tc>
          <w:tcPr>
            <w:tcW w:w="1018" w:type="pct"/>
            <w:noWrap/>
            <w:vAlign w:val="center"/>
            <w:hideMark/>
          </w:tcPr>
          <w:p w14:paraId="41606F0B" w14:textId="77777777" w:rsidR="00EF1479" w:rsidRPr="00215BAA" w:rsidRDefault="00EF1479" w:rsidP="009F61F1">
            <w:pPr>
              <w:pStyle w:val="Tabletext1"/>
              <w:ind w:left="0"/>
              <w:jc w:val="center"/>
            </w:pPr>
            <w:r w:rsidRPr="00215BAA">
              <w:t>0.33</w:t>
            </w:r>
          </w:p>
        </w:tc>
      </w:tr>
      <w:tr w:rsidR="00EF1479" w:rsidRPr="00215BAA" w14:paraId="3EF39F87" w14:textId="56F3A172" w:rsidTr="00024C44">
        <w:trPr>
          <w:trHeight w:val="260"/>
        </w:trPr>
        <w:tc>
          <w:tcPr>
            <w:tcW w:w="1387" w:type="pct"/>
            <w:noWrap/>
            <w:hideMark/>
          </w:tcPr>
          <w:p w14:paraId="6EDB2311" w14:textId="77777777" w:rsidR="00EF1479" w:rsidRPr="00271996" w:rsidRDefault="00EF1479" w:rsidP="009F61F1">
            <w:pPr>
              <w:pStyle w:val="Tabletext1"/>
              <w:ind w:left="0"/>
            </w:pPr>
            <w:r w:rsidRPr="00271996">
              <w:t>Constipation</w:t>
            </w:r>
          </w:p>
        </w:tc>
        <w:tc>
          <w:tcPr>
            <w:tcW w:w="1390" w:type="pct"/>
            <w:noWrap/>
            <w:vAlign w:val="center"/>
            <w:hideMark/>
          </w:tcPr>
          <w:p w14:paraId="67DD2C26" w14:textId="77777777" w:rsidR="00EF1479" w:rsidRPr="00271996" w:rsidRDefault="00EF1479" w:rsidP="009F61F1">
            <w:pPr>
              <w:pStyle w:val="Tabletext1"/>
              <w:ind w:left="0"/>
              <w:jc w:val="center"/>
            </w:pPr>
            <w:r w:rsidRPr="00271996">
              <w:t>11.6 ± 19.1</w:t>
            </w:r>
          </w:p>
        </w:tc>
        <w:tc>
          <w:tcPr>
            <w:tcW w:w="1205" w:type="pct"/>
            <w:noWrap/>
            <w:vAlign w:val="center"/>
            <w:hideMark/>
          </w:tcPr>
          <w:p w14:paraId="2AF39A14" w14:textId="77777777" w:rsidR="00EF1479" w:rsidRPr="00271996" w:rsidRDefault="00EF1479" w:rsidP="009F61F1">
            <w:pPr>
              <w:pStyle w:val="Tabletext1"/>
              <w:ind w:left="0"/>
              <w:jc w:val="center"/>
            </w:pPr>
            <w:r w:rsidRPr="00271996">
              <w:t>17.4 ± 19.8</w:t>
            </w:r>
          </w:p>
        </w:tc>
        <w:tc>
          <w:tcPr>
            <w:tcW w:w="1018" w:type="pct"/>
            <w:noWrap/>
            <w:vAlign w:val="center"/>
            <w:hideMark/>
          </w:tcPr>
          <w:p w14:paraId="5E6AB6CC" w14:textId="77777777" w:rsidR="00EF1479" w:rsidRPr="00271996" w:rsidRDefault="00EF1479" w:rsidP="009F61F1">
            <w:pPr>
              <w:pStyle w:val="Tabletext1"/>
              <w:ind w:left="0"/>
              <w:jc w:val="center"/>
            </w:pPr>
            <w:r w:rsidRPr="00271996">
              <w:t>0.04</w:t>
            </w:r>
          </w:p>
        </w:tc>
      </w:tr>
      <w:tr w:rsidR="00EF1479" w:rsidRPr="00215BAA" w14:paraId="67566406" w14:textId="7FFC559B" w:rsidTr="00024C44">
        <w:trPr>
          <w:trHeight w:val="260"/>
        </w:trPr>
        <w:tc>
          <w:tcPr>
            <w:tcW w:w="1387" w:type="pct"/>
            <w:noWrap/>
            <w:hideMark/>
          </w:tcPr>
          <w:p w14:paraId="233BDBB5" w14:textId="77777777" w:rsidR="00EF1479" w:rsidRPr="00215BAA" w:rsidRDefault="00EF1479" w:rsidP="009F61F1">
            <w:pPr>
              <w:pStyle w:val="Tabletext1"/>
              <w:ind w:left="0"/>
            </w:pPr>
            <w:r w:rsidRPr="00215BAA">
              <w:t>Diarrhoea</w:t>
            </w:r>
          </w:p>
        </w:tc>
        <w:tc>
          <w:tcPr>
            <w:tcW w:w="1390" w:type="pct"/>
            <w:noWrap/>
            <w:vAlign w:val="center"/>
            <w:hideMark/>
          </w:tcPr>
          <w:p w14:paraId="4A68642D" w14:textId="77777777" w:rsidR="00EF1479" w:rsidRPr="00215BAA" w:rsidRDefault="00EF1479" w:rsidP="009F61F1">
            <w:pPr>
              <w:pStyle w:val="Tabletext1"/>
              <w:ind w:left="0"/>
              <w:jc w:val="center"/>
            </w:pPr>
            <w:r w:rsidRPr="00215BAA">
              <w:t>5.8 ± 12.9</w:t>
            </w:r>
          </w:p>
        </w:tc>
        <w:tc>
          <w:tcPr>
            <w:tcW w:w="1205" w:type="pct"/>
            <w:noWrap/>
            <w:vAlign w:val="center"/>
            <w:hideMark/>
          </w:tcPr>
          <w:p w14:paraId="21D7FFBF" w14:textId="77777777" w:rsidR="00EF1479" w:rsidRPr="00215BAA" w:rsidRDefault="00EF1479" w:rsidP="009F61F1">
            <w:pPr>
              <w:pStyle w:val="Tabletext1"/>
              <w:ind w:left="0"/>
              <w:jc w:val="center"/>
            </w:pPr>
            <w:r w:rsidRPr="00215BAA">
              <w:t>7.2 ± 17.3</w:t>
            </w:r>
          </w:p>
        </w:tc>
        <w:tc>
          <w:tcPr>
            <w:tcW w:w="1018" w:type="pct"/>
            <w:noWrap/>
            <w:vAlign w:val="center"/>
            <w:hideMark/>
          </w:tcPr>
          <w:p w14:paraId="767AFD5A" w14:textId="77777777" w:rsidR="00EF1479" w:rsidRPr="00215BAA" w:rsidRDefault="00EF1479" w:rsidP="009F61F1">
            <w:pPr>
              <w:pStyle w:val="Tabletext1"/>
              <w:ind w:left="0"/>
              <w:jc w:val="center"/>
            </w:pPr>
            <w:r w:rsidRPr="00215BAA">
              <w:t>0.71</w:t>
            </w:r>
          </w:p>
        </w:tc>
      </w:tr>
      <w:tr w:rsidR="00EF1479" w:rsidRPr="00215BAA" w14:paraId="7B53384A" w14:textId="5418EE73" w:rsidTr="00024C44">
        <w:trPr>
          <w:trHeight w:val="260"/>
        </w:trPr>
        <w:tc>
          <w:tcPr>
            <w:tcW w:w="1387" w:type="pct"/>
            <w:noWrap/>
            <w:hideMark/>
          </w:tcPr>
          <w:p w14:paraId="78481D9B" w14:textId="77777777" w:rsidR="00EF1479" w:rsidRPr="00215BAA" w:rsidRDefault="00EF1479" w:rsidP="00C6168E">
            <w:pPr>
              <w:pStyle w:val="Tabletext1"/>
              <w:keepNext/>
              <w:keepLines/>
              <w:ind w:left="0"/>
            </w:pPr>
            <w:r w:rsidRPr="00215BAA">
              <w:t>Financial Difficulties</w:t>
            </w:r>
          </w:p>
        </w:tc>
        <w:tc>
          <w:tcPr>
            <w:tcW w:w="1390" w:type="pct"/>
            <w:noWrap/>
            <w:vAlign w:val="center"/>
            <w:hideMark/>
          </w:tcPr>
          <w:p w14:paraId="01A4C4F0" w14:textId="77777777" w:rsidR="00EF1479" w:rsidRPr="00215BAA" w:rsidRDefault="00EF1479" w:rsidP="00C6168E">
            <w:pPr>
              <w:pStyle w:val="Tabletext1"/>
              <w:keepNext/>
              <w:keepLines/>
              <w:ind w:left="0"/>
              <w:jc w:val="center"/>
            </w:pPr>
            <w:r w:rsidRPr="00215BAA">
              <w:t>2.9 ± 9.6</w:t>
            </w:r>
          </w:p>
        </w:tc>
        <w:tc>
          <w:tcPr>
            <w:tcW w:w="1205" w:type="pct"/>
            <w:noWrap/>
            <w:vAlign w:val="center"/>
            <w:hideMark/>
          </w:tcPr>
          <w:p w14:paraId="2923E7F5" w14:textId="77777777" w:rsidR="00EF1479" w:rsidRPr="00215BAA" w:rsidRDefault="00EF1479" w:rsidP="00C6168E">
            <w:pPr>
              <w:pStyle w:val="Tabletext1"/>
              <w:keepNext/>
              <w:keepLines/>
              <w:ind w:left="0"/>
              <w:jc w:val="center"/>
            </w:pPr>
            <w:r w:rsidRPr="00215BAA">
              <w:t>2.9 ± 9.6</w:t>
            </w:r>
          </w:p>
        </w:tc>
        <w:tc>
          <w:tcPr>
            <w:tcW w:w="1018" w:type="pct"/>
            <w:noWrap/>
            <w:vAlign w:val="center"/>
            <w:hideMark/>
          </w:tcPr>
          <w:p w14:paraId="61866165" w14:textId="77777777" w:rsidR="00EF1479" w:rsidRPr="00215BAA" w:rsidRDefault="00EF1479" w:rsidP="00C6168E">
            <w:pPr>
              <w:pStyle w:val="Tabletext1"/>
              <w:keepNext/>
              <w:keepLines/>
              <w:ind w:left="0"/>
              <w:jc w:val="center"/>
            </w:pPr>
            <w:r w:rsidRPr="00215BAA">
              <w:t>0.23</w:t>
            </w:r>
          </w:p>
        </w:tc>
      </w:tr>
    </w:tbl>
    <w:p w14:paraId="4EB6E56E" w14:textId="1B5CABB6" w:rsidR="00EF1479" w:rsidRDefault="00EF1479" w:rsidP="00411D51">
      <w:pPr>
        <w:pStyle w:val="Tablenotes0"/>
        <w:jc w:val="left"/>
      </w:pPr>
      <w:r>
        <w:t xml:space="preserve">Source: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rsidR="00C011CC">
        <w:t>,</w:t>
      </w:r>
      <w:r w:rsidR="00C011CC" w:rsidRPr="00C011CC">
        <w:t xml:space="preserve"> </w:t>
      </w:r>
      <w:r w:rsidR="00C011CC">
        <w:t>Table 6</w:t>
      </w:r>
      <w:r>
        <w:br/>
        <w:t>SD</w:t>
      </w:r>
      <w:r w:rsidR="00C011CC">
        <w:t>=</w:t>
      </w:r>
      <w:r>
        <w:t>standard deviation; RT</w:t>
      </w:r>
      <w:r w:rsidR="00D66FB9">
        <w:t>=</w:t>
      </w:r>
      <w:r>
        <w:t>radiation therapy</w:t>
      </w:r>
      <w:r>
        <w:br/>
        <w:t>* The EORTC QLQ-C30 includes functional scales and single-item questions. All scales and single-item scores range from 0 to 100. A high functional scale score represents a healthy level of functioning; a high score for the global health status represents a high QoL, while a high score for a symptom scale, bowel score or urinary score represents a high level of symptomatology.</w:t>
      </w:r>
    </w:p>
    <w:p w14:paraId="704B66FF" w14:textId="37FFF54E" w:rsidR="00B4610E" w:rsidRDefault="00C364D0" w:rsidP="00B4610E">
      <w:r>
        <w:t>T</w:t>
      </w:r>
      <w:r w:rsidR="00B4610E">
        <w:t>he EORTC QLQ-PR25</w:t>
      </w:r>
      <w:r w:rsidR="00AE13D9">
        <w:t xml:space="preserve"> urinary symptom scale also showed no significant worsening during the treatment</w:t>
      </w:r>
      <w:r w:rsidR="00B4610E">
        <w:t xml:space="preserve"> </w:t>
      </w:r>
      <w:hyperlink w:anchor="_ENREF_1" w:tooltip="Alongi, 2020 #13" w:history="1">
        <w:r w:rsidR="008B6FC0">
          <w:fldChar w:fldCharType="begin"/>
        </w:r>
        <w:r w:rsidR="008B6FC0">
          <w:instrText xml:space="preserve"> ADDIN EN.CITE &lt;EndNote&gt;&lt;Cite AuthorYear="1"&gt;&lt;Author&gt;Alongi&lt;/Author&gt;&lt;Year&gt;2020&lt;/Year&gt;&lt;RecNum&gt;13&lt;/RecNum&gt;&lt;Suffix&gt; &lt;/Suffix&gt;&lt;DisplayText&gt;Alongi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rsidR="00B4610E">
        <w:t xml:space="preserve">. The results of the EORTC QLQ-PR25 questionnaire are provided in </w:t>
      </w:r>
      <w:r w:rsidR="00B4610E">
        <w:fldChar w:fldCharType="begin"/>
      </w:r>
      <w:r w:rsidR="00B4610E">
        <w:instrText xml:space="preserve"> REF _Ref55815371 \h </w:instrText>
      </w:r>
      <w:r w:rsidR="00B4610E">
        <w:fldChar w:fldCharType="separate"/>
      </w:r>
      <w:r w:rsidR="00451350">
        <w:t xml:space="preserve">Table </w:t>
      </w:r>
      <w:r w:rsidR="00451350">
        <w:rPr>
          <w:noProof/>
        </w:rPr>
        <w:t>39</w:t>
      </w:r>
      <w:r w:rsidR="00B4610E">
        <w:fldChar w:fldCharType="end"/>
      </w:r>
      <w:r w:rsidR="00B4610E">
        <w:t>.</w:t>
      </w:r>
    </w:p>
    <w:p w14:paraId="598C9868" w14:textId="71729117" w:rsidR="00EF1479" w:rsidRPr="00B14E2D" w:rsidRDefault="00EF1479" w:rsidP="00F519BC">
      <w:pPr>
        <w:pStyle w:val="Caption"/>
        <w:keepNext/>
      </w:pPr>
      <w:bookmarkStart w:id="426" w:name="_Ref55815371"/>
      <w:bookmarkStart w:id="427" w:name="_Toc55815619"/>
      <w:bookmarkStart w:id="428" w:name="_Toc89857910"/>
      <w:r>
        <w:t xml:space="preserve">Table </w:t>
      </w:r>
      <w:r w:rsidR="00211285">
        <w:fldChar w:fldCharType="begin"/>
      </w:r>
      <w:r w:rsidR="00211285">
        <w:instrText xml:space="preserve"> SEQ Table \* ARABIC </w:instrText>
      </w:r>
      <w:r w:rsidR="00211285">
        <w:fldChar w:fldCharType="separate"/>
      </w:r>
      <w:r w:rsidR="00451350">
        <w:rPr>
          <w:noProof/>
        </w:rPr>
        <w:t>39</w:t>
      </w:r>
      <w:r w:rsidR="00211285">
        <w:rPr>
          <w:noProof/>
        </w:rPr>
        <w:fldChar w:fldCharType="end"/>
      </w:r>
      <w:bookmarkEnd w:id="426"/>
      <w:r>
        <w:tab/>
        <w:t xml:space="preserve">QoL scores on </w:t>
      </w:r>
      <w:r w:rsidRPr="00D114A9">
        <w:t>EORTC QLQ-PR25</w:t>
      </w:r>
      <w:r>
        <w:t xml:space="preserve"> at </w:t>
      </w:r>
      <w:r>
        <w:rPr>
          <w:noProof/>
        </w:rPr>
        <w:t xml:space="preserve">baseline and post-treatment </w:t>
      </w:r>
      <w:r w:rsidR="00CD3194">
        <w:rPr>
          <w:noProof/>
        </w:rPr>
        <w:t xml:space="preserve">with MR-IGRT </w:t>
      </w:r>
      <w:r>
        <w:rPr>
          <w:noProof/>
        </w:rPr>
        <w:t xml:space="preserve">for </w:t>
      </w:r>
      <w:r w:rsidR="00FA559F">
        <w:rPr>
          <w:noProof/>
        </w:rPr>
        <w:t xml:space="preserve">patients with </w:t>
      </w:r>
      <w:r>
        <w:rPr>
          <w:noProof/>
        </w:rPr>
        <w:t xml:space="preserve">prostate cancer </w:t>
      </w:r>
      <w:bookmarkEnd w:id="427"/>
      <w:r w:rsidR="008B6FC0">
        <w:rPr>
          <w:noProof/>
        </w:rPr>
        <w:fldChar w:fldCharType="begin"/>
      </w:r>
      <w:r w:rsidR="008B6FC0">
        <w:rPr>
          <w:noProof/>
        </w:rPr>
        <w:instrText xml:space="preserve"> HYPERLINK \l "_ENREF_1" \o "Alongi, 2020 #13" </w:instrText>
      </w:r>
      <w:r w:rsidR="00451350">
        <w:rPr>
          <w:noProof/>
        </w:rPr>
      </w:r>
      <w:r w:rsidR="008B6FC0">
        <w:rPr>
          <w:noProof/>
        </w:rPr>
        <w:fldChar w:fldCharType="separate"/>
      </w:r>
      <w:r w:rsidR="008B6FC0">
        <w:rPr>
          <w:noProof/>
        </w:rPr>
        <w:fldChar w:fldCharType="begin"/>
      </w:r>
      <w:r w:rsidR="008B6FC0">
        <w:rPr>
          <w:noProof/>
        </w:rPr>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rPr>
          <w:noProof/>
        </w:rPr>
        <w:fldChar w:fldCharType="separate"/>
      </w:r>
      <w:r w:rsidR="008B6FC0">
        <w:rPr>
          <w:noProof/>
        </w:rPr>
        <w:t>Alongi et al. (2020)</w:t>
      </w:r>
      <w:bookmarkEnd w:id="428"/>
      <w:r w:rsidR="008B6FC0">
        <w:rPr>
          <w:noProof/>
        </w:rPr>
        <w:fldChar w:fldCharType="end"/>
      </w:r>
      <w:r w:rsidR="008B6FC0">
        <w:rPr>
          <w:noProof/>
        </w:rPr>
        <w:fldChar w:fldCharType="end"/>
      </w:r>
    </w:p>
    <w:tbl>
      <w:tblPr>
        <w:tblStyle w:val="TableGrid"/>
        <w:tblW w:w="0" w:type="auto"/>
        <w:tblLook w:val="04A0" w:firstRow="1" w:lastRow="0" w:firstColumn="1" w:lastColumn="0" w:noHBand="0" w:noVBand="1"/>
      </w:tblPr>
      <w:tblGrid>
        <w:gridCol w:w="3078"/>
        <w:gridCol w:w="2272"/>
        <w:gridCol w:w="2061"/>
        <w:gridCol w:w="1605"/>
      </w:tblGrid>
      <w:tr w:rsidR="00EF1479" w:rsidRPr="003E5484" w14:paraId="1D1B301A" w14:textId="77777777" w:rsidTr="009F61F1">
        <w:trPr>
          <w:trHeight w:val="260"/>
        </w:trPr>
        <w:tc>
          <w:tcPr>
            <w:tcW w:w="3078" w:type="dxa"/>
            <w:noWrap/>
            <w:hideMark/>
          </w:tcPr>
          <w:p w14:paraId="01BFB9C2" w14:textId="77777777" w:rsidR="00EF1479" w:rsidRPr="003E5484" w:rsidRDefault="00EF1479" w:rsidP="009F61F1">
            <w:pPr>
              <w:pStyle w:val="Tabletext1"/>
              <w:ind w:left="0"/>
              <w:rPr>
                <w:b/>
                <w:bCs/>
              </w:rPr>
            </w:pPr>
            <w:r w:rsidRPr="003E5484">
              <w:rPr>
                <w:b/>
                <w:bCs/>
              </w:rPr>
              <w:t>EORTC QLQ-</w:t>
            </w:r>
            <w:r>
              <w:rPr>
                <w:b/>
                <w:bCs/>
              </w:rPr>
              <w:t>PR25</w:t>
            </w:r>
            <w:r w:rsidRPr="003E5484">
              <w:rPr>
                <w:b/>
                <w:bCs/>
              </w:rPr>
              <w:t>*</w:t>
            </w:r>
          </w:p>
        </w:tc>
        <w:tc>
          <w:tcPr>
            <w:tcW w:w="2272" w:type="dxa"/>
            <w:noWrap/>
            <w:hideMark/>
          </w:tcPr>
          <w:p w14:paraId="3345F123" w14:textId="77777777" w:rsidR="00EF1479" w:rsidRPr="003E5484" w:rsidRDefault="00EF1479" w:rsidP="009F61F1">
            <w:pPr>
              <w:pStyle w:val="Tabletext1"/>
              <w:ind w:left="0"/>
              <w:jc w:val="center"/>
              <w:rPr>
                <w:b/>
                <w:bCs/>
              </w:rPr>
            </w:pPr>
            <w:r w:rsidRPr="003E5484">
              <w:rPr>
                <w:b/>
                <w:bCs/>
              </w:rPr>
              <w:t>Baseline (Mean ± SD)</w:t>
            </w:r>
          </w:p>
        </w:tc>
        <w:tc>
          <w:tcPr>
            <w:tcW w:w="2061" w:type="dxa"/>
            <w:noWrap/>
            <w:hideMark/>
          </w:tcPr>
          <w:p w14:paraId="1D40A542" w14:textId="77777777" w:rsidR="00EF1479" w:rsidRPr="003E5484" w:rsidRDefault="00EF1479" w:rsidP="009F61F1">
            <w:pPr>
              <w:pStyle w:val="Tabletext1"/>
              <w:ind w:left="0"/>
              <w:jc w:val="center"/>
              <w:rPr>
                <w:b/>
                <w:bCs/>
              </w:rPr>
            </w:pPr>
            <w:r w:rsidRPr="003E5484">
              <w:rPr>
                <w:b/>
                <w:bCs/>
              </w:rPr>
              <w:t>Post-RT (Mean ± SD)</w:t>
            </w:r>
          </w:p>
        </w:tc>
        <w:tc>
          <w:tcPr>
            <w:tcW w:w="1605" w:type="dxa"/>
            <w:noWrap/>
            <w:hideMark/>
          </w:tcPr>
          <w:p w14:paraId="5410A1C7" w14:textId="77777777" w:rsidR="00EF1479" w:rsidRPr="003E5484" w:rsidRDefault="00EF1479" w:rsidP="009F61F1">
            <w:pPr>
              <w:pStyle w:val="Tabletext1"/>
              <w:ind w:left="0"/>
              <w:jc w:val="center"/>
              <w:rPr>
                <w:b/>
                <w:bCs/>
              </w:rPr>
            </w:pPr>
            <w:r w:rsidRPr="003E5484">
              <w:rPr>
                <w:b/>
                <w:bCs/>
              </w:rPr>
              <w:t>P value</w:t>
            </w:r>
          </w:p>
        </w:tc>
      </w:tr>
      <w:tr w:rsidR="00EF1479" w:rsidRPr="003E5484" w14:paraId="25F84FC8" w14:textId="77777777" w:rsidTr="009F61F1">
        <w:trPr>
          <w:trHeight w:val="260"/>
        </w:trPr>
        <w:tc>
          <w:tcPr>
            <w:tcW w:w="3078" w:type="dxa"/>
            <w:noWrap/>
            <w:hideMark/>
          </w:tcPr>
          <w:p w14:paraId="371122FF" w14:textId="77777777" w:rsidR="00EF1479" w:rsidRPr="003E5484" w:rsidRDefault="00EF1479" w:rsidP="009F61F1">
            <w:pPr>
              <w:pStyle w:val="Tabletext1"/>
              <w:ind w:left="0"/>
            </w:pPr>
            <w:r w:rsidRPr="00D114A9">
              <w:t>Urinary Symptoms</w:t>
            </w:r>
          </w:p>
        </w:tc>
        <w:tc>
          <w:tcPr>
            <w:tcW w:w="2272" w:type="dxa"/>
            <w:noWrap/>
            <w:vAlign w:val="center"/>
            <w:hideMark/>
          </w:tcPr>
          <w:p w14:paraId="27786A67" w14:textId="77777777" w:rsidR="00EF1479" w:rsidRPr="003E5484" w:rsidRDefault="00EF1479" w:rsidP="009F61F1">
            <w:pPr>
              <w:pStyle w:val="Tabletext1"/>
              <w:ind w:left="0"/>
              <w:jc w:val="center"/>
            </w:pPr>
            <w:r w:rsidRPr="00D114A9">
              <w:t>10.2 ± 3.1</w:t>
            </w:r>
          </w:p>
        </w:tc>
        <w:tc>
          <w:tcPr>
            <w:tcW w:w="2061" w:type="dxa"/>
            <w:noWrap/>
            <w:vAlign w:val="center"/>
            <w:hideMark/>
          </w:tcPr>
          <w:p w14:paraId="5196BC1F" w14:textId="77777777" w:rsidR="00EF1479" w:rsidRPr="003E5484" w:rsidRDefault="00EF1479" w:rsidP="009F61F1">
            <w:pPr>
              <w:pStyle w:val="Tabletext1"/>
              <w:ind w:left="0"/>
              <w:jc w:val="center"/>
            </w:pPr>
            <w:r>
              <w:t>10.3 ± 3</w:t>
            </w:r>
          </w:p>
        </w:tc>
        <w:tc>
          <w:tcPr>
            <w:tcW w:w="1605" w:type="dxa"/>
            <w:noWrap/>
            <w:vAlign w:val="center"/>
            <w:hideMark/>
          </w:tcPr>
          <w:p w14:paraId="1EBBCEC6" w14:textId="77777777" w:rsidR="00EF1479" w:rsidRPr="003E5484" w:rsidRDefault="00EF1479" w:rsidP="009F61F1">
            <w:pPr>
              <w:pStyle w:val="Tabletext1"/>
              <w:ind w:left="0"/>
              <w:jc w:val="center"/>
            </w:pPr>
            <w:r w:rsidRPr="003E5484">
              <w:t>0.</w:t>
            </w:r>
            <w:r>
              <w:t>21</w:t>
            </w:r>
          </w:p>
        </w:tc>
      </w:tr>
      <w:tr w:rsidR="00EF1479" w:rsidRPr="003E5484" w14:paraId="0CA9C56E" w14:textId="77777777" w:rsidTr="009F61F1">
        <w:trPr>
          <w:trHeight w:val="260"/>
        </w:trPr>
        <w:tc>
          <w:tcPr>
            <w:tcW w:w="3078" w:type="dxa"/>
            <w:noWrap/>
          </w:tcPr>
          <w:p w14:paraId="42197AEE" w14:textId="77777777" w:rsidR="00EF1479" w:rsidRPr="00D114A9" w:rsidRDefault="00EF1479" w:rsidP="009F61F1">
            <w:pPr>
              <w:pStyle w:val="Tabletext1"/>
              <w:ind w:left="0"/>
            </w:pPr>
            <w:r w:rsidRPr="00D114A9">
              <w:t>Incontinent Aid</w:t>
            </w:r>
          </w:p>
        </w:tc>
        <w:tc>
          <w:tcPr>
            <w:tcW w:w="2272" w:type="dxa"/>
            <w:noWrap/>
            <w:vAlign w:val="center"/>
          </w:tcPr>
          <w:p w14:paraId="668DDD0B" w14:textId="77777777" w:rsidR="00EF1479" w:rsidRPr="00D114A9" w:rsidRDefault="00EF1479" w:rsidP="009F61F1">
            <w:pPr>
              <w:pStyle w:val="Tabletext1"/>
              <w:ind w:left="0"/>
              <w:jc w:val="center"/>
            </w:pPr>
            <w:r>
              <w:t>1.1 ± 0.5</w:t>
            </w:r>
          </w:p>
        </w:tc>
        <w:tc>
          <w:tcPr>
            <w:tcW w:w="2061" w:type="dxa"/>
            <w:noWrap/>
            <w:vAlign w:val="center"/>
          </w:tcPr>
          <w:p w14:paraId="6B65CE01" w14:textId="77777777" w:rsidR="00EF1479" w:rsidRDefault="00EF1479" w:rsidP="009F61F1">
            <w:pPr>
              <w:pStyle w:val="Tabletext1"/>
              <w:ind w:left="70"/>
              <w:jc w:val="center"/>
            </w:pPr>
            <w:r>
              <w:t>1.1 ± 0.5</w:t>
            </w:r>
          </w:p>
        </w:tc>
        <w:tc>
          <w:tcPr>
            <w:tcW w:w="1605" w:type="dxa"/>
            <w:noWrap/>
            <w:vAlign w:val="center"/>
          </w:tcPr>
          <w:p w14:paraId="3B9CE27E" w14:textId="77777777" w:rsidR="00EF1479" w:rsidRPr="003E5484" w:rsidRDefault="00EF1479" w:rsidP="009F61F1">
            <w:pPr>
              <w:pStyle w:val="Tabletext1"/>
              <w:ind w:left="0"/>
              <w:jc w:val="center"/>
            </w:pPr>
            <w:r w:rsidRPr="00D114A9">
              <w:t>1</w:t>
            </w:r>
          </w:p>
        </w:tc>
      </w:tr>
      <w:tr w:rsidR="00EF1479" w:rsidRPr="003E5484" w14:paraId="46E38F90" w14:textId="77777777" w:rsidTr="009F61F1">
        <w:trPr>
          <w:trHeight w:val="260"/>
        </w:trPr>
        <w:tc>
          <w:tcPr>
            <w:tcW w:w="3078" w:type="dxa"/>
            <w:noWrap/>
          </w:tcPr>
          <w:p w14:paraId="6807D5A4" w14:textId="77777777" w:rsidR="00EF1479" w:rsidRPr="00D114A9" w:rsidRDefault="00EF1479" w:rsidP="009F61F1">
            <w:pPr>
              <w:pStyle w:val="Tabletext1"/>
              <w:ind w:left="0"/>
            </w:pPr>
            <w:r w:rsidRPr="00D114A9">
              <w:t>Bowel Symptoms</w:t>
            </w:r>
          </w:p>
        </w:tc>
        <w:tc>
          <w:tcPr>
            <w:tcW w:w="2272" w:type="dxa"/>
            <w:noWrap/>
            <w:vAlign w:val="center"/>
          </w:tcPr>
          <w:p w14:paraId="0F9BD5C3" w14:textId="77777777" w:rsidR="00EF1479" w:rsidRPr="00D114A9" w:rsidRDefault="00EF1479" w:rsidP="009F61F1">
            <w:pPr>
              <w:pStyle w:val="Tabletext1"/>
              <w:ind w:left="67"/>
              <w:jc w:val="center"/>
            </w:pPr>
            <w:r>
              <w:t>4.3 ± 0.6</w:t>
            </w:r>
          </w:p>
        </w:tc>
        <w:tc>
          <w:tcPr>
            <w:tcW w:w="2061" w:type="dxa"/>
            <w:noWrap/>
            <w:vAlign w:val="center"/>
          </w:tcPr>
          <w:p w14:paraId="686463DE" w14:textId="77777777" w:rsidR="00EF1479" w:rsidRDefault="00EF1479" w:rsidP="009F61F1">
            <w:pPr>
              <w:pStyle w:val="Tabletext1"/>
              <w:ind w:left="70"/>
              <w:jc w:val="center"/>
            </w:pPr>
            <w:r>
              <w:t>4.5 ± 1.8</w:t>
            </w:r>
          </w:p>
        </w:tc>
        <w:tc>
          <w:tcPr>
            <w:tcW w:w="1605" w:type="dxa"/>
            <w:noWrap/>
            <w:vAlign w:val="center"/>
          </w:tcPr>
          <w:p w14:paraId="6E58272B" w14:textId="77777777" w:rsidR="00EF1479" w:rsidRPr="003E5484" w:rsidRDefault="00EF1479" w:rsidP="009F61F1">
            <w:pPr>
              <w:pStyle w:val="Tabletext1"/>
              <w:ind w:left="0"/>
              <w:jc w:val="center"/>
            </w:pPr>
            <w:r w:rsidRPr="00D114A9">
              <w:t>0.33</w:t>
            </w:r>
          </w:p>
        </w:tc>
      </w:tr>
      <w:tr w:rsidR="00EF1479" w:rsidRPr="003E5484" w14:paraId="4E396483" w14:textId="77777777" w:rsidTr="009F61F1">
        <w:trPr>
          <w:trHeight w:val="260"/>
        </w:trPr>
        <w:tc>
          <w:tcPr>
            <w:tcW w:w="3078" w:type="dxa"/>
            <w:noWrap/>
          </w:tcPr>
          <w:p w14:paraId="2307535E" w14:textId="77777777" w:rsidR="00EF1479" w:rsidRPr="00D114A9" w:rsidRDefault="00EF1479" w:rsidP="009F61F1">
            <w:pPr>
              <w:pStyle w:val="Tabletext1"/>
              <w:ind w:left="0"/>
            </w:pPr>
            <w:r w:rsidRPr="00D114A9">
              <w:t>Hormonal-treated Related Symptoms</w:t>
            </w:r>
          </w:p>
        </w:tc>
        <w:tc>
          <w:tcPr>
            <w:tcW w:w="2272" w:type="dxa"/>
            <w:noWrap/>
            <w:vAlign w:val="center"/>
          </w:tcPr>
          <w:p w14:paraId="6B15FEA2" w14:textId="2ED3C8BA" w:rsidR="00EF1479" w:rsidRPr="00D114A9" w:rsidRDefault="00EF1479" w:rsidP="009F61F1">
            <w:pPr>
              <w:pStyle w:val="Tabletext1"/>
              <w:ind w:left="67"/>
              <w:jc w:val="center"/>
            </w:pPr>
            <w:r>
              <w:t>6.9 ± 1</w:t>
            </w:r>
          </w:p>
        </w:tc>
        <w:tc>
          <w:tcPr>
            <w:tcW w:w="2061" w:type="dxa"/>
            <w:noWrap/>
            <w:vAlign w:val="center"/>
          </w:tcPr>
          <w:p w14:paraId="45D6839D" w14:textId="0A3040EF" w:rsidR="00EF1479" w:rsidRDefault="001418EB" w:rsidP="009F61F1">
            <w:pPr>
              <w:pStyle w:val="Tabletext1"/>
              <w:ind w:left="0"/>
              <w:jc w:val="center"/>
            </w:pPr>
            <w:r>
              <w:t>6.</w:t>
            </w:r>
            <w:r w:rsidR="00EF1479">
              <w:t>8 ± 1.2</w:t>
            </w:r>
          </w:p>
        </w:tc>
        <w:tc>
          <w:tcPr>
            <w:tcW w:w="1605" w:type="dxa"/>
            <w:noWrap/>
            <w:vAlign w:val="center"/>
          </w:tcPr>
          <w:p w14:paraId="5183F421" w14:textId="77777777" w:rsidR="00EF1479" w:rsidRPr="003E5484" w:rsidRDefault="00EF1479" w:rsidP="009F61F1">
            <w:pPr>
              <w:pStyle w:val="Tabletext1"/>
              <w:ind w:left="0"/>
              <w:jc w:val="center"/>
            </w:pPr>
            <w:r>
              <w:t>0.19</w:t>
            </w:r>
          </w:p>
        </w:tc>
      </w:tr>
      <w:tr w:rsidR="00EF1479" w:rsidRPr="003E5484" w14:paraId="186EB567" w14:textId="77777777" w:rsidTr="009F61F1">
        <w:trPr>
          <w:trHeight w:val="260"/>
        </w:trPr>
        <w:tc>
          <w:tcPr>
            <w:tcW w:w="3078" w:type="dxa"/>
            <w:noWrap/>
          </w:tcPr>
          <w:p w14:paraId="0AD1DD38" w14:textId="77777777" w:rsidR="00EF1479" w:rsidRPr="00D114A9" w:rsidRDefault="00EF1479" w:rsidP="009F61F1">
            <w:pPr>
              <w:pStyle w:val="Tabletext1"/>
              <w:ind w:left="0"/>
            </w:pPr>
            <w:r w:rsidRPr="00D114A9">
              <w:t>Sexual Activity</w:t>
            </w:r>
          </w:p>
        </w:tc>
        <w:tc>
          <w:tcPr>
            <w:tcW w:w="2272" w:type="dxa"/>
            <w:noWrap/>
            <w:vAlign w:val="center"/>
          </w:tcPr>
          <w:p w14:paraId="302068D7" w14:textId="77777777" w:rsidR="00EF1479" w:rsidRPr="00D114A9" w:rsidRDefault="00EF1479" w:rsidP="009F61F1">
            <w:pPr>
              <w:pStyle w:val="Tabletext1"/>
              <w:ind w:left="67"/>
              <w:jc w:val="center"/>
            </w:pPr>
            <w:r>
              <w:t>3.2 ± 1.7</w:t>
            </w:r>
          </w:p>
        </w:tc>
        <w:tc>
          <w:tcPr>
            <w:tcW w:w="2061" w:type="dxa"/>
            <w:noWrap/>
            <w:vAlign w:val="center"/>
          </w:tcPr>
          <w:p w14:paraId="6662BC1F" w14:textId="77777777" w:rsidR="00EF1479" w:rsidRDefault="00EF1479" w:rsidP="009F61F1">
            <w:pPr>
              <w:pStyle w:val="Tabletext1"/>
              <w:ind w:left="70"/>
              <w:jc w:val="center"/>
            </w:pPr>
            <w:r>
              <w:t>3.2 ± 1.5</w:t>
            </w:r>
          </w:p>
        </w:tc>
        <w:tc>
          <w:tcPr>
            <w:tcW w:w="1605" w:type="dxa"/>
            <w:noWrap/>
            <w:vAlign w:val="center"/>
          </w:tcPr>
          <w:p w14:paraId="74D7DE0E" w14:textId="77777777" w:rsidR="00EF1479" w:rsidRPr="003E5484" w:rsidRDefault="00EF1479" w:rsidP="009F61F1">
            <w:pPr>
              <w:pStyle w:val="Tabletext1"/>
              <w:ind w:left="0"/>
              <w:jc w:val="center"/>
            </w:pPr>
            <w:r>
              <w:t>0.71</w:t>
            </w:r>
          </w:p>
        </w:tc>
      </w:tr>
      <w:tr w:rsidR="00EF1479" w:rsidRPr="003E5484" w14:paraId="508FBC3B" w14:textId="77777777" w:rsidTr="009F61F1">
        <w:trPr>
          <w:trHeight w:val="260"/>
        </w:trPr>
        <w:tc>
          <w:tcPr>
            <w:tcW w:w="3078" w:type="dxa"/>
            <w:noWrap/>
          </w:tcPr>
          <w:p w14:paraId="6A31DCB3" w14:textId="77777777" w:rsidR="00EF1479" w:rsidRPr="00D114A9" w:rsidRDefault="00EF1479" w:rsidP="009F61F1">
            <w:pPr>
              <w:pStyle w:val="Tabletext1"/>
              <w:ind w:left="22"/>
            </w:pPr>
            <w:r w:rsidRPr="00074030">
              <w:t>Sexual Functioning</w:t>
            </w:r>
          </w:p>
        </w:tc>
        <w:tc>
          <w:tcPr>
            <w:tcW w:w="2272" w:type="dxa"/>
            <w:noWrap/>
            <w:vAlign w:val="center"/>
          </w:tcPr>
          <w:p w14:paraId="15ECA648" w14:textId="77777777" w:rsidR="00EF1479" w:rsidRDefault="00EF1479" w:rsidP="009F61F1">
            <w:pPr>
              <w:pStyle w:val="Tabletext1"/>
              <w:ind w:left="67"/>
              <w:jc w:val="center"/>
            </w:pPr>
            <w:r>
              <w:t>7.2 ± 4</w:t>
            </w:r>
          </w:p>
        </w:tc>
        <w:tc>
          <w:tcPr>
            <w:tcW w:w="2061" w:type="dxa"/>
            <w:noWrap/>
            <w:vAlign w:val="center"/>
          </w:tcPr>
          <w:p w14:paraId="32B3D72C" w14:textId="77777777" w:rsidR="00EF1479" w:rsidRDefault="00EF1479" w:rsidP="009F61F1">
            <w:pPr>
              <w:pStyle w:val="Tabletext1"/>
              <w:ind w:left="70"/>
              <w:jc w:val="center"/>
            </w:pPr>
            <w:r>
              <w:t>6.3 ± 3.4</w:t>
            </w:r>
          </w:p>
        </w:tc>
        <w:tc>
          <w:tcPr>
            <w:tcW w:w="1605" w:type="dxa"/>
            <w:noWrap/>
            <w:vAlign w:val="center"/>
          </w:tcPr>
          <w:p w14:paraId="3852839C" w14:textId="77777777" w:rsidR="00EF1479" w:rsidRDefault="00EF1479" w:rsidP="009F61F1">
            <w:pPr>
              <w:pStyle w:val="Tabletext1"/>
              <w:ind w:left="0"/>
              <w:jc w:val="center"/>
            </w:pPr>
            <w:r>
              <w:t>0.76</w:t>
            </w:r>
          </w:p>
        </w:tc>
      </w:tr>
    </w:tbl>
    <w:p w14:paraId="353504FE" w14:textId="533524CD" w:rsidR="00EF1479" w:rsidRDefault="00EF1479" w:rsidP="00411D51">
      <w:pPr>
        <w:pStyle w:val="Tablenotes0"/>
        <w:jc w:val="left"/>
      </w:pPr>
      <w:r>
        <w:t xml:space="preserve">Source: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rsidR="00FB635A">
        <w:t xml:space="preserve">, </w:t>
      </w:r>
      <w:r>
        <w:t xml:space="preserve">Table </w:t>
      </w:r>
      <w:r w:rsidR="008E0898">
        <w:t>4</w:t>
      </w:r>
      <w:r>
        <w:br/>
      </w:r>
      <w:r w:rsidR="00FB635A">
        <w:t xml:space="preserve">RT=radiation therapy; </w:t>
      </w:r>
      <w:r>
        <w:t>SD</w:t>
      </w:r>
      <w:r w:rsidR="00FB635A">
        <w:t>=</w:t>
      </w:r>
      <w:r>
        <w:t>standard deviation</w:t>
      </w:r>
      <w:r>
        <w:br/>
        <w:t xml:space="preserve">* </w:t>
      </w:r>
      <w:r w:rsidRPr="00844A1B">
        <w:t>All items and scale scores of the QLQ-PR25 are linearly transformed to a 0–100 scale, with higher scores reflecting either more symptoms (urinary, bowel, hormonal treatment-related symptoms) or higher levels of functioning (sexual).</w:t>
      </w:r>
    </w:p>
    <w:p w14:paraId="4E0D4AC8" w14:textId="38D1B9A5" w:rsidR="00EF1479" w:rsidRPr="00183E4D" w:rsidRDefault="00211285" w:rsidP="00EF1479">
      <w:hyperlink w:anchor="_ENREF_21" w:tooltip="Chen, 2018 #24" w:history="1">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 </w:instrText>
        </w:r>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EN.CITE.DATA </w:instrText>
        </w:r>
        <w:r w:rsidR="008B6FC0">
          <w:fldChar w:fldCharType="end"/>
        </w:r>
        <w:r w:rsidR="008B6FC0">
          <w:fldChar w:fldCharType="separate"/>
        </w:r>
        <w:r w:rsidR="008B6FC0">
          <w:rPr>
            <w:noProof/>
          </w:rPr>
          <w:t>Chen et al. (2018)</w:t>
        </w:r>
        <w:r w:rsidR="008B6FC0">
          <w:fldChar w:fldCharType="end"/>
        </w:r>
      </w:hyperlink>
      <w:r w:rsidR="00EF1479">
        <w:t xml:space="preserve"> provided a narrative summary of the QoL findings</w:t>
      </w:r>
      <w:r w:rsidR="00D07FBC">
        <w:t>:</w:t>
      </w:r>
      <w:r w:rsidR="00EF1479">
        <w:t xml:space="preserve"> “The proportion of patients rating their health-related quality of life as ‘‘very good’’ or ‘‘outstanding’’ at 6-months and </w:t>
      </w:r>
      <w:r w:rsidR="001A721A">
        <w:t>one year</w:t>
      </w:r>
      <w:r w:rsidR="00EF1479">
        <w:t xml:space="preserve"> after MR</w:t>
      </w:r>
      <w:r w:rsidR="00B76B19">
        <w:t>-IGRT</w:t>
      </w:r>
      <w:r w:rsidR="00EF1479">
        <w:t xml:space="preserve"> was 60 and 70%, respectively. With global </w:t>
      </w:r>
      <w:r w:rsidR="00440696">
        <w:t>QoL</w:t>
      </w:r>
      <w:r w:rsidR="00EF1479">
        <w:t xml:space="preserve"> on the UW-QOL, the corresponding </w:t>
      </w:r>
      <w:r w:rsidR="00EF1479">
        <w:lastRenderedPageBreak/>
        <w:t>proportions reporting ‘‘very good’’ or ‘‘outstanding’’ scores were 53 and 60%, respectively.”</w:t>
      </w:r>
      <w:r w:rsidR="00440696">
        <w:t xml:space="preserve"> </w:t>
      </w:r>
      <w:r w:rsidR="00006AA5">
        <w:t>Unfortunately, baseline QoL measurements were not reported in the study.</w:t>
      </w:r>
    </w:p>
    <w:p w14:paraId="7DE580C3" w14:textId="760138E1" w:rsidR="0047778B" w:rsidRDefault="0047778B" w:rsidP="0047778B">
      <w:r>
        <w:t xml:space="preserve">One </w:t>
      </w:r>
      <w:r w:rsidR="00AA271D">
        <w:t xml:space="preserve">study </w:t>
      </w:r>
      <w:r>
        <w:t>included in the CBCT-IGRT evidence base reported health</w:t>
      </w:r>
      <w:r w:rsidR="00AA271D">
        <w:t>-</w:t>
      </w:r>
      <w:r>
        <w:t xml:space="preserve">related QoL scores obtained from EORTC QLQ-C30 questionnaire in </w:t>
      </w:r>
      <w:r w:rsidR="00FA559F">
        <w:t xml:space="preserve">patients with </w:t>
      </w:r>
      <w:r>
        <w:t>intermediate</w:t>
      </w:r>
      <w:r w:rsidR="00FA559F">
        <w:t>-</w:t>
      </w:r>
      <w:r>
        <w:t xml:space="preserve"> or </w:t>
      </w:r>
      <w:r w:rsidDel="00FA559F">
        <w:t>high</w:t>
      </w:r>
      <w:r w:rsidR="00FA559F">
        <w:t>-</w:t>
      </w:r>
      <w:r>
        <w:t xml:space="preserve">risk non-metastatic prostate cancer. </w:t>
      </w:r>
      <w:r w:rsidR="001C5657">
        <w:t>Mean</w:t>
      </w:r>
      <w:r>
        <w:t xml:space="preserve"> scores </w:t>
      </w:r>
      <w:r w:rsidR="00C52693">
        <w:t>on functioning scales and single items of EORTC QLQ-</w:t>
      </w:r>
      <w:r w:rsidR="00CD3194">
        <w:t xml:space="preserve">C30 </w:t>
      </w:r>
      <w:r w:rsidR="001C5657">
        <w:t xml:space="preserve">at the end of radiotherapy </w:t>
      </w:r>
      <w:r>
        <w:t xml:space="preserve">are summarised in </w:t>
      </w:r>
      <w:r w:rsidR="00FF6605">
        <w:fldChar w:fldCharType="begin"/>
      </w:r>
      <w:r w:rsidR="00FF6605">
        <w:instrText xml:space="preserve"> REF _Ref55983447 \h </w:instrText>
      </w:r>
      <w:r w:rsidR="00FF6605">
        <w:fldChar w:fldCharType="separate"/>
      </w:r>
      <w:r w:rsidR="00451350">
        <w:t xml:space="preserve">Table </w:t>
      </w:r>
      <w:r w:rsidR="00451350">
        <w:rPr>
          <w:noProof/>
        </w:rPr>
        <w:t>40</w:t>
      </w:r>
      <w:r w:rsidR="00FF6605">
        <w:fldChar w:fldCharType="end"/>
      </w:r>
      <w:r w:rsidR="00FF6605">
        <w:t>.</w:t>
      </w:r>
    </w:p>
    <w:p w14:paraId="5D7CEE26" w14:textId="27EFFE99" w:rsidR="00CD3194" w:rsidRDefault="00CD3194" w:rsidP="00B638B7">
      <w:pPr>
        <w:pStyle w:val="Caption"/>
        <w:keepNext/>
      </w:pPr>
      <w:bookmarkStart w:id="429" w:name="_Ref55983447"/>
      <w:bookmarkStart w:id="430" w:name="_Toc89857911"/>
      <w:r>
        <w:t xml:space="preserve">Table </w:t>
      </w:r>
      <w:r w:rsidR="00211285">
        <w:fldChar w:fldCharType="begin"/>
      </w:r>
      <w:r w:rsidR="00211285">
        <w:instrText xml:space="preserve"> SE</w:instrText>
      </w:r>
      <w:r w:rsidR="00211285">
        <w:instrText xml:space="preserve">Q Table \* ARABIC </w:instrText>
      </w:r>
      <w:r w:rsidR="00211285">
        <w:fldChar w:fldCharType="separate"/>
      </w:r>
      <w:r w:rsidR="00451350">
        <w:rPr>
          <w:noProof/>
        </w:rPr>
        <w:t>40</w:t>
      </w:r>
      <w:r w:rsidR="00211285">
        <w:rPr>
          <w:noProof/>
        </w:rPr>
        <w:fldChar w:fldCharType="end"/>
      </w:r>
      <w:bookmarkEnd w:id="429"/>
      <w:r>
        <w:tab/>
      </w:r>
      <w:r>
        <w:rPr>
          <w:noProof/>
        </w:rPr>
        <w:t xml:space="preserve">QoL scores on EORTC QLQ-C30 at baseline and post-treatment with </w:t>
      </w:r>
      <w:r w:rsidR="00572DAE">
        <w:rPr>
          <w:noProof/>
        </w:rPr>
        <w:t>CBCT</w:t>
      </w:r>
      <w:r>
        <w:rPr>
          <w:noProof/>
        </w:rPr>
        <w:t xml:space="preserve">-IGRT for </w:t>
      </w:r>
      <w:r w:rsidR="00FA559F">
        <w:rPr>
          <w:noProof/>
        </w:rPr>
        <w:t xml:space="preserve">patients with </w:t>
      </w:r>
      <w:r>
        <w:rPr>
          <w:noProof/>
        </w:rPr>
        <w:t xml:space="preserve">prostate cancer </w:t>
      </w:r>
      <w:hyperlink w:anchor="_ENREF_72" w:tooltip="Tondel, 2018 #73" w:history="1">
        <w:r w:rsidR="008B6FC0">
          <w:rPr>
            <w:noProof/>
          </w:rPr>
          <w:fldChar w:fldCharType="begin"/>
        </w:r>
        <w:r w:rsidR="008B6FC0">
          <w:rPr>
            <w:noProof/>
          </w:rPr>
          <w:instrText xml:space="preserve"> ADDIN EN.CITE &lt;EndNote&gt;&lt;Cite AuthorYear="1"&gt;&lt;Author&gt;Tondel&lt;/Author&gt;&lt;Year&gt;2018&lt;/Year&gt;&lt;RecNum&gt;73&lt;/RecNum&gt;&lt;DisplayText&gt;Tondel et al. (2018)&lt;/DisplayText&gt;&lt;record&gt;&lt;rec-number&gt;73&lt;/rec-number&gt;&lt;foreign-keys&gt;&lt;key app="EN" db-id="sx5wsdwv795wvue959xxw0ptaewvdezxxp05" timestamp="1604876398"&gt;73&lt;/key&gt;&lt;/foreign-keys&gt;&lt;ref-type name="Journal Article"&gt;17&lt;/ref-type&gt;&lt;contributors&gt;&lt;authors&gt;&lt;author&gt;Tondel, H.&lt;/author&gt;&lt;author&gt;Lund, J.&lt;/author&gt;&lt;author&gt;Lydersen, S.&lt;/author&gt;&lt;author&gt;Wanderas, A. D.&lt;/author&gt;&lt;author&gt;Aksnessaether, B. Y.&lt;/author&gt;&lt;author&gt;Jensen, C. A.&lt;/author&gt;&lt;author&gt;Kaasa, S.&lt;/author&gt;&lt;author&gt;Solberg, A.&lt;/author&gt;&lt;/authors&gt;&lt;/contributors&gt;&lt;titles&gt;&lt;title&gt;Dose to penile bulb is not associated with erectile dysfunction 18months post radiotherapy: A secondary analysis of a randomized trial&lt;/title&gt;&lt;secondary-title&gt;Clinical and Translational Radiation Oncology&lt;/secondary-title&gt;&lt;/titles&gt;&lt;pages&gt;50-56&lt;/pages&gt;&lt;volume&gt;13&lt;/volume&gt;&lt;dates&gt;&lt;year&gt;2018&lt;/year&gt;&lt;/dates&gt;&lt;accession-num&gt;2001180901&lt;/accession-num&gt;&lt;urls&gt;&lt;related-urls&gt;&lt;url&gt;https://www.journals.elsevier.com/clinical-and-translational-radiation-oncology/http://ezproxy.library.usyd.edu.au/login?url=http://ovidsp.ovid.com/ovidweb.cgi?T=JS&amp;amp;CSC=Y&amp;amp;NEWS=N&amp;amp;PAGE=fulltext&amp;amp;D=emed19&amp;amp;AN=2001180901https://sydney.alma.exlibrisgroup.com/ope&lt;/url&gt;&lt;url&gt;https://www.ncbi.nlm.nih.gov/pmc/articles/PMC6198098/pdf/main.pdf&lt;/url&gt;&lt;/related-urls&gt;&lt;/urls&gt;&lt;electronic-resource-num&gt;http://dx.doi.org/10.1016/j.ctro.2018.09.006&lt;/electronic-resource-num&gt;&lt;/record&gt;&lt;/Cite&gt;&lt;/EndNote&gt;</w:instrText>
        </w:r>
        <w:r w:rsidR="008B6FC0">
          <w:rPr>
            <w:noProof/>
          </w:rPr>
          <w:fldChar w:fldCharType="separate"/>
        </w:r>
        <w:r w:rsidR="008B6FC0">
          <w:rPr>
            <w:noProof/>
          </w:rPr>
          <w:t>Tondel et al. (2018)</w:t>
        </w:r>
        <w:bookmarkEnd w:id="430"/>
        <w:r w:rsidR="008B6FC0">
          <w:rPr>
            <w:noProof/>
          </w:rPr>
          <w:fldChar w:fldCharType="end"/>
        </w:r>
      </w:hyperlink>
    </w:p>
    <w:tbl>
      <w:tblPr>
        <w:tblStyle w:val="TableGrid"/>
        <w:tblW w:w="5000" w:type="pct"/>
        <w:tblLook w:val="04A0" w:firstRow="1" w:lastRow="0" w:firstColumn="1" w:lastColumn="0" w:noHBand="0" w:noVBand="1"/>
      </w:tblPr>
      <w:tblGrid>
        <w:gridCol w:w="4504"/>
        <w:gridCol w:w="4512"/>
      </w:tblGrid>
      <w:tr w:rsidR="0047778B" w:rsidRPr="00215BAA" w14:paraId="6B59C6E4" w14:textId="77777777" w:rsidTr="00160080">
        <w:trPr>
          <w:trHeight w:val="260"/>
          <w:tblHeader/>
        </w:trPr>
        <w:tc>
          <w:tcPr>
            <w:tcW w:w="2498" w:type="pct"/>
            <w:tcBorders>
              <w:bottom w:val="single" w:sz="4" w:space="0" w:color="auto"/>
            </w:tcBorders>
            <w:noWrap/>
            <w:hideMark/>
          </w:tcPr>
          <w:p w14:paraId="60EDA66B" w14:textId="77777777" w:rsidR="0047778B" w:rsidRPr="00271996" w:rsidRDefault="0047778B" w:rsidP="006A6E87">
            <w:pPr>
              <w:pStyle w:val="Tabletext1"/>
              <w:ind w:left="0"/>
              <w:rPr>
                <w:b/>
                <w:bCs/>
              </w:rPr>
            </w:pPr>
            <w:r w:rsidRPr="00271996">
              <w:rPr>
                <w:b/>
                <w:bCs/>
              </w:rPr>
              <w:t>EORTC QLQ-C30*</w:t>
            </w:r>
          </w:p>
        </w:tc>
        <w:tc>
          <w:tcPr>
            <w:tcW w:w="2502" w:type="pct"/>
            <w:tcBorders>
              <w:bottom w:val="single" w:sz="4" w:space="0" w:color="auto"/>
            </w:tcBorders>
            <w:noWrap/>
            <w:hideMark/>
          </w:tcPr>
          <w:p w14:paraId="18163476" w14:textId="6DC55D16" w:rsidR="0047778B" w:rsidRDefault="00E6597D" w:rsidP="006A6E87">
            <w:pPr>
              <w:pStyle w:val="Tabletext1"/>
              <w:ind w:left="0"/>
              <w:jc w:val="center"/>
              <w:rPr>
                <w:b/>
                <w:bCs/>
              </w:rPr>
            </w:pPr>
            <w:r>
              <w:rPr>
                <w:b/>
                <w:bCs/>
              </w:rPr>
              <w:t>P</w:t>
            </w:r>
            <w:r w:rsidR="00387791">
              <w:rPr>
                <w:b/>
                <w:bCs/>
              </w:rPr>
              <w:t>ost</w:t>
            </w:r>
            <w:r>
              <w:rPr>
                <w:b/>
                <w:bCs/>
              </w:rPr>
              <w:t>-RT</w:t>
            </w:r>
          </w:p>
          <w:p w14:paraId="26E74153" w14:textId="46CB976D" w:rsidR="0047778B" w:rsidRPr="00271996" w:rsidRDefault="0047778B" w:rsidP="006A6E87">
            <w:pPr>
              <w:pStyle w:val="Tabletext1"/>
              <w:ind w:left="0"/>
              <w:jc w:val="center"/>
              <w:rPr>
                <w:b/>
                <w:bCs/>
              </w:rPr>
            </w:pPr>
            <w:r>
              <w:rPr>
                <w:b/>
                <w:bCs/>
              </w:rPr>
              <w:t xml:space="preserve">(mean ± </w:t>
            </w:r>
            <w:r w:rsidR="00387791">
              <w:rPr>
                <w:b/>
                <w:bCs/>
              </w:rPr>
              <w:t>95%CI</w:t>
            </w:r>
            <w:r>
              <w:rPr>
                <w:b/>
                <w:bCs/>
              </w:rPr>
              <w:t>)</w:t>
            </w:r>
          </w:p>
        </w:tc>
      </w:tr>
      <w:tr w:rsidR="0047778B" w:rsidRPr="00215BAA" w14:paraId="32BE1697" w14:textId="77777777" w:rsidTr="00160080">
        <w:trPr>
          <w:trHeight w:val="260"/>
        </w:trPr>
        <w:tc>
          <w:tcPr>
            <w:tcW w:w="2498" w:type="pct"/>
            <w:tcBorders>
              <w:top w:val="single" w:sz="4" w:space="0" w:color="auto"/>
              <w:left w:val="single" w:sz="4" w:space="0" w:color="auto"/>
              <w:bottom w:val="single" w:sz="4" w:space="0" w:color="auto"/>
              <w:right w:val="nil"/>
            </w:tcBorders>
            <w:noWrap/>
          </w:tcPr>
          <w:p w14:paraId="6E30119C" w14:textId="77777777" w:rsidR="0047778B" w:rsidRPr="00271996" w:rsidRDefault="0047778B" w:rsidP="006A6E87">
            <w:pPr>
              <w:pStyle w:val="Tabletext1"/>
              <w:ind w:left="0"/>
            </w:pPr>
            <w:r>
              <w:t>Functioning scale</w:t>
            </w:r>
          </w:p>
        </w:tc>
        <w:tc>
          <w:tcPr>
            <w:tcW w:w="2502" w:type="pct"/>
            <w:tcBorders>
              <w:top w:val="single" w:sz="4" w:space="0" w:color="auto"/>
              <w:left w:val="nil"/>
              <w:bottom w:val="single" w:sz="4" w:space="0" w:color="auto"/>
              <w:right w:val="single" w:sz="4" w:space="0" w:color="auto"/>
            </w:tcBorders>
            <w:noWrap/>
            <w:vAlign w:val="center"/>
          </w:tcPr>
          <w:p w14:paraId="45208662" w14:textId="77777777" w:rsidR="0047778B" w:rsidRPr="00271996" w:rsidRDefault="0047778B" w:rsidP="006A6E87">
            <w:pPr>
              <w:pStyle w:val="Tabletext1"/>
              <w:jc w:val="center"/>
            </w:pPr>
          </w:p>
        </w:tc>
      </w:tr>
      <w:tr w:rsidR="0047778B" w:rsidRPr="00215BAA" w14:paraId="18DEE771" w14:textId="77777777" w:rsidTr="00160080">
        <w:trPr>
          <w:trHeight w:val="260"/>
        </w:trPr>
        <w:tc>
          <w:tcPr>
            <w:tcW w:w="2498" w:type="pct"/>
            <w:tcBorders>
              <w:top w:val="single" w:sz="4" w:space="0" w:color="auto"/>
            </w:tcBorders>
            <w:noWrap/>
            <w:hideMark/>
          </w:tcPr>
          <w:p w14:paraId="417571E0" w14:textId="77777777" w:rsidR="0047778B" w:rsidRPr="00271996" w:rsidRDefault="0047778B" w:rsidP="006A6E87">
            <w:pPr>
              <w:pStyle w:val="Tabletext1"/>
              <w:ind w:left="0"/>
            </w:pPr>
            <w:r w:rsidRPr="00271996">
              <w:t>Physical Functioning</w:t>
            </w:r>
          </w:p>
        </w:tc>
        <w:tc>
          <w:tcPr>
            <w:tcW w:w="2502" w:type="pct"/>
            <w:tcBorders>
              <w:top w:val="single" w:sz="4" w:space="0" w:color="auto"/>
            </w:tcBorders>
            <w:noWrap/>
            <w:vAlign w:val="center"/>
            <w:hideMark/>
          </w:tcPr>
          <w:p w14:paraId="519E821B" w14:textId="6F320425" w:rsidR="0047778B" w:rsidRPr="00271996" w:rsidRDefault="00E6597D" w:rsidP="006A6E87">
            <w:pPr>
              <w:pStyle w:val="Tabletext1"/>
              <w:ind w:left="0"/>
              <w:jc w:val="center"/>
            </w:pPr>
            <w:r>
              <w:t>83.6 (82.0-85.3)</w:t>
            </w:r>
          </w:p>
        </w:tc>
      </w:tr>
      <w:tr w:rsidR="0047778B" w:rsidRPr="00215BAA" w14:paraId="7C284453" w14:textId="77777777" w:rsidTr="00BD71D8">
        <w:trPr>
          <w:trHeight w:val="260"/>
        </w:trPr>
        <w:tc>
          <w:tcPr>
            <w:tcW w:w="2498" w:type="pct"/>
            <w:noWrap/>
            <w:hideMark/>
          </w:tcPr>
          <w:p w14:paraId="3A61A14F" w14:textId="77777777" w:rsidR="0047778B" w:rsidRPr="00215BAA" w:rsidRDefault="0047778B" w:rsidP="006A6E87">
            <w:pPr>
              <w:pStyle w:val="Tabletext1"/>
              <w:ind w:left="0"/>
            </w:pPr>
            <w:r w:rsidRPr="00215BAA">
              <w:t>Role Functioning</w:t>
            </w:r>
          </w:p>
        </w:tc>
        <w:tc>
          <w:tcPr>
            <w:tcW w:w="2502" w:type="pct"/>
            <w:noWrap/>
            <w:vAlign w:val="center"/>
          </w:tcPr>
          <w:p w14:paraId="4E762392" w14:textId="39D6019A" w:rsidR="0047778B" w:rsidRPr="00215BAA" w:rsidRDefault="00183FE1" w:rsidP="006A6E87">
            <w:pPr>
              <w:pStyle w:val="Tabletext1"/>
              <w:ind w:left="0"/>
              <w:jc w:val="center"/>
            </w:pPr>
            <w:r>
              <w:t>78.1 (75.8-80.4)</w:t>
            </w:r>
          </w:p>
        </w:tc>
      </w:tr>
      <w:tr w:rsidR="0047778B" w:rsidRPr="00215BAA" w14:paraId="66191581" w14:textId="77777777" w:rsidTr="00BD71D8">
        <w:trPr>
          <w:trHeight w:val="260"/>
        </w:trPr>
        <w:tc>
          <w:tcPr>
            <w:tcW w:w="2498" w:type="pct"/>
            <w:noWrap/>
            <w:hideMark/>
          </w:tcPr>
          <w:p w14:paraId="2FD21E49" w14:textId="77777777" w:rsidR="0047778B" w:rsidRPr="00215BAA" w:rsidRDefault="0047778B" w:rsidP="006A6E87">
            <w:pPr>
              <w:pStyle w:val="Tabletext1"/>
              <w:ind w:left="0"/>
            </w:pPr>
            <w:r w:rsidRPr="00215BAA">
              <w:t>Emotional Functioning</w:t>
            </w:r>
          </w:p>
        </w:tc>
        <w:tc>
          <w:tcPr>
            <w:tcW w:w="2502" w:type="pct"/>
            <w:noWrap/>
            <w:vAlign w:val="center"/>
          </w:tcPr>
          <w:p w14:paraId="2AE0B35B" w14:textId="69DBEFAE" w:rsidR="0047778B" w:rsidRPr="00215BAA" w:rsidRDefault="004023FA" w:rsidP="006A6E87">
            <w:pPr>
              <w:pStyle w:val="Tabletext1"/>
              <w:ind w:left="0"/>
              <w:jc w:val="center"/>
            </w:pPr>
            <w:r>
              <w:t>87.7 (86.4-89.1)</w:t>
            </w:r>
          </w:p>
        </w:tc>
      </w:tr>
      <w:tr w:rsidR="0047778B" w:rsidRPr="00215BAA" w14:paraId="193409FB" w14:textId="77777777" w:rsidTr="00BD71D8">
        <w:trPr>
          <w:trHeight w:val="260"/>
        </w:trPr>
        <w:tc>
          <w:tcPr>
            <w:tcW w:w="2498" w:type="pct"/>
            <w:noWrap/>
            <w:hideMark/>
          </w:tcPr>
          <w:p w14:paraId="6B5AF491" w14:textId="77777777" w:rsidR="0047778B" w:rsidRPr="00215BAA" w:rsidRDefault="0047778B" w:rsidP="006A6E87">
            <w:pPr>
              <w:pStyle w:val="Tabletext1"/>
              <w:ind w:left="0"/>
            </w:pPr>
            <w:r w:rsidRPr="00215BAA">
              <w:t>Cognitive Functioning</w:t>
            </w:r>
          </w:p>
        </w:tc>
        <w:tc>
          <w:tcPr>
            <w:tcW w:w="2502" w:type="pct"/>
            <w:noWrap/>
            <w:vAlign w:val="center"/>
          </w:tcPr>
          <w:p w14:paraId="1B653E70" w14:textId="182D999A" w:rsidR="0047778B" w:rsidRPr="00215BAA" w:rsidRDefault="00985C81" w:rsidP="006A6E87">
            <w:pPr>
              <w:pStyle w:val="Tabletext1"/>
              <w:ind w:left="0"/>
              <w:jc w:val="center"/>
            </w:pPr>
            <w:r>
              <w:t>86.9 (85.4-88.4)</w:t>
            </w:r>
          </w:p>
        </w:tc>
      </w:tr>
      <w:tr w:rsidR="0047778B" w:rsidRPr="00215BAA" w14:paraId="3B575D35" w14:textId="77777777" w:rsidTr="00BD71D8">
        <w:trPr>
          <w:trHeight w:val="260"/>
        </w:trPr>
        <w:tc>
          <w:tcPr>
            <w:tcW w:w="2498" w:type="pct"/>
            <w:noWrap/>
            <w:hideMark/>
          </w:tcPr>
          <w:p w14:paraId="7C6FA504" w14:textId="77777777" w:rsidR="0047778B" w:rsidRPr="00215BAA" w:rsidRDefault="0047778B" w:rsidP="006A6E87">
            <w:pPr>
              <w:pStyle w:val="Tabletext1"/>
              <w:ind w:left="0"/>
            </w:pPr>
            <w:r w:rsidRPr="00215BAA">
              <w:t>Social Functioning</w:t>
            </w:r>
          </w:p>
        </w:tc>
        <w:tc>
          <w:tcPr>
            <w:tcW w:w="2502" w:type="pct"/>
            <w:noWrap/>
            <w:vAlign w:val="center"/>
          </w:tcPr>
          <w:p w14:paraId="621A8B8E" w14:textId="27DF0158" w:rsidR="0047778B" w:rsidRPr="00215BAA" w:rsidRDefault="00985C81" w:rsidP="006A6E87">
            <w:pPr>
              <w:pStyle w:val="Tabletext1"/>
              <w:ind w:left="0"/>
              <w:jc w:val="center"/>
            </w:pPr>
            <w:r>
              <w:t>82.0 (</w:t>
            </w:r>
            <w:r w:rsidR="00C7454B">
              <w:t>80.3-83.8)</w:t>
            </w:r>
          </w:p>
        </w:tc>
      </w:tr>
      <w:tr w:rsidR="00B048BE" w:rsidRPr="00215BAA" w14:paraId="29C50DAA" w14:textId="77777777" w:rsidTr="00160080">
        <w:trPr>
          <w:trHeight w:val="260"/>
        </w:trPr>
        <w:tc>
          <w:tcPr>
            <w:tcW w:w="2498" w:type="pct"/>
            <w:tcBorders>
              <w:bottom w:val="single" w:sz="4" w:space="0" w:color="auto"/>
            </w:tcBorders>
            <w:noWrap/>
          </w:tcPr>
          <w:p w14:paraId="6D5467FA" w14:textId="1FFEF61A" w:rsidR="00B048BE" w:rsidRPr="00215BAA" w:rsidRDefault="00B048BE" w:rsidP="00B048BE">
            <w:pPr>
              <w:pStyle w:val="Tabletext1"/>
              <w:ind w:left="0"/>
            </w:pPr>
            <w:r w:rsidRPr="00215BAA">
              <w:t>Global Health Status</w:t>
            </w:r>
          </w:p>
        </w:tc>
        <w:tc>
          <w:tcPr>
            <w:tcW w:w="2502" w:type="pct"/>
            <w:tcBorders>
              <w:bottom w:val="single" w:sz="4" w:space="0" w:color="auto"/>
            </w:tcBorders>
            <w:noWrap/>
            <w:vAlign w:val="center"/>
          </w:tcPr>
          <w:p w14:paraId="5A25C16D" w14:textId="2D97D0EC" w:rsidR="00B048BE" w:rsidRPr="00215BAA" w:rsidRDefault="00EC19BD" w:rsidP="00B048BE">
            <w:pPr>
              <w:pStyle w:val="Tabletext1"/>
              <w:ind w:left="0"/>
              <w:jc w:val="center"/>
            </w:pPr>
            <w:r>
              <w:t>76.2 (74.4-77.9)</w:t>
            </w:r>
          </w:p>
        </w:tc>
      </w:tr>
      <w:tr w:rsidR="0047778B" w:rsidRPr="00215BAA" w14:paraId="0191EA53" w14:textId="77777777" w:rsidTr="00160080">
        <w:trPr>
          <w:trHeight w:val="260"/>
        </w:trPr>
        <w:tc>
          <w:tcPr>
            <w:tcW w:w="2498" w:type="pct"/>
            <w:tcBorders>
              <w:top w:val="single" w:sz="4" w:space="0" w:color="auto"/>
              <w:left w:val="single" w:sz="4" w:space="0" w:color="auto"/>
              <w:bottom w:val="single" w:sz="4" w:space="0" w:color="auto"/>
              <w:right w:val="nil"/>
            </w:tcBorders>
            <w:noWrap/>
          </w:tcPr>
          <w:p w14:paraId="219F827D" w14:textId="77777777" w:rsidR="0047778B" w:rsidRPr="00215BAA" w:rsidRDefault="0047778B" w:rsidP="006A6E87">
            <w:pPr>
              <w:pStyle w:val="Tabletext1"/>
              <w:ind w:left="0"/>
            </w:pPr>
            <w:r>
              <w:t>Single item</w:t>
            </w:r>
          </w:p>
        </w:tc>
        <w:tc>
          <w:tcPr>
            <w:tcW w:w="2502" w:type="pct"/>
            <w:tcBorders>
              <w:top w:val="single" w:sz="4" w:space="0" w:color="auto"/>
              <w:left w:val="nil"/>
              <w:bottom w:val="single" w:sz="4" w:space="0" w:color="auto"/>
              <w:right w:val="single" w:sz="4" w:space="0" w:color="auto"/>
            </w:tcBorders>
            <w:noWrap/>
            <w:vAlign w:val="center"/>
          </w:tcPr>
          <w:p w14:paraId="7F5DACC7" w14:textId="77777777" w:rsidR="0047778B" w:rsidRPr="00215BAA" w:rsidRDefault="0047778B" w:rsidP="006A6E87">
            <w:pPr>
              <w:pStyle w:val="Tabletext1"/>
              <w:jc w:val="center"/>
            </w:pPr>
          </w:p>
        </w:tc>
      </w:tr>
      <w:tr w:rsidR="0047778B" w:rsidRPr="00215BAA" w14:paraId="1379FA42" w14:textId="77777777" w:rsidTr="00160080">
        <w:trPr>
          <w:trHeight w:val="260"/>
        </w:trPr>
        <w:tc>
          <w:tcPr>
            <w:tcW w:w="2498" w:type="pct"/>
            <w:tcBorders>
              <w:top w:val="single" w:sz="4" w:space="0" w:color="auto"/>
            </w:tcBorders>
            <w:noWrap/>
            <w:hideMark/>
          </w:tcPr>
          <w:p w14:paraId="55D717FD" w14:textId="77777777" w:rsidR="0047778B" w:rsidRPr="00215BAA" w:rsidRDefault="0047778B" w:rsidP="006A6E87">
            <w:pPr>
              <w:pStyle w:val="Tabletext1"/>
              <w:ind w:left="0"/>
            </w:pPr>
            <w:r w:rsidRPr="00215BAA">
              <w:t>Fatigue</w:t>
            </w:r>
          </w:p>
        </w:tc>
        <w:tc>
          <w:tcPr>
            <w:tcW w:w="2502" w:type="pct"/>
            <w:tcBorders>
              <w:top w:val="single" w:sz="4" w:space="0" w:color="auto"/>
            </w:tcBorders>
            <w:noWrap/>
            <w:vAlign w:val="center"/>
          </w:tcPr>
          <w:p w14:paraId="37C03AB3" w14:textId="571B4AFF" w:rsidR="0047778B" w:rsidRPr="00215BAA" w:rsidRDefault="00EC19BD" w:rsidP="006A6E87">
            <w:pPr>
              <w:pStyle w:val="Tabletext1"/>
              <w:ind w:left="0"/>
              <w:jc w:val="center"/>
            </w:pPr>
            <w:r>
              <w:t>30.2 (28.4-32.1)</w:t>
            </w:r>
          </w:p>
        </w:tc>
      </w:tr>
      <w:tr w:rsidR="0047778B" w:rsidRPr="00215BAA" w14:paraId="644946FF" w14:textId="77777777" w:rsidTr="00BD71D8">
        <w:trPr>
          <w:trHeight w:val="260"/>
        </w:trPr>
        <w:tc>
          <w:tcPr>
            <w:tcW w:w="2498" w:type="pct"/>
            <w:noWrap/>
            <w:hideMark/>
          </w:tcPr>
          <w:p w14:paraId="4982651B" w14:textId="77777777" w:rsidR="0047778B" w:rsidRPr="00215BAA" w:rsidRDefault="0047778B" w:rsidP="006A6E87">
            <w:pPr>
              <w:pStyle w:val="Tabletext1"/>
              <w:ind w:left="0"/>
            </w:pPr>
            <w:r w:rsidRPr="00215BAA">
              <w:t>Nausea and Vomiting</w:t>
            </w:r>
          </w:p>
        </w:tc>
        <w:tc>
          <w:tcPr>
            <w:tcW w:w="2502" w:type="pct"/>
            <w:noWrap/>
            <w:vAlign w:val="center"/>
          </w:tcPr>
          <w:p w14:paraId="2A6DA051" w14:textId="36963407" w:rsidR="0047778B" w:rsidRPr="00215BAA" w:rsidRDefault="00D22CB7" w:rsidP="006A6E87">
            <w:pPr>
              <w:pStyle w:val="Tabletext1"/>
              <w:ind w:left="0"/>
              <w:jc w:val="center"/>
            </w:pPr>
            <w:r>
              <w:t>1.7 (1.2-2.2)</w:t>
            </w:r>
          </w:p>
        </w:tc>
      </w:tr>
      <w:tr w:rsidR="0047778B" w:rsidRPr="00215BAA" w14:paraId="54985ED1" w14:textId="77777777" w:rsidTr="00BD71D8">
        <w:trPr>
          <w:trHeight w:val="260"/>
        </w:trPr>
        <w:tc>
          <w:tcPr>
            <w:tcW w:w="2498" w:type="pct"/>
            <w:noWrap/>
            <w:hideMark/>
          </w:tcPr>
          <w:p w14:paraId="6A359CD2" w14:textId="77777777" w:rsidR="0047778B" w:rsidRPr="00215BAA" w:rsidRDefault="0047778B" w:rsidP="006A6E87">
            <w:pPr>
              <w:pStyle w:val="Tabletext1"/>
              <w:ind w:left="0"/>
            </w:pPr>
            <w:r w:rsidRPr="00215BAA">
              <w:t>Pain</w:t>
            </w:r>
          </w:p>
        </w:tc>
        <w:tc>
          <w:tcPr>
            <w:tcW w:w="2502" w:type="pct"/>
            <w:noWrap/>
            <w:vAlign w:val="center"/>
          </w:tcPr>
          <w:p w14:paraId="25CE0B9E" w14:textId="6BDB8752" w:rsidR="0047778B" w:rsidRPr="00215BAA" w:rsidRDefault="00D22CB7" w:rsidP="006A6E87">
            <w:pPr>
              <w:pStyle w:val="Tabletext1"/>
              <w:ind w:left="0"/>
              <w:jc w:val="center"/>
            </w:pPr>
            <w:r>
              <w:t>12.2 (</w:t>
            </w:r>
            <w:r w:rsidR="007543F0">
              <w:t>10.4-14.0)</w:t>
            </w:r>
          </w:p>
        </w:tc>
      </w:tr>
      <w:tr w:rsidR="0047778B" w:rsidRPr="00215BAA" w14:paraId="337AAF96" w14:textId="77777777" w:rsidTr="00BD71D8">
        <w:trPr>
          <w:trHeight w:val="260"/>
        </w:trPr>
        <w:tc>
          <w:tcPr>
            <w:tcW w:w="2498" w:type="pct"/>
            <w:noWrap/>
            <w:hideMark/>
          </w:tcPr>
          <w:p w14:paraId="747A5CED" w14:textId="77777777" w:rsidR="0047778B" w:rsidRPr="00215BAA" w:rsidRDefault="0047778B" w:rsidP="006A6E87">
            <w:pPr>
              <w:pStyle w:val="Tabletext1"/>
              <w:ind w:left="0"/>
            </w:pPr>
            <w:r w:rsidRPr="00215BAA">
              <w:t>Dyspnoea</w:t>
            </w:r>
          </w:p>
        </w:tc>
        <w:tc>
          <w:tcPr>
            <w:tcW w:w="2502" w:type="pct"/>
            <w:noWrap/>
            <w:vAlign w:val="center"/>
          </w:tcPr>
          <w:p w14:paraId="154BEA9C" w14:textId="005B8BCF" w:rsidR="0047778B" w:rsidRPr="00215BAA" w:rsidRDefault="007543F0" w:rsidP="006A6E87">
            <w:pPr>
              <w:pStyle w:val="Tabletext1"/>
              <w:ind w:left="0"/>
              <w:jc w:val="center"/>
            </w:pPr>
            <w:r>
              <w:t>20.7 (</w:t>
            </w:r>
            <w:r w:rsidR="001E494F">
              <w:t>18.3-23.1)</w:t>
            </w:r>
          </w:p>
        </w:tc>
      </w:tr>
      <w:tr w:rsidR="0047778B" w:rsidRPr="00215BAA" w14:paraId="52CE5123" w14:textId="77777777" w:rsidTr="00BD71D8">
        <w:trPr>
          <w:trHeight w:val="260"/>
        </w:trPr>
        <w:tc>
          <w:tcPr>
            <w:tcW w:w="2498" w:type="pct"/>
            <w:noWrap/>
            <w:hideMark/>
          </w:tcPr>
          <w:p w14:paraId="04AED8B9" w14:textId="77777777" w:rsidR="0047778B" w:rsidRPr="00215BAA" w:rsidRDefault="0047778B" w:rsidP="006A6E87">
            <w:pPr>
              <w:pStyle w:val="Tabletext1"/>
              <w:ind w:left="0"/>
            </w:pPr>
            <w:r w:rsidRPr="00215BAA">
              <w:t>Insomnia</w:t>
            </w:r>
          </w:p>
        </w:tc>
        <w:tc>
          <w:tcPr>
            <w:tcW w:w="2502" w:type="pct"/>
            <w:noWrap/>
            <w:vAlign w:val="center"/>
          </w:tcPr>
          <w:p w14:paraId="42BCF2C5" w14:textId="169D9287" w:rsidR="0047778B" w:rsidRPr="00215BAA" w:rsidRDefault="00357535" w:rsidP="006A6E87">
            <w:pPr>
              <w:pStyle w:val="Tabletext1"/>
              <w:ind w:left="0"/>
              <w:jc w:val="center"/>
            </w:pPr>
            <w:r>
              <w:t>22.4 (20.1-24.7)</w:t>
            </w:r>
          </w:p>
        </w:tc>
      </w:tr>
      <w:tr w:rsidR="0047778B" w:rsidRPr="00215BAA" w14:paraId="5DDA0079" w14:textId="77777777" w:rsidTr="00BD71D8">
        <w:trPr>
          <w:trHeight w:val="260"/>
        </w:trPr>
        <w:tc>
          <w:tcPr>
            <w:tcW w:w="2498" w:type="pct"/>
            <w:noWrap/>
            <w:hideMark/>
          </w:tcPr>
          <w:p w14:paraId="500B93F0" w14:textId="77777777" w:rsidR="0047778B" w:rsidRPr="00215BAA" w:rsidRDefault="0047778B" w:rsidP="006A6E87">
            <w:pPr>
              <w:pStyle w:val="Tabletext1"/>
              <w:ind w:left="0"/>
            </w:pPr>
            <w:r w:rsidRPr="00215BAA">
              <w:t>Appetite Loss</w:t>
            </w:r>
          </w:p>
        </w:tc>
        <w:tc>
          <w:tcPr>
            <w:tcW w:w="2502" w:type="pct"/>
            <w:noWrap/>
            <w:vAlign w:val="center"/>
          </w:tcPr>
          <w:p w14:paraId="6737516D" w14:textId="31B5ED78" w:rsidR="0047778B" w:rsidRPr="00215BAA" w:rsidRDefault="00F6154B" w:rsidP="006A6E87">
            <w:pPr>
              <w:pStyle w:val="Tabletext1"/>
              <w:ind w:left="0"/>
              <w:jc w:val="center"/>
            </w:pPr>
            <w:r>
              <w:t>4.2 (3.1-5.2)</w:t>
            </w:r>
          </w:p>
        </w:tc>
      </w:tr>
      <w:tr w:rsidR="0047778B" w:rsidRPr="00215BAA" w14:paraId="057E364B" w14:textId="77777777" w:rsidTr="00BD71D8">
        <w:trPr>
          <w:trHeight w:val="260"/>
        </w:trPr>
        <w:tc>
          <w:tcPr>
            <w:tcW w:w="2498" w:type="pct"/>
            <w:noWrap/>
            <w:hideMark/>
          </w:tcPr>
          <w:p w14:paraId="0F510F81" w14:textId="77777777" w:rsidR="0047778B" w:rsidRPr="00271996" w:rsidRDefault="0047778B" w:rsidP="006A6E87">
            <w:pPr>
              <w:pStyle w:val="Tabletext1"/>
              <w:ind w:left="0"/>
            </w:pPr>
            <w:r w:rsidRPr="00271996">
              <w:t>Constipation</w:t>
            </w:r>
          </w:p>
        </w:tc>
        <w:tc>
          <w:tcPr>
            <w:tcW w:w="2502" w:type="pct"/>
            <w:noWrap/>
            <w:vAlign w:val="center"/>
          </w:tcPr>
          <w:p w14:paraId="33CC90C5" w14:textId="699D74B7" w:rsidR="0047778B" w:rsidRPr="00271996" w:rsidRDefault="00F6154B" w:rsidP="006A6E87">
            <w:pPr>
              <w:pStyle w:val="Tabletext1"/>
              <w:ind w:left="0"/>
              <w:jc w:val="center"/>
            </w:pPr>
            <w:r>
              <w:t>17.0 (</w:t>
            </w:r>
            <w:r w:rsidR="00FA3F54">
              <w:t>15.0-19.0)</w:t>
            </w:r>
          </w:p>
        </w:tc>
      </w:tr>
      <w:tr w:rsidR="0047778B" w:rsidRPr="00215BAA" w14:paraId="2BBD7852" w14:textId="77777777" w:rsidTr="00BD71D8">
        <w:trPr>
          <w:trHeight w:val="260"/>
        </w:trPr>
        <w:tc>
          <w:tcPr>
            <w:tcW w:w="2498" w:type="pct"/>
            <w:noWrap/>
            <w:hideMark/>
          </w:tcPr>
          <w:p w14:paraId="55F59D42" w14:textId="77777777" w:rsidR="0047778B" w:rsidRPr="00215BAA" w:rsidRDefault="0047778B" w:rsidP="006A6E87">
            <w:pPr>
              <w:pStyle w:val="Tabletext1"/>
              <w:ind w:left="0"/>
            </w:pPr>
            <w:r w:rsidRPr="00215BAA">
              <w:t>Diarrhoea</w:t>
            </w:r>
          </w:p>
        </w:tc>
        <w:tc>
          <w:tcPr>
            <w:tcW w:w="2502" w:type="pct"/>
            <w:noWrap/>
            <w:vAlign w:val="center"/>
          </w:tcPr>
          <w:p w14:paraId="4A9EC7CA" w14:textId="58086302" w:rsidR="0047778B" w:rsidRPr="00215BAA" w:rsidRDefault="00FA3F54" w:rsidP="006A6E87">
            <w:pPr>
              <w:pStyle w:val="Tabletext1"/>
              <w:ind w:left="0"/>
              <w:jc w:val="center"/>
            </w:pPr>
            <w:r>
              <w:t>20.6 (18.6-</w:t>
            </w:r>
            <w:r w:rsidR="00BD71D8">
              <w:t>22.6)</w:t>
            </w:r>
          </w:p>
        </w:tc>
      </w:tr>
      <w:tr w:rsidR="0047778B" w:rsidRPr="00215BAA" w14:paraId="7E0C90FA" w14:textId="77777777" w:rsidTr="00BD71D8">
        <w:trPr>
          <w:trHeight w:val="260"/>
        </w:trPr>
        <w:tc>
          <w:tcPr>
            <w:tcW w:w="2498" w:type="pct"/>
            <w:noWrap/>
            <w:hideMark/>
          </w:tcPr>
          <w:p w14:paraId="1EBDA620" w14:textId="77777777" w:rsidR="0047778B" w:rsidRPr="00215BAA" w:rsidRDefault="0047778B" w:rsidP="006A6E87">
            <w:pPr>
              <w:pStyle w:val="Tabletext1"/>
              <w:ind w:left="0"/>
            </w:pPr>
            <w:r w:rsidRPr="00215BAA">
              <w:t>Financial Difficulties</w:t>
            </w:r>
          </w:p>
        </w:tc>
        <w:tc>
          <w:tcPr>
            <w:tcW w:w="2502" w:type="pct"/>
            <w:noWrap/>
            <w:vAlign w:val="center"/>
          </w:tcPr>
          <w:p w14:paraId="6C9AE646" w14:textId="077F3318" w:rsidR="0047778B" w:rsidRPr="00215BAA" w:rsidRDefault="00BD71D8" w:rsidP="006A6E87">
            <w:pPr>
              <w:pStyle w:val="Tabletext1"/>
              <w:ind w:left="0"/>
              <w:jc w:val="center"/>
            </w:pPr>
            <w:r>
              <w:t>4.1 (2.8-5.5)</w:t>
            </w:r>
          </w:p>
        </w:tc>
      </w:tr>
    </w:tbl>
    <w:p w14:paraId="52B69AAB" w14:textId="3D06F033" w:rsidR="00D55E64" w:rsidRDefault="00D55E64" w:rsidP="00D55E64">
      <w:pPr>
        <w:pStyle w:val="Tablenotes0"/>
        <w:jc w:val="left"/>
      </w:pPr>
      <w:r>
        <w:t xml:space="preserve">Source: </w:t>
      </w:r>
      <w:hyperlink w:anchor="_ENREF_72" w:tooltip="Tondel, 2018 #73" w:history="1">
        <w:r w:rsidR="008B6FC0">
          <w:fldChar w:fldCharType="begin"/>
        </w:r>
        <w:r w:rsidR="008B6FC0">
          <w:instrText xml:space="preserve"> ADDIN EN.CITE &lt;EndNote&gt;&lt;Cite AuthorYear="1"&gt;&lt;Author&gt;Tondel&lt;/Author&gt;&lt;Year&gt;2018&lt;/Year&gt;&lt;RecNum&gt;73&lt;/RecNum&gt;&lt;DisplayText&gt;Tondel et al. (2018)&lt;/DisplayText&gt;&lt;record&gt;&lt;rec-number&gt;73&lt;/rec-number&gt;&lt;foreign-keys&gt;&lt;key app="EN" db-id="sx5wsdwv795wvue959xxw0ptaewvdezxxp05" timestamp="1604876398"&gt;73&lt;/key&gt;&lt;/foreign-keys&gt;&lt;ref-type name="Journal Article"&gt;17&lt;/ref-type&gt;&lt;contributors&gt;&lt;authors&gt;&lt;author&gt;Tondel, H.&lt;/author&gt;&lt;author&gt;Lund, J.&lt;/author&gt;&lt;author&gt;Lydersen, S.&lt;/author&gt;&lt;author&gt;Wanderas, A. D.&lt;/author&gt;&lt;author&gt;Aksnessaether, B. Y.&lt;/author&gt;&lt;author&gt;Jensen, C. A.&lt;/author&gt;&lt;author&gt;Kaasa, S.&lt;/author&gt;&lt;author&gt;Solberg, A.&lt;/author&gt;&lt;/authors&gt;&lt;/contributors&gt;&lt;titles&gt;&lt;title&gt;Dose to penile bulb is not associated with erectile dysfunction 18months post radiotherapy: A secondary analysis of a randomized trial&lt;/title&gt;&lt;secondary-title&gt;Clinical and Translational Radiation Oncology&lt;/secondary-title&gt;&lt;/titles&gt;&lt;pages&gt;50-56&lt;/pages&gt;&lt;volume&gt;13&lt;/volume&gt;&lt;dates&gt;&lt;year&gt;2018&lt;/year&gt;&lt;/dates&gt;&lt;accession-num&gt;2001180901&lt;/accession-num&gt;&lt;urls&gt;&lt;related-urls&gt;&lt;url&gt;https://www.journals.elsevier.com/clinical-and-translational-radiation-oncology/http://ezproxy.library.usyd.edu.au/login?url=http://ovidsp.ovid.com/ovidweb.cgi?T=JS&amp;amp;CSC=Y&amp;amp;NEWS=N&amp;amp;PAGE=fulltext&amp;amp;D=emed19&amp;amp;AN=2001180901https://sydney.alma.exlibrisgroup.com/ope&lt;/url&gt;&lt;url&gt;https://www.ncbi.nlm.nih.gov/pmc/articles/PMC6198098/pdf/main.pdf&lt;/url&gt;&lt;/related-urls&gt;&lt;/urls&gt;&lt;electronic-resource-num&gt;http://dx.doi.org/10.1016/j.ctro.2018.09.006&lt;/electronic-resource-num&gt;&lt;/record&gt;&lt;/Cite&gt;&lt;/EndNote&gt;</w:instrText>
        </w:r>
        <w:r w:rsidR="008B6FC0">
          <w:fldChar w:fldCharType="separate"/>
        </w:r>
        <w:r w:rsidR="008B6FC0">
          <w:rPr>
            <w:noProof/>
          </w:rPr>
          <w:t>Tondel et al. (2018)</w:t>
        </w:r>
        <w:r w:rsidR="008B6FC0">
          <w:fldChar w:fldCharType="end"/>
        </w:r>
      </w:hyperlink>
      <w:r w:rsidR="0066469C">
        <w:t xml:space="preserve">, </w:t>
      </w:r>
      <w:r>
        <w:t>Table 3</w:t>
      </w:r>
      <w:r>
        <w:br/>
        <w:t>CI</w:t>
      </w:r>
      <w:r w:rsidR="0066469C">
        <w:t>=</w:t>
      </w:r>
      <w:r>
        <w:t>confidence interval; RT</w:t>
      </w:r>
      <w:r w:rsidR="0066469C">
        <w:t>=</w:t>
      </w:r>
      <w:r>
        <w:t>radiation therapy</w:t>
      </w:r>
      <w:r>
        <w:br/>
        <w:t>* The EORTC QLQ-C30 includes functional scales and single-item questions. All scales and single-item scores range from 0 to 100. A high functional scale score represents a healthy level of functioning; a high score for the global health status represents a high QoL, while a high score for a symptom scale, bowel score or urinary score represents a high level of symptomatology.</w:t>
      </w:r>
    </w:p>
    <w:p w14:paraId="6701FCA1" w14:textId="77777777" w:rsidR="00DB3295" w:rsidRPr="00183E4D" w:rsidRDefault="00DB3295" w:rsidP="007B0C89">
      <w:pPr>
        <w:pStyle w:val="Heading2"/>
        <w:numPr>
          <w:ilvl w:val="1"/>
          <w:numId w:val="9"/>
        </w:numPr>
      </w:pPr>
      <w:bookmarkStart w:id="431" w:name="_Toc59018784"/>
      <w:bookmarkStart w:id="432" w:name="_Toc59020328"/>
      <w:bookmarkStart w:id="433" w:name="_Toc59439550"/>
      <w:bookmarkStart w:id="434" w:name="_Toc89857822"/>
      <w:r w:rsidRPr="00183E4D">
        <w:t>Extended Assessment of Harms</w:t>
      </w:r>
      <w:bookmarkEnd w:id="431"/>
      <w:bookmarkEnd w:id="432"/>
      <w:bookmarkEnd w:id="433"/>
      <w:bookmarkEnd w:id="434"/>
    </w:p>
    <w:p w14:paraId="44FA052E" w14:textId="48592F82" w:rsidR="00766B51" w:rsidRPr="00395BBD" w:rsidRDefault="00766B51" w:rsidP="00766B51">
      <w:r>
        <w:t xml:space="preserve">An extended assessment of harms was not conducted for this </w:t>
      </w:r>
      <w:r w:rsidR="006E0349">
        <w:t>DCAR</w:t>
      </w:r>
      <w:r>
        <w:t>.</w:t>
      </w:r>
    </w:p>
    <w:p w14:paraId="0B453756" w14:textId="77777777" w:rsidR="00DB3295" w:rsidRDefault="00DB3295" w:rsidP="007B0C89">
      <w:pPr>
        <w:pStyle w:val="Heading2"/>
        <w:numPr>
          <w:ilvl w:val="1"/>
          <w:numId w:val="9"/>
        </w:numPr>
      </w:pPr>
      <w:bookmarkStart w:id="435" w:name="_Ref421189603"/>
      <w:bookmarkStart w:id="436" w:name="_Ref421189625"/>
      <w:bookmarkStart w:id="437" w:name="_Toc59018785"/>
      <w:bookmarkStart w:id="438" w:name="_Toc59020329"/>
      <w:bookmarkStart w:id="439" w:name="_Toc59439551"/>
      <w:bookmarkStart w:id="440" w:name="_Toc89857823"/>
      <w:r w:rsidRPr="00183E4D">
        <w:t>Interpretation of the Clinical Evidence</w:t>
      </w:r>
      <w:bookmarkEnd w:id="435"/>
      <w:bookmarkEnd w:id="436"/>
      <w:bookmarkEnd w:id="437"/>
      <w:bookmarkEnd w:id="438"/>
      <w:bookmarkEnd w:id="439"/>
      <w:bookmarkEnd w:id="440"/>
    </w:p>
    <w:p w14:paraId="3D296051" w14:textId="0A2BB7BE" w:rsidR="00402FBA" w:rsidRDefault="00402FBA" w:rsidP="00402FBA">
      <w:pPr>
        <w:jc w:val="both"/>
        <w:rPr>
          <w:b/>
        </w:rPr>
      </w:pPr>
      <w:r>
        <w:t xml:space="preserve">On the basis of the </w:t>
      </w:r>
      <w:r w:rsidR="0027645A">
        <w:t>evidence profile</w:t>
      </w:r>
      <w:r>
        <w:t xml:space="preserve"> (</w:t>
      </w:r>
      <w:r w:rsidR="003C7A14">
        <w:t xml:space="preserve">summarised in </w:t>
      </w:r>
      <w:r w:rsidR="00CD5101">
        <w:fldChar w:fldCharType="begin"/>
      </w:r>
      <w:r w:rsidR="00CD5101">
        <w:instrText xml:space="preserve"> REF _Ref56002451 \h </w:instrText>
      </w:r>
      <w:r w:rsidR="00CD5101">
        <w:fldChar w:fldCharType="separate"/>
      </w:r>
      <w:r w:rsidR="00451350" w:rsidRPr="000048DE">
        <w:t xml:space="preserve">Table </w:t>
      </w:r>
      <w:r w:rsidR="00451350">
        <w:rPr>
          <w:noProof/>
        </w:rPr>
        <w:t>41</w:t>
      </w:r>
      <w:r w:rsidR="00CD5101">
        <w:fldChar w:fldCharType="end"/>
      </w:r>
      <w:r>
        <w:t>)</w:t>
      </w:r>
      <w:r w:rsidRPr="006D66DC">
        <w:t xml:space="preserve">, it is suggested that, relative to </w:t>
      </w:r>
      <w:r w:rsidR="009E3520" w:rsidRPr="006D66DC">
        <w:t>CBCT-IGRT</w:t>
      </w:r>
      <w:r w:rsidRPr="006D66DC">
        <w:t xml:space="preserve">, the </w:t>
      </w:r>
      <w:r w:rsidR="009E3520" w:rsidRPr="006D66DC">
        <w:t>MR-IGRT</w:t>
      </w:r>
      <w:r w:rsidRPr="006D66DC">
        <w:t xml:space="preserve"> has uncertain safety and uncertain effectiveness.</w:t>
      </w:r>
    </w:p>
    <w:p w14:paraId="70E208A5" w14:textId="45529518" w:rsidR="009E3520" w:rsidRDefault="00D77459" w:rsidP="009E3520">
      <w:r>
        <w:lastRenderedPageBreak/>
        <w:t xml:space="preserve">There is </w:t>
      </w:r>
      <w:r w:rsidR="00EB7A67">
        <w:t>in</w:t>
      </w:r>
      <w:r>
        <w:t>sufficient high</w:t>
      </w:r>
      <w:r w:rsidR="00766B51">
        <w:t>-</w:t>
      </w:r>
      <w:r>
        <w:t xml:space="preserve">quality evidence to enable </w:t>
      </w:r>
      <w:r w:rsidR="009E3520">
        <w:t xml:space="preserve">the comparison of safety and effectiveness </w:t>
      </w:r>
      <w:r>
        <w:t>between MR-IGRT and CBCT-IGRT</w:t>
      </w:r>
      <w:r w:rsidR="00C47D33">
        <w:t xml:space="preserve"> for the population of interest (all patients </w:t>
      </w:r>
      <w:r w:rsidR="00FA559F">
        <w:t xml:space="preserve">with cancer </w:t>
      </w:r>
      <w:r w:rsidR="00C47D33">
        <w:t xml:space="preserve">eligible for EBRT). Due to the paucity of comparative studies, a naïve comparison was attempted. </w:t>
      </w:r>
      <w:r w:rsidR="00EB7A67">
        <w:t xml:space="preserve">The summary of findings for MR-IGRT is shown in </w:t>
      </w:r>
      <w:r w:rsidR="00EB7A67">
        <w:fldChar w:fldCharType="begin"/>
      </w:r>
      <w:r w:rsidR="00EB7A67">
        <w:instrText xml:space="preserve"> REF _Ref56002451 \h </w:instrText>
      </w:r>
      <w:r w:rsidR="00EB7A67">
        <w:fldChar w:fldCharType="separate"/>
      </w:r>
      <w:r w:rsidR="00451350" w:rsidRPr="000048DE">
        <w:t xml:space="preserve">Table </w:t>
      </w:r>
      <w:r w:rsidR="00451350">
        <w:rPr>
          <w:noProof/>
        </w:rPr>
        <w:t>41</w:t>
      </w:r>
      <w:r w:rsidR="00EB7A67">
        <w:fldChar w:fldCharType="end"/>
      </w:r>
      <w:r w:rsidR="00EB7A67">
        <w:t>.</w:t>
      </w:r>
    </w:p>
    <w:p w14:paraId="4E6A63FE" w14:textId="33F49DF6" w:rsidR="00353A6E" w:rsidRDefault="000048DE" w:rsidP="000213A9">
      <w:pPr>
        <w:pStyle w:val="Caption"/>
        <w:keepNext/>
        <w:keepLines/>
      </w:pPr>
      <w:bookmarkStart w:id="441" w:name="_Ref56002451"/>
      <w:bookmarkStart w:id="442" w:name="_Toc89857912"/>
      <w:r w:rsidRPr="000048DE">
        <w:t xml:space="preserve">Table </w:t>
      </w:r>
      <w:r w:rsidR="00211285">
        <w:fldChar w:fldCharType="begin"/>
      </w:r>
      <w:r w:rsidR="00211285">
        <w:instrText xml:space="preserve"> SEQ Table \* ARABIC </w:instrText>
      </w:r>
      <w:r w:rsidR="00211285">
        <w:fldChar w:fldCharType="separate"/>
      </w:r>
      <w:r w:rsidR="00451350">
        <w:rPr>
          <w:noProof/>
        </w:rPr>
        <w:t>41</w:t>
      </w:r>
      <w:r w:rsidR="00211285">
        <w:rPr>
          <w:noProof/>
        </w:rPr>
        <w:fldChar w:fldCharType="end"/>
      </w:r>
      <w:bookmarkEnd w:id="441"/>
      <w:r w:rsidRPr="000048DE">
        <w:tab/>
      </w:r>
      <w:r w:rsidR="00DA7045">
        <w:t xml:space="preserve">Summary of findings for </w:t>
      </w:r>
      <w:r w:rsidR="000902F9">
        <w:t>t</w:t>
      </w:r>
      <w:r w:rsidRPr="000048DE">
        <w:t xml:space="preserve">he </w:t>
      </w:r>
      <w:r w:rsidRPr="000048DE">
        <w:rPr>
          <w:u w:val="single"/>
        </w:rPr>
        <w:t>critical</w:t>
      </w:r>
      <w:r w:rsidRPr="000048DE">
        <w:t xml:space="preserve"> patient-relevant outcomes in the</w:t>
      </w:r>
      <w:r w:rsidR="00155246">
        <w:t xml:space="preserve"> MR-IGRT</w:t>
      </w:r>
      <w:r w:rsidRPr="000048DE">
        <w:t xml:space="preserve"> studies</w:t>
      </w:r>
      <w:bookmarkEnd w:id="442"/>
      <w:r w:rsidR="000902F9">
        <w:t xml:space="preserve"> </w:t>
      </w:r>
    </w:p>
    <w:tbl>
      <w:tblPr>
        <w:tblStyle w:val="TableGrid1"/>
        <w:tblW w:w="5000" w:type="pct"/>
        <w:tblLook w:val="04A0" w:firstRow="1" w:lastRow="0" w:firstColumn="1" w:lastColumn="0" w:noHBand="0" w:noVBand="1"/>
        <w:tblDescription w:val="Summary of findings table"/>
      </w:tblPr>
      <w:tblGrid>
        <w:gridCol w:w="1019"/>
        <w:gridCol w:w="1527"/>
        <w:gridCol w:w="1134"/>
        <w:gridCol w:w="5336"/>
      </w:tblGrid>
      <w:tr w:rsidR="00D720E7" w14:paraId="65BC1093" w14:textId="77777777" w:rsidTr="00040981">
        <w:trPr>
          <w:cnfStyle w:val="100000000000" w:firstRow="1" w:lastRow="0" w:firstColumn="0" w:lastColumn="0" w:oddVBand="0" w:evenVBand="0" w:oddHBand="0" w:evenHBand="0" w:firstRowFirstColumn="0" w:firstRowLastColumn="0" w:lastRowFirstColumn="0" w:lastRowLastColumn="0"/>
          <w:tblHeader/>
        </w:trPr>
        <w:tc>
          <w:tcPr>
            <w:tcW w:w="565" w:type="pct"/>
            <w:tcBorders>
              <w:top w:val="single" w:sz="4" w:space="0" w:color="auto"/>
              <w:left w:val="single" w:sz="4" w:space="0" w:color="auto"/>
              <w:bottom w:val="single" w:sz="4" w:space="0" w:color="auto"/>
              <w:right w:val="single" w:sz="4" w:space="0" w:color="auto"/>
            </w:tcBorders>
          </w:tcPr>
          <w:p w14:paraId="7F54196B" w14:textId="77777777" w:rsidR="00D720E7" w:rsidRPr="000A1599" w:rsidRDefault="00D720E7" w:rsidP="000213A9">
            <w:pPr>
              <w:pStyle w:val="TableHeading"/>
              <w:keepLines/>
            </w:pPr>
            <w:r w:rsidRPr="000A1599">
              <w:t>Outcomes</w:t>
            </w:r>
            <w:r>
              <w:t xml:space="preserve"> </w:t>
            </w:r>
          </w:p>
        </w:tc>
        <w:tc>
          <w:tcPr>
            <w:tcW w:w="847" w:type="pct"/>
            <w:tcBorders>
              <w:top w:val="single" w:sz="4" w:space="0" w:color="auto"/>
              <w:left w:val="single" w:sz="4" w:space="0" w:color="auto"/>
              <w:bottom w:val="single" w:sz="4" w:space="0" w:color="auto"/>
              <w:right w:val="single" w:sz="4" w:space="0" w:color="auto"/>
            </w:tcBorders>
          </w:tcPr>
          <w:p w14:paraId="58602AE3" w14:textId="77777777" w:rsidR="00D720E7" w:rsidRPr="000A1599" w:rsidRDefault="00D720E7" w:rsidP="000213A9">
            <w:pPr>
              <w:pStyle w:val="TableHeading"/>
              <w:keepLines/>
            </w:pPr>
            <w:r>
              <w:t>Participants (studies)</w:t>
            </w:r>
          </w:p>
        </w:tc>
        <w:tc>
          <w:tcPr>
            <w:tcW w:w="629" w:type="pct"/>
            <w:tcBorders>
              <w:top w:val="single" w:sz="4" w:space="0" w:color="auto"/>
              <w:left w:val="single" w:sz="4" w:space="0" w:color="auto"/>
              <w:bottom w:val="single" w:sz="4" w:space="0" w:color="auto"/>
              <w:right w:val="single" w:sz="4" w:space="0" w:color="auto"/>
            </w:tcBorders>
          </w:tcPr>
          <w:p w14:paraId="7C5A1A9B" w14:textId="1F6F51E0" w:rsidR="00D720E7" w:rsidRPr="00A05ECE" w:rsidRDefault="00D720E7" w:rsidP="000213A9">
            <w:pPr>
              <w:pStyle w:val="TableHeading"/>
              <w:keepLines/>
              <w:rPr>
                <w:vertAlign w:val="superscript"/>
              </w:rPr>
            </w:pPr>
            <w:r>
              <w:t>Quality of evidence (GRADE)</w:t>
            </w:r>
            <w:r w:rsidR="00A05ECE">
              <w:rPr>
                <w:vertAlign w:val="superscript"/>
              </w:rPr>
              <w:t>a</w:t>
            </w:r>
            <w:r w:rsidR="005F14EB">
              <w:rPr>
                <w:vertAlign w:val="superscript"/>
              </w:rPr>
              <w:t>,</w:t>
            </w:r>
            <w:r w:rsidR="000B3A9A">
              <w:rPr>
                <w:vertAlign w:val="superscript"/>
              </w:rPr>
              <w:t>b</w:t>
            </w:r>
          </w:p>
        </w:tc>
        <w:tc>
          <w:tcPr>
            <w:tcW w:w="2959" w:type="pct"/>
            <w:tcBorders>
              <w:top w:val="single" w:sz="4" w:space="0" w:color="auto"/>
              <w:left w:val="single" w:sz="4" w:space="0" w:color="auto"/>
              <w:bottom w:val="single" w:sz="4" w:space="0" w:color="auto"/>
              <w:right w:val="single" w:sz="4" w:space="0" w:color="auto"/>
            </w:tcBorders>
          </w:tcPr>
          <w:p w14:paraId="27BBABD7" w14:textId="469A2BEF" w:rsidR="00D720E7" w:rsidRPr="005D28C8" w:rsidRDefault="004A189C" w:rsidP="000213A9">
            <w:pPr>
              <w:pStyle w:val="TableHeading"/>
              <w:keepLines/>
              <w:rPr>
                <w:vertAlign w:val="superscript"/>
              </w:rPr>
            </w:pPr>
            <w:r>
              <w:t>Summary</w:t>
            </w:r>
            <w:r w:rsidR="00AE0B50">
              <w:rPr>
                <w:vertAlign w:val="superscript"/>
              </w:rPr>
              <w:t>c</w:t>
            </w:r>
          </w:p>
        </w:tc>
      </w:tr>
      <w:tr w:rsidR="00D720E7" w14:paraId="1EBCA0C2" w14:textId="77777777" w:rsidTr="00471F66">
        <w:trPr>
          <w:trHeight w:val="263"/>
        </w:trPr>
        <w:tc>
          <w:tcPr>
            <w:tcW w:w="565" w:type="pct"/>
            <w:tcBorders>
              <w:top w:val="single" w:sz="4" w:space="0" w:color="auto"/>
              <w:left w:val="single" w:sz="4" w:space="0" w:color="auto"/>
              <w:bottom w:val="single" w:sz="4" w:space="0" w:color="auto"/>
              <w:right w:val="single" w:sz="4" w:space="0" w:color="auto"/>
            </w:tcBorders>
          </w:tcPr>
          <w:p w14:paraId="7AD4BD74" w14:textId="77777777" w:rsidR="00D720E7" w:rsidRPr="00066A76" w:rsidRDefault="00D720E7" w:rsidP="000213A9">
            <w:pPr>
              <w:pStyle w:val="Tabletext1"/>
              <w:keepNext/>
              <w:keepLines/>
              <w:rPr>
                <w:rFonts w:cs="Arial"/>
                <w:sz w:val="18"/>
                <w:szCs w:val="18"/>
              </w:rPr>
            </w:pPr>
            <w:r w:rsidRPr="00095FA2">
              <w:t>Toxicity</w:t>
            </w:r>
          </w:p>
        </w:tc>
        <w:tc>
          <w:tcPr>
            <w:tcW w:w="847" w:type="pct"/>
            <w:tcBorders>
              <w:top w:val="single" w:sz="4" w:space="0" w:color="auto"/>
              <w:left w:val="single" w:sz="4" w:space="0" w:color="auto"/>
              <w:bottom w:val="single" w:sz="4" w:space="0" w:color="auto"/>
              <w:right w:val="single" w:sz="4" w:space="0" w:color="auto"/>
            </w:tcBorders>
          </w:tcPr>
          <w:p w14:paraId="4E74F41D" w14:textId="77777777" w:rsidR="00D720E7" w:rsidRPr="00615407" w:rsidRDefault="00D720E7" w:rsidP="000213A9">
            <w:pPr>
              <w:pStyle w:val="Tabletext1"/>
              <w:keepNext/>
              <w:keepLines/>
            </w:pPr>
            <w:r w:rsidRPr="00095FA2">
              <w:t>211 participants (</w:t>
            </w:r>
            <w:r>
              <w:t>8 studies)</w:t>
            </w:r>
          </w:p>
        </w:tc>
        <w:tc>
          <w:tcPr>
            <w:tcW w:w="629" w:type="pct"/>
            <w:tcBorders>
              <w:top w:val="single" w:sz="4" w:space="0" w:color="auto"/>
              <w:left w:val="single" w:sz="4" w:space="0" w:color="auto"/>
              <w:bottom w:val="single" w:sz="4" w:space="0" w:color="auto"/>
              <w:right w:val="single" w:sz="4" w:space="0" w:color="auto"/>
            </w:tcBorders>
          </w:tcPr>
          <w:p w14:paraId="77C5E8CE" w14:textId="77777777" w:rsidR="00D720E7" w:rsidRDefault="00D720E7" w:rsidP="000213A9">
            <w:pPr>
              <w:keepNext/>
              <w:keepLines/>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7E8112BB" w14:textId="77777777" w:rsidR="00D720E7" w:rsidRDefault="00D720E7" w:rsidP="000213A9">
            <w:pPr>
              <w:pStyle w:val="Tabletext1"/>
              <w:keepNext/>
              <w:keepLines/>
            </w:pPr>
            <w:r w:rsidRPr="00D235AA">
              <w:t>One comparative study reported no difference in lung density between MR-IGRT and CBCT-IGRT on follow-up CT scans</w:t>
            </w:r>
            <w:r>
              <w:t>.</w:t>
            </w:r>
          </w:p>
          <w:p w14:paraId="38B87F5A" w14:textId="12CBB3BB" w:rsidR="00D720E7" w:rsidRDefault="00D720E7" w:rsidP="000213A9">
            <w:pPr>
              <w:pStyle w:val="Tabletext1"/>
              <w:keepNext/>
              <w:keepLines/>
            </w:pPr>
            <w:r>
              <w:t xml:space="preserve">In one (out of two) </w:t>
            </w:r>
            <w:r w:rsidDel="00A148C7">
              <w:t xml:space="preserve">lung cancer </w:t>
            </w:r>
            <w:r>
              <w:t>CS</w:t>
            </w:r>
            <w:r w:rsidR="00747004">
              <w:t>,</w:t>
            </w:r>
            <w:r>
              <w:t xml:space="preserve"> 15/50 (30%) patients </w:t>
            </w:r>
            <w:r w:rsidR="00FA559F">
              <w:t xml:space="preserve">with lung cancer </w:t>
            </w:r>
            <w:r>
              <w:t xml:space="preserve">treated with MR-IGRT experienced grade ≥2 toxicity. One CS of </w:t>
            </w:r>
            <w:r w:rsidR="00FA559F">
              <w:t xml:space="preserve">patients with </w:t>
            </w:r>
            <w:r>
              <w:t xml:space="preserve">prostate cancer treated with MR-IGRT reported </w:t>
            </w:r>
            <w:r w:rsidRPr="00D235AA">
              <w:t>24% and 12% of patients suffering grade 1 and 2 GU toxicity, and 8% and 4% of patients suffering grade 1 and 2 GI toxicity, respectively</w:t>
            </w:r>
            <w:r>
              <w:t>.</w:t>
            </w:r>
          </w:p>
          <w:p w14:paraId="18FA7D6F" w14:textId="451389A4" w:rsidR="00D720E7" w:rsidRDefault="00D720E7" w:rsidP="000213A9">
            <w:pPr>
              <w:pStyle w:val="Tabletext1"/>
              <w:keepNext/>
              <w:keepLines/>
            </w:pPr>
            <w:r>
              <w:t>One (out of three) CS on abdominal malignanc</w:t>
            </w:r>
            <w:r w:rsidR="00A80039">
              <w:t>ies</w:t>
            </w:r>
            <w:r>
              <w:t xml:space="preserve"> treated with MR-IGRT reported grade ≥3 GI toxicity in 3/44 (7%) of patients.</w:t>
            </w:r>
          </w:p>
          <w:p w14:paraId="5CAAC7B7" w14:textId="013A1FEE" w:rsidR="00D720E7" w:rsidRPr="00D235AA" w:rsidRDefault="00D720E7" w:rsidP="000213A9">
            <w:pPr>
              <w:pStyle w:val="Tabletext1"/>
              <w:keepNext/>
              <w:keepLines/>
            </w:pPr>
            <w:r>
              <w:t xml:space="preserve">Any grade ≥3 or higher toxicity was reported in 44% of </w:t>
            </w:r>
            <w:r w:rsidR="00FA559F">
              <w:t xml:space="preserve">patients with </w:t>
            </w:r>
            <w:r>
              <w:t>head and neck cancer treated with MR-IGRT in one CS.</w:t>
            </w:r>
          </w:p>
        </w:tc>
      </w:tr>
      <w:tr w:rsidR="00D720E7" w14:paraId="26B24C64" w14:textId="77777777" w:rsidTr="00471F66">
        <w:trPr>
          <w:trHeight w:val="25"/>
        </w:trPr>
        <w:tc>
          <w:tcPr>
            <w:tcW w:w="565" w:type="pct"/>
            <w:tcBorders>
              <w:top w:val="single" w:sz="4" w:space="0" w:color="auto"/>
              <w:left w:val="single" w:sz="4" w:space="0" w:color="auto"/>
              <w:bottom w:val="single" w:sz="4" w:space="0" w:color="auto"/>
              <w:right w:val="single" w:sz="4" w:space="0" w:color="auto"/>
            </w:tcBorders>
          </w:tcPr>
          <w:p w14:paraId="456FEDD2" w14:textId="77777777" w:rsidR="00D720E7" w:rsidRDefault="00D720E7" w:rsidP="000213A9">
            <w:pPr>
              <w:pStyle w:val="Tabletext1"/>
              <w:keepNext/>
              <w:keepLines/>
              <w:rPr>
                <w:rFonts w:cs="Arial"/>
                <w:sz w:val="18"/>
                <w:szCs w:val="18"/>
                <w:vertAlign w:val="superscript"/>
              </w:rPr>
            </w:pPr>
            <w:r>
              <w:t>Patient tolerance</w:t>
            </w:r>
          </w:p>
        </w:tc>
        <w:tc>
          <w:tcPr>
            <w:tcW w:w="847" w:type="pct"/>
            <w:tcBorders>
              <w:top w:val="single" w:sz="4" w:space="0" w:color="auto"/>
              <w:left w:val="single" w:sz="4" w:space="0" w:color="auto"/>
              <w:bottom w:val="single" w:sz="4" w:space="0" w:color="auto"/>
              <w:right w:val="single" w:sz="4" w:space="0" w:color="auto"/>
            </w:tcBorders>
          </w:tcPr>
          <w:p w14:paraId="720365BB" w14:textId="77777777" w:rsidR="00D720E7" w:rsidRPr="00615407" w:rsidRDefault="00D720E7" w:rsidP="000213A9">
            <w:pPr>
              <w:pStyle w:val="Tabletext1"/>
              <w:keepNext/>
              <w:keepLines/>
            </w:pPr>
            <w:r>
              <w:t>194 participants (2 studies)*</w:t>
            </w:r>
          </w:p>
        </w:tc>
        <w:tc>
          <w:tcPr>
            <w:tcW w:w="629" w:type="pct"/>
            <w:tcBorders>
              <w:top w:val="single" w:sz="4" w:space="0" w:color="auto"/>
              <w:left w:val="single" w:sz="4" w:space="0" w:color="auto"/>
              <w:bottom w:val="single" w:sz="4" w:space="0" w:color="auto"/>
              <w:right w:val="single" w:sz="4" w:space="0" w:color="auto"/>
            </w:tcBorders>
          </w:tcPr>
          <w:p w14:paraId="0762ABFA" w14:textId="77777777" w:rsidR="00D720E7" w:rsidRDefault="00D720E7" w:rsidP="000213A9">
            <w:pPr>
              <w:keepNext/>
              <w:keepLines/>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6F6C3ECE" w14:textId="77777777" w:rsidR="00D720E7" w:rsidRPr="00D235AA" w:rsidRDefault="00D720E7" w:rsidP="000213A9">
            <w:pPr>
              <w:pStyle w:val="Tabletext1"/>
              <w:keepNext/>
              <w:keepLines/>
            </w:pPr>
            <w:r>
              <w:t>In the two studies, 65% and 89/150 (80%) of patients treated with MR-IGRT reported at least some degree of potential MR-IGRT related complaints, respectively.</w:t>
            </w:r>
          </w:p>
        </w:tc>
      </w:tr>
      <w:tr w:rsidR="00D720E7" w14:paraId="6B5889C7" w14:textId="77777777" w:rsidTr="00471F66">
        <w:tc>
          <w:tcPr>
            <w:tcW w:w="565" w:type="pct"/>
            <w:tcBorders>
              <w:top w:val="single" w:sz="4" w:space="0" w:color="auto"/>
              <w:left w:val="single" w:sz="4" w:space="0" w:color="auto"/>
              <w:bottom w:val="single" w:sz="4" w:space="0" w:color="auto"/>
              <w:right w:val="single" w:sz="4" w:space="0" w:color="auto"/>
            </w:tcBorders>
          </w:tcPr>
          <w:p w14:paraId="21294D01" w14:textId="77777777" w:rsidR="00D720E7" w:rsidRDefault="00D720E7" w:rsidP="000213A9">
            <w:pPr>
              <w:pStyle w:val="Tabletext1"/>
              <w:keepNext/>
              <w:keepLines/>
              <w:rPr>
                <w:rFonts w:cs="Arial"/>
                <w:sz w:val="18"/>
                <w:szCs w:val="18"/>
                <w:vertAlign w:val="superscript"/>
              </w:rPr>
            </w:pPr>
            <w:r>
              <w:t xml:space="preserve">Survival </w:t>
            </w:r>
          </w:p>
        </w:tc>
        <w:tc>
          <w:tcPr>
            <w:tcW w:w="847" w:type="pct"/>
            <w:tcBorders>
              <w:top w:val="single" w:sz="4" w:space="0" w:color="auto"/>
              <w:left w:val="single" w:sz="4" w:space="0" w:color="auto"/>
              <w:bottom w:val="single" w:sz="4" w:space="0" w:color="auto"/>
              <w:right w:val="single" w:sz="4" w:space="0" w:color="auto"/>
            </w:tcBorders>
          </w:tcPr>
          <w:p w14:paraId="487BED70" w14:textId="77777777" w:rsidR="00D720E7" w:rsidRPr="009A2B17" w:rsidRDefault="00D720E7" w:rsidP="000213A9">
            <w:pPr>
              <w:pStyle w:val="Tabletext1"/>
              <w:keepNext/>
              <w:keepLines/>
            </w:pPr>
            <w:r>
              <w:t>114 participants (4 studies)</w:t>
            </w:r>
          </w:p>
        </w:tc>
        <w:tc>
          <w:tcPr>
            <w:tcW w:w="629" w:type="pct"/>
            <w:tcBorders>
              <w:top w:val="single" w:sz="4" w:space="0" w:color="auto"/>
              <w:left w:val="single" w:sz="4" w:space="0" w:color="auto"/>
              <w:bottom w:val="single" w:sz="4" w:space="0" w:color="auto"/>
              <w:right w:val="single" w:sz="4" w:space="0" w:color="auto"/>
            </w:tcBorders>
          </w:tcPr>
          <w:p w14:paraId="5550C5DE" w14:textId="77777777" w:rsidR="00D720E7" w:rsidRDefault="00D720E7" w:rsidP="000213A9">
            <w:pPr>
              <w:keepNext/>
              <w:keepLines/>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16C3A9DF" w14:textId="5A1C5F35" w:rsidR="00D720E7" w:rsidRPr="00D235AA" w:rsidRDefault="001A721A" w:rsidP="000213A9">
            <w:pPr>
              <w:pStyle w:val="Tabletext1"/>
              <w:keepNext/>
              <w:keepLines/>
            </w:pPr>
            <w:r>
              <w:t>One year</w:t>
            </w:r>
            <w:r w:rsidR="00D720E7">
              <w:t xml:space="preserve"> OS for patients treated with MR-IGRT: 88%, 95%CI </w:t>
            </w:r>
            <w:r w:rsidR="00D720E7" w:rsidRPr="0003573E">
              <w:rPr>
                <w:snapToGrid w:val="0"/>
              </w:rPr>
              <w:t>(70.1-97.7</w:t>
            </w:r>
            <w:r w:rsidR="00D720E7">
              <w:rPr>
                <w:snapToGrid w:val="0"/>
              </w:rPr>
              <w:t>%</w:t>
            </w:r>
            <w:r w:rsidR="00D720E7" w:rsidRPr="0003573E">
              <w:rPr>
                <w:snapToGrid w:val="0"/>
              </w:rPr>
              <w:t>)</w:t>
            </w:r>
            <w:r w:rsidR="00D720E7">
              <w:rPr>
                <w:snapToGrid w:val="0"/>
              </w:rPr>
              <w:t xml:space="preserve"> for </w:t>
            </w:r>
            <w:r w:rsidR="00FA559F">
              <w:t xml:space="preserve">patients with </w:t>
            </w:r>
            <w:r w:rsidR="00D720E7">
              <w:t xml:space="preserve">lung cancer (one CS); 69% for </w:t>
            </w:r>
            <w:r w:rsidR="00FA559F">
              <w:t xml:space="preserve">patients with </w:t>
            </w:r>
            <w:r w:rsidR="00747004">
              <w:t>HCC</w:t>
            </w:r>
            <w:r w:rsidR="00D720E7">
              <w:t xml:space="preserve"> reported (one CS); 96% for </w:t>
            </w:r>
            <w:r w:rsidR="00FA559F">
              <w:t xml:space="preserve">patients with </w:t>
            </w:r>
            <w:r w:rsidR="00D720E7">
              <w:t>head and neck cancer (one CS); 75% in unresectable abdominal cancer (one CS).</w:t>
            </w:r>
          </w:p>
        </w:tc>
      </w:tr>
      <w:tr w:rsidR="00D720E7" w14:paraId="22FA1047" w14:textId="77777777" w:rsidTr="00471F66">
        <w:tc>
          <w:tcPr>
            <w:tcW w:w="565" w:type="pct"/>
            <w:tcBorders>
              <w:top w:val="single" w:sz="4" w:space="0" w:color="auto"/>
              <w:left w:val="single" w:sz="4" w:space="0" w:color="auto"/>
              <w:bottom w:val="single" w:sz="4" w:space="0" w:color="auto"/>
              <w:right w:val="single" w:sz="4" w:space="0" w:color="auto"/>
            </w:tcBorders>
          </w:tcPr>
          <w:p w14:paraId="3EAA9938" w14:textId="77777777" w:rsidR="00D720E7" w:rsidRDefault="00D720E7" w:rsidP="000213A9">
            <w:pPr>
              <w:pStyle w:val="Tabletext1"/>
              <w:keepNext/>
              <w:keepLines/>
              <w:rPr>
                <w:rFonts w:cs="Arial"/>
                <w:sz w:val="18"/>
                <w:szCs w:val="18"/>
                <w:vertAlign w:val="superscript"/>
              </w:rPr>
            </w:pPr>
            <w:r>
              <w:t>Quality of life</w:t>
            </w:r>
          </w:p>
        </w:tc>
        <w:tc>
          <w:tcPr>
            <w:tcW w:w="847" w:type="pct"/>
            <w:tcBorders>
              <w:top w:val="single" w:sz="4" w:space="0" w:color="auto"/>
              <w:left w:val="single" w:sz="4" w:space="0" w:color="auto"/>
              <w:bottom w:val="single" w:sz="4" w:space="0" w:color="auto"/>
              <w:right w:val="single" w:sz="4" w:space="0" w:color="auto"/>
            </w:tcBorders>
          </w:tcPr>
          <w:p w14:paraId="31C4D1FC" w14:textId="77777777" w:rsidR="00D720E7" w:rsidRPr="009A2B17" w:rsidRDefault="00D720E7" w:rsidP="000213A9">
            <w:pPr>
              <w:pStyle w:val="Tabletext1"/>
              <w:keepNext/>
              <w:keepLines/>
            </w:pPr>
            <w:r>
              <w:t>63 participants (3 studies)</w:t>
            </w:r>
          </w:p>
        </w:tc>
        <w:tc>
          <w:tcPr>
            <w:tcW w:w="629" w:type="pct"/>
            <w:tcBorders>
              <w:top w:val="single" w:sz="4" w:space="0" w:color="auto"/>
              <w:left w:val="single" w:sz="4" w:space="0" w:color="auto"/>
              <w:bottom w:val="single" w:sz="4" w:space="0" w:color="auto"/>
              <w:right w:val="single" w:sz="4" w:space="0" w:color="auto"/>
            </w:tcBorders>
          </w:tcPr>
          <w:p w14:paraId="66B885D0" w14:textId="77777777" w:rsidR="00D720E7" w:rsidRDefault="00D720E7" w:rsidP="000213A9">
            <w:pPr>
              <w:keepNext/>
              <w:keepLines/>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4FF27186" w14:textId="77777777" w:rsidR="00D720E7" w:rsidRPr="00D235AA" w:rsidRDefault="00D720E7" w:rsidP="000213A9">
            <w:pPr>
              <w:pStyle w:val="Tabletext1"/>
              <w:keepNext/>
              <w:keepLines/>
            </w:pPr>
            <w:r>
              <w:t>Two studies on patients treated with MR-IGRT(unrespectable abdominal cancer and prostate cancer) used the same questionnaire (EORTC QLQ-C30 ) and both reported no differences in QoL scores over the course of radiotherapy treatment.</w:t>
            </w:r>
          </w:p>
        </w:tc>
      </w:tr>
      <w:tr w:rsidR="00D720E7" w14:paraId="401B93F2" w14:textId="77777777" w:rsidTr="00471F66">
        <w:tc>
          <w:tcPr>
            <w:tcW w:w="565" w:type="pct"/>
            <w:tcBorders>
              <w:top w:val="single" w:sz="4" w:space="0" w:color="auto"/>
              <w:left w:val="single" w:sz="4" w:space="0" w:color="auto"/>
              <w:bottom w:val="single" w:sz="4" w:space="0" w:color="auto"/>
              <w:right w:val="single" w:sz="4" w:space="0" w:color="auto"/>
            </w:tcBorders>
          </w:tcPr>
          <w:p w14:paraId="6E4F2B2A" w14:textId="77777777" w:rsidR="00D720E7" w:rsidRDefault="00D720E7" w:rsidP="000213A9">
            <w:pPr>
              <w:pStyle w:val="Tabletext1"/>
              <w:keepNext/>
              <w:keepLines/>
              <w:rPr>
                <w:rFonts w:cs="Arial"/>
                <w:sz w:val="18"/>
                <w:szCs w:val="18"/>
                <w:vertAlign w:val="superscript"/>
              </w:rPr>
            </w:pPr>
            <w:r>
              <w:t>Dosimetric outcomes</w:t>
            </w:r>
          </w:p>
        </w:tc>
        <w:tc>
          <w:tcPr>
            <w:tcW w:w="847" w:type="pct"/>
            <w:tcBorders>
              <w:top w:val="single" w:sz="4" w:space="0" w:color="auto"/>
              <w:left w:val="single" w:sz="4" w:space="0" w:color="auto"/>
              <w:bottom w:val="single" w:sz="4" w:space="0" w:color="auto"/>
              <w:right w:val="single" w:sz="4" w:space="0" w:color="auto"/>
            </w:tcBorders>
          </w:tcPr>
          <w:p w14:paraId="6E37CD03" w14:textId="77777777" w:rsidR="00D720E7" w:rsidRDefault="00D720E7" w:rsidP="000213A9">
            <w:pPr>
              <w:pStyle w:val="Tabletext1"/>
              <w:keepNext/>
              <w:keepLines/>
              <w:rPr>
                <w:rFonts w:cs="Arial"/>
                <w:sz w:val="18"/>
                <w:szCs w:val="18"/>
                <w:vertAlign w:val="superscript"/>
              </w:rPr>
            </w:pPr>
            <w:r>
              <w:t>37 participants (3 studies)</w:t>
            </w:r>
          </w:p>
        </w:tc>
        <w:tc>
          <w:tcPr>
            <w:tcW w:w="629" w:type="pct"/>
            <w:tcBorders>
              <w:top w:val="single" w:sz="4" w:space="0" w:color="auto"/>
              <w:left w:val="single" w:sz="4" w:space="0" w:color="auto"/>
              <w:bottom w:val="single" w:sz="4" w:space="0" w:color="auto"/>
              <w:right w:val="single" w:sz="4" w:space="0" w:color="auto"/>
            </w:tcBorders>
          </w:tcPr>
          <w:p w14:paraId="6DC0D583" w14:textId="77777777" w:rsidR="00D720E7" w:rsidRDefault="00D720E7" w:rsidP="000213A9">
            <w:pPr>
              <w:keepNext/>
              <w:keepLines/>
              <w:rPr>
                <w:rFonts w:ascii="Arial Narrow" w:hAnsi="Arial Narrow" w:cs="Arial"/>
                <w:sz w:val="18"/>
                <w:szCs w:val="18"/>
                <w:vertAlign w:val="superscript"/>
              </w:rPr>
            </w:pPr>
            <w:r>
              <w:rPr>
                <w:rFonts w:ascii="Cambria Math" w:hAnsi="Cambria Math"/>
                <w:color w:val="00B050"/>
              </w:rPr>
              <w:t>⨁</w:t>
            </w:r>
            <w:r w:rsidRPr="00D4733A">
              <w:rPr>
                <w:rFonts w:ascii="Cambria Math" w:hAnsi="Cambria Math" w:cs="Cambria Math"/>
                <w:color w:val="C00000"/>
              </w:rPr>
              <w:t>⨀⨀⨀</w:t>
            </w:r>
          </w:p>
        </w:tc>
        <w:tc>
          <w:tcPr>
            <w:tcW w:w="2959" w:type="pct"/>
            <w:tcBorders>
              <w:top w:val="single" w:sz="4" w:space="0" w:color="auto"/>
              <w:left w:val="single" w:sz="4" w:space="0" w:color="auto"/>
              <w:bottom w:val="single" w:sz="4" w:space="0" w:color="auto"/>
              <w:right w:val="single" w:sz="4" w:space="0" w:color="auto"/>
            </w:tcBorders>
          </w:tcPr>
          <w:p w14:paraId="19CBF250" w14:textId="3A1A57E2" w:rsidR="00D720E7" w:rsidRPr="00D235AA" w:rsidRDefault="00D720E7" w:rsidP="000213A9">
            <w:pPr>
              <w:pStyle w:val="Tabletext1"/>
              <w:keepNext/>
              <w:keepLines/>
            </w:pPr>
            <w:r>
              <w:t xml:space="preserve">Dosimetric parameters for MR-IGRT plans were better than dosimetric parameters for CBCT-IGRT in two studies and </w:t>
            </w:r>
            <w:r w:rsidR="00D16217">
              <w:t>worse than</w:t>
            </w:r>
            <w:r>
              <w:t xml:space="preserve"> </w:t>
            </w:r>
            <w:r w:rsidR="00D16217">
              <w:t>the</w:t>
            </w:r>
            <w:r>
              <w:t xml:space="preserve"> CBCT-IGRT </w:t>
            </w:r>
            <w:r w:rsidR="00D16217">
              <w:t>plans</w:t>
            </w:r>
            <w:r>
              <w:t xml:space="preserve"> in one study.</w:t>
            </w:r>
          </w:p>
        </w:tc>
      </w:tr>
    </w:tbl>
    <w:p w14:paraId="29E49E1A" w14:textId="23D0D95D" w:rsidR="00C82B3A" w:rsidRPr="001471C0" w:rsidRDefault="00C82B3A" w:rsidP="000213A9">
      <w:pPr>
        <w:pStyle w:val="TFAbbrevs0"/>
        <w:spacing w:before="0"/>
        <w:rPr>
          <w:rFonts w:cs="Arial"/>
        </w:rPr>
      </w:pPr>
      <w:r w:rsidRPr="00E10B76">
        <w:rPr>
          <w:vertAlign w:val="superscript"/>
        </w:rPr>
        <w:t xml:space="preserve">a </w:t>
      </w:r>
      <w:r w:rsidRPr="00E10B76">
        <w:rPr>
          <w:rFonts w:cs="Arial"/>
        </w:rPr>
        <w:t>GRADE Working Group grades of evidence</w:t>
      </w:r>
      <w:r>
        <w:rPr>
          <w:rFonts w:cs="Arial"/>
        </w:rPr>
        <w:t xml:space="preserve"> (Guyatt et al., 2013)</w:t>
      </w:r>
      <w:r w:rsidR="000856C7">
        <w:br/>
      </w:r>
      <w:r w:rsidR="001471C0">
        <w:rPr>
          <w:vertAlign w:val="superscript"/>
        </w:rPr>
        <w:t>b</w:t>
      </w:r>
      <w:r w:rsidR="001471C0" w:rsidRPr="001471C0">
        <w:t xml:space="preserve"> </w:t>
      </w:r>
      <w:r w:rsidR="001471C0">
        <w:t xml:space="preserve">For case series, the GRADE rating commenced at </w:t>
      </w:r>
      <w:r w:rsidR="001471C0" w:rsidRPr="001471C0">
        <w:rPr>
          <w:b/>
          <w:bCs/>
        </w:rPr>
        <w:t>very low</w:t>
      </w:r>
      <w:r w:rsidR="001471C0">
        <w:t xml:space="preserve"> certainty evidence</w:t>
      </w:r>
      <w:r w:rsidR="00C6168E">
        <w:br/>
      </w:r>
      <w:r w:rsidR="00AE0B50">
        <w:rPr>
          <w:vertAlign w:val="superscript"/>
        </w:rPr>
        <w:t xml:space="preserve">c </w:t>
      </w:r>
      <w:r w:rsidR="004A189C">
        <w:rPr>
          <w:rFonts w:cs="Arial"/>
        </w:rPr>
        <w:t>The interpretation is</w:t>
      </w:r>
      <w:r w:rsidR="00AE0B50">
        <w:rPr>
          <w:rFonts w:cs="Arial"/>
        </w:rPr>
        <w:t xml:space="preserve"> limited by the lack of comparative evidence for MR-IGRT </w:t>
      </w:r>
      <w:r w:rsidR="00AE0B50" w:rsidRPr="004A189C">
        <w:rPr>
          <w:rFonts w:cs="Arial"/>
          <w:i/>
        </w:rPr>
        <w:t>vs.</w:t>
      </w:r>
      <w:r w:rsidR="00AE0B50">
        <w:rPr>
          <w:rFonts w:cs="Arial"/>
        </w:rPr>
        <w:t xml:space="preserve"> CBCT-IGRT</w:t>
      </w:r>
      <w:r>
        <w:rPr>
          <w:rFonts w:cs="Arial"/>
        </w:rPr>
        <w:br/>
      </w:r>
      <w:r w:rsidRPr="00A05ECE">
        <w:rPr>
          <w:rStyle w:val="TablenotesChar0"/>
        </w:rPr>
        <w:t>*</w:t>
      </w:r>
      <w:hyperlink w:anchor="_ENREF_71" w:tooltip="Tetar, 2019 #23" w:history="1">
        <w:r w:rsidR="001F781A">
          <w:rPr>
            <w:rStyle w:val="TablenotesChar0"/>
          </w:rPr>
          <w:fldChar w:fldCharType="begin"/>
        </w:r>
        <w:r w:rsidR="001F781A">
          <w:rPr>
            <w:rStyle w:val="TablenotesChar0"/>
          </w:rPr>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1F781A">
          <w:rPr>
            <w:rStyle w:val="TablenotesChar0"/>
          </w:rPr>
          <w:fldChar w:fldCharType="separate"/>
        </w:r>
        <w:r w:rsidR="001F781A">
          <w:rPr>
            <w:rStyle w:val="TablenotesChar0"/>
            <w:noProof/>
          </w:rPr>
          <w:t>S. U. Tetar et al. (2019)</w:t>
        </w:r>
        <w:r w:rsidR="001F781A">
          <w:rPr>
            <w:rStyle w:val="TablenotesChar0"/>
          </w:rPr>
          <w:fldChar w:fldCharType="end"/>
        </w:r>
      </w:hyperlink>
      <w:r w:rsidR="0066469C">
        <w:rPr>
          <w:rStyle w:val="TablenotesChar0"/>
        </w:rPr>
        <w:t xml:space="preserve"> </w:t>
      </w:r>
      <w:r w:rsidRPr="00A05ECE">
        <w:rPr>
          <w:rStyle w:val="TablenotesChar0"/>
        </w:rPr>
        <w:t xml:space="preserve">and </w:t>
      </w:r>
      <w:hyperlink w:anchor="_ENREF_70" w:tooltip="Tetar, 2018 #26" w:history="1">
        <w:r w:rsidR="001F781A">
          <w:rPr>
            <w:rStyle w:val="TablenotesChar0"/>
          </w:rPr>
          <w:fldChar w:fldCharType="begin"/>
        </w:r>
        <w:r w:rsidR="001F781A">
          <w:rPr>
            <w:rStyle w:val="TablenotesChar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rPr>
            <w:rStyle w:val="TablenotesChar0"/>
          </w:rPr>
          <w:fldChar w:fldCharType="separate"/>
        </w:r>
        <w:r w:rsidR="001F781A">
          <w:rPr>
            <w:rStyle w:val="TablenotesChar0"/>
            <w:noProof/>
          </w:rPr>
          <w:t>S. Tetar et al. (2018)</w:t>
        </w:r>
        <w:r w:rsidR="001F781A">
          <w:rPr>
            <w:rStyle w:val="TablenotesChar0"/>
          </w:rPr>
          <w:fldChar w:fldCharType="end"/>
        </w:r>
      </w:hyperlink>
      <w:r w:rsidR="0066469C">
        <w:rPr>
          <w:rStyle w:val="TablenotesChar0"/>
        </w:rPr>
        <w:t xml:space="preserve"> </w:t>
      </w:r>
      <w:r w:rsidRPr="00A05ECE">
        <w:rPr>
          <w:rStyle w:val="TablenotesChar0"/>
        </w:rPr>
        <w:t xml:space="preserve">likely included overlapping populations. </w:t>
      </w:r>
      <w:r w:rsidR="00900473">
        <w:rPr>
          <w:rStyle w:val="TablenotesChar0"/>
        </w:rPr>
        <w:t>Only</w:t>
      </w:r>
      <w:r w:rsidRPr="00A05ECE">
        <w:rPr>
          <w:rStyle w:val="TablenotesChar0"/>
        </w:rPr>
        <w:t xml:space="preserve"> </w:t>
      </w:r>
      <w:hyperlink w:anchor="_ENREF_70" w:tooltip="Tetar, 2018 #26" w:history="1">
        <w:r w:rsidR="001F781A">
          <w:rPr>
            <w:rStyle w:val="TablenotesChar0"/>
          </w:rPr>
          <w:fldChar w:fldCharType="begin"/>
        </w:r>
        <w:r w:rsidR="001F781A">
          <w:rPr>
            <w:rStyle w:val="TablenotesChar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rPr>
            <w:rStyle w:val="TablenotesChar0"/>
          </w:rPr>
          <w:fldChar w:fldCharType="separate"/>
        </w:r>
        <w:r w:rsidR="001F781A">
          <w:rPr>
            <w:rStyle w:val="TablenotesChar0"/>
            <w:noProof/>
          </w:rPr>
          <w:t>S. Tetar et al. (2018)</w:t>
        </w:r>
        <w:r w:rsidR="001F781A">
          <w:rPr>
            <w:rStyle w:val="TablenotesChar0"/>
          </w:rPr>
          <w:fldChar w:fldCharType="end"/>
        </w:r>
      </w:hyperlink>
      <w:r w:rsidRPr="00A05ECE">
        <w:rPr>
          <w:rStyle w:val="TablenotesChar0"/>
        </w:rPr>
        <w:t xml:space="preserve"> </w:t>
      </w:r>
      <w:r w:rsidR="00900473">
        <w:rPr>
          <w:rStyle w:val="TablenotesChar0"/>
        </w:rPr>
        <w:t>is</w:t>
      </w:r>
      <w:r w:rsidRPr="00A05ECE">
        <w:rPr>
          <w:rStyle w:val="TablenotesChar0"/>
        </w:rPr>
        <w:t xml:space="preserve"> included in the summary table</w:t>
      </w:r>
      <w:r w:rsidRPr="00E10B76">
        <w:rPr>
          <w:rFonts w:cs="Arial"/>
        </w:rPr>
        <w:br/>
      </w:r>
      <w:r w:rsidRPr="00D4733A">
        <w:rPr>
          <w:rFonts w:ascii="Cambria Math" w:hAnsi="Cambria Math"/>
          <w:color w:val="00B050"/>
        </w:rPr>
        <w:t>⨁⨁⨁⨁</w:t>
      </w:r>
      <w:r>
        <w:rPr>
          <w:rFonts w:ascii="Cambria Math" w:hAnsi="Cambria Math"/>
          <w:color w:val="00B050"/>
        </w:rPr>
        <w:t xml:space="preserve"> </w:t>
      </w:r>
      <w:r w:rsidRPr="00E10B76">
        <w:rPr>
          <w:rFonts w:cs="Arial"/>
          <w:b/>
        </w:rPr>
        <w:t>High quality:</w:t>
      </w:r>
      <w:r w:rsidRPr="00E10B76">
        <w:rPr>
          <w:rFonts w:cs="Arial"/>
        </w:rPr>
        <w:t xml:space="preserve"> </w:t>
      </w:r>
      <w:r>
        <w:rPr>
          <w:rFonts w:cs="Arial"/>
        </w:rPr>
        <w:t>We are very confident that the true effect lies close to that of the estimate of effect.</w:t>
      </w:r>
      <w:r w:rsidRPr="00E10B76">
        <w:rPr>
          <w:rFonts w:cs="Arial"/>
        </w:rPr>
        <w:t xml:space="preserve"> </w:t>
      </w:r>
      <w:r w:rsidRPr="00E10B76">
        <w:rPr>
          <w:rFonts w:cs="Arial"/>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rFonts w:cs="Arial"/>
          <w:b/>
        </w:rPr>
        <w:t>Moderate quality:</w:t>
      </w:r>
      <w:r w:rsidRPr="00E10B76">
        <w:rPr>
          <w:rFonts w:cs="Arial"/>
        </w:rPr>
        <w:t xml:space="preserve"> </w:t>
      </w:r>
      <w:r>
        <w:rPr>
          <w:rFonts w:cs="Arial"/>
        </w:rPr>
        <w:t xml:space="preserve">We are moderately confident in the effect estimate: The true effect is likely to be close to the estimate of the effect, but there is a possibility that it is substantially different. </w:t>
      </w:r>
      <w:r w:rsidRPr="00E10B76">
        <w:rPr>
          <w:rFonts w:cs="Arial"/>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rFonts w:cs="Arial"/>
          <w:b/>
        </w:rPr>
        <w:t>Low quality:</w:t>
      </w:r>
      <w:r w:rsidRPr="00E10B76">
        <w:rPr>
          <w:rFonts w:cs="Arial"/>
        </w:rPr>
        <w:t xml:space="preserve"> </w:t>
      </w:r>
      <w:r>
        <w:rPr>
          <w:rFonts w:cs="Arial"/>
        </w:rPr>
        <w:t>Our confidence in the effect estimate is limited: The true effect may be substantially different from the estimate of the effect.</w:t>
      </w:r>
      <w:r w:rsidRPr="00E10B76">
        <w:rPr>
          <w:rFonts w:cs="Arial"/>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rFonts w:cs="Arial"/>
          <w:b/>
        </w:rPr>
        <w:t>Very low quality:</w:t>
      </w:r>
      <w:r w:rsidRPr="00E10B76">
        <w:rPr>
          <w:rFonts w:cs="Arial"/>
        </w:rPr>
        <w:t xml:space="preserve"> </w:t>
      </w:r>
      <w:r>
        <w:rPr>
          <w:rFonts w:cs="Arial"/>
        </w:rPr>
        <w:t>We have very little confidence in the effect estimate: The true effect is likely to be substantially different from the estimate of effect</w:t>
      </w:r>
    </w:p>
    <w:p w14:paraId="744E72E9" w14:textId="0AEA6F9F" w:rsidR="006364F9" w:rsidRDefault="006364F9" w:rsidP="000213A9">
      <w:pPr>
        <w:pStyle w:val="TFAbbrevs18"/>
      </w:pPr>
      <w:r>
        <w:t xml:space="preserve">CBCT=cone beam computed tomography; CT=computed tomography; CS=case series; GI=gastrointestinal; GU=genitourinary; </w:t>
      </w:r>
      <w:r w:rsidR="00A80039">
        <w:t xml:space="preserve">HCC=hepatocellular carcinoma; </w:t>
      </w:r>
      <w:r>
        <w:t>IGRT=image guided radiation therapy; MR=magnetic resonance; OS=overall survival; QoL=quality of life</w:t>
      </w:r>
    </w:p>
    <w:p w14:paraId="0A7304EB" w14:textId="77777777" w:rsidR="00D347A1" w:rsidRDefault="00A850F7" w:rsidP="00D347A1">
      <w:r>
        <w:t xml:space="preserve">A formal GRADE evaluation of the quality of </w:t>
      </w:r>
      <w:r w:rsidR="0079623D">
        <w:t xml:space="preserve">evidence </w:t>
      </w:r>
      <w:r w:rsidR="004052A1">
        <w:t>provided by</w:t>
      </w:r>
      <w:r>
        <w:t xml:space="preserve"> the single-arm studies of C</w:t>
      </w:r>
      <w:r w:rsidR="004052A1">
        <w:t>B</w:t>
      </w:r>
      <w:r>
        <w:t xml:space="preserve">CT-IGRT included in the naïve comparison was not carried out. Evidence was found for the outcomes of toxicity </w:t>
      </w:r>
      <w:r w:rsidR="00F377D1">
        <w:t>(k=47 studies)</w:t>
      </w:r>
      <w:r w:rsidR="005F0D67">
        <w:t>,</w:t>
      </w:r>
      <w:r w:rsidR="00F377D1">
        <w:t xml:space="preserve"> </w:t>
      </w:r>
      <w:r>
        <w:t>survival</w:t>
      </w:r>
      <w:r w:rsidR="00F377D1">
        <w:t xml:space="preserve"> </w:t>
      </w:r>
      <w:r w:rsidR="00CE5F26">
        <w:t>(k=13 studies)</w:t>
      </w:r>
      <w:r w:rsidR="005F0D67">
        <w:t xml:space="preserve"> and QoL (k=1 study)</w:t>
      </w:r>
      <w:r w:rsidR="00CE5F26">
        <w:t>.</w:t>
      </w:r>
      <w:r w:rsidR="0079623D">
        <w:t xml:space="preserve"> </w:t>
      </w:r>
      <w:r w:rsidR="00CE5F26">
        <w:t xml:space="preserve"> The evidence </w:t>
      </w:r>
      <w:r w:rsidR="00C25A83">
        <w:t xml:space="preserve">base </w:t>
      </w:r>
      <w:r w:rsidR="00CE5F26">
        <w:t>was generally</w:t>
      </w:r>
      <w:r w:rsidR="00C25A83">
        <w:t xml:space="preserve"> of level IV-V,</w:t>
      </w:r>
      <w:r w:rsidR="002F6154">
        <w:t xml:space="preserve"> with concerns</w:t>
      </w:r>
      <w:r w:rsidR="005F0D67" w:rsidRPr="005F0D67">
        <w:t xml:space="preserve"> </w:t>
      </w:r>
      <w:r w:rsidR="005F0D67">
        <w:t xml:space="preserve">about the </w:t>
      </w:r>
      <w:r w:rsidR="002F6154">
        <w:t xml:space="preserve">methodological </w:t>
      </w:r>
      <w:r w:rsidR="005F0D67">
        <w:t>quality and risk of bias</w:t>
      </w:r>
      <w:r w:rsidR="002F6154">
        <w:t xml:space="preserve">, </w:t>
      </w:r>
      <w:r w:rsidR="008F3C97">
        <w:t xml:space="preserve">small sample size (and, consequently, concerns about imprecision of the reported results), </w:t>
      </w:r>
      <w:r w:rsidR="004052A1">
        <w:t xml:space="preserve">wide variations in outcome </w:t>
      </w:r>
      <w:r w:rsidR="004052A1">
        <w:lastRenderedPageBreak/>
        <w:t>measurement and reporting,</w:t>
      </w:r>
      <w:r w:rsidR="002F6154">
        <w:t xml:space="preserve"> and poorly matched to the patient populations treated with MR-IGRT</w:t>
      </w:r>
      <w:r w:rsidR="00554CBB">
        <w:t xml:space="preserve"> (indirectness concerns)</w:t>
      </w:r>
      <w:r w:rsidR="002F6154">
        <w:t>.</w:t>
      </w:r>
      <w:r w:rsidR="008F3C97">
        <w:t xml:space="preserve"> </w:t>
      </w:r>
      <w:bookmarkStart w:id="443" w:name="_Toc59018786"/>
      <w:bookmarkStart w:id="444" w:name="_Toc59020330"/>
      <w:bookmarkStart w:id="445" w:name="_Toc59439552"/>
    </w:p>
    <w:p w14:paraId="73B3B9E8" w14:textId="3CCC7360" w:rsidR="00D12268" w:rsidRPr="00183E4D" w:rsidRDefault="00D12268" w:rsidP="00D347A1">
      <w:pPr>
        <w:pStyle w:val="Heading1"/>
      </w:pPr>
      <w:bookmarkStart w:id="446" w:name="_Toc89857824"/>
      <w:r w:rsidRPr="00183E4D">
        <w:t>Section C</w:t>
      </w:r>
      <w:r w:rsidRPr="00183E4D">
        <w:tab/>
        <w:t>Translation Issues</w:t>
      </w:r>
      <w:bookmarkEnd w:id="443"/>
      <w:bookmarkEnd w:id="444"/>
      <w:bookmarkEnd w:id="445"/>
      <w:bookmarkEnd w:id="446"/>
    </w:p>
    <w:p w14:paraId="50EFEF5E" w14:textId="77777777" w:rsidR="00D12268" w:rsidRDefault="00D12268" w:rsidP="00D12268">
      <w:pPr>
        <w:pStyle w:val="Heading2"/>
        <w:numPr>
          <w:ilvl w:val="2"/>
          <w:numId w:val="28"/>
        </w:numPr>
      </w:pPr>
      <w:bookmarkStart w:id="447" w:name="_Toc59018787"/>
      <w:bookmarkStart w:id="448" w:name="_Toc59020331"/>
      <w:bookmarkStart w:id="449" w:name="_Toc59439553"/>
      <w:bookmarkStart w:id="450" w:name="_Toc89857825"/>
      <w:r>
        <w:t>Overview</w:t>
      </w:r>
      <w:bookmarkStart w:id="451" w:name="_Toc426968183"/>
      <w:bookmarkEnd w:id="447"/>
      <w:bookmarkEnd w:id="448"/>
      <w:bookmarkEnd w:id="449"/>
      <w:bookmarkEnd w:id="450"/>
      <w:r>
        <w:t xml:space="preserve"> </w:t>
      </w:r>
      <w:bookmarkEnd w:id="451"/>
    </w:p>
    <w:p w14:paraId="1FBECD2E" w14:textId="42AEB2AA" w:rsidR="00D12268" w:rsidRDefault="00D12268" w:rsidP="00D12268">
      <w:bookmarkStart w:id="452" w:name="_Hlk58402190"/>
      <w:bookmarkStart w:id="453" w:name="_Toc426968184"/>
      <w:r>
        <w:t>Based on the evidence reported in</w:t>
      </w:r>
      <w:r w:rsidR="00C6168E">
        <w:t xml:space="preserve"> Section B</w:t>
      </w:r>
      <w:r>
        <w:t>, it is suggested that, relative to CBCT-IGRT, MR-IGRT has uncertain safety and uncertain effectiveness. It was therefore decided that a cost-minimisation analysis would be most appropriate approach for the economic evaluation. Furthermore, PASC confirmed that a cost-minimisation analysis was appropriate.</w:t>
      </w:r>
    </w:p>
    <w:p w14:paraId="75D223FE" w14:textId="14BBE02E" w:rsidR="00D12268" w:rsidRDefault="00D12268" w:rsidP="00D12268">
      <w:r>
        <w:t xml:space="preserve">The base case of the economic evaluation is generated by a modelled economic evaluation using the evidence derived from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t xml:space="preserve"> and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t xml:space="preserve"> on the healthcare resource utilisation, time spent by healthcare professionals on each activity along with capital costs, and relevant healthcare costs in the Australian healthcare setting, and where available, other Australian parameters. Furthermore, the economic model included costs of treatment related to acute and late gastrointestinal (GI) and genitourinary (GU) toxicity in prostate cancer. The rates of different grades of toxicity related to prostate cancer for MR-IGRT and CBCT-IGRT are provided in </w:t>
      </w:r>
      <w:r>
        <w:fldChar w:fldCharType="begin"/>
      </w:r>
      <w:r>
        <w:instrText xml:space="preserve"> REF _Ref55823918 \h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fldChar w:fldCharType="separate"/>
      </w:r>
      <w:r w:rsidR="00451350" w:rsidRPr="00E86441">
        <w:t xml:space="preserve">Table </w:t>
      </w:r>
      <w:r w:rsidR="00451350">
        <w:rPr>
          <w:noProof/>
        </w:rPr>
        <w:t>21</w:t>
      </w:r>
      <w:r>
        <w:fldChar w:fldCharType="end"/>
      </w:r>
      <w:r>
        <w:t xml:space="preserve"> to which relevant treatment costs were applied.</w:t>
      </w:r>
    </w:p>
    <w:p w14:paraId="19BBAFA7" w14:textId="77777777" w:rsidR="00D12268" w:rsidRPr="000B75AA" w:rsidRDefault="00D12268" w:rsidP="00D12268">
      <w:pPr>
        <w:pStyle w:val="Heading2"/>
        <w:numPr>
          <w:ilvl w:val="2"/>
          <w:numId w:val="28"/>
        </w:numPr>
      </w:pPr>
      <w:bookmarkStart w:id="454" w:name="_Toc59018788"/>
      <w:bookmarkStart w:id="455" w:name="_Toc59020332"/>
      <w:bookmarkStart w:id="456" w:name="_Toc59439554"/>
      <w:bookmarkStart w:id="457" w:name="_Toc89857826"/>
      <w:bookmarkEnd w:id="452"/>
      <w:r>
        <w:t>Applicability translation issues</w:t>
      </w:r>
      <w:bookmarkEnd w:id="453"/>
      <w:bookmarkEnd w:id="454"/>
      <w:bookmarkEnd w:id="455"/>
      <w:bookmarkEnd w:id="456"/>
      <w:bookmarkEnd w:id="457"/>
    </w:p>
    <w:p w14:paraId="504E4E31" w14:textId="77777777" w:rsidR="00D12268" w:rsidRDefault="00D12268" w:rsidP="00D12268">
      <w:r>
        <w:t xml:space="preserve">The patient population for whom public funding of the proposed medical service is intended includes patients with cancer who undergo external beam radiation therapy (EBRT). </w:t>
      </w:r>
    </w:p>
    <w:p w14:paraId="671A944D" w14:textId="0694145D" w:rsidR="00D12268" w:rsidRDefault="00D12268" w:rsidP="00D12268">
      <w:r>
        <w:t xml:space="preserve">In this assessment, </w:t>
      </w:r>
      <w:r w:rsidR="009F649D">
        <w:t>the</w:t>
      </w:r>
      <w:r>
        <w:t xml:space="preserve"> cost of delivering 5 fractions MR-IGRT and CBCT-IGRT </w:t>
      </w:r>
      <w:r w:rsidR="009F649D">
        <w:t xml:space="preserve">was used in the model </w:t>
      </w:r>
      <w:r>
        <w:t xml:space="preserve">and adverse event modelling for prostate cancer patients. </w:t>
      </w:r>
      <w:r w:rsidR="00574297">
        <w:t xml:space="preserve">A search of the </w:t>
      </w:r>
      <w:r>
        <w:t>economic literature</w:t>
      </w:r>
      <w:r w:rsidR="0020368C">
        <w:t xml:space="preserve"> was unsuccessful in identifying,</w:t>
      </w:r>
      <w:r>
        <w:t xml:space="preserve"> in the Australian setting</w:t>
      </w:r>
      <w:r w:rsidR="0020368C">
        <w:t>,</w:t>
      </w:r>
      <w:r>
        <w:t xml:space="preserve"> </w:t>
      </w:r>
      <w:r w:rsidR="0013216A">
        <w:t>the resource use of</w:t>
      </w:r>
      <w:r>
        <w:t xml:space="preserve"> healthcare professionals required at each step of delivering MR-IGRT and CBCT-IGRT, time spent on each activity, and relevant healthcare resources required to estimate costs. </w:t>
      </w:r>
      <w:r w:rsidR="00EB584C">
        <w:t xml:space="preserve">From our literature search, </w:t>
      </w:r>
      <w:r>
        <w:t xml:space="preserve">two US based studies </w:t>
      </w:r>
      <w:r w:rsidR="0013216A">
        <w:t>were identified</w:t>
      </w:r>
      <w:r w:rsidR="00054F0C">
        <w:t>,</w:t>
      </w:r>
      <w:r w:rsidR="0013216A">
        <w:t xml:space="preserve"> </w:t>
      </w:r>
      <w:r>
        <w:t>conducted in prostate cancer and hepatocellular carcinoma patients</w:t>
      </w:r>
      <w:r w:rsidR="00054F0C">
        <w:t>,</w:t>
      </w:r>
      <w:r>
        <w:t xml:space="preserve"> relevant to this assessment. While </w:t>
      </w:r>
      <w:r w:rsidR="00E34E2A">
        <w:t>from</w:t>
      </w:r>
      <w:r>
        <w:t xml:space="preserve"> the literature </w:t>
      </w:r>
      <w:r w:rsidR="00E34E2A">
        <w:t xml:space="preserve">search, </w:t>
      </w:r>
      <w:r>
        <w:t xml:space="preserve">healthcare resources required </w:t>
      </w:r>
      <w:r w:rsidR="002C3B9E">
        <w:t xml:space="preserve">for </w:t>
      </w:r>
      <w:r>
        <w:t xml:space="preserve">treating toxicity in prostate cancer patients </w:t>
      </w:r>
      <w:r w:rsidR="00747D54">
        <w:t xml:space="preserve">were </w:t>
      </w:r>
      <w:r>
        <w:t xml:space="preserve">available </w:t>
      </w:r>
      <w:r w:rsidR="000C77B0">
        <w:fldChar w:fldCharType="begin"/>
      </w:r>
      <w:r w:rsidR="000C77B0">
        <w:instrText xml:space="preserve"> ADDIN EN.CITE &lt;EndNote&gt;&lt;Cite&gt;&lt;Author&gt;Schumacher&lt;/Author&gt;&lt;Year&gt;2020&lt;/Year&gt;&lt;RecNum&gt;93&lt;/RecNum&gt;&lt;DisplayText&gt;(Schumacher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0C77B0">
        <w:fldChar w:fldCharType="separate"/>
      </w:r>
      <w:r w:rsidR="000C77B0">
        <w:rPr>
          <w:noProof/>
        </w:rPr>
        <w:t>(</w:t>
      </w:r>
      <w:hyperlink w:anchor="_ENREF_62" w:tooltip="Schumacher, 2020 #93" w:history="1">
        <w:r w:rsidR="008B6FC0">
          <w:rPr>
            <w:noProof/>
          </w:rPr>
          <w:t>Schumacher et al., 2020</w:t>
        </w:r>
      </w:hyperlink>
      <w:r w:rsidR="000C77B0">
        <w:rPr>
          <w:noProof/>
        </w:rPr>
        <w:t>)</w:t>
      </w:r>
      <w:r w:rsidR="000C77B0">
        <w:fldChar w:fldCharType="end"/>
      </w:r>
      <w:r>
        <w:t xml:space="preserve">, </w:t>
      </w:r>
      <w:r w:rsidR="00E9220C">
        <w:t xml:space="preserve">the DCAR did not identify </w:t>
      </w:r>
      <w:r>
        <w:t>resources required for treating toxicity related to hepatocellular carcinoma.</w:t>
      </w:r>
      <w:r w:rsidR="00221E38">
        <w:t xml:space="preserve"> The </w:t>
      </w:r>
      <w:r w:rsidR="00CB7B69">
        <w:t>amount of available</w:t>
      </w:r>
      <w:r w:rsidR="00C54EB9">
        <w:t xml:space="preserve"> identified</w:t>
      </w:r>
      <w:r w:rsidR="00CB7B69">
        <w:t xml:space="preserve"> evidence was discussed with the Department of Health and </w:t>
      </w:r>
      <w:r w:rsidR="00C54EB9">
        <w:t xml:space="preserve">it was </w:t>
      </w:r>
      <w:r>
        <w:t>agreed</w:t>
      </w:r>
      <w:r w:rsidR="00C54EB9">
        <w:t xml:space="preserve"> that the most pragmatic evaluation was</w:t>
      </w:r>
      <w:r>
        <w:t xml:space="preserve"> to provide a cost-minimisation analysis of MR-IGRT versus CBCT-</w:t>
      </w:r>
      <w:r w:rsidR="00236011">
        <w:t>IGRT</w:t>
      </w:r>
      <w:r w:rsidR="00257722">
        <w:t xml:space="preserve"> based on the two studies</w:t>
      </w:r>
      <w:r>
        <w:t xml:space="preserve"> </w:t>
      </w:r>
      <w:r w:rsidR="00236011">
        <w:t xml:space="preserve">along </w:t>
      </w:r>
      <w:r w:rsidR="00257722">
        <w:t xml:space="preserve">with </w:t>
      </w:r>
      <w:r w:rsidR="00236011">
        <w:t xml:space="preserve">economic </w:t>
      </w:r>
      <w:r w:rsidR="00257722">
        <w:t xml:space="preserve">modelling </w:t>
      </w:r>
      <w:r w:rsidR="00236011">
        <w:t xml:space="preserve">of </w:t>
      </w:r>
      <w:r w:rsidR="00257722">
        <w:t xml:space="preserve">adverse events </w:t>
      </w:r>
      <w:r>
        <w:t xml:space="preserve">in prostate cancer patients. </w:t>
      </w:r>
    </w:p>
    <w:p w14:paraId="01B83A66" w14:textId="51796173" w:rsidR="00D12268" w:rsidRDefault="00D12268" w:rsidP="00D12268">
      <w:r>
        <w:t xml:space="preserve">From the literature search,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t xml:space="preserve"> presented toxicity reduction required for MR-IGRT radiotherapy to be cost-effective in the treatment of localized prostate cancer compared with </w:t>
      </w:r>
      <w:r>
        <w:lastRenderedPageBreak/>
        <w:t xml:space="preserve">CBCT-guided radiation therapy conducted in the united states population. This study employed a markov model to simulate annual transitions between health states over 15 years after receiving prostate cancer treatment with CBCT-guided radiation therapy. The study by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t xml:space="preserve"> presented time-driven activity-based costing comparison of CBCT-guided radiation therapy versus MR-guided stereotactic body radiation therapy (SBRT) for patients with unresectable hepatocellular carcinoma as an example in the United States. </w:t>
      </w:r>
      <w:r w:rsidR="00CB065E">
        <w:t>T</w:t>
      </w:r>
      <w:r>
        <w:t xml:space="preserve">he estimates </w:t>
      </w:r>
      <w:r w:rsidR="00CB065E">
        <w:t xml:space="preserve">provided in </w:t>
      </w:r>
      <w:r>
        <w:t xml:space="preserve">these two studies </w:t>
      </w:r>
      <w:r w:rsidR="00F0419D">
        <w:t xml:space="preserve">were used </w:t>
      </w:r>
      <w:r>
        <w:t xml:space="preserve">to conduct the </w:t>
      </w:r>
      <w:r w:rsidR="00F0419D">
        <w:t>cost-minimisation analysis</w:t>
      </w:r>
      <w:r>
        <w:t xml:space="preserve">. This is a potential applicability issue considering the estimates reflect the clinical practice within the United </w:t>
      </w:r>
      <w:r w:rsidR="00DA07F7">
        <w:t>S</w:t>
      </w:r>
      <w:r>
        <w:t>tates, however, due to paucity of the evidence in the Australian setting, it was decided to use the evidence from these two studies. To reduce uncertainty, Australian specific costs of healthcare professionals involved</w:t>
      </w:r>
      <w:r w:rsidR="003C4E77">
        <w:t xml:space="preserve"> with SBRT was obtained</w:t>
      </w:r>
      <w:r>
        <w:t xml:space="preserve"> and multiplied them with time and probability estimate from these two studies to derive Australian specific cost of delivering MR-guided SBRT and CBCT-guided SBRT. </w:t>
      </w:r>
      <w:r w:rsidR="003C4E77">
        <w:t>A</w:t>
      </w:r>
      <w:r>
        <w:t xml:space="preserve"> range of one-way sensitivity analysis</w:t>
      </w:r>
      <w:r w:rsidR="00935790">
        <w:t xml:space="preserve"> were also conducted</w:t>
      </w:r>
      <w:r>
        <w:t xml:space="preserve"> in the economic section to reduce uncertainty.</w:t>
      </w:r>
    </w:p>
    <w:p w14:paraId="13A5082A" w14:textId="0375F2AE" w:rsidR="00D12268" w:rsidRDefault="00935790" w:rsidP="00D12268">
      <w:r w:rsidRPr="0030674B">
        <w:rPr>
          <w:rFonts w:asciiTheme="minorHAnsi" w:hAnsiTheme="minorHAnsi" w:cstheme="minorHAnsi"/>
        </w:rPr>
        <w:t xml:space="preserve">The </w:t>
      </w:r>
      <w:r w:rsidR="00061DC6" w:rsidRPr="0030674B">
        <w:rPr>
          <w:rFonts w:asciiTheme="minorHAnsi" w:hAnsiTheme="minorHAnsi" w:cstheme="minorHAnsi"/>
        </w:rPr>
        <w:t>economic evaluation</w:t>
      </w:r>
      <w:r w:rsidR="00D12268" w:rsidRPr="0030674B">
        <w:rPr>
          <w:rFonts w:asciiTheme="minorHAnsi" w:hAnsiTheme="minorHAnsi" w:cstheme="minorHAnsi"/>
        </w:rPr>
        <w:t xml:space="preserve"> assumed that radiation therapy will be delivered using 5 fractions SBRT, and derived costs of delivering </w:t>
      </w:r>
      <w:r w:rsidR="00061DC6" w:rsidRPr="00EB587C">
        <w:rPr>
          <w:rFonts w:asciiTheme="minorHAnsi" w:hAnsiTheme="minorHAnsi" w:cstheme="minorHAnsi"/>
        </w:rPr>
        <w:t xml:space="preserve">5-fractions </w:t>
      </w:r>
      <w:r w:rsidR="00D12268" w:rsidRPr="00EB587C">
        <w:rPr>
          <w:rFonts w:asciiTheme="minorHAnsi" w:hAnsiTheme="minorHAnsi" w:cstheme="minorHAnsi"/>
        </w:rPr>
        <w:t xml:space="preserve">MR-guided SBRT and CBCT-guided SBRT. </w:t>
      </w:r>
      <w:r w:rsidR="00D12268" w:rsidRPr="00F70799">
        <w:rPr>
          <w:rFonts w:asciiTheme="minorHAnsi" w:hAnsiTheme="minorHAnsi" w:cstheme="minorHAnsi"/>
        </w:rPr>
        <w:t>However, in the Australian setting, underlying radiation therapy could be delivered using different treatment</w:t>
      </w:r>
      <w:r w:rsidR="00061DC6" w:rsidRPr="00F70799">
        <w:rPr>
          <w:rFonts w:asciiTheme="minorHAnsi" w:hAnsiTheme="minorHAnsi" w:cstheme="minorHAnsi"/>
        </w:rPr>
        <w:t xml:space="preserve"> such as Intensity Modulated Radiation Therapy (IMRT). As such</w:t>
      </w:r>
      <w:r w:rsidR="00D12268" w:rsidRPr="00F70799">
        <w:rPr>
          <w:rFonts w:asciiTheme="minorHAnsi" w:hAnsiTheme="minorHAnsi" w:cstheme="minorHAnsi"/>
        </w:rPr>
        <w:t xml:space="preserve"> the </w:t>
      </w:r>
      <w:r w:rsidR="00061DC6" w:rsidRPr="00F70799">
        <w:rPr>
          <w:rFonts w:asciiTheme="minorHAnsi" w:hAnsiTheme="minorHAnsi" w:cstheme="minorHAnsi"/>
        </w:rPr>
        <w:t xml:space="preserve">radiation dose, </w:t>
      </w:r>
      <w:r w:rsidR="00D12268" w:rsidRPr="00F70799">
        <w:rPr>
          <w:rFonts w:asciiTheme="minorHAnsi" w:hAnsiTheme="minorHAnsi" w:cstheme="minorHAnsi"/>
        </w:rPr>
        <w:t xml:space="preserve">number of fractions, </w:t>
      </w:r>
      <w:r w:rsidR="00061DC6" w:rsidRPr="00F70799">
        <w:rPr>
          <w:rFonts w:asciiTheme="minorHAnsi" w:hAnsiTheme="minorHAnsi" w:cstheme="minorHAnsi"/>
        </w:rPr>
        <w:t xml:space="preserve">and </w:t>
      </w:r>
      <w:r w:rsidR="00D12268" w:rsidRPr="00F70799">
        <w:rPr>
          <w:rFonts w:asciiTheme="minorHAnsi" w:hAnsiTheme="minorHAnsi" w:cstheme="minorHAnsi"/>
        </w:rPr>
        <w:t>healthcare resources</w:t>
      </w:r>
      <w:r w:rsidR="00061DC6" w:rsidRPr="00F70799">
        <w:rPr>
          <w:rFonts w:asciiTheme="minorHAnsi" w:hAnsiTheme="minorHAnsi" w:cstheme="minorHAnsi"/>
        </w:rPr>
        <w:t xml:space="preserve"> utilisation is </w:t>
      </w:r>
      <w:r w:rsidR="00D12268" w:rsidRPr="00F70799">
        <w:rPr>
          <w:rFonts w:asciiTheme="minorHAnsi" w:hAnsiTheme="minorHAnsi" w:cstheme="minorHAnsi"/>
        </w:rPr>
        <w:t xml:space="preserve">likely to differ </w:t>
      </w:r>
      <w:r w:rsidR="00061DC6" w:rsidRPr="00F70799">
        <w:rPr>
          <w:rFonts w:asciiTheme="minorHAnsi" w:hAnsiTheme="minorHAnsi" w:cstheme="minorHAnsi"/>
        </w:rPr>
        <w:t xml:space="preserve">based on the radiation treatment and can impact the </w:t>
      </w:r>
      <w:r w:rsidR="00D12268" w:rsidRPr="00F70799">
        <w:rPr>
          <w:rFonts w:asciiTheme="minorHAnsi" w:hAnsiTheme="minorHAnsi" w:cstheme="minorHAnsi"/>
        </w:rPr>
        <w:t xml:space="preserve">cost. </w:t>
      </w:r>
      <w:r w:rsidR="00061DC6" w:rsidRPr="00F70799">
        <w:rPr>
          <w:rFonts w:asciiTheme="minorHAnsi" w:hAnsiTheme="minorHAnsi" w:cstheme="minorHAnsi"/>
        </w:rPr>
        <w:t>Furthermore</w:t>
      </w:r>
      <w:r w:rsidR="00D12268" w:rsidRPr="00F70799">
        <w:rPr>
          <w:rFonts w:asciiTheme="minorHAnsi" w:hAnsiTheme="minorHAnsi" w:cstheme="minorHAnsi"/>
        </w:rPr>
        <w:t xml:space="preserve">, depending on the type of cancer and stage, the requirements are likely to differ and </w:t>
      </w:r>
      <w:r w:rsidR="00061DC6" w:rsidRPr="00F70799">
        <w:rPr>
          <w:rFonts w:asciiTheme="minorHAnsi" w:hAnsiTheme="minorHAnsi" w:cstheme="minorHAnsi"/>
        </w:rPr>
        <w:t xml:space="preserve">impact </w:t>
      </w:r>
      <w:r w:rsidR="00D12268" w:rsidRPr="00F70799">
        <w:rPr>
          <w:rFonts w:asciiTheme="minorHAnsi" w:hAnsiTheme="minorHAnsi" w:cstheme="minorHAnsi"/>
        </w:rPr>
        <w:t xml:space="preserve">the </w:t>
      </w:r>
      <w:r w:rsidR="00061DC6" w:rsidRPr="00F70799">
        <w:rPr>
          <w:rFonts w:asciiTheme="minorHAnsi" w:hAnsiTheme="minorHAnsi" w:cstheme="minorHAnsi"/>
        </w:rPr>
        <w:t>overall cost.</w:t>
      </w:r>
      <w:r w:rsidR="00D12268" w:rsidRPr="00F70799">
        <w:rPr>
          <w:rFonts w:asciiTheme="minorHAnsi" w:hAnsiTheme="minorHAnsi" w:cstheme="minorHAnsi"/>
        </w:rPr>
        <w:t xml:space="preserve"> </w:t>
      </w:r>
      <w:r w:rsidR="00EE2263">
        <w:rPr>
          <w:rFonts w:asciiTheme="minorHAnsi" w:hAnsiTheme="minorHAnsi" w:cstheme="minorHAnsi"/>
        </w:rPr>
        <w:t>This is a potential applicability issue</w:t>
      </w:r>
      <w:r w:rsidR="001971A8">
        <w:rPr>
          <w:rFonts w:asciiTheme="minorHAnsi" w:hAnsiTheme="minorHAnsi" w:cstheme="minorHAnsi"/>
        </w:rPr>
        <w:t xml:space="preserve">, however, due to paucity in the evidence, it was decided to use the </w:t>
      </w:r>
      <w:r w:rsidR="0088450A">
        <w:rPr>
          <w:rFonts w:asciiTheme="minorHAnsi" w:hAnsiTheme="minorHAnsi" w:cstheme="minorHAnsi"/>
        </w:rPr>
        <w:t>evidence available from the literature identified.</w:t>
      </w:r>
      <w:r w:rsidR="00EE2263">
        <w:rPr>
          <w:rFonts w:asciiTheme="minorHAnsi" w:hAnsiTheme="minorHAnsi" w:cstheme="minorHAnsi"/>
        </w:rPr>
        <w:t xml:space="preserve"> </w:t>
      </w:r>
      <w:r w:rsidR="00784C63">
        <w:t xml:space="preserve"> Hence the </w:t>
      </w:r>
      <w:r w:rsidR="00B74A1A">
        <w:t xml:space="preserve">assumption </w:t>
      </w:r>
      <w:r w:rsidR="00784C63">
        <w:t xml:space="preserve">of 5 fractions SBRT </w:t>
      </w:r>
      <w:r w:rsidR="00B74A1A">
        <w:t xml:space="preserve">was made to reflect the radiation therapy used in both studies and to main consistency in estimating the cost of MR-IGRT and CBCT-IGRT. </w:t>
      </w:r>
      <w:r w:rsidR="00D12268">
        <w:t>To reduce uncertainty, one-way sensitivity analysis on the number of fractions delivered</w:t>
      </w:r>
      <w:r w:rsidR="00F12897">
        <w:t xml:space="preserve"> using CBCT-IGRT</w:t>
      </w:r>
      <w:r w:rsidR="00D12268">
        <w:t xml:space="preserve"> </w:t>
      </w:r>
      <w:r w:rsidR="00644DCC">
        <w:t xml:space="preserve">alongside other key variables </w:t>
      </w:r>
      <w:r w:rsidR="00D12268">
        <w:t>within the economic section</w:t>
      </w:r>
      <w:r>
        <w:t xml:space="preserve"> were included</w:t>
      </w:r>
      <w:r w:rsidR="00D12268">
        <w:t>.</w:t>
      </w:r>
    </w:p>
    <w:p w14:paraId="3D36F413" w14:textId="5558788B" w:rsidR="00D12268" w:rsidRDefault="00D12268" w:rsidP="00D12268">
      <w:r>
        <w:t xml:space="preserve">The cost-minimisation model comprised of modelling acute and late GI/GU toxicity in prostate cancer patients. The rates of different grades of toxicity related to prostate cancer were based on naïve comparison across different studies presented in </w:t>
      </w:r>
      <w:r>
        <w:fldChar w:fldCharType="begin"/>
      </w:r>
      <w:r>
        <w:instrText xml:space="preserve"> REF _Ref55823918 \h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fldChar w:fldCharType="separate"/>
      </w:r>
      <w:r w:rsidR="00451350" w:rsidRPr="00E86441">
        <w:t xml:space="preserve">Table </w:t>
      </w:r>
      <w:r w:rsidR="00451350">
        <w:rPr>
          <w:noProof/>
        </w:rPr>
        <w:t>21</w:t>
      </w:r>
      <w:r>
        <w:fldChar w:fldCharType="end"/>
      </w:r>
      <w:r>
        <w:t xml:space="preserve">. Relevant treatment costs were applied to the toxicity rates provided to calculate the cost of toxicity associated with MR-IGRT and CBCT-IGRT. This is a potential applicability issue since these studies were conducted internationally, </w:t>
      </w:r>
      <w:r w:rsidR="003A1962">
        <w:t xml:space="preserve">had </w:t>
      </w:r>
      <w:r w:rsidR="00F90E1A">
        <w:t xml:space="preserve">methodological weaknesses, heterogeneity in the </w:t>
      </w:r>
      <w:r w:rsidR="005340B7">
        <w:t>patient population included.</w:t>
      </w:r>
      <w:r w:rsidR="005A5BBB">
        <w:t xml:space="preserve"> H</w:t>
      </w:r>
      <w:r>
        <w:t xml:space="preserve">owever, </w:t>
      </w:r>
      <w:r w:rsidR="007701D7">
        <w:t>for the economic evaluation</w:t>
      </w:r>
      <w:r>
        <w:t>,</w:t>
      </w:r>
      <w:r w:rsidR="00425C09">
        <w:t xml:space="preserve"> </w:t>
      </w:r>
      <w:r>
        <w:t>the</w:t>
      </w:r>
      <w:r w:rsidR="00CF5D84">
        <w:t>se stud</w:t>
      </w:r>
      <w:r w:rsidR="009E2835">
        <w:t>ies</w:t>
      </w:r>
      <w:r>
        <w:t xml:space="preserve"> were the best source of available evidence on prostate cancer related toxicities post MR-IGRT and CBCT-IGRT. To reduce uncertainty,</w:t>
      </w:r>
      <w:r w:rsidR="00D33D66">
        <w:t xml:space="preserve"> a</w:t>
      </w:r>
      <w:r>
        <w:t xml:space="preserve"> one-way sensitivity analysis on the toxicity rates </w:t>
      </w:r>
      <w:r w:rsidR="00D33D66">
        <w:t xml:space="preserve">was included </w:t>
      </w:r>
      <w:r>
        <w:t>within the economic section.</w:t>
      </w:r>
    </w:p>
    <w:p w14:paraId="003E4BF5" w14:textId="77777777" w:rsidR="00D12268" w:rsidRDefault="00D12268" w:rsidP="00D12268">
      <w:pPr>
        <w:pStyle w:val="Heading2"/>
        <w:numPr>
          <w:ilvl w:val="2"/>
          <w:numId w:val="28"/>
        </w:numPr>
      </w:pPr>
      <w:bookmarkStart w:id="458" w:name="_Toc426968185"/>
      <w:bookmarkStart w:id="459" w:name="_Toc59018789"/>
      <w:bookmarkStart w:id="460" w:name="_Toc59020333"/>
      <w:bookmarkStart w:id="461" w:name="_Toc59439555"/>
      <w:bookmarkStart w:id="462" w:name="_Toc89857827"/>
      <w:r>
        <w:t>Extrapolation translation issues</w:t>
      </w:r>
      <w:bookmarkEnd w:id="458"/>
      <w:bookmarkEnd w:id="459"/>
      <w:bookmarkEnd w:id="460"/>
      <w:bookmarkEnd w:id="461"/>
      <w:bookmarkEnd w:id="462"/>
    </w:p>
    <w:p w14:paraId="70F49B51" w14:textId="77777777" w:rsidR="00D12268" w:rsidRDefault="00D12268" w:rsidP="00D12268">
      <w:r>
        <w:t>No data was extrapolated in the model and thus no extrapolation translation issues were identified.</w:t>
      </w:r>
    </w:p>
    <w:p w14:paraId="72F75DCC" w14:textId="77777777" w:rsidR="00D12268" w:rsidRDefault="00D12268" w:rsidP="00D12268">
      <w:pPr>
        <w:pStyle w:val="Heading2"/>
        <w:numPr>
          <w:ilvl w:val="2"/>
          <w:numId w:val="28"/>
        </w:numPr>
      </w:pPr>
      <w:bookmarkStart w:id="463" w:name="_Toc426968186"/>
      <w:bookmarkStart w:id="464" w:name="_Toc59018790"/>
      <w:bookmarkStart w:id="465" w:name="_Toc59020334"/>
      <w:bookmarkStart w:id="466" w:name="_Toc59439556"/>
      <w:bookmarkStart w:id="467" w:name="_Toc89857828"/>
      <w:r>
        <w:lastRenderedPageBreak/>
        <w:t>Transformation issues</w:t>
      </w:r>
      <w:bookmarkEnd w:id="463"/>
      <w:bookmarkEnd w:id="464"/>
      <w:bookmarkEnd w:id="465"/>
      <w:bookmarkEnd w:id="466"/>
      <w:bookmarkEnd w:id="467"/>
    </w:p>
    <w:p w14:paraId="16D64E94" w14:textId="77777777" w:rsidR="00D12268" w:rsidRDefault="00D12268" w:rsidP="00D12268">
      <w:r>
        <w:t>No data was transformed in the model and thus no transformation translation issues were identified.</w:t>
      </w:r>
    </w:p>
    <w:p w14:paraId="369133CC" w14:textId="77777777" w:rsidR="00D12268" w:rsidRDefault="00D12268" w:rsidP="00D12268">
      <w:pPr>
        <w:pStyle w:val="Heading2"/>
        <w:numPr>
          <w:ilvl w:val="2"/>
          <w:numId w:val="28"/>
        </w:numPr>
      </w:pPr>
      <w:bookmarkStart w:id="468" w:name="_Toc426968187"/>
      <w:bookmarkStart w:id="469" w:name="_Toc59018791"/>
      <w:bookmarkStart w:id="470" w:name="_Toc59020335"/>
      <w:bookmarkStart w:id="471" w:name="_Toc59439557"/>
      <w:bookmarkStart w:id="472" w:name="_Toc89857829"/>
      <w:r>
        <w:t>Any other translation issues</w:t>
      </w:r>
      <w:bookmarkEnd w:id="468"/>
      <w:bookmarkEnd w:id="469"/>
      <w:bookmarkEnd w:id="470"/>
      <w:bookmarkEnd w:id="471"/>
      <w:bookmarkEnd w:id="472"/>
    </w:p>
    <w:p w14:paraId="7B7CDD24" w14:textId="77777777" w:rsidR="00D12268" w:rsidRPr="005C7403" w:rsidRDefault="00D12268" w:rsidP="00D12268">
      <w:r>
        <w:t>No other translation issues were identified.</w:t>
      </w:r>
    </w:p>
    <w:p w14:paraId="003CAB96" w14:textId="77777777" w:rsidR="00D12268" w:rsidRPr="000A546E" w:rsidRDefault="00D12268" w:rsidP="00D12268">
      <w:pPr>
        <w:pStyle w:val="Tablenotes0"/>
      </w:pPr>
    </w:p>
    <w:p w14:paraId="328F568F" w14:textId="77777777" w:rsidR="00D12268" w:rsidRPr="00183E4D" w:rsidRDefault="00D12268" w:rsidP="00D12268">
      <w:pPr>
        <w:pStyle w:val="Heading1"/>
        <w:jc w:val="both"/>
      </w:pPr>
      <w:bookmarkStart w:id="473" w:name="_Toc379118086"/>
      <w:bookmarkStart w:id="474" w:name="_Toc381796473"/>
      <w:bookmarkStart w:id="475" w:name="_Toc59018792"/>
      <w:bookmarkStart w:id="476" w:name="_Toc59020336"/>
      <w:bookmarkStart w:id="477" w:name="_Toc59439558"/>
      <w:bookmarkStart w:id="478" w:name="_Toc89857830"/>
      <w:r w:rsidRPr="00183E4D">
        <w:lastRenderedPageBreak/>
        <w:t>Section D</w:t>
      </w:r>
      <w:r w:rsidRPr="00183E4D">
        <w:tab/>
        <w:t>Economic Evaluation</w:t>
      </w:r>
      <w:bookmarkEnd w:id="473"/>
      <w:bookmarkEnd w:id="474"/>
      <w:bookmarkEnd w:id="475"/>
      <w:bookmarkEnd w:id="476"/>
      <w:bookmarkEnd w:id="477"/>
      <w:bookmarkEnd w:id="478"/>
    </w:p>
    <w:p w14:paraId="3FF88737" w14:textId="77777777" w:rsidR="00D12268" w:rsidRPr="00183E4D" w:rsidRDefault="00D12268" w:rsidP="00D12268">
      <w:pPr>
        <w:pStyle w:val="Heading2"/>
        <w:numPr>
          <w:ilvl w:val="3"/>
          <w:numId w:val="10"/>
        </w:numPr>
      </w:pPr>
      <w:bookmarkStart w:id="479" w:name="_Toc381796475"/>
      <w:bookmarkStart w:id="480" w:name="_Toc59018793"/>
      <w:bookmarkStart w:id="481" w:name="_Toc59020337"/>
      <w:bookmarkStart w:id="482" w:name="_Toc59439559"/>
      <w:bookmarkStart w:id="483" w:name="_Toc89857831"/>
      <w:r w:rsidRPr="00183E4D">
        <w:t>Overview</w:t>
      </w:r>
      <w:bookmarkEnd w:id="479"/>
      <w:bookmarkEnd w:id="480"/>
      <w:bookmarkEnd w:id="481"/>
      <w:bookmarkEnd w:id="482"/>
      <w:bookmarkEnd w:id="483"/>
    </w:p>
    <w:p w14:paraId="3C6813FC" w14:textId="5E12C469" w:rsidR="00D12268" w:rsidRPr="009929BE" w:rsidRDefault="00D12268" w:rsidP="00D12268">
      <w:pPr>
        <w:jc w:val="both"/>
      </w:pPr>
      <w:bookmarkStart w:id="484" w:name="_Ref395195344"/>
      <w:r w:rsidRPr="009929BE">
        <w:t xml:space="preserve">The clinical evaluation suggested that, relative to </w:t>
      </w:r>
      <w:r>
        <w:t>CBCT-guided radiation therapy</w:t>
      </w:r>
      <w:r w:rsidRPr="009929BE">
        <w:t xml:space="preserve">, </w:t>
      </w:r>
      <w:r>
        <w:t xml:space="preserve">MR-IGRT </w:t>
      </w:r>
      <w:r w:rsidRPr="009929BE">
        <w:t xml:space="preserve">has </w:t>
      </w:r>
      <w:r>
        <w:t>uncertain</w:t>
      </w:r>
      <w:r w:rsidRPr="009929BE">
        <w:t xml:space="preserve"> safety </w:t>
      </w:r>
      <w:r w:rsidRPr="00D92BA3">
        <w:t xml:space="preserve">and </w:t>
      </w:r>
      <w:r>
        <w:t>uncertain</w:t>
      </w:r>
      <w:r w:rsidRPr="009929BE">
        <w:t xml:space="preserve"> effectiveness</w:t>
      </w:r>
      <w:r>
        <w:t xml:space="preserve"> based on the evidence profile given in </w:t>
      </w:r>
      <w:r>
        <w:fldChar w:fldCharType="begin"/>
      </w:r>
      <w:r>
        <w:instrText xml:space="preserve"> REF _Ref56002451 \h </w:instrText>
      </w:r>
      <w:r>
        <w:fldChar w:fldCharType="separate"/>
      </w:r>
      <w:r w:rsidR="00451350" w:rsidRPr="000048DE">
        <w:t xml:space="preserve">Table </w:t>
      </w:r>
      <w:r w:rsidR="00451350">
        <w:rPr>
          <w:noProof/>
        </w:rPr>
        <w:t>41</w:t>
      </w:r>
      <w:r>
        <w:fldChar w:fldCharType="end"/>
      </w:r>
      <w:r w:rsidRPr="00EE1523">
        <w:t xml:space="preserve">. </w:t>
      </w:r>
      <w:r w:rsidRPr="00EE1523">
        <w:fldChar w:fldCharType="begin"/>
      </w:r>
      <w:r w:rsidRPr="00EE1523">
        <w:instrText xml:space="preserve"> REF _Ref58336196 \h </w:instrText>
      </w:r>
      <w:r>
        <w:instrText xml:space="preserve"> \* MERGEFORMAT </w:instrText>
      </w:r>
      <w:r w:rsidRPr="00EE1523">
        <w:fldChar w:fldCharType="separate"/>
      </w:r>
      <w:r w:rsidR="00451350" w:rsidRPr="00416D87">
        <w:t xml:space="preserve">Table </w:t>
      </w:r>
      <w:r w:rsidR="00451350">
        <w:rPr>
          <w:noProof/>
        </w:rPr>
        <w:t>42</w:t>
      </w:r>
      <w:r w:rsidRPr="00EE1523">
        <w:fldChar w:fldCharType="end"/>
      </w:r>
      <w:r>
        <w:t xml:space="preserve"> sets out the framework that was used to classify the clinical evidence in </w:t>
      </w:r>
      <w:r w:rsidR="0012050E">
        <w:t>Section B</w:t>
      </w:r>
      <w:r>
        <w:t>so that a decision could be made about the type of economic analysis to undertake (if any) in this Section.</w:t>
      </w:r>
    </w:p>
    <w:p w14:paraId="7FD37D90" w14:textId="0F5A9E68" w:rsidR="00D12268" w:rsidRDefault="00D12268" w:rsidP="00D12268">
      <w:pPr>
        <w:pStyle w:val="Caption"/>
        <w:keepNext/>
        <w:ind w:left="1134" w:hanging="1134"/>
      </w:pPr>
      <w:bookmarkStart w:id="485" w:name="_Ref58336196"/>
      <w:bookmarkStart w:id="486" w:name="_Toc89857913"/>
      <w:r w:rsidRPr="00416D87">
        <w:t xml:space="preserve">Table </w:t>
      </w:r>
      <w:r w:rsidR="00211285">
        <w:fldChar w:fldCharType="begin"/>
      </w:r>
      <w:r w:rsidR="00211285">
        <w:instrText xml:space="preserve"> SEQ Table \* ARABIC </w:instrText>
      </w:r>
      <w:r w:rsidR="00211285">
        <w:fldChar w:fldCharType="separate"/>
      </w:r>
      <w:r w:rsidR="00451350">
        <w:rPr>
          <w:noProof/>
        </w:rPr>
        <w:t>42</w:t>
      </w:r>
      <w:r w:rsidR="00211285">
        <w:rPr>
          <w:noProof/>
        </w:rPr>
        <w:fldChar w:fldCharType="end"/>
      </w:r>
      <w:bookmarkEnd w:id="484"/>
      <w:bookmarkEnd w:id="485"/>
      <w:r w:rsidRPr="00416D87">
        <w:tab/>
        <w:t>Classification</w:t>
      </w:r>
      <w:r>
        <w:t xml:space="preserve"> of the </w:t>
      </w:r>
      <w:r w:rsidRPr="002E2A40">
        <w:t>comparative effectiveness and safety</w:t>
      </w:r>
      <w:r w:rsidRPr="00982928">
        <w:t xml:space="preserve"> </w:t>
      </w:r>
      <w:r>
        <w:t>of the proposed therapeutic medical service compared with its main comparator and guide to the suitable type of economic evaluation</w:t>
      </w:r>
      <w:bookmarkEnd w:id="486"/>
    </w:p>
    <w:tbl>
      <w:tblPr>
        <w:tblStyle w:val="TableGrid1"/>
        <w:tblW w:w="5000" w:type="pct"/>
        <w:tblCellMar>
          <w:left w:w="115" w:type="dxa"/>
          <w:right w:w="115" w:type="dxa"/>
        </w:tblCellMar>
        <w:tblLook w:val="01E0" w:firstRow="1" w:lastRow="1" w:firstColumn="1" w:lastColumn="1" w:noHBand="0" w:noVBand="0"/>
        <w:tblCaption w:val="Table 42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1944"/>
        <w:gridCol w:w="1841"/>
        <w:gridCol w:w="2153"/>
        <w:gridCol w:w="1690"/>
        <w:gridCol w:w="1388"/>
      </w:tblGrid>
      <w:tr w:rsidR="00D12268" w14:paraId="78073F6D" w14:textId="77777777" w:rsidTr="00556AB6">
        <w:trPr>
          <w:cnfStyle w:val="100000000000" w:firstRow="1" w:lastRow="0" w:firstColumn="0" w:lastColumn="0" w:oddVBand="0" w:evenVBand="0" w:oddHBand="0" w:evenHBand="0" w:firstRowFirstColumn="0" w:firstRowLastColumn="0" w:lastRowFirstColumn="0" w:lastRowLastColumn="0"/>
          <w:cantSplit/>
        </w:trPr>
        <w:tc>
          <w:tcPr>
            <w:tcW w:w="1078" w:type="pct"/>
            <w:tcBorders>
              <w:top w:val="single" w:sz="4" w:space="0" w:color="auto"/>
              <w:left w:val="single" w:sz="4" w:space="0" w:color="auto"/>
              <w:right w:val="single" w:sz="4" w:space="0" w:color="auto"/>
            </w:tcBorders>
          </w:tcPr>
          <w:p w14:paraId="6F850767" w14:textId="77777777" w:rsidR="00D12268" w:rsidRDefault="00D12268" w:rsidP="00556AB6">
            <w:pPr>
              <w:pStyle w:val="TableHeading"/>
            </w:pPr>
            <w:r>
              <w:t>Comparative safety</w:t>
            </w:r>
          </w:p>
        </w:tc>
        <w:tc>
          <w:tcPr>
            <w:tcW w:w="1021" w:type="pct"/>
            <w:tcBorders>
              <w:top w:val="single" w:sz="4" w:space="0" w:color="auto"/>
              <w:left w:val="single" w:sz="4" w:space="0" w:color="auto"/>
              <w:bottom w:val="single" w:sz="4" w:space="0" w:color="auto"/>
              <w:right w:val="nil"/>
            </w:tcBorders>
          </w:tcPr>
          <w:p w14:paraId="5D79F1A1" w14:textId="77777777" w:rsidR="00D12268" w:rsidRDefault="00D12268" w:rsidP="006D1459">
            <w:pPr>
              <w:pStyle w:val="TableHeading"/>
            </w:pPr>
          </w:p>
        </w:tc>
        <w:tc>
          <w:tcPr>
            <w:tcW w:w="1194" w:type="pct"/>
            <w:tcBorders>
              <w:top w:val="single" w:sz="4" w:space="0" w:color="auto"/>
              <w:left w:val="nil"/>
              <w:bottom w:val="single" w:sz="4" w:space="0" w:color="auto"/>
            </w:tcBorders>
          </w:tcPr>
          <w:p w14:paraId="2A378707" w14:textId="77777777" w:rsidR="00D12268" w:rsidRDefault="00D12268" w:rsidP="006D1459">
            <w:pPr>
              <w:pStyle w:val="TableHeading"/>
            </w:pPr>
            <w:r>
              <w:t>Comparative effectiveness</w:t>
            </w:r>
          </w:p>
        </w:tc>
        <w:tc>
          <w:tcPr>
            <w:tcW w:w="937" w:type="pct"/>
            <w:tcBorders>
              <w:top w:val="single" w:sz="4" w:space="0" w:color="auto"/>
              <w:left w:val="nil"/>
              <w:bottom w:val="single" w:sz="4" w:space="0" w:color="auto"/>
            </w:tcBorders>
          </w:tcPr>
          <w:p w14:paraId="2F43F3B5" w14:textId="77777777" w:rsidR="00D12268" w:rsidRDefault="00D12268" w:rsidP="006D1459">
            <w:pPr>
              <w:pStyle w:val="TableHeading"/>
            </w:pPr>
          </w:p>
        </w:tc>
        <w:tc>
          <w:tcPr>
            <w:tcW w:w="770" w:type="pct"/>
            <w:tcBorders>
              <w:top w:val="single" w:sz="4" w:space="0" w:color="auto"/>
              <w:left w:val="nil"/>
              <w:bottom w:val="single" w:sz="4" w:space="0" w:color="auto"/>
              <w:right w:val="single" w:sz="4" w:space="0" w:color="auto"/>
            </w:tcBorders>
          </w:tcPr>
          <w:p w14:paraId="5CE92A43" w14:textId="77777777" w:rsidR="00D12268" w:rsidRDefault="00D12268" w:rsidP="006D1459">
            <w:pPr>
              <w:pStyle w:val="TableHeading"/>
            </w:pPr>
          </w:p>
        </w:tc>
      </w:tr>
      <w:tr w:rsidR="00D12268" w14:paraId="3E62EE29" w14:textId="77777777" w:rsidTr="00556AB6">
        <w:trPr>
          <w:cantSplit/>
        </w:trPr>
        <w:tc>
          <w:tcPr>
            <w:tcW w:w="1078" w:type="pct"/>
            <w:tcBorders>
              <w:left w:val="single" w:sz="4" w:space="0" w:color="auto"/>
              <w:bottom w:val="single" w:sz="4" w:space="0" w:color="auto"/>
              <w:right w:val="single" w:sz="4" w:space="0" w:color="auto"/>
            </w:tcBorders>
          </w:tcPr>
          <w:p w14:paraId="491938CD" w14:textId="4693B551" w:rsidR="00D12268" w:rsidRDefault="00D12268" w:rsidP="00556AB6">
            <w:pPr>
              <w:pStyle w:val="TableHeading"/>
            </w:pPr>
          </w:p>
        </w:tc>
        <w:tc>
          <w:tcPr>
            <w:tcW w:w="1021" w:type="pct"/>
            <w:tcBorders>
              <w:left w:val="single" w:sz="4" w:space="0" w:color="auto"/>
              <w:bottom w:val="single" w:sz="4" w:space="0" w:color="auto"/>
              <w:right w:val="single" w:sz="4" w:space="0" w:color="auto"/>
            </w:tcBorders>
          </w:tcPr>
          <w:p w14:paraId="67A4E238" w14:textId="77777777" w:rsidR="00D12268" w:rsidRDefault="00D12268" w:rsidP="006D1459">
            <w:pPr>
              <w:pStyle w:val="TableHeading"/>
            </w:pPr>
            <w:r>
              <w:t>Inferior</w:t>
            </w:r>
          </w:p>
        </w:tc>
        <w:tc>
          <w:tcPr>
            <w:tcW w:w="1194" w:type="pct"/>
            <w:tcBorders>
              <w:top w:val="single" w:sz="4" w:space="0" w:color="auto"/>
              <w:left w:val="single" w:sz="4" w:space="0" w:color="auto"/>
              <w:bottom w:val="single" w:sz="4" w:space="0" w:color="auto"/>
              <w:right w:val="single" w:sz="4" w:space="0" w:color="auto"/>
            </w:tcBorders>
          </w:tcPr>
          <w:p w14:paraId="3B875EB4" w14:textId="77777777" w:rsidR="00D12268" w:rsidRDefault="00D12268" w:rsidP="006D1459">
            <w:pPr>
              <w:pStyle w:val="TableHeading"/>
            </w:pPr>
            <w:r>
              <w:t>Uncertain</w:t>
            </w:r>
            <w:r>
              <w:rPr>
                <w:vertAlign w:val="superscript"/>
              </w:rPr>
              <w:t>a</w:t>
            </w:r>
          </w:p>
        </w:tc>
        <w:tc>
          <w:tcPr>
            <w:tcW w:w="937" w:type="pct"/>
            <w:tcBorders>
              <w:top w:val="single" w:sz="4" w:space="0" w:color="auto"/>
              <w:left w:val="single" w:sz="4" w:space="0" w:color="auto"/>
              <w:bottom w:val="single" w:sz="4" w:space="0" w:color="auto"/>
              <w:right w:val="single" w:sz="4" w:space="0" w:color="auto"/>
            </w:tcBorders>
          </w:tcPr>
          <w:p w14:paraId="5348E97E" w14:textId="77777777" w:rsidR="00D12268" w:rsidRDefault="00D12268" w:rsidP="006D1459">
            <w:pPr>
              <w:pStyle w:val="TableHeading"/>
            </w:pPr>
            <w:r>
              <w:t>Non-inferior</w:t>
            </w:r>
            <w:r>
              <w:rPr>
                <w:vertAlign w:val="superscript"/>
              </w:rPr>
              <w:t>b</w:t>
            </w:r>
          </w:p>
        </w:tc>
        <w:tc>
          <w:tcPr>
            <w:tcW w:w="770" w:type="pct"/>
            <w:tcBorders>
              <w:top w:val="single" w:sz="4" w:space="0" w:color="auto"/>
              <w:left w:val="single" w:sz="4" w:space="0" w:color="auto"/>
              <w:bottom w:val="single" w:sz="4" w:space="0" w:color="auto"/>
              <w:right w:val="single" w:sz="4" w:space="0" w:color="auto"/>
            </w:tcBorders>
          </w:tcPr>
          <w:p w14:paraId="2F327944" w14:textId="77777777" w:rsidR="00D12268" w:rsidRDefault="00D12268" w:rsidP="006D1459">
            <w:pPr>
              <w:pStyle w:val="TableHeading"/>
            </w:pPr>
            <w:r>
              <w:t>Superior</w:t>
            </w:r>
          </w:p>
        </w:tc>
      </w:tr>
      <w:tr w:rsidR="00D12268" w14:paraId="32D41931" w14:textId="77777777" w:rsidTr="00556AB6">
        <w:tc>
          <w:tcPr>
            <w:tcW w:w="1078" w:type="pct"/>
            <w:tcBorders>
              <w:top w:val="single" w:sz="4" w:space="0" w:color="auto"/>
              <w:left w:val="single" w:sz="4" w:space="0" w:color="auto"/>
              <w:bottom w:val="single" w:sz="4" w:space="0" w:color="auto"/>
              <w:right w:val="single" w:sz="4" w:space="0" w:color="auto"/>
            </w:tcBorders>
            <w:vAlign w:val="center"/>
          </w:tcPr>
          <w:p w14:paraId="7457672B" w14:textId="77777777" w:rsidR="00D12268" w:rsidRDefault="00D12268" w:rsidP="00556AB6">
            <w:pPr>
              <w:pStyle w:val="Tabletext1"/>
            </w:pPr>
            <w:r>
              <w:t>Inferior</w:t>
            </w:r>
          </w:p>
        </w:tc>
        <w:tc>
          <w:tcPr>
            <w:tcW w:w="1021" w:type="pct"/>
            <w:tcBorders>
              <w:top w:val="single" w:sz="4" w:space="0" w:color="auto"/>
              <w:left w:val="single" w:sz="4" w:space="0" w:color="auto"/>
              <w:bottom w:val="single" w:sz="4" w:space="0" w:color="auto"/>
              <w:right w:val="single" w:sz="4" w:space="0" w:color="auto"/>
            </w:tcBorders>
            <w:vAlign w:val="center"/>
          </w:tcPr>
          <w:p w14:paraId="581DD960" w14:textId="77777777" w:rsidR="00D12268" w:rsidRDefault="00D12268" w:rsidP="006D1459">
            <w:pPr>
              <w:pStyle w:val="Tabletext1"/>
              <w:jc w:val="center"/>
            </w:pPr>
            <w:r>
              <w:t>Health forgone: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0C29225A" w14:textId="77777777" w:rsidR="00D12268" w:rsidRDefault="00D12268" w:rsidP="006D1459">
            <w:pPr>
              <w:pStyle w:val="Tabletext1"/>
              <w:jc w:val="center"/>
            </w:pPr>
            <w:r>
              <w:t>Health forgone possible: need other supportive factors</w:t>
            </w:r>
          </w:p>
        </w:tc>
        <w:tc>
          <w:tcPr>
            <w:tcW w:w="937" w:type="pct"/>
            <w:tcBorders>
              <w:top w:val="single" w:sz="4" w:space="0" w:color="auto"/>
              <w:left w:val="single" w:sz="4" w:space="0" w:color="auto"/>
              <w:bottom w:val="single" w:sz="4" w:space="0" w:color="auto"/>
              <w:right w:val="single" w:sz="4" w:space="0" w:color="auto"/>
            </w:tcBorders>
            <w:vAlign w:val="center"/>
          </w:tcPr>
          <w:p w14:paraId="21178E72" w14:textId="77777777" w:rsidR="00D12268" w:rsidRDefault="00D12268" w:rsidP="006D1459">
            <w:pPr>
              <w:pStyle w:val="Tabletext1"/>
              <w:jc w:val="center"/>
            </w:pPr>
            <w:r>
              <w:t>Health forgone: need other supportive factors</w:t>
            </w:r>
          </w:p>
        </w:tc>
        <w:tc>
          <w:tcPr>
            <w:tcW w:w="770" w:type="pct"/>
            <w:tcBorders>
              <w:top w:val="single" w:sz="4" w:space="0" w:color="auto"/>
              <w:left w:val="single" w:sz="4" w:space="0" w:color="auto"/>
              <w:bottom w:val="single" w:sz="4" w:space="0" w:color="auto"/>
              <w:right w:val="single" w:sz="4" w:space="0" w:color="auto"/>
            </w:tcBorders>
            <w:vAlign w:val="center"/>
          </w:tcPr>
          <w:p w14:paraId="1FC06449" w14:textId="77777777" w:rsidR="00D12268" w:rsidRDefault="00D12268" w:rsidP="006D1459">
            <w:pPr>
              <w:pStyle w:val="Tabletext1"/>
              <w:jc w:val="center"/>
            </w:pPr>
            <w:r>
              <w:t>? Likely CUA</w:t>
            </w:r>
          </w:p>
        </w:tc>
      </w:tr>
      <w:tr w:rsidR="00D12268" w14:paraId="646EB450" w14:textId="77777777" w:rsidTr="00556AB6">
        <w:tc>
          <w:tcPr>
            <w:tcW w:w="1078" w:type="pct"/>
            <w:tcBorders>
              <w:top w:val="single" w:sz="4" w:space="0" w:color="auto"/>
              <w:left w:val="single" w:sz="4" w:space="0" w:color="auto"/>
              <w:bottom w:val="single" w:sz="4" w:space="0" w:color="auto"/>
              <w:right w:val="single" w:sz="4" w:space="0" w:color="auto"/>
            </w:tcBorders>
            <w:vAlign w:val="center"/>
          </w:tcPr>
          <w:p w14:paraId="0DD72A05" w14:textId="77777777" w:rsidR="00D12268" w:rsidRDefault="00D12268" w:rsidP="00556AB6">
            <w:pPr>
              <w:pStyle w:val="Tabletext1"/>
            </w:pPr>
            <w:r>
              <w:t>Uncertain</w:t>
            </w:r>
            <w:r>
              <w:rPr>
                <w:vertAlign w:val="superscript"/>
              </w:rPr>
              <w:t>a</w:t>
            </w:r>
          </w:p>
        </w:tc>
        <w:tc>
          <w:tcPr>
            <w:tcW w:w="1021" w:type="pct"/>
            <w:tcBorders>
              <w:top w:val="single" w:sz="4" w:space="0" w:color="auto"/>
              <w:left w:val="single" w:sz="4" w:space="0" w:color="auto"/>
              <w:bottom w:val="single" w:sz="4" w:space="0" w:color="auto"/>
              <w:right w:val="single" w:sz="4" w:space="0" w:color="auto"/>
            </w:tcBorders>
            <w:vAlign w:val="center"/>
          </w:tcPr>
          <w:p w14:paraId="1273C4A8" w14:textId="77777777" w:rsidR="00D12268" w:rsidRDefault="00D12268" w:rsidP="006D1459">
            <w:pPr>
              <w:pStyle w:val="Tabletext1"/>
              <w:jc w:val="center"/>
            </w:pPr>
            <w:r>
              <w:t>Health forgone possible: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7E4C1567" w14:textId="77777777" w:rsidR="00D12268" w:rsidRDefault="00D12268" w:rsidP="006D1459">
            <w:pPr>
              <w:pStyle w:val="Tabletext1"/>
              <w:jc w:val="center"/>
            </w:pPr>
            <w:r>
              <w:t>?</w:t>
            </w:r>
          </w:p>
        </w:tc>
        <w:tc>
          <w:tcPr>
            <w:tcW w:w="937" w:type="pct"/>
            <w:tcBorders>
              <w:top w:val="single" w:sz="4" w:space="0" w:color="auto"/>
              <w:left w:val="single" w:sz="4" w:space="0" w:color="auto"/>
              <w:bottom w:val="single" w:sz="4" w:space="0" w:color="auto"/>
              <w:right w:val="single" w:sz="4" w:space="0" w:color="auto"/>
            </w:tcBorders>
            <w:vAlign w:val="center"/>
          </w:tcPr>
          <w:p w14:paraId="47DE0F59" w14:textId="77777777" w:rsidR="00D12268" w:rsidRDefault="00D12268" w:rsidP="006D1459">
            <w:pPr>
              <w:pStyle w:val="Tabletext1"/>
              <w:jc w:val="center"/>
            </w:pPr>
            <w:r>
              <w:t>?</w:t>
            </w:r>
          </w:p>
        </w:tc>
        <w:tc>
          <w:tcPr>
            <w:tcW w:w="770" w:type="pct"/>
            <w:tcBorders>
              <w:top w:val="single" w:sz="4" w:space="0" w:color="auto"/>
              <w:left w:val="single" w:sz="4" w:space="0" w:color="auto"/>
              <w:bottom w:val="single" w:sz="4" w:space="0" w:color="auto"/>
              <w:right w:val="single" w:sz="4" w:space="0" w:color="auto"/>
            </w:tcBorders>
            <w:vAlign w:val="center"/>
          </w:tcPr>
          <w:p w14:paraId="2CFF97C9" w14:textId="77777777" w:rsidR="00D12268" w:rsidRDefault="00D12268" w:rsidP="006D1459">
            <w:pPr>
              <w:pStyle w:val="Tabletext1"/>
              <w:jc w:val="center"/>
            </w:pPr>
            <w:r>
              <w:t>? Likely CEA/CUA</w:t>
            </w:r>
          </w:p>
        </w:tc>
      </w:tr>
      <w:tr w:rsidR="00D12268" w14:paraId="7EF477B3" w14:textId="77777777" w:rsidTr="00556AB6">
        <w:tc>
          <w:tcPr>
            <w:tcW w:w="1078" w:type="pct"/>
            <w:tcBorders>
              <w:top w:val="single" w:sz="4" w:space="0" w:color="auto"/>
              <w:left w:val="single" w:sz="4" w:space="0" w:color="auto"/>
              <w:bottom w:val="single" w:sz="4" w:space="0" w:color="auto"/>
              <w:right w:val="single" w:sz="4" w:space="0" w:color="auto"/>
            </w:tcBorders>
            <w:vAlign w:val="center"/>
          </w:tcPr>
          <w:p w14:paraId="0608470B" w14:textId="77777777" w:rsidR="00D12268" w:rsidRDefault="00D12268" w:rsidP="00556AB6">
            <w:pPr>
              <w:pStyle w:val="Tabletext1"/>
            </w:pPr>
            <w:r>
              <w:t>Non-inferior</w:t>
            </w:r>
            <w:r>
              <w:rPr>
                <w:vertAlign w:val="superscript"/>
              </w:rPr>
              <w:t>b</w:t>
            </w:r>
          </w:p>
        </w:tc>
        <w:tc>
          <w:tcPr>
            <w:tcW w:w="1021" w:type="pct"/>
            <w:tcBorders>
              <w:top w:val="single" w:sz="4" w:space="0" w:color="auto"/>
              <w:left w:val="single" w:sz="4" w:space="0" w:color="auto"/>
              <w:bottom w:val="single" w:sz="4" w:space="0" w:color="auto"/>
              <w:right w:val="single" w:sz="4" w:space="0" w:color="auto"/>
            </w:tcBorders>
            <w:vAlign w:val="center"/>
          </w:tcPr>
          <w:p w14:paraId="069A2CA5" w14:textId="77777777" w:rsidR="00D12268" w:rsidRDefault="00D12268" w:rsidP="006D1459">
            <w:pPr>
              <w:pStyle w:val="Tabletext1"/>
              <w:jc w:val="center"/>
            </w:pPr>
            <w:r>
              <w:t>Health forgone: need other supportive factors</w:t>
            </w:r>
          </w:p>
        </w:tc>
        <w:tc>
          <w:tcPr>
            <w:tcW w:w="1194" w:type="pct"/>
            <w:tcBorders>
              <w:top w:val="single" w:sz="4" w:space="0" w:color="auto"/>
              <w:left w:val="single" w:sz="4" w:space="0" w:color="auto"/>
              <w:bottom w:val="single" w:sz="4" w:space="0" w:color="auto"/>
              <w:right w:val="single" w:sz="4" w:space="0" w:color="auto"/>
            </w:tcBorders>
            <w:vAlign w:val="center"/>
          </w:tcPr>
          <w:p w14:paraId="63AF5988" w14:textId="77777777" w:rsidR="00D12268" w:rsidRDefault="00D12268" w:rsidP="006D1459">
            <w:pPr>
              <w:pStyle w:val="Tabletext1"/>
              <w:jc w:val="center"/>
            </w:pPr>
            <w:r>
              <w:t>?</w:t>
            </w:r>
          </w:p>
        </w:tc>
        <w:tc>
          <w:tcPr>
            <w:tcW w:w="937" w:type="pct"/>
            <w:tcBorders>
              <w:top w:val="single" w:sz="4" w:space="0" w:color="auto"/>
              <w:left w:val="single" w:sz="4" w:space="0" w:color="auto"/>
              <w:bottom w:val="single" w:sz="4" w:space="0" w:color="auto"/>
              <w:right w:val="single" w:sz="4" w:space="0" w:color="auto"/>
            </w:tcBorders>
            <w:vAlign w:val="center"/>
          </w:tcPr>
          <w:p w14:paraId="590A9AF5" w14:textId="77777777" w:rsidR="00D12268" w:rsidRDefault="00D12268" w:rsidP="006D1459">
            <w:pPr>
              <w:pStyle w:val="Tabletext1"/>
              <w:jc w:val="center"/>
            </w:pPr>
            <w:r>
              <w:t>CMA</w:t>
            </w:r>
          </w:p>
        </w:tc>
        <w:tc>
          <w:tcPr>
            <w:tcW w:w="770" w:type="pct"/>
            <w:tcBorders>
              <w:top w:val="single" w:sz="4" w:space="0" w:color="auto"/>
              <w:left w:val="single" w:sz="4" w:space="0" w:color="auto"/>
              <w:bottom w:val="single" w:sz="4" w:space="0" w:color="auto"/>
              <w:right w:val="single" w:sz="4" w:space="0" w:color="auto"/>
            </w:tcBorders>
            <w:vAlign w:val="center"/>
          </w:tcPr>
          <w:p w14:paraId="06E7A012" w14:textId="77777777" w:rsidR="00D12268" w:rsidRDefault="00D12268" w:rsidP="006D1459">
            <w:pPr>
              <w:pStyle w:val="Tabletext1"/>
              <w:jc w:val="center"/>
            </w:pPr>
            <w:r>
              <w:t>CEA/CUA</w:t>
            </w:r>
          </w:p>
        </w:tc>
      </w:tr>
      <w:tr w:rsidR="00D12268" w14:paraId="40D0D881" w14:textId="77777777" w:rsidTr="00556AB6">
        <w:tc>
          <w:tcPr>
            <w:tcW w:w="1078" w:type="pct"/>
            <w:tcBorders>
              <w:top w:val="single" w:sz="4" w:space="0" w:color="auto"/>
              <w:left w:val="single" w:sz="4" w:space="0" w:color="auto"/>
              <w:bottom w:val="single" w:sz="4" w:space="0" w:color="auto"/>
              <w:right w:val="single" w:sz="4" w:space="0" w:color="auto"/>
            </w:tcBorders>
            <w:vAlign w:val="center"/>
          </w:tcPr>
          <w:p w14:paraId="03A111D5" w14:textId="77777777" w:rsidR="00D12268" w:rsidRDefault="00D12268" w:rsidP="00556AB6">
            <w:pPr>
              <w:pStyle w:val="Tabletext1"/>
            </w:pPr>
            <w:r>
              <w:t>Superior</w:t>
            </w:r>
          </w:p>
        </w:tc>
        <w:tc>
          <w:tcPr>
            <w:tcW w:w="1021" w:type="pct"/>
            <w:tcBorders>
              <w:top w:val="single" w:sz="4" w:space="0" w:color="auto"/>
              <w:left w:val="single" w:sz="4" w:space="0" w:color="auto"/>
              <w:bottom w:val="single" w:sz="4" w:space="0" w:color="auto"/>
              <w:right w:val="single" w:sz="4" w:space="0" w:color="auto"/>
            </w:tcBorders>
            <w:vAlign w:val="center"/>
          </w:tcPr>
          <w:p w14:paraId="5535B8F9" w14:textId="77777777" w:rsidR="00D12268" w:rsidRDefault="00D12268" w:rsidP="006D1459">
            <w:pPr>
              <w:pStyle w:val="Tabletext1"/>
              <w:jc w:val="center"/>
            </w:pPr>
            <w:r>
              <w:t>? Likely CUA</w:t>
            </w:r>
          </w:p>
        </w:tc>
        <w:tc>
          <w:tcPr>
            <w:tcW w:w="1194" w:type="pct"/>
            <w:tcBorders>
              <w:top w:val="single" w:sz="4" w:space="0" w:color="auto"/>
              <w:left w:val="single" w:sz="4" w:space="0" w:color="auto"/>
              <w:bottom w:val="single" w:sz="4" w:space="0" w:color="auto"/>
              <w:right w:val="single" w:sz="4" w:space="0" w:color="auto"/>
            </w:tcBorders>
            <w:vAlign w:val="center"/>
          </w:tcPr>
          <w:p w14:paraId="090602D3" w14:textId="77777777" w:rsidR="00D12268" w:rsidRDefault="00D12268" w:rsidP="006D1459">
            <w:pPr>
              <w:pStyle w:val="Tabletext1"/>
              <w:jc w:val="center"/>
            </w:pPr>
            <w:r>
              <w:t>? Likely CEA/CUA</w:t>
            </w:r>
          </w:p>
        </w:tc>
        <w:tc>
          <w:tcPr>
            <w:tcW w:w="937" w:type="pct"/>
            <w:tcBorders>
              <w:top w:val="single" w:sz="4" w:space="0" w:color="auto"/>
              <w:left w:val="single" w:sz="4" w:space="0" w:color="auto"/>
              <w:bottom w:val="single" w:sz="4" w:space="0" w:color="auto"/>
              <w:right w:val="single" w:sz="4" w:space="0" w:color="auto"/>
            </w:tcBorders>
            <w:vAlign w:val="center"/>
          </w:tcPr>
          <w:p w14:paraId="46A70E60" w14:textId="77777777" w:rsidR="00D12268" w:rsidRDefault="00D12268" w:rsidP="006D1459">
            <w:pPr>
              <w:pStyle w:val="Tabletext1"/>
              <w:jc w:val="center"/>
            </w:pPr>
            <w:r>
              <w:t>CEA/CUA</w:t>
            </w:r>
          </w:p>
        </w:tc>
        <w:tc>
          <w:tcPr>
            <w:tcW w:w="770" w:type="pct"/>
            <w:tcBorders>
              <w:top w:val="single" w:sz="4" w:space="0" w:color="auto"/>
              <w:left w:val="single" w:sz="4" w:space="0" w:color="auto"/>
              <w:bottom w:val="single" w:sz="4" w:space="0" w:color="auto"/>
              <w:right w:val="single" w:sz="4" w:space="0" w:color="auto"/>
            </w:tcBorders>
            <w:vAlign w:val="center"/>
          </w:tcPr>
          <w:p w14:paraId="11DF5BC9" w14:textId="77777777" w:rsidR="00D12268" w:rsidRDefault="00D12268" w:rsidP="006D1459">
            <w:pPr>
              <w:pStyle w:val="Tabletext1"/>
              <w:jc w:val="center"/>
            </w:pPr>
            <w:r>
              <w:t>CEA/CUA</w:t>
            </w:r>
          </w:p>
        </w:tc>
      </w:tr>
    </w:tbl>
    <w:p w14:paraId="51918C1A" w14:textId="5BE4B07A" w:rsidR="00D12268" w:rsidRPr="009929BE" w:rsidRDefault="00D12268" w:rsidP="00D84DBC">
      <w:pPr>
        <w:pStyle w:val="Tablenotes0"/>
        <w:jc w:val="left"/>
        <w:rPr>
          <w:szCs w:val="18"/>
        </w:rPr>
      </w:pPr>
      <w:r w:rsidRPr="009929BE">
        <w:rPr>
          <w:szCs w:val="18"/>
        </w:rPr>
        <w:t>CEA=cost-effectiveness analysis; CMA=cost-minimisation analysis; CUA=cost-utility analysis</w:t>
      </w:r>
      <w:r w:rsidR="00D84DBC">
        <w:rPr>
          <w:szCs w:val="18"/>
        </w:rPr>
        <w:br/>
      </w:r>
      <w:r w:rsidRPr="009929BE">
        <w:rPr>
          <w:szCs w:val="18"/>
        </w:rPr>
        <w:t xml:space="preserve">? = reflect uncertainties and any identified health trade-offs in the economic evaluation, as a minimum in a cost-consequences analysis </w:t>
      </w:r>
      <w:r w:rsidR="00D84DBC">
        <w:rPr>
          <w:szCs w:val="18"/>
        </w:rPr>
        <w:br/>
      </w:r>
      <w:r w:rsidRPr="009929BE">
        <w:rPr>
          <w:szCs w:val="18"/>
          <w:vertAlign w:val="superscript"/>
        </w:rPr>
        <w:t>a</w:t>
      </w:r>
      <w:r w:rsidRPr="009929BE">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r w:rsidR="00D84DBC">
        <w:rPr>
          <w:szCs w:val="18"/>
        </w:rPr>
        <w:br/>
      </w:r>
      <w:r w:rsidRPr="009929BE">
        <w:rPr>
          <w:szCs w:val="18"/>
          <w:vertAlign w:val="superscript"/>
        </w:rPr>
        <w:t>b</w:t>
      </w:r>
      <w:r w:rsidRPr="009929BE">
        <w:rPr>
          <w:szCs w:val="18"/>
        </w:rPr>
        <w:t> An adequate assessment of ‘non-inferiority’ is the preferred basis for demonstrating equivalence</w:t>
      </w:r>
    </w:p>
    <w:p w14:paraId="60B12B1D" w14:textId="305DA3B2" w:rsidR="00D12268" w:rsidRDefault="00D12268" w:rsidP="00D12268">
      <w:pPr>
        <w:jc w:val="both"/>
      </w:pPr>
      <w:r>
        <w:t xml:space="preserve">The clinical claim of uncertain safety and uncertain effectiveness impacts the choice of the economic model and based on the ratified PICO, it was decided that a cost-minimisation analysis (CMA) was appropriate. The base case of the economic evaluation </w:t>
      </w:r>
      <w:r w:rsidR="007758A3">
        <w:t xml:space="preserve">was </w:t>
      </w:r>
      <w:r>
        <w:t xml:space="preserve">generated by a modelled economic evaluation using the evidence derived from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t xml:space="preserve"> and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t xml:space="preserve"> on the healthcare resource utilisation, time spent on each activity, along with relevant capital costs, and relevant healthcare costs in the Australian healthcare setting, and where available, other Australian parameters. Furthermore, the economic model included the costs of the treatment related to acute and late gastrointestinal (GI) and genitourinary (GU) toxicity in prostate cancer from the studies reported in</w:t>
      </w:r>
      <w:r w:rsidR="00C6168E">
        <w:t xml:space="preserve"> </w:t>
      </w:r>
      <w:r w:rsidR="00C6168E">
        <w:fldChar w:fldCharType="begin"/>
      </w:r>
      <w:r w:rsidR="00C6168E">
        <w:instrText xml:space="preserve"> REF _Ref55823918 \h </w:instrText>
      </w:r>
      <w:r w:rsidR="00C6168E">
        <w:fldChar w:fldCharType="separate"/>
      </w:r>
      <w:r w:rsidR="00451350" w:rsidRPr="00E86441">
        <w:t xml:space="preserve">Table </w:t>
      </w:r>
      <w:r w:rsidR="00451350">
        <w:rPr>
          <w:noProof/>
        </w:rPr>
        <w:t>20</w:t>
      </w:r>
      <w:r w:rsidR="00C6168E">
        <w:fldChar w:fldCharType="end"/>
      </w:r>
      <w:r w:rsidR="00187B86">
        <w:t xml:space="preserve"> and </w:t>
      </w:r>
      <w:r w:rsidR="00187B86">
        <w:fldChar w:fldCharType="begin"/>
      </w:r>
      <w:r w:rsidR="00187B86">
        <w:instrText xml:space="preserve"> REF _Ref55990743 \h </w:instrText>
      </w:r>
      <w:r w:rsidR="00187B86">
        <w:fldChar w:fldCharType="separate"/>
      </w:r>
      <w:r w:rsidR="00451350" w:rsidRPr="00E86441">
        <w:t xml:space="preserve">Table </w:t>
      </w:r>
      <w:r w:rsidR="00451350">
        <w:rPr>
          <w:noProof/>
        </w:rPr>
        <w:t>21</w:t>
      </w:r>
      <w:r w:rsidR="00187B86">
        <w:fldChar w:fldCharType="end"/>
      </w:r>
      <w:r w:rsidR="00187B86">
        <w:t>.</w:t>
      </w:r>
    </w:p>
    <w:p w14:paraId="4A47058E" w14:textId="77777777" w:rsidR="00D12268" w:rsidRDefault="00D12268" w:rsidP="00D12268">
      <w:pPr>
        <w:pStyle w:val="Heading2"/>
        <w:numPr>
          <w:ilvl w:val="3"/>
          <w:numId w:val="10"/>
        </w:numPr>
      </w:pPr>
      <w:bookmarkStart w:id="487" w:name="_Toc381796477"/>
      <w:bookmarkStart w:id="488" w:name="_Toc59018794"/>
      <w:bookmarkStart w:id="489" w:name="_Toc59020338"/>
      <w:bookmarkStart w:id="490" w:name="_Toc59439560"/>
      <w:bookmarkStart w:id="491" w:name="_Toc89857832"/>
      <w:r w:rsidRPr="00183E4D">
        <w:t>Populations and settings</w:t>
      </w:r>
      <w:bookmarkEnd w:id="487"/>
      <w:bookmarkEnd w:id="488"/>
      <w:bookmarkEnd w:id="489"/>
      <w:bookmarkEnd w:id="490"/>
      <w:bookmarkEnd w:id="491"/>
    </w:p>
    <w:p w14:paraId="21ACFEA4" w14:textId="77777777" w:rsidR="00D12268" w:rsidRDefault="00D12268" w:rsidP="00D12268">
      <w:r w:rsidRPr="00BA03F3">
        <w:t xml:space="preserve">The proposed population </w:t>
      </w:r>
      <w:r>
        <w:t xml:space="preserve">for whom MBS listing is sought </w:t>
      </w:r>
      <w:r w:rsidRPr="00BA03F3">
        <w:t>includes all patients with cancer undergoing external beam radiation therapy (EBRT) regardless of the cancer type.</w:t>
      </w:r>
      <w:r>
        <w:t xml:space="preserve"> Initial use of MR-</w:t>
      </w:r>
      <w:r>
        <w:lastRenderedPageBreak/>
        <w:t xml:space="preserve">linac is expected to focus on cancers of the brain, breast, cervix, oesophagus, lung, oropharynx, pancreas, prostate, oligometastatic sites, liver, bladder, and rectum. </w:t>
      </w:r>
    </w:p>
    <w:p w14:paraId="53CBBB94" w14:textId="3E9C73D8" w:rsidR="0078011E" w:rsidRDefault="0078011E" w:rsidP="0070241A">
      <w:r>
        <w:t xml:space="preserve">It is estimated that </w:t>
      </w:r>
      <w:r w:rsidR="0070241A">
        <w:t>of all cancers that occur in Australia,</w:t>
      </w:r>
      <w:r>
        <w:t xml:space="preserve"> approximately 48.2% to 49.4% </w:t>
      </w:r>
      <w:r w:rsidR="001A3DF9">
        <w:t xml:space="preserve">are </w:t>
      </w:r>
      <w:r>
        <w:t xml:space="preserve">related to cancers for which MR-linac may be used based on the Applicant’s stated intentions. </w:t>
      </w:r>
    </w:p>
    <w:p w14:paraId="04B19C31" w14:textId="4C0663B9" w:rsidR="00D12268" w:rsidRDefault="00D12268" w:rsidP="00D12268">
      <w:r>
        <w:t xml:space="preserve">For this application, </w:t>
      </w:r>
      <w:r w:rsidR="000B4ED0">
        <w:t xml:space="preserve">the DCAR </w:t>
      </w:r>
      <w:r>
        <w:t xml:space="preserve">provided an </w:t>
      </w:r>
      <w:r w:rsidR="008F0ED4">
        <w:t>example</w:t>
      </w:r>
      <w:r>
        <w:t xml:space="preserve"> of cost minimisation analysis of delivering 5 fractions MR-IGRT and CBCT-IGRT and adverse event modelling in prostate cancer patients. Due to paucity in evidence on economic evaluation of MR-IGRT and CBCT-IGRT for other kinds of cancer, it was decided to create a cost-minimisation analysis based on the evidence available within the prostate cancer patients. </w:t>
      </w:r>
      <w:r w:rsidR="000B4ED0">
        <w:t xml:space="preserve">The </w:t>
      </w:r>
      <w:r w:rsidR="00397573">
        <w:t xml:space="preserve">DCAR </w:t>
      </w:r>
      <w:r>
        <w:t xml:space="preserve">discussed the available evidence and the challenges in developing an economic model for all kinds of cancer with the </w:t>
      </w:r>
      <w:r w:rsidR="00DA07F7">
        <w:t>D</w:t>
      </w:r>
      <w:r>
        <w:t xml:space="preserve">epartment, and agreed to provide a cost-minimisation analysis of MR-IGRT versus CBCT-guided radiation therapy in prostate cancer patients. </w:t>
      </w:r>
    </w:p>
    <w:p w14:paraId="2CC1C9A3" w14:textId="347977E5" w:rsidR="00D12268" w:rsidRDefault="00D12268" w:rsidP="00D12268">
      <w:r>
        <w:t xml:space="preserve">As described in </w:t>
      </w:r>
      <w:r w:rsidR="00187B86">
        <w:fldChar w:fldCharType="begin"/>
      </w:r>
      <w:r w:rsidR="00187B86">
        <w:instrText xml:space="preserve"> REF _Ref59018668 \h </w:instrText>
      </w:r>
      <w:r w:rsidR="00187B86">
        <w:fldChar w:fldCharType="separate"/>
      </w:r>
      <w:r w:rsidR="00451350" w:rsidRPr="00183E4D">
        <w:t>Section A</w:t>
      </w:r>
      <w:r w:rsidR="00451350" w:rsidRPr="00183E4D">
        <w:tab/>
        <w:t>Context</w:t>
      </w:r>
      <w:r w:rsidR="00187B86">
        <w:fldChar w:fldCharType="end"/>
      </w:r>
      <w:r>
        <w:t>, the premise is that the current clinical management algorithm would remain largely unchanged, as MR-IGRT is a form of IGRT. MR-IGRT would introduce a new clinical choice for tumour sites that may benefit from reduced target volume margins and hypofractionated courses. The only change compared to standard IGRT is that imaging and treatment adaptation for dose delivery optimisation is ongoing during the radiotherapy session.</w:t>
      </w:r>
    </w:p>
    <w:p w14:paraId="216130C8" w14:textId="77777777" w:rsidR="00D12268" w:rsidRDefault="00D12268" w:rsidP="00D12268">
      <w:r>
        <w:t>The key difference between “standard” IGRT (performed with CBCT, and currently considered the standard of care in IGRT) and MR-IGRT is that MR-IGRT delivers a higher level of soft tissue imaging and a more sophisticated adaptive functionality, enabling the user to optimise dose distribution of the treatment plan on every fraction in an online setting (i.e. while the patient is in the machine).</w:t>
      </w:r>
    </w:p>
    <w:p w14:paraId="289935D6" w14:textId="2378E1D7" w:rsidR="00D12268" w:rsidRDefault="00D12268" w:rsidP="00D12268">
      <w:r>
        <w:t xml:space="preserve">The procedure for every treatment fraction is similar to the standard IGRT procedure: patient setup, imaging, adaptation, and treatment. Use of MR-linac involves the same professionals as CBCT linac: radiation oncologists, medical physicists, and radiation therapists. However, more complex workflows may require these professionals to be present collectively at the treatment machine at the same time. The MR-IGRT technique is more time-intensive than the comparator, requiring twice- to three-times as long per fraction as CBCT-guided IGRT. </w:t>
      </w:r>
      <w:r w:rsidR="000B4ED0">
        <w:t xml:space="preserve">The DCAR </w:t>
      </w:r>
      <w:r>
        <w:t xml:space="preserve">identified studies providing details on the workflow at each activity associated with the delivery of 5 fractions MR-guided Stereotactic Body Radiation Therapy (SBRT) and CBCT-guided SBRT in prostate cancer and hepatocellular carcinoma patients. The economic evaluation was performed for 5 fractions MR-guided SBRT and CBCT-guided SBRT based on the estimates on healthcare resources identified, time and probability estimates provided in the two studies from the United States </w:t>
      </w:r>
      <w:r w:rsidR="000C77B0">
        <w:fldChar w:fldCharType="begin"/>
      </w:r>
      <w:r w:rsidR="000C77B0">
        <w:instrText xml:space="preserve"> ADDIN EN.CITE &lt;EndNote&gt;&lt;Cite&gt;&lt;Author&gt;Schumacher&lt;/Author&gt;&lt;Year&gt;2020&lt;/Year&gt;&lt;RecNum&gt;93&lt;/RecNum&gt;&lt;DisplayText&gt;(Parikh et al., 2020; 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Cite&gt;&lt;Author&gt;Parikh&lt;/Author&gt;&lt;Year&gt;2020&lt;/Year&gt;&lt;RecNum&gt;92&lt;/RecNum&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0C77B0">
        <w:fldChar w:fldCharType="separate"/>
      </w:r>
      <w:r w:rsidR="000C77B0">
        <w:rPr>
          <w:noProof/>
        </w:rPr>
        <w:t>(</w:t>
      </w:r>
      <w:hyperlink w:anchor="_ENREF_57" w:tooltip="Parikh, 2020 #92" w:history="1">
        <w:r w:rsidR="008B6FC0">
          <w:rPr>
            <w:noProof/>
          </w:rPr>
          <w:t>Parikh et al., 2020</w:t>
        </w:r>
      </w:hyperlink>
      <w:r w:rsidR="000C77B0">
        <w:rPr>
          <w:noProof/>
        </w:rPr>
        <w:t xml:space="preserve">; </w:t>
      </w:r>
      <w:hyperlink w:anchor="_ENREF_62" w:tooltip="Schumacher, 2020 #93" w:history="1">
        <w:r w:rsidR="008B6FC0">
          <w:rPr>
            <w:noProof/>
          </w:rPr>
          <w:t>Schumacher et al., 2020</w:t>
        </w:r>
      </w:hyperlink>
      <w:r w:rsidR="000C77B0">
        <w:rPr>
          <w:noProof/>
        </w:rPr>
        <w:t>)</w:t>
      </w:r>
      <w:r w:rsidR="000C77B0">
        <w:fldChar w:fldCharType="end"/>
      </w:r>
      <w:r>
        <w:t xml:space="preserve">. </w:t>
      </w:r>
    </w:p>
    <w:p w14:paraId="18B309AB" w14:textId="77777777" w:rsidR="00D12268" w:rsidRDefault="00D12268" w:rsidP="00D12268">
      <w:pPr>
        <w:pStyle w:val="Heading2"/>
        <w:numPr>
          <w:ilvl w:val="3"/>
          <w:numId w:val="10"/>
        </w:numPr>
      </w:pPr>
      <w:bookmarkStart w:id="492" w:name="_Toc381796478"/>
      <w:bookmarkStart w:id="493" w:name="_Toc59018795"/>
      <w:bookmarkStart w:id="494" w:name="_Toc59020339"/>
      <w:bookmarkStart w:id="495" w:name="_Toc59439561"/>
      <w:bookmarkStart w:id="496" w:name="_Toc89857833"/>
      <w:r w:rsidRPr="00183E4D">
        <w:lastRenderedPageBreak/>
        <w:t>Structure and rationale of the economic evaluation</w:t>
      </w:r>
      <w:bookmarkEnd w:id="492"/>
      <w:bookmarkEnd w:id="493"/>
      <w:bookmarkEnd w:id="494"/>
      <w:bookmarkEnd w:id="495"/>
      <w:bookmarkEnd w:id="496"/>
    </w:p>
    <w:p w14:paraId="27869E12" w14:textId="334708EB" w:rsidR="00D12268" w:rsidRPr="00941F81" w:rsidRDefault="00D12268" w:rsidP="00D12268">
      <w:r>
        <w:t xml:space="preserve">A </w:t>
      </w:r>
      <w:r w:rsidRPr="00F154DF">
        <w:t xml:space="preserve">summary of the key characteristics of the economic evaluation is given in </w:t>
      </w:r>
      <w:r w:rsidRPr="00F154DF">
        <w:fldChar w:fldCharType="begin"/>
      </w:r>
      <w:r w:rsidRPr="00F154DF">
        <w:instrText xml:space="preserve"> REF _Ref395196756 \h  \* MERGEFORMAT </w:instrText>
      </w:r>
      <w:r w:rsidRPr="00F154DF">
        <w:fldChar w:fldCharType="separate"/>
      </w:r>
      <w:r w:rsidR="00451350" w:rsidRPr="00F154DF">
        <w:t xml:space="preserve">Table </w:t>
      </w:r>
      <w:r w:rsidR="00451350">
        <w:rPr>
          <w:noProof/>
        </w:rPr>
        <w:t>43</w:t>
      </w:r>
      <w:r w:rsidRPr="00F154DF">
        <w:fldChar w:fldCharType="end"/>
      </w:r>
      <w:r w:rsidRPr="00F154DF">
        <w:t>.</w:t>
      </w:r>
    </w:p>
    <w:p w14:paraId="726ACDCF" w14:textId="37803331" w:rsidR="00D12268" w:rsidRDefault="00D12268" w:rsidP="00D12268">
      <w:pPr>
        <w:pStyle w:val="Caption"/>
        <w:tabs>
          <w:tab w:val="left" w:pos="1134"/>
        </w:tabs>
        <w:ind w:left="1134" w:hanging="1134"/>
        <w:jc w:val="both"/>
      </w:pPr>
      <w:bookmarkStart w:id="497" w:name="_Ref395196756"/>
      <w:bookmarkStart w:id="498" w:name="_Toc89857914"/>
      <w:r w:rsidRPr="00F154DF">
        <w:t xml:space="preserve">Table </w:t>
      </w:r>
      <w:r w:rsidR="00211285">
        <w:fldChar w:fldCharType="begin"/>
      </w:r>
      <w:r w:rsidR="00211285">
        <w:instrText xml:space="preserve"> SEQ Table \* ARABIC </w:instrText>
      </w:r>
      <w:r w:rsidR="00211285">
        <w:fldChar w:fldCharType="separate"/>
      </w:r>
      <w:r w:rsidR="00451350">
        <w:rPr>
          <w:noProof/>
        </w:rPr>
        <w:t>43</w:t>
      </w:r>
      <w:r w:rsidR="00211285">
        <w:rPr>
          <w:noProof/>
        </w:rPr>
        <w:fldChar w:fldCharType="end"/>
      </w:r>
      <w:bookmarkEnd w:id="497"/>
      <w:r w:rsidRPr="00183E4D">
        <w:tab/>
        <w:t>Summary of the economic evaluation</w:t>
      </w:r>
      <w:bookmarkEnd w:id="498"/>
      <w:r w:rsidRPr="00183E4D">
        <w:t xml:space="preserve"> </w:t>
      </w:r>
    </w:p>
    <w:tbl>
      <w:tblPr>
        <w:tblStyle w:val="TableGrid1"/>
        <w:tblW w:w="5000" w:type="pct"/>
        <w:tblLook w:val="01E0" w:firstRow="1" w:lastRow="1" w:firstColumn="1" w:lastColumn="1" w:noHBand="0" w:noVBand="0"/>
        <w:tblCaption w:val="Table 43 Summary of the economic evaluation "/>
        <w:tblDescription w:val="This table describes the key constructs of the economic evaluation that is provided in the assessment report."/>
      </w:tblPr>
      <w:tblGrid>
        <w:gridCol w:w="3107"/>
        <w:gridCol w:w="5909"/>
      </w:tblGrid>
      <w:tr w:rsidR="00D12268" w:rsidRPr="00183E4D" w14:paraId="281F9C4A" w14:textId="77777777" w:rsidTr="008C2135">
        <w:trPr>
          <w:cnfStyle w:val="100000000000" w:firstRow="1" w:lastRow="0" w:firstColumn="0" w:lastColumn="0" w:oddVBand="0" w:evenVBand="0" w:oddHBand="0" w:evenHBand="0" w:firstRowFirstColumn="0" w:firstRowLastColumn="0" w:lastRowFirstColumn="0" w:lastRowLastColumn="0"/>
          <w:trHeight w:val="20"/>
        </w:trPr>
        <w:tc>
          <w:tcPr>
            <w:tcW w:w="1723" w:type="pct"/>
            <w:tcBorders>
              <w:top w:val="single" w:sz="4" w:space="0" w:color="auto"/>
              <w:left w:val="single" w:sz="4" w:space="0" w:color="auto"/>
              <w:bottom w:val="single" w:sz="4" w:space="0" w:color="auto"/>
              <w:right w:val="single" w:sz="4" w:space="0" w:color="auto"/>
            </w:tcBorders>
          </w:tcPr>
          <w:p w14:paraId="06668406" w14:textId="77777777" w:rsidR="00D12268" w:rsidRPr="00183E4D" w:rsidRDefault="00D12268" w:rsidP="00556AB6">
            <w:pPr>
              <w:pStyle w:val="Tabletext1"/>
              <w:rPr>
                <w:b/>
              </w:rPr>
            </w:pPr>
            <w:r w:rsidRPr="00183E4D">
              <w:rPr>
                <w:b/>
              </w:rPr>
              <w:t>Perspective</w:t>
            </w:r>
          </w:p>
        </w:tc>
        <w:tc>
          <w:tcPr>
            <w:tcW w:w="3277" w:type="pct"/>
            <w:tcBorders>
              <w:top w:val="single" w:sz="4" w:space="0" w:color="auto"/>
              <w:left w:val="single" w:sz="4" w:space="0" w:color="auto"/>
              <w:bottom w:val="single" w:sz="4" w:space="0" w:color="auto"/>
              <w:right w:val="single" w:sz="4" w:space="0" w:color="auto"/>
            </w:tcBorders>
          </w:tcPr>
          <w:p w14:paraId="25E39D8B" w14:textId="77777777" w:rsidR="00D12268" w:rsidRPr="00685195" w:rsidRDefault="00D12268" w:rsidP="00556AB6">
            <w:pPr>
              <w:pStyle w:val="Tabletext1"/>
            </w:pPr>
            <w:r w:rsidRPr="004C2F0F">
              <w:t>Australian healthcare system</w:t>
            </w:r>
          </w:p>
        </w:tc>
      </w:tr>
      <w:tr w:rsidR="00D12268" w:rsidRPr="00183E4D" w14:paraId="634BE714" w14:textId="77777777" w:rsidTr="008C2135">
        <w:trPr>
          <w:trHeight w:val="20"/>
        </w:trPr>
        <w:tc>
          <w:tcPr>
            <w:tcW w:w="1723" w:type="pct"/>
            <w:tcBorders>
              <w:top w:val="single" w:sz="4" w:space="0" w:color="auto"/>
              <w:left w:val="single" w:sz="4" w:space="0" w:color="auto"/>
              <w:bottom w:val="single" w:sz="4" w:space="0" w:color="auto"/>
              <w:right w:val="single" w:sz="4" w:space="0" w:color="auto"/>
            </w:tcBorders>
          </w:tcPr>
          <w:p w14:paraId="5FBB7E99" w14:textId="77777777" w:rsidR="00D12268" w:rsidRPr="00183E4D" w:rsidRDefault="00D12268" w:rsidP="00556AB6">
            <w:pPr>
              <w:pStyle w:val="Tabletext1"/>
              <w:rPr>
                <w:b/>
              </w:rPr>
            </w:pPr>
            <w:r w:rsidRPr="00183E4D">
              <w:rPr>
                <w:b/>
              </w:rPr>
              <w:t>Comparator</w:t>
            </w:r>
          </w:p>
        </w:tc>
        <w:tc>
          <w:tcPr>
            <w:tcW w:w="3277" w:type="pct"/>
            <w:tcBorders>
              <w:top w:val="single" w:sz="4" w:space="0" w:color="auto"/>
              <w:left w:val="single" w:sz="4" w:space="0" w:color="auto"/>
              <w:bottom w:val="single" w:sz="4" w:space="0" w:color="auto"/>
              <w:right w:val="single" w:sz="4" w:space="0" w:color="auto"/>
            </w:tcBorders>
          </w:tcPr>
          <w:p w14:paraId="36F4AADE" w14:textId="116E3700" w:rsidR="00D12268" w:rsidRPr="00685195" w:rsidRDefault="00D12268" w:rsidP="00556AB6">
            <w:pPr>
              <w:pStyle w:val="Tabletext1"/>
            </w:pPr>
            <w:r>
              <w:t>Cone-beam computed tomography (CBCT) guided radiation therapy</w:t>
            </w:r>
          </w:p>
        </w:tc>
      </w:tr>
      <w:tr w:rsidR="00D12268" w:rsidRPr="00183E4D" w14:paraId="134CD7F7" w14:textId="77777777" w:rsidTr="008C2135">
        <w:trPr>
          <w:trHeight w:val="20"/>
        </w:trPr>
        <w:tc>
          <w:tcPr>
            <w:tcW w:w="1723" w:type="pct"/>
            <w:tcBorders>
              <w:top w:val="single" w:sz="4" w:space="0" w:color="auto"/>
              <w:left w:val="single" w:sz="4" w:space="0" w:color="auto"/>
              <w:bottom w:val="single" w:sz="4" w:space="0" w:color="auto"/>
              <w:right w:val="single" w:sz="4" w:space="0" w:color="auto"/>
            </w:tcBorders>
          </w:tcPr>
          <w:p w14:paraId="71ECE1B3" w14:textId="77777777" w:rsidR="00D12268" w:rsidRPr="00183E4D" w:rsidRDefault="00D12268" w:rsidP="00556AB6">
            <w:pPr>
              <w:pStyle w:val="Tabletext1"/>
              <w:rPr>
                <w:b/>
              </w:rPr>
            </w:pPr>
            <w:r w:rsidRPr="00183E4D">
              <w:rPr>
                <w:b/>
              </w:rPr>
              <w:t>Type of economic evaluation</w:t>
            </w:r>
          </w:p>
        </w:tc>
        <w:tc>
          <w:tcPr>
            <w:tcW w:w="3277" w:type="pct"/>
            <w:tcBorders>
              <w:top w:val="single" w:sz="4" w:space="0" w:color="auto"/>
              <w:left w:val="single" w:sz="4" w:space="0" w:color="auto"/>
              <w:bottom w:val="single" w:sz="4" w:space="0" w:color="auto"/>
              <w:right w:val="single" w:sz="4" w:space="0" w:color="auto"/>
            </w:tcBorders>
          </w:tcPr>
          <w:p w14:paraId="279B7E66" w14:textId="77777777" w:rsidR="00D12268" w:rsidRPr="005F2963" w:rsidRDefault="00D12268" w:rsidP="00556AB6">
            <w:pPr>
              <w:pStyle w:val="Tabletext1"/>
            </w:pPr>
            <w:r w:rsidRPr="005F2963">
              <w:t>Cost-minimisation analysis (CMA)</w:t>
            </w:r>
          </w:p>
        </w:tc>
      </w:tr>
      <w:tr w:rsidR="00D12268" w:rsidRPr="00183E4D" w14:paraId="1400E240" w14:textId="77777777" w:rsidTr="008C2135">
        <w:trPr>
          <w:trHeight w:val="20"/>
        </w:trPr>
        <w:tc>
          <w:tcPr>
            <w:tcW w:w="1723" w:type="pct"/>
            <w:tcBorders>
              <w:top w:val="single" w:sz="4" w:space="0" w:color="auto"/>
              <w:left w:val="single" w:sz="4" w:space="0" w:color="auto"/>
              <w:bottom w:val="single" w:sz="4" w:space="0" w:color="auto"/>
              <w:right w:val="single" w:sz="4" w:space="0" w:color="auto"/>
            </w:tcBorders>
          </w:tcPr>
          <w:p w14:paraId="0605C818" w14:textId="77777777" w:rsidR="00D12268" w:rsidRPr="00183E4D" w:rsidRDefault="00D12268" w:rsidP="00556AB6">
            <w:pPr>
              <w:pStyle w:val="Tabletext1"/>
              <w:rPr>
                <w:b/>
              </w:rPr>
            </w:pPr>
            <w:r w:rsidRPr="00183E4D">
              <w:rPr>
                <w:b/>
              </w:rPr>
              <w:t>Sources of evidence</w:t>
            </w:r>
          </w:p>
        </w:tc>
        <w:tc>
          <w:tcPr>
            <w:tcW w:w="3277" w:type="pct"/>
            <w:tcBorders>
              <w:top w:val="single" w:sz="4" w:space="0" w:color="auto"/>
              <w:left w:val="single" w:sz="4" w:space="0" w:color="auto"/>
              <w:bottom w:val="single" w:sz="4" w:space="0" w:color="auto"/>
              <w:right w:val="single" w:sz="4" w:space="0" w:color="auto"/>
            </w:tcBorders>
          </w:tcPr>
          <w:p w14:paraId="26D9FE63" w14:textId="77777777" w:rsidR="00D12268" w:rsidRPr="004F5A6B" w:rsidRDefault="00D12268" w:rsidP="00556AB6">
            <w:pPr>
              <w:pStyle w:val="Tabletext1"/>
            </w:pPr>
            <w:r>
              <w:t>Systematic review</w:t>
            </w:r>
          </w:p>
        </w:tc>
      </w:tr>
      <w:tr w:rsidR="00D12268" w:rsidRPr="00183E4D" w14:paraId="5E3733B4" w14:textId="77777777" w:rsidTr="008C2135">
        <w:trPr>
          <w:trHeight w:val="20"/>
        </w:trPr>
        <w:tc>
          <w:tcPr>
            <w:tcW w:w="1723" w:type="pct"/>
            <w:tcBorders>
              <w:top w:val="single" w:sz="4" w:space="0" w:color="auto"/>
              <w:left w:val="single" w:sz="4" w:space="0" w:color="auto"/>
              <w:bottom w:val="single" w:sz="4" w:space="0" w:color="auto"/>
              <w:right w:val="single" w:sz="4" w:space="0" w:color="auto"/>
            </w:tcBorders>
            <w:hideMark/>
          </w:tcPr>
          <w:p w14:paraId="00F47344" w14:textId="77777777" w:rsidR="00D12268" w:rsidRPr="00183E4D" w:rsidRDefault="00D12268" w:rsidP="00556AB6">
            <w:pPr>
              <w:pStyle w:val="Tabletext1"/>
              <w:rPr>
                <w:b/>
              </w:rPr>
            </w:pPr>
            <w:r w:rsidRPr="00183E4D">
              <w:rPr>
                <w:b/>
              </w:rPr>
              <w:t>Time horizon</w:t>
            </w:r>
          </w:p>
        </w:tc>
        <w:tc>
          <w:tcPr>
            <w:tcW w:w="3277" w:type="pct"/>
            <w:tcBorders>
              <w:top w:val="single" w:sz="4" w:space="0" w:color="auto"/>
              <w:left w:val="single" w:sz="4" w:space="0" w:color="auto"/>
              <w:bottom w:val="single" w:sz="4" w:space="0" w:color="auto"/>
              <w:right w:val="single" w:sz="4" w:space="0" w:color="auto"/>
            </w:tcBorders>
            <w:hideMark/>
          </w:tcPr>
          <w:p w14:paraId="3CF6AC27" w14:textId="77777777" w:rsidR="00D12268" w:rsidRPr="004806B5" w:rsidRDefault="00D12268" w:rsidP="00556AB6">
            <w:pPr>
              <w:pStyle w:val="Tabletext1"/>
            </w:pPr>
            <w:r>
              <w:t>NA</w:t>
            </w:r>
          </w:p>
        </w:tc>
      </w:tr>
      <w:tr w:rsidR="00D12268" w:rsidRPr="00183E4D" w14:paraId="2F95CA52" w14:textId="77777777" w:rsidTr="008C2135">
        <w:trPr>
          <w:trHeight w:val="20"/>
        </w:trPr>
        <w:tc>
          <w:tcPr>
            <w:tcW w:w="1723" w:type="pct"/>
            <w:tcBorders>
              <w:top w:val="single" w:sz="4" w:space="0" w:color="auto"/>
              <w:left w:val="single" w:sz="4" w:space="0" w:color="auto"/>
              <w:bottom w:val="single" w:sz="4" w:space="0" w:color="auto"/>
              <w:right w:val="single" w:sz="4" w:space="0" w:color="auto"/>
            </w:tcBorders>
            <w:hideMark/>
          </w:tcPr>
          <w:p w14:paraId="06C7560A" w14:textId="77777777" w:rsidR="00D12268" w:rsidRPr="00183E4D" w:rsidRDefault="00D12268" w:rsidP="00556AB6">
            <w:pPr>
              <w:pStyle w:val="Tabletext1"/>
              <w:rPr>
                <w:b/>
              </w:rPr>
            </w:pPr>
            <w:r w:rsidRPr="00183E4D">
              <w:rPr>
                <w:b/>
              </w:rPr>
              <w:t>Outcomes</w:t>
            </w:r>
          </w:p>
        </w:tc>
        <w:tc>
          <w:tcPr>
            <w:tcW w:w="3277" w:type="pct"/>
            <w:tcBorders>
              <w:top w:val="single" w:sz="4" w:space="0" w:color="auto"/>
              <w:left w:val="single" w:sz="4" w:space="0" w:color="auto"/>
              <w:bottom w:val="single" w:sz="4" w:space="0" w:color="auto"/>
              <w:right w:val="single" w:sz="4" w:space="0" w:color="auto"/>
            </w:tcBorders>
          </w:tcPr>
          <w:p w14:paraId="283C6259" w14:textId="77777777" w:rsidR="00D12268" w:rsidRPr="00183E4D" w:rsidRDefault="00D12268" w:rsidP="00556AB6">
            <w:pPr>
              <w:pStyle w:val="Tabletext1"/>
            </w:pPr>
            <w:r>
              <w:t>Cost of MR-guided radiation therapy and CBCT-guided radiation therapy, cost of treatment related to adverse events in prostate cancer patients</w:t>
            </w:r>
          </w:p>
        </w:tc>
      </w:tr>
      <w:tr w:rsidR="00D12268" w:rsidRPr="00183E4D" w14:paraId="02E92EDE" w14:textId="77777777" w:rsidTr="008C2135">
        <w:trPr>
          <w:trHeight w:val="20"/>
        </w:trPr>
        <w:tc>
          <w:tcPr>
            <w:tcW w:w="1723" w:type="pct"/>
            <w:tcBorders>
              <w:top w:val="single" w:sz="4" w:space="0" w:color="auto"/>
              <w:left w:val="single" w:sz="4" w:space="0" w:color="auto"/>
              <w:bottom w:val="single" w:sz="4" w:space="0" w:color="auto"/>
              <w:right w:val="single" w:sz="4" w:space="0" w:color="auto"/>
            </w:tcBorders>
            <w:hideMark/>
          </w:tcPr>
          <w:p w14:paraId="207F8B66" w14:textId="77777777" w:rsidR="00D12268" w:rsidRPr="00183E4D" w:rsidRDefault="00D12268" w:rsidP="00556AB6">
            <w:pPr>
              <w:pStyle w:val="Tabletext1"/>
              <w:rPr>
                <w:b/>
              </w:rPr>
            </w:pPr>
            <w:r w:rsidRPr="00183E4D">
              <w:rPr>
                <w:b/>
              </w:rPr>
              <w:t>Methods used to generate results</w:t>
            </w:r>
          </w:p>
        </w:tc>
        <w:tc>
          <w:tcPr>
            <w:tcW w:w="3277" w:type="pct"/>
            <w:tcBorders>
              <w:top w:val="single" w:sz="4" w:space="0" w:color="auto"/>
              <w:left w:val="single" w:sz="4" w:space="0" w:color="auto"/>
              <w:bottom w:val="single" w:sz="4" w:space="0" w:color="auto"/>
              <w:right w:val="single" w:sz="4" w:space="0" w:color="auto"/>
            </w:tcBorders>
          </w:tcPr>
          <w:p w14:paraId="58139933" w14:textId="77777777" w:rsidR="00D12268" w:rsidRPr="00A533B1" w:rsidRDefault="00D12268" w:rsidP="00556AB6">
            <w:pPr>
              <w:pStyle w:val="Tabletext1"/>
            </w:pPr>
            <w:r w:rsidRPr="00A533B1">
              <w:t>Cost-minimisation model</w:t>
            </w:r>
          </w:p>
        </w:tc>
      </w:tr>
      <w:tr w:rsidR="00D12268" w:rsidRPr="00183E4D" w14:paraId="14BD1DDB" w14:textId="77777777" w:rsidTr="008C2135">
        <w:trPr>
          <w:trHeight w:val="20"/>
        </w:trPr>
        <w:tc>
          <w:tcPr>
            <w:tcW w:w="1723" w:type="pct"/>
            <w:tcBorders>
              <w:top w:val="single" w:sz="4" w:space="0" w:color="auto"/>
              <w:left w:val="single" w:sz="4" w:space="0" w:color="auto"/>
              <w:bottom w:val="single" w:sz="4" w:space="0" w:color="auto"/>
              <w:right w:val="single" w:sz="4" w:space="0" w:color="auto"/>
            </w:tcBorders>
          </w:tcPr>
          <w:p w14:paraId="46B7BF5C" w14:textId="77777777" w:rsidR="00D12268" w:rsidRPr="00183E4D" w:rsidRDefault="00D12268" w:rsidP="00556AB6">
            <w:pPr>
              <w:pStyle w:val="Tabletext1"/>
              <w:rPr>
                <w:b/>
              </w:rPr>
            </w:pPr>
            <w:r w:rsidRPr="00183E4D">
              <w:rPr>
                <w:b/>
              </w:rPr>
              <w:t>Discount rate</w:t>
            </w:r>
          </w:p>
        </w:tc>
        <w:tc>
          <w:tcPr>
            <w:tcW w:w="3277" w:type="pct"/>
            <w:tcBorders>
              <w:top w:val="single" w:sz="4" w:space="0" w:color="auto"/>
              <w:left w:val="single" w:sz="4" w:space="0" w:color="auto"/>
              <w:bottom w:val="single" w:sz="4" w:space="0" w:color="auto"/>
              <w:right w:val="single" w:sz="4" w:space="0" w:color="auto"/>
            </w:tcBorders>
          </w:tcPr>
          <w:p w14:paraId="1234F58F" w14:textId="77777777" w:rsidR="00D12268" w:rsidRPr="003C2E12" w:rsidRDefault="00D12268" w:rsidP="00556AB6">
            <w:pPr>
              <w:pStyle w:val="Tabletext1"/>
            </w:pPr>
            <w:r>
              <w:t>NA</w:t>
            </w:r>
          </w:p>
        </w:tc>
      </w:tr>
      <w:tr w:rsidR="00D12268" w:rsidRPr="00183E4D" w14:paraId="336BF35D" w14:textId="77777777" w:rsidTr="008C2135">
        <w:trPr>
          <w:trHeight w:val="20"/>
        </w:trPr>
        <w:tc>
          <w:tcPr>
            <w:tcW w:w="1723" w:type="pct"/>
            <w:tcBorders>
              <w:top w:val="single" w:sz="4" w:space="0" w:color="auto"/>
              <w:left w:val="single" w:sz="4" w:space="0" w:color="auto"/>
              <w:bottom w:val="single" w:sz="4" w:space="0" w:color="auto"/>
              <w:right w:val="single" w:sz="4" w:space="0" w:color="auto"/>
            </w:tcBorders>
            <w:hideMark/>
          </w:tcPr>
          <w:p w14:paraId="362F2929" w14:textId="77777777" w:rsidR="00D12268" w:rsidRPr="00183E4D" w:rsidRDefault="00D12268" w:rsidP="00556AB6">
            <w:pPr>
              <w:pStyle w:val="Tabletext1"/>
              <w:rPr>
                <w:b/>
              </w:rPr>
            </w:pPr>
            <w:r w:rsidRPr="00183E4D">
              <w:rPr>
                <w:b/>
              </w:rPr>
              <w:t>Software packages used</w:t>
            </w:r>
          </w:p>
        </w:tc>
        <w:tc>
          <w:tcPr>
            <w:tcW w:w="3277" w:type="pct"/>
            <w:tcBorders>
              <w:top w:val="single" w:sz="4" w:space="0" w:color="auto"/>
              <w:left w:val="single" w:sz="4" w:space="0" w:color="auto"/>
              <w:bottom w:val="single" w:sz="4" w:space="0" w:color="auto"/>
              <w:right w:val="single" w:sz="4" w:space="0" w:color="auto"/>
            </w:tcBorders>
          </w:tcPr>
          <w:p w14:paraId="4A4AD220" w14:textId="77777777" w:rsidR="00D12268" w:rsidRPr="003C2E12" w:rsidRDefault="00D12268" w:rsidP="00556AB6">
            <w:pPr>
              <w:pStyle w:val="Tabletext1"/>
            </w:pPr>
            <w:r>
              <w:t xml:space="preserve">Microsoft Excel </w:t>
            </w:r>
            <w:bookmarkStart w:id="499" w:name="_Hlk56420760"/>
            <w:r>
              <w:t xml:space="preserve">2016 MSO </w:t>
            </w:r>
            <w:bookmarkStart w:id="500" w:name="_Hlk55828865"/>
            <w:r>
              <w:t>(16.0.8431.2110) 64-bit</w:t>
            </w:r>
            <w:bookmarkEnd w:id="499"/>
            <w:bookmarkEnd w:id="500"/>
          </w:p>
        </w:tc>
      </w:tr>
    </w:tbl>
    <w:p w14:paraId="4F63F32D" w14:textId="77777777" w:rsidR="00D12268" w:rsidRDefault="00D12268" w:rsidP="00D12268">
      <w:pPr>
        <w:pStyle w:val="Tablenotes0"/>
      </w:pPr>
      <w:bookmarkStart w:id="501" w:name="_Toc395200799"/>
      <w:r>
        <w:t>NA=Not applicable; MSO=Microsoft Office</w:t>
      </w:r>
    </w:p>
    <w:p w14:paraId="4874EE9F" w14:textId="77777777" w:rsidR="00D12268" w:rsidRDefault="00D12268" w:rsidP="00D12268">
      <w:pPr>
        <w:pStyle w:val="Heading3"/>
      </w:pPr>
      <w:bookmarkStart w:id="502" w:name="_Toc59018796"/>
      <w:bookmarkStart w:id="503" w:name="_Toc59020340"/>
      <w:bookmarkStart w:id="504" w:name="_Toc59439562"/>
      <w:bookmarkStart w:id="505" w:name="_Toc89857834"/>
      <w:r>
        <w:t>Literature review</w:t>
      </w:r>
      <w:bookmarkEnd w:id="501"/>
      <w:bookmarkEnd w:id="502"/>
      <w:bookmarkEnd w:id="503"/>
      <w:bookmarkEnd w:id="504"/>
      <w:bookmarkEnd w:id="505"/>
    </w:p>
    <w:p w14:paraId="48F32B78" w14:textId="396B2C48" w:rsidR="00D12268" w:rsidRDefault="00D12268" w:rsidP="00D12268">
      <w:r>
        <w:t>A literature review was conducted on 18</w:t>
      </w:r>
      <w:r w:rsidRPr="00337B06">
        <w:rPr>
          <w:vertAlign w:val="superscript"/>
        </w:rPr>
        <w:t>th</w:t>
      </w:r>
      <w:r>
        <w:t xml:space="preserve"> September 2020 using OVID MEDLINE, EMBASE, NHS Economic Evaluation Database, and the HTA websites (</w:t>
      </w:r>
      <w:hyperlink r:id="rId31" w:history="1">
        <w:r w:rsidRPr="00DA4125">
          <w:rPr>
            <w:rStyle w:val="Hyperlink"/>
          </w:rPr>
          <w:t>https://www.journalslibrary.nihr.ac.uk</w:t>
        </w:r>
      </w:hyperlink>
      <w:r>
        <w:t xml:space="preserve">, </w:t>
      </w:r>
      <w:hyperlink r:id="rId32" w:history="1">
        <w:r w:rsidRPr="00DA4125">
          <w:rPr>
            <w:rStyle w:val="Hyperlink"/>
          </w:rPr>
          <w:t>https://www.cadth.ca</w:t>
        </w:r>
      </w:hyperlink>
      <w:r>
        <w:t>) for the studies published since 16</w:t>
      </w:r>
      <w:r w:rsidRPr="002242BC">
        <w:rPr>
          <w:vertAlign w:val="superscript"/>
        </w:rPr>
        <w:t>th</w:t>
      </w:r>
      <w:r>
        <w:t xml:space="preserve"> September 2020. The literature search of the publications on economic evaluation is provided in </w:t>
      </w:r>
      <w:r>
        <w:fldChar w:fldCharType="begin"/>
      </w:r>
      <w:r>
        <w:instrText xml:space="preserve"> REF _Ref56419933 \h </w:instrText>
      </w:r>
      <w:r>
        <w:fldChar w:fldCharType="separate"/>
      </w:r>
      <w:r w:rsidR="00451350">
        <w:t xml:space="preserve">Table </w:t>
      </w:r>
      <w:r w:rsidR="00451350">
        <w:rPr>
          <w:noProof/>
        </w:rPr>
        <w:t>44</w:t>
      </w:r>
      <w:r>
        <w:fldChar w:fldCharType="end"/>
      </w:r>
      <w:r>
        <w:t xml:space="preserve"> and </w:t>
      </w:r>
      <w:r>
        <w:fldChar w:fldCharType="begin"/>
      </w:r>
      <w:r>
        <w:instrText xml:space="preserve"> REF _Ref56419939 \h </w:instrText>
      </w:r>
      <w:r>
        <w:fldChar w:fldCharType="separate"/>
      </w:r>
      <w:r w:rsidR="00451350">
        <w:t xml:space="preserve">Table </w:t>
      </w:r>
      <w:r w:rsidR="00451350">
        <w:rPr>
          <w:noProof/>
        </w:rPr>
        <w:t>45</w:t>
      </w:r>
      <w:r>
        <w:fldChar w:fldCharType="end"/>
      </w:r>
      <w:r>
        <w:t xml:space="preserve">. A total of 418 citations were retrieved, and one relevant cost-effectiveness analysis of MR-IGRT vs CBCT-IGRT in prostate cancer patients in United States </w:t>
      </w:r>
      <w:r w:rsidR="000C77B0">
        <w:fldChar w:fldCharType="begin"/>
      </w:r>
      <w:r w:rsidR="000C77B0">
        <w:instrText xml:space="preserve"> ADDIN EN.CITE &lt;EndNote&gt;&lt;Cite&gt;&lt;Author&gt;Schumacher&lt;/Author&gt;&lt;Year&gt;2020&lt;/Year&gt;&lt;RecNum&gt;93&lt;/RecNum&gt;&lt;DisplayText&gt;(Schumacher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0C77B0">
        <w:fldChar w:fldCharType="separate"/>
      </w:r>
      <w:r w:rsidR="000C77B0">
        <w:rPr>
          <w:noProof/>
        </w:rPr>
        <w:t>(</w:t>
      </w:r>
      <w:hyperlink w:anchor="_ENREF_62" w:tooltip="Schumacher, 2020 #93" w:history="1">
        <w:r w:rsidR="008B6FC0">
          <w:rPr>
            <w:noProof/>
          </w:rPr>
          <w:t>Schumacher et al., 2020</w:t>
        </w:r>
      </w:hyperlink>
      <w:r w:rsidR="000C77B0">
        <w:rPr>
          <w:noProof/>
        </w:rPr>
        <w:t>)</w:t>
      </w:r>
      <w:r w:rsidR="000C77B0">
        <w:fldChar w:fldCharType="end"/>
      </w:r>
      <w:r>
        <w:t xml:space="preserve"> was found to be relevant from the literature search. In addition, one peer-review publication </w:t>
      </w:r>
      <w:r w:rsidR="00E86B7A">
        <w:t xml:space="preserve">was identified </w:t>
      </w:r>
      <w:r>
        <w:t xml:space="preserve">from the United States </w:t>
      </w:r>
      <w:r w:rsidR="000C77B0">
        <w:fldChar w:fldCharType="begin"/>
      </w:r>
      <w:r w:rsidR="000C77B0">
        <w:instrText xml:space="preserve"> ADDIN EN.CITE &lt;EndNote&gt;&lt;Cite&gt;&lt;Author&gt;Parikh&lt;/Author&gt;&lt;Year&gt;2020&lt;/Year&gt;&lt;RecNum&gt;92&lt;/RecNum&gt;&lt;DisplayText&gt;(Parikh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0C77B0">
        <w:fldChar w:fldCharType="separate"/>
      </w:r>
      <w:r w:rsidR="000C77B0">
        <w:rPr>
          <w:noProof/>
        </w:rPr>
        <w:t>(</w:t>
      </w:r>
      <w:hyperlink w:anchor="_ENREF_57" w:tooltip="Parikh, 2020 #92" w:history="1">
        <w:r w:rsidR="008B6FC0">
          <w:rPr>
            <w:noProof/>
          </w:rPr>
          <w:t>Parikh et al., 2020</w:t>
        </w:r>
      </w:hyperlink>
      <w:r w:rsidR="000C77B0">
        <w:rPr>
          <w:noProof/>
        </w:rPr>
        <w:t>)</w:t>
      </w:r>
      <w:r w:rsidR="000C77B0">
        <w:fldChar w:fldCharType="end"/>
      </w:r>
      <w:r>
        <w:t xml:space="preserve"> on time-driven activity-based cost comparison of MR-guided SBRT vs CBCT-guided SBRT in patients with localized unresectable hepatocellular carcinoma to be relevant for this assessment. </w:t>
      </w:r>
      <w:r w:rsidR="00E86B7A">
        <w:t>The DCAR</w:t>
      </w:r>
      <w:r>
        <w:t xml:space="preserve"> modelled estimates on acute and late GI/GU toxicity of prostate cancer patients as reported in </w:t>
      </w:r>
      <w:r>
        <w:fldChar w:fldCharType="begin"/>
      </w:r>
      <w:r>
        <w:instrText xml:space="preserve"> REF _Ref55823918 \h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fldChar w:fldCharType="separate"/>
      </w:r>
      <w:r w:rsidR="00451350" w:rsidRPr="00E86441">
        <w:t xml:space="preserve">Table </w:t>
      </w:r>
      <w:r w:rsidR="00451350">
        <w:rPr>
          <w:noProof/>
        </w:rPr>
        <w:t>21</w:t>
      </w:r>
      <w:r>
        <w:fldChar w:fldCharType="end"/>
      </w:r>
      <w:r>
        <w:t xml:space="preserve">. </w:t>
      </w:r>
    </w:p>
    <w:p w14:paraId="33D76F0A" w14:textId="5F8EA6F6" w:rsidR="00D12268" w:rsidRDefault="00211285" w:rsidP="00D12268">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rsidR="00D12268">
        <w:t xml:space="preserve"> presented toxicity reduction required for MR-IGRT radiotherapy to be cost-effective in the treatment of localized prostate cancer compared with CBCT-guided radiation therapy conducted in the </w:t>
      </w:r>
      <w:r w:rsidR="00DA07F7">
        <w:t>U</w:t>
      </w:r>
      <w:r w:rsidR="00D12268">
        <w:t xml:space="preserve">nited </w:t>
      </w:r>
      <w:r w:rsidR="00DA07F7">
        <w:t>S</w:t>
      </w:r>
      <w:r w:rsidR="00D12268">
        <w:t xml:space="preserve">tates population. This study employed a markov model to simulate annual transitions between health states over 15 years after receiving prostate cancer treatment with CBCT-guided radiation therapy. For the purposes of this assessment, </w:t>
      </w:r>
      <w:r w:rsidR="0078354E">
        <w:t>the DCAR</w:t>
      </w:r>
      <w:r w:rsidR="00D12268">
        <w:t xml:space="preserve"> used the healthcare resources identified in delivering MR-IGRT and CBCT-guided radiation therapy with 5 fractions SBRT. </w:t>
      </w:r>
    </w:p>
    <w:p w14:paraId="6ACBA14E" w14:textId="7EA81F47" w:rsidR="00D12268" w:rsidRDefault="00D12268" w:rsidP="00D12268">
      <w:r>
        <w:t xml:space="preserve">The study by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t xml:space="preserve"> presented time-driven activity-based costing comparison of CBCT-IGRT versus MR-IGRT for patients with unresectable hepatocellular carcinoma as an example in the United States. </w:t>
      </w:r>
      <w:r w:rsidR="0078354E">
        <w:t>The DCAR</w:t>
      </w:r>
      <w:r>
        <w:t xml:space="preserve"> used the healthcare resources identified and the time estimates to calculate Australian relevant costs of delivering MR-IGRT and CBCT-IGRT. </w:t>
      </w:r>
    </w:p>
    <w:p w14:paraId="20F822E7" w14:textId="77777777" w:rsidR="00D12268" w:rsidRDefault="00D12268" w:rsidP="00D12268">
      <w:r>
        <w:lastRenderedPageBreak/>
        <w:t xml:space="preserve">Overall, none of the economic evaluations identified in the literature search were directly applicable to the proposed use of MR-IGRT in Australia. Due to paucity in evidence specific to the Australian setting it was decided to use the estimates provided in the two studies mentioned.  </w:t>
      </w:r>
    </w:p>
    <w:p w14:paraId="6A5FAB3E" w14:textId="5B9D9AAF" w:rsidR="00D12268" w:rsidRPr="00CE3544" w:rsidRDefault="00D12268" w:rsidP="00D12268">
      <w:pPr>
        <w:pStyle w:val="Caption"/>
      </w:pPr>
      <w:bookmarkStart w:id="506" w:name="_Ref56419933"/>
      <w:bookmarkStart w:id="507" w:name="_Ref56419925"/>
      <w:bookmarkStart w:id="508" w:name="_Toc89857915"/>
      <w:r>
        <w:t xml:space="preserve">Table </w:t>
      </w:r>
      <w:r w:rsidR="00211285">
        <w:fldChar w:fldCharType="begin"/>
      </w:r>
      <w:r w:rsidR="00211285">
        <w:instrText xml:space="preserve"> SEQ Table \* ARABIC </w:instrText>
      </w:r>
      <w:r w:rsidR="00211285">
        <w:fldChar w:fldCharType="separate"/>
      </w:r>
      <w:r w:rsidR="00451350">
        <w:rPr>
          <w:noProof/>
        </w:rPr>
        <w:t>44</w:t>
      </w:r>
      <w:r w:rsidR="00211285">
        <w:rPr>
          <w:noProof/>
        </w:rPr>
        <w:fldChar w:fldCharType="end"/>
      </w:r>
      <w:bookmarkEnd w:id="506"/>
      <w:r>
        <w:tab/>
        <w:t>Literature search from MEDLINE</w:t>
      </w:r>
      <w:bookmarkEnd w:id="507"/>
      <w:bookmarkEnd w:id="508"/>
    </w:p>
    <w:tbl>
      <w:tblPr>
        <w:tblStyle w:val="TableGrid1"/>
        <w:tblW w:w="5000" w:type="pct"/>
        <w:tblLook w:val="04A0" w:firstRow="1" w:lastRow="0" w:firstColumn="1" w:lastColumn="0" w:noHBand="0" w:noVBand="1"/>
        <w:tblCaption w:val="Table 44 "/>
        <w:tblDescription w:val="Literature search from MEDLINE"/>
      </w:tblPr>
      <w:tblGrid>
        <w:gridCol w:w="822"/>
        <w:gridCol w:w="7197"/>
        <w:gridCol w:w="997"/>
      </w:tblGrid>
      <w:tr w:rsidR="00D12268" w:rsidRPr="00683CB0" w14:paraId="0046105E" w14:textId="77777777" w:rsidTr="005007E2">
        <w:trPr>
          <w:cnfStyle w:val="100000000000" w:firstRow="1" w:lastRow="0" w:firstColumn="0" w:lastColumn="0" w:oddVBand="0" w:evenVBand="0" w:oddHBand="0" w:evenHBand="0" w:firstRowFirstColumn="0" w:firstRowLastColumn="0" w:lastRowFirstColumn="0" w:lastRowLastColumn="0"/>
          <w:trHeight w:val="300"/>
        </w:trPr>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9539E" w14:textId="77777777" w:rsidR="00D12268" w:rsidRPr="00683CB0" w:rsidRDefault="00D12268" w:rsidP="003C2E12">
            <w:pPr>
              <w:pStyle w:val="TableHeading"/>
            </w:pPr>
            <w:r w:rsidRPr="00683CB0">
              <w:t>#</w:t>
            </w:r>
          </w:p>
        </w:tc>
        <w:tc>
          <w:tcPr>
            <w:tcW w:w="3991" w:type="pct"/>
            <w:tcBorders>
              <w:top w:val="single" w:sz="4" w:space="0" w:color="auto"/>
              <w:left w:val="nil"/>
              <w:bottom w:val="single" w:sz="4" w:space="0" w:color="auto"/>
              <w:right w:val="single" w:sz="4" w:space="0" w:color="auto"/>
            </w:tcBorders>
            <w:shd w:val="clear" w:color="auto" w:fill="auto"/>
            <w:noWrap/>
            <w:vAlign w:val="bottom"/>
            <w:hideMark/>
          </w:tcPr>
          <w:p w14:paraId="7949DC64" w14:textId="77777777" w:rsidR="00D12268" w:rsidRPr="00683CB0" w:rsidRDefault="00D12268" w:rsidP="003C2E12">
            <w:pPr>
              <w:pStyle w:val="TableHeading"/>
            </w:pPr>
            <w:r w:rsidRPr="00683CB0">
              <w:t>Search terms</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2198DC3F" w14:textId="77777777" w:rsidR="00D12268" w:rsidRPr="00683CB0" w:rsidRDefault="00D12268" w:rsidP="005007E2">
            <w:pPr>
              <w:pStyle w:val="TableHeading"/>
              <w:jc w:val="center"/>
            </w:pPr>
            <w:r w:rsidRPr="00683CB0">
              <w:t>Hits</w:t>
            </w:r>
          </w:p>
        </w:tc>
      </w:tr>
      <w:tr w:rsidR="00D12268" w:rsidRPr="00683CB0" w14:paraId="7E64FCCA" w14:textId="77777777" w:rsidTr="005007E2">
        <w:trPr>
          <w:trHeight w:val="15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AEE9176" w14:textId="77777777" w:rsidR="00D12268" w:rsidRPr="00683CB0" w:rsidRDefault="00D12268" w:rsidP="003C2E12">
            <w:pPr>
              <w:pStyle w:val="Tabletext1"/>
            </w:pPr>
            <w:r w:rsidRPr="00683CB0">
              <w:t>1</w:t>
            </w:r>
          </w:p>
        </w:tc>
        <w:tc>
          <w:tcPr>
            <w:tcW w:w="3991" w:type="pct"/>
            <w:tcBorders>
              <w:top w:val="nil"/>
              <w:left w:val="nil"/>
              <w:bottom w:val="single" w:sz="4" w:space="0" w:color="auto"/>
              <w:right w:val="single" w:sz="4" w:space="0" w:color="auto"/>
            </w:tcBorders>
            <w:shd w:val="clear" w:color="auto" w:fill="auto"/>
            <w:vAlign w:val="bottom"/>
            <w:hideMark/>
          </w:tcPr>
          <w:p w14:paraId="4D4F0EE5" w14:textId="77777777" w:rsidR="00D12268" w:rsidRPr="00683CB0" w:rsidRDefault="00D12268" w:rsidP="003C2E12">
            <w:pPr>
              <w:pStyle w:val="Tabletext1"/>
            </w:pPr>
            <w:r w:rsidRPr="00683CB0">
              <w:t>("Magnetic Resonance Imaging" or MRI).mp. and (guidance or guided).ab,kf,ti. [mp=title, abstract, original title, name of substance word, subject heading word, floating sub-heading word, keyword heading word, organism supplementary concept word, protocol supplementary concept word, rare disease supplementary concept word, unique identifier, synonyms]</w:t>
            </w:r>
          </w:p>
        </w:tc>
        <w:tc>
          <w:tcPr>
            <w:tcW w:w="553" w:type="pct"/>
            <w:tcBorders>
              <w:top w:val="nil"/>
              <w:left w:val="nil"/>
              <w:bottom w:val="single" w:sz="4" w:space="0" w:color="auto"/>
              <w:right w:val="single" w:sz="4" w:space="0" w:color="auto"/>
            </w:tcBorders>
            <w:shd w:val="clear" w:color="auto" w:fill="auto"/>
            <w:noWrap/>
            <w:vAlign w:val="center"/>
            <w:hideMark/>
          </w:tcPr>
          <w:p w14:paraId="6CFB43CD" w14:textId="77777777" w:rsidR="00D12268" w:rsidRPr="00683CB0" w:rsidRDefault="00D12268" w:rsidP="003C2E12">
            <w:pPr>
              <w:pStyle w:val="Tabletext1"/>
              <w:jc w:val="center"/>
            </w:pPr>
            <w:r w:rsidRPr="00683CB0">
              <w:t>13587</w:t>
            </w:r>
          </w:p>
        </w:tc>
      </w:tr>
      <w:tr w:rsidR="00D12268" w:rsidRPr="00683CB0" w14:paraId="6983860B"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0342D230" w14:textId="77777777" w:rsidR="00D12268" w:rsidRPr="00683CB0" w:rsidRDefault="00D12268" w:rsidP="003C2E12">
            <w:pPr>
              <w:pStyle w:val="Tabletext1"/>
            </w:pPr>
            <w:r w:rsidRPr="00683CB0">
              <w:t>2</w:t>
            </w:r>
          </w:p>
        </w:tc>
        <w:tc>
          <w:tcPr>
            <w:tcW w:w="3991" w:type="pct"/>
            <w:tcBorders>
              <w:top w:val="nil"/>
              <w:left w:val="nil"/>
              <w:bottom w:val="single" w:sz="4" w:space="0" w:color="auto"/>
              <w:right w:val="single" w:sz="4" w:space="0" w:color="auto"/>
            </w:tcBorders>
            <w:shd w:val="clear" w:color="auto" w:fill="auto"/>
            <w:vAlign w:val="bottom"/>
            <w:hideMark/>
          </w:tcPr>
          <w:p w14:paraId="35863835" w14:textId="77777777" w:rsidR="00D12268" w:rsidRPr="00683CB0" w:rsidRDefault="00D12268" w:rsidP="003C2E12">
            <w:pPr>
              <w:pStyle w:val="Tabletext1"/>
            </w:pPr>
            <w:r w:rsidRPr="00683CB0">
              <w:t>(RADIOTHERAPY or RADIATION).ab,kf,ti.</w:t>
            </w:r>
          </w:p>
        </w:tc>
        <w:tc>
          <w:tcPr>
            <w:tcW w:w="553" w:type="pct"/>
            <w:tcBorders>
              <w:top w:val="nil"/>
              <w:left w:val="nil"/>
              <w:bottom w:val="single" w:sz="4" w:space="0" w:color="auto"/>
              <w:right w:val="single" w:sz="4" w:space="0" w:color="auto"/>
            </w:tcBorders>
            <w:shd w:val="clear" w:color="auto" w:fill="auto"/>
            <w:noWrap/>
            <w:vAlign w:val="center"/>
            <w:hideMark/>
          </w:tcPr>
          <w:p w14:paraId="792708A4" w14:textId="77777777" w:rsidR="00D12268" w:rsidRPr="00683CB0" w:rsidRDefault="00D12268" w:rsidP="003C2E12">
            <w:pPr>
              <w:pStyle w:val="Tabletext1"/>
              <w:jc w:val="center"/>
            </w:pPr>
            <w:r w:rsidRPr="00683CB0">
              <w:t>498569</w:t>
            </w:r>
          </w:p>
        </w:tc>
      </w:tr>
      <w:tr w:rsidR="00D12268" w:rsidRPr="00683CB0" w14:paraId="5492D646"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75BA479C" w14:textId="77777777" w:rsidR="00D12268" w:rsidRPr="00683CB0" w:rsidRDefault="00D12268" w:rsidP="003C2E12">
            <w:pPr>
              <w:pStyle w:val="Tabletext1"/>
            </w:pPr>
            <w:r w:rsidRPr="00683CB0">
              <w:t>3</w:t>
            </w:r>
          </w:p>
        </w:tc>
        <w:tc>
          <w:tcPr>
            <w:tcW w:w="3991" w:type="pct"/>
            <w:tcBorders>
              <w:top w:val="nil"/>
              <w:left w:val="nil"/>
              <w:bottom w:val="single" w:sz="4" w:space="0" w:color="auto"/>
              <w:right w:val="single" w:sz="4" w:space="0" w:color="auto"/>
            </w:tcBorders>
            <w:shd w:val="clear" w:color="auto" w:fill="auto"/>
            <w:vAlign w:val="bottom"/>
            <w:hideMark/>
          </w:tcPr>
          <w:p w14:paraId="065A0FEE" w14:textId="77777777" w:rsidR="00D12268" w:rsidRPr="00683CB0" w:rsidRDefault="00D12268" w:rsidP="003C2E12">
            <w:pPr>
              <w:pStyle w:val="Tabletext1"/>
            </w:pPr>
            <w:r w:rsidRPr="00683CB0">
              <w:t>1 and 2</w:t>
            </w:r>
          </w:p>
        </w:tc>
        <w:tc>
          <w:tcPr>
            <w:tcW w:w="553" w:type="pct"/>
            <w:tcBorders>
              <w:top w:val="nil"/>
              <w:left w:val="nil"/>
              <w:bottom w:val="single" w:sz="4" w:space="0" w:color="auto"/>
              <w:right w:val="single" w:sz="4" w:space="0" w:color="auto"/>
            </w:tcBorders>
            <w:shd w:val="clear" w:color="auto" w:fill="auto"/>
            <w:noWrap/>
            <w:vAlign w:val="center"/>
            <w:hideMark/>
          </w:tcPr>
          <w:p w14:paraId="4821D26F" w14:textId="77777777" w:rsidR="00D12268" w:rsidRPr="00683CB0" w:rsidRDefault="00D12268" w:rsidP="003C2E12">
            <w:pPr>
              <w:pStyle w:val="Tabletext1"/>
              <w:jc w:val="center"/>
            </w:pPr>
            <w:r w:rsidRPr="00683CB0">
              <w:t>1922</w:t>
            </w:r>
          </w:p>
        </w:tc>
      </w:tr>
      <w:tr w:rsidR="00D12268" w:rsidRPr="00683CB0" w14:paraId="1537DD53"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20330F20" w14:textId="77777777" w:rsidR="00D12268" w:rsidRPr="00683CB0" w:rsidRDefault="00D12268" w:rsidP="003C2E12">
            <w:pPr>
              <w:pStyle w:val="Tabletext1"/>
            </w:pPr>
            <w:r w:rsidRPr="00683CB0">
              <w:t>4</w:t>
            </w:r>
          </w:p>
        </w:tc>
        <w:tc>
          <w:tcPr>
            <w:tcW w:w="3991" w:type="pct"/>
            <w:tcBorders>
              <w:top w:val="nil"/>
              <w:left w:val="nil"/>
              <w:bottom w:val="single" w:sz="4" w:space="0" w:color="auto"/>
              <w:right w:val="single" w:sz="4" w:space="0" w:color="auto"/>
            </w:tcBorders>
            <w:shd w:val="clear" w:color="auto" w:fill="auto"/>
            <w:vAlign w:val="bottom"/>
            <w:hideMark/>
          </w:tcPr>
          <w:p w14:paraId="61D81457" w14:textId="77777777" w:rsidR="00D12268" w:rsidRPr="00683CB0" w:rsidRDefault="00D12268" w:rsidP="003C2E12">
            <w:pPr>
              <w:pStyle w:val="Tabletext1"/>
            </w:pPr>
            <w:r w:rsidRPr="00683CB0">
              <w:t>Economics/</w:t>
            </w:r>
          </w:p>
        </w:tc>
        <w:tc>
          <w:tcPr>
            <w:tcW w:w="553" w:type="pct"/>
            <w:tcBorders>
              <w:top w:val="nil"/>
              <w:left w:val="nil"/>
              <w:bottom w:val="single" w:sz="4" w:space="0" w:color="auto"/>
              <w:right w:val="single" w:sz="4" w:space="0" w:color="auto"/>
            </w:tcBorders>
            <w:shd w:val="clear" w:color="auto" w:fill="auto"/>
            <w:noWrap/>
            <w:vAlign w:val="center"/>
            <w:hideMark/>
          </w:tcPr>
          <w:p w14:paraId="39914604" w14:textId="77777777" w:rsidR="00D12268" w:rsidRPr="00683CB0" w:rsidRDefault="00D12268" w:rsidP="003C2E12">
            <w:pPr>
              <w:pStyle w:val="Tabletext1"/>
              <w:jc w:val="center"/>
            </w:pPr>
            <w:r w:rsidRPr="00683CB0">
              <w:t>27229</w:t>
            </w:r>
          </w:p>
        </w:tc>
      </w:tr>
      <w:tr w:rsidR="00D12268" w:rsidRPr="00683CB0" w14:paraId="662BD372"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B3272C6" w14:textId="77777777" w:rsidR="00D12268" w:rsidRPr="00683CB0" w:rsidRDefault="00D12268" w:rsidP="003C2E12">
            <w:pPr>
              <w:pStyle w:val="Tabletext1"/>
            </w:pPr>
            <w:r w:rsidRPr="00683CB0">
              <w:t>5</w:t>
            </w:r>
          </w:p>
        </w:tc>
        <w:tc>
          <w:tcPr>
            <w:tcW w:w="3991" w:type="pct"/>
            <w:tcBorders>
              <w:top w:val="nil"/>
              <w:left w:val="nil"/>
              <w:bottom w:val="single" w:sz="4" w:space="0" w:color="auto"/>
              <w:right w:val="single" w:sz="4" w:space="0" w:color="auto"/>
            </w:tcBorders>
            <w:shd w:val="clear" w:color="auto" w:fill="auto"/>
            <w:vAlign w:val="bottom"/>
            <w:hideMark/>
          </w:tcPr>
          <w:p w14:paraId="7969E38D" w14:textId="77777777" w:rsidR="00D12268" w:rsidRPr="00683CB0" w:rsidRDefault="00D12268" w:rsidP="003C2E12">
            <w:pPr>
              <w:pStyle w:val="Tabletext1"/>
            </w:pPr>
            <w:r w:rsidRPr="00683CB0">
              <w:t>exp "Costs and Cost Analysis"/</w:t>
            </w:r>
          </w:p>
        </w:tc>
        <w:tc>
          <w:tcPr>
            <w:tcW w:w="553" w:type="pct"/>
            <w:tcBorders>
              <w:top w:val="nil"/>
              <w:left w:val="nil"/>
              <w:bottom w:val="single" w:sz="4" w:space="0" w:color="auto"/>
              <w:right w:val="single" w:sz="4" w:space="0" w:color="auto"/>
            </w:tcBorders>
            <w:shd w:val="clear" w:color="auto" w:fill="auto"/>
            <w:noWrap/>
            <w:vAlign w:val="center"/>
            <w:hideMark/>
          </w:tcPr>
          <w:p w14:paraId="6E4B9F51" w14:textId="77777777" w:rsidR="00D12268" w:rsidRPr="00683CB0" w:rsidRDefault="00D12268" w:rsidP="003C2E12">
            <w:pPr>
              <w:pStyle w:val="Tabletext1"/>
              <w:jc w:val="center"/>
            </w:pPr>
            <w:r w:rsidRPr="00683CB0">
              <w:t>238443</w:t>
            </w:r>
          </w:p>
        </w:tc>
      </w:tr>
      <w:tr w:rsidR="00D12268" w:rsidRPr="00683CB0" w14:paraId="530B50E1"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3A5BA158" w14:textId="77777777" w:rsidR="00D12268" w:rsidRPr="00683CB0" w:rsidRDefault="00D12268" w:rsidP="003C2E12">
            <w:pPr>
              <w:pStyle w:val="Tabletext1"/>
            </w:pPr>
            <w:r w:rsidRPr="00683CB0">
              <w:t>6</w:t>
            </w:r>
          </w:p>
        </w:tc>
        <w:tc>
          <w:tcPr>
            <w:tcW w:w="3991" w:type="pct"/>
            <w:tcBorders>
              <w:top w:val="nil"/>
              <w:left w:val="nil"/>
              <w:bottom w:val="single" w:sz="4" w:space="0" w:color="auto"/>
              <w:right w:val="single" w:sz="4" w:space="0" w:color="auto"/>
            </w:tcBorders>
            <w:shd w:val="clear" w:color="auto" w:fill="auto"/>
            <w:vAlign w:val="bottom"/>
            <w:hideMark/>
          </w:tcPr>
          <w:p w14:paraId="68497A25" w14:textId="77777777" w:rsidR="00D12268" w:rsidRPr="00683CB0" w:rsidRDefault="00D12268" w:rsidP="003C2E12">
            <w:pPr>
              <w:pStyle w:val="Tabletext1"/>
            </w:pPr>
            <w:r w:rsidRPr="00683CB0">
              <w:t>Economics, Nursing/</w:t>
            </w:r>
          </w:p>
        </w:tc>
        <w:tc>
          <w:tcPr>
            <w:tcW w:w="553" w:type="pct"/>
            <w:tcBorders>
              <w:top w:val="nil"/>
              <w:left w:val="nil"/>
              <w:bottom w:val="single" w:sz="4" w:space="0" w:color="auto"/>
              <w:right w:val="single" w:sz="4" w:space="0" w:color="auto"/>
            </w:tcBorders>
            <w:shd w:val="clear" w:color="auto" w:fill="auto"/>
            <w:noWrap/>
            <w:vAlign w:val="center"/>
            <w:hideMark/>
          </w:tcPr>
          <w:p w14:paraId="65DFBABA" w14:textId="77777777" w:rsidR="00D12268" w:rsidRPr="00683CB0" w:rsidRDefault="00D12268" w:rsidP="003C2E12">
            <w:pPr>
              <w:pStyle w:val="Tabletext1"/>
              <w:jc w:val="center"/>
            </w:pPr>
            <w:r w:rsidRPr="00683CB0">
              <w:t>3999</w:t>
            </w:r>
          </w:p>
        </w:tc>
      </w:tr>
      <w:tr w:rsidR="00D12268" w:rsidRPr="00683CB0" w14:paraId="55674819"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742AA35F" w14:textId="77777777" w:rsidR="00D12268" w:rsidRPr="00683CB0" w:rsidRDefault="00D12268" w:rsidP="003C2E12">
            <w:pPr>
              <w:pStyle w:val="Tabletext1"/>
            </w:pPr>
            <w:r w:rsidRPr="00683CB0">
              <w:t>7</w:t>
            </w:r>
          </w:p>
        </w:tc>
        <w:tc>
          <w:tcPr>
            <w:tcW w:w="3991" w:type="pct"/>
            <w:tcBorders>
              <w:top w:val="nil"/>
              <w:left w:val="nil"/>
              <w:bottom w:val="single" w:sz="4" w:space="0" w:color="auto"/>
              <w:right w:val="single" w:sz="4" w:space="0" w:color="auto"/>
            </w:tcBorders>
            <w:shd w:val="clear" w:color="auto" w:fill="auto"/>
            <w:vAlign w:val="bottom"/>
            <w:hideMark/>
          </w:tcPr>
          <w:p w14:paraId="22CA7956" w14:textId="77777777" w:rsidR="00D12268" w:rsidRPr="00683CB0" w:rsidRDefault="00D12268" w:rsidP="003C2E12">
            <w:pPr>
              <w:pStyle w:val="Tabletext1"/>
            </w:pPr>
            <w:r w:rsidRPr="00683CB0">
              <w:t>Economics, Medical/</w:t>
            </w:r>
          </w:p>
        </w:tc>
        <w:tc>
          <w:tcPr>
            <w:tcW w:w="553" w:type="pct"/>
            <w:tcBorders>
              <w:top w:val="nil"/>
              <w:left w:val="nil"/>
              <w:bottom w:val="single" w:sz="4" w:space="0" w:color="auto"/>
              <w:right w:val="single" w:sz="4" w:space="0" w:color="auto"/>
            </w:tcBorders>
            <w:shd w:val="clear" w:color="auto" w:fill="auto"/>
            <w:noWrap/>
            <w:vAlign w:val="center"/>
            <w:hideMark/>
          </w:tcPr>
          <w:p w14:paraId="4C9D9B9A" w14:textId="77777777" w:rsidR="00D12268" w:rsidRPr="00683CB0" w:rsidRDefault="00D12268" w:rsidP="003C2E12">
            <w:pPr>
              <w:pStyle w:val="Tabletext1"/>
              <w:jc w:val="center"/>
            </w:pPr>
            <w:r w:rsidRPr="00683CB0">
              <w:t>9100</w:t>
            </w:r>
          </w:p>
        </w:tc>
      </w:tr>
      <w:tr w:rsidR="00D12268" w:rsidRPr="00683CB0" w14:paraId="2190D697"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7645C929" w14:textId="77777777" w:rsidR="00D12268" w:rsidRPr="00683CB0" w:rsidRDefault="00D12268" w:rsidP="003C2E12">
            <w:pPr>
              <w:pStyle w:val="Tabletext1"/>
            </w:pPr>
            <w:r w:rsidRPr="00683CB0">
              <w:t>8</w:t>
            </w:r>
          </w:p>
        </w:tc>
        <w:tc>
          <w:tcPr>
            <w:tcW w:w="3991" w:type="pct"/>
            <w:tcBorders>
              <w:top w:val="nil"/>
              <w:left w:val="nil"/>
              <w:bottom w:val="single" w:sz="4" w:space="0" w:color="auto"/>
              <w:right w:val="single" w:sz="4" w:space="0" w:color="auto"/>
            </w:tcBorders>
            <w:shd w:val="clear" w:color="auto" w:fill="auto"/>
            <w:vAlign w:val="bottom"/>
            <w:hideMark/>
          </w:tcPr>
          <w:p w14:paraId="6E43212E" w14:textId="77777777" w:rsidR="00D12268" w:rsidRPr="00683CB0" w:rsidRDefault="00D12268" w:rsidP="003C2E12">
            <w:pPr>
              <w:pStyle w:val="Tabletext1"/>
            </w:pPr>
            <w:r w:rsidRPr="00683CB0">
              <w:t>Economics, Pharmaceutical/</w:t>
            </w:r>
          </w:p>
        </w:tc>
        <w:tc>
          <w:tcPr>
            <w:tcW w:w="553" w:type="pct"/>
            <w:tcBorders>
              <w:top w:val="nil"/>
              <w:left w:val="nil"/>
              <w:bottom w:val="single" w:sz="4" w:space="0" w:color="auto"/>
              <w:right w:val="single" w:sz="4" w:space="0" w:color="auto"/>
            </w:tcBorders>
            <w:shd w:val="clear" w:color="auto" w:fill="auto"/>
            <w:noWrap/>
            <w:vAlign w:val="center"/>
            <w:hideMark/>
          </w:tcPr>
          <w:p w14:paraId="205CC225" w14:textId="77777777" w:rsidR="00D12268" w:rsidRPr="00683CB0" w:rsidRDefault="00D12268" w:rsidP="003C2E12">
            <w:pPr>
              <w:pStyle w:val="Tabletext1"/>
              <w:jc w:val="center"/>
            </w:pPr>
            <w:r w:rsidRPr="00683CB0">
              <w:t>2953</w:t>
            </w:r>
          </w:p>
        </w:tc>
      </w:tr>
      <w:tr w:rsidR="00D12268" w:rsidRPr="00683CB0" w14:paraId="1D8EF9AE"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4C852DD4" w14:textId="77777777" w:rsidR="00D12268" w:rsidRPr="00683CB0" w:rsidRDefault="00D12268" w:rsidP="003C2E12">
            <w:pPr>
              <w:pStyle w:val="Tabletext1"/>
            </w:pPr>
            <w:r w:rsidRPr="00683CB0">
              <w:t>9</w:t>
            </w:r>
          </w:p>
        </w:tc>
        <w:tc>
          <w:tcPr>
            <w:tcW w:w="3991" w:type="pct"/>
            <w:tcBorders>
              <w:top w:val="nil"/>
              <w:left w:val="nil"/>
              <w:bottom w:val="single" w:sz="4" w:space="0" w:color="auto"/>
              <w:right w:val="single" w:sz="4" w:space="0" w:color="auto"/>
            </w:tcBorders>
            <w:shd w:val="clear" w:color="auto" w:fill="auto"/>
            <w:vAlign w:val="bottom"/>
            <w:hideMark/>
          </w:tcPr>
          <w:p w14:paraId="2C3C0917" w14:textId="77777777" w:rsidR="00D12268" w:rsidRPr="00683CB0" w:rsidRDefault="00D12268" w:rsidP="003C2E12">
            <w:pPr>
              <w:pStyle w:val="Tabletext1"/>
            </w:pPr>
            <w:r w:rsidRPr="00683CB0">
              <w:t>exp Economics, Hospital/</w:t>
            </w:r>
          </w:p>
        </w:tc>
        <w:tc>
          <w:tcPr>
            <w:tcW w:w="553" w:type="pct"/>
            <w:tcBorders>
              <w:top w:val="nil"/>
              <w:left w:val="nil"/>
              <w:bottom w:val="single" w:sz="4" w:space="0" w:color="auto"/>
              <w:right w:val="single" w:sz="4" w:space="0" w:color="auto"/>
            </w:tcBorders>
            <w:shd w:val="clear" w:color="auto" w:fill="auto"/>
            <w:noWrap/>
            <w:vAlign w:val="center"/>
            <w:hideMark/>
          </w:tcPr>
          <w:p w14:paraId="1635807D" w14:textId="77777777" w:rsidR="00D12268" w:rsidRPr="00683CB0" w:rsidRDefault="00D12268" w:rsidP="003C2E12">
            <w:pPr>
              <w:pStyle w:val="Tabletext1"/>
              <w:jc w:val="center"/>
            </w:pPr>
            <w:r w:rsidRPr="00683CB0">
              <w:t>24679</w:t>
            </w:r>
          </w:p>
        </w:tc>
      </w:tr>
      <w:tr w:rsidR="00D12268" w:rsidRPr="00683CB0" w14:paraId="147BD029"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10D3984" w14:textId="77777777" w:rsidR="00D12268" w:rsidRPr="00683CB0" w:rsidRDefault="00D12268" w:rsidP="003C2E12">
            <w:pPr>
              <w:pStyle w:val="Tabletext1"/>
            </w:pPr>
            <w:r w:rsidRPr="00683CB0">
              <w:t>10</w:t>
            </w:r>
          </w:p>
        </w:tc>
        <w:tc>
          <w:tcPr>
            <w:tcW w:w="3991" w:type="pct"/>
            <w:tcBorders>
              <w:top w:val="nil"/>
              <w:left w:val="nil"/>
              <w:bottom w:val="single" w:sz="4" w:space="0" w:color="auto"/>
              <w:right w:val="single" w:sz="4" w:space="0" w:color="auto"/>
            </w:tcBorders>
            <w:shd w:val="clear" w:color="auto" w:fill="auto"/>
            <w:vAlign w:val="bottom"/>
            <w:hideMark/>
          </w:tcPr>
          <w:p w14:paraId="4364445C" w14:textId="77777777" w:rsidR="00D12268" w:rsidRPr="00683CB0" w:rsidRDefault="00D12268" w:rsidP="003C2E12">
            <w:pPr>
              <w:pStyle w:val="Tabletext1"/>
            </w:pPr>
            <w:r w:rsidRPr="00683CB0">
              <w:t>Economics, Dental/</w:t>
            </w:r>
          </w:p>
        </w:tc>
        <w:tc>
          <w:tcPr>
            <w:tcW w:w="553" w:type="pct"/>
            <w:tcBorders>
              <w:top w:val="nil"/>
              <w:left w:val="nil"/>
              <w:bottom w:val="single" w:sz="4" w:space="0" w:color="auto"/>
              <w:right w:val="single" w:sz="4" w:space="0" w:color="auto"/>
            </w:tcBorders>
            <w:shd w:val="clear" w:color="auto" w:fill="auto"/>
            <w:noWrap/>
            <w:vAlign w:val="center"/>
            <w:hideMark/>
          </w:tcPr>
          <w:p w14:paraId="789F5B3B" w14:textId="77777777" w:rsidR="00D12268" w:rsidRPr="00683CB0" w:rsidRDefault="00D12268" w:rsidP="003C2E12">
            <w:pPr>
              <w:pStyle w:val="Tabletext1"/>
              <w:jc w:val="center"/>
            </w:pPr>
            <w:r w:rsidRPr="00683CB0">
              <w:t>1911</w:t>
            </w:r>
          </w:p>
        </w:tc>
      </w:tr>
      <w:tr w:rsidR="00D12268" w:rsidRPr="00683CB0" w14:paraId="5FFCDC17"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6CED73C2" w14:textId="77777777" w:rsidR="00D12268" w:rsidRPr="00683CB0" w:rsidRDefault="00D12268" w:rsidP="003C2E12">
            <w:pPr>
              <w:pStyle w:val="Tabletext1"/>
            </w:pPr>
            <w:r w:rsidRPr="00683CB0">
              <w:t>11</w:t>
            </w:r>
          </w:p>
        </w:tc>
        <w:tc>
          <w:tcPr>
            <w:tcW w:w="3991" w:type="pct"/>
            <w:tcBorders>
              <w:top w:val="nil"/>
              <w:left w:val="nil"/>
              <w:bottom w:val="single" w:sz="4" w:space="0" w:color="auto"/>
              <w:right w:val="single" w:sz="4" w:space="0" w:color="auto"/>
            </w:tcBorders>
            <w:shd w:val="clear" w:color="auto" w:fill="auto"/>
            <w:vAlign w:val="bottom"/>
            <w:hideMark/>
          </w:tcPr>
          <w:p w14:paraId="6C7EC286" w14:textId="77777777" w:rsidR="00D12268" w:rsidRPr="00683CB0" w:rsidRDefault="00D12268" w:rsidP="003C2E12">
            <w:pPr>
              <w:pStyle w:val="Tabletext1"/>
            </w:pPr>
            <w:r w:rsidRPr="00683CB0">
              <w:t>exp "Fees and Charges"/</w:t>
            </w:r>
          </w:p>
        </w:tc>
        <w:tc>
          <w:tcPr>
            <w:tcW w:w="553" w:type="pct"/>
            <w:tcBorders>
              <w:top w:val="nil"/>
              <w:left w:val="nil"/>
              <w:bottom w:val="single" w:sz="4" w:space="0" w:color="auto"/>
              <w:right w:val="single" w:sz="4" w:space="0" w:color="auto"/>
            </w:tcBorders>
            <w:shd w:val="clear" w:color="auto" w:fill="auto"/>
            <w:noWrap/>
            <w:vAlign w:val="center"/>
            <w:hideMark/>
          </w:tcPr>
          <w:p w14:paraId="55F981FE" w14:textId="77777777" w:rsidR="00D12268" w:rsidRPr="00683CB0" w:rsidRDefault="00D12268" w:rsidP="003C2E12">
            <w:pPr>
              <w:pStyle w:val="Tabletext1"/>
              <w:jc w:val="center"/>
            </w:pPr>
            <w:r w:rsidRPr="00683CB0">
              <w:t>30403</w:t>
            </w:r>
          </w:p>
        </w:tc>
      </w:tr>
      <w:tr w:rsidR="00D12268" w:rsidRPr="00683CB0" w14:paraId="1BDB2EB3"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02945100" w14:textId="77777777" w:rsidR="00D12268" w:rsidRPr="00683CB0" w:rsidRDefault="00D12268" w:rsidP="003C2E12">
            <w:pPr>
              <w:pStyle w:val="Tabletext1"/>
            </w:pPr>
            <w:r w:rsidRPr="00683CB0">
              <w:t>12</w:t>
            </w:r>
          </w:p>
        </w:tc>
        <w:tc>
          <w:tcPr>
            <w:tcW w:w="3991" w:type="pct"/>
            <w:tcBorders>
              <w:top w:val="nil"/>
              <w:left w:val="nil"/>
              <w:bottom w:val="single" w:sz="4" w:space="0" w:color="auto"/>
              <w:right w:val="single" w:sz="4" w:space="0" w:color="auto"/>
            </w:tcBorders>
            <w:shd w:val="clear" w:color="auto" w:fill="auto"/>
            <w:vAlign w:val="bottom"/>
            <w:hideMark/>
          </w:tcPr>
          <w:p w14:paraId="0EF41D08" w14:textId="77777777" w:rsidR="00D12268" w:rsidRPr="00683CB0" w:rsidRDefault="00D12268" w:rsidP="003C2E12">
            <w:pPr>
              <w:pStyle w:val="Tabletext1"/>
            </w:pPr>
            <w:r w:rsidRPr="00683CB0">
              <w:t>exp Budgets/</w:t>
            </w:r>
          </w:p>
        </w:tc>
        <w:tc>
          <w:tcPr>
            <w:tcW w:w="553" w:type="pct"/>
            <w:tcBorders>
              <w:top w:val="nil"/>
              <w:left w:val="nil"/>
              <w:bottom w:val="single" w:sz="4" w:space="0" w:color="auto"/>
              <w:right w:val="single" w:sz="4" w:space="0" w:color="auto"/>
            </w:tcBorders>
            <w:shd w:val="clear" w:color="auto" w:fill="auto"/>
            <w:noWrap/>
            <w:vAlign w:val="center"/>
            <w:hideMark/>
          </w:tcPr>
          <w:p w14:paraId="460A7FF2" w14:textId="77777777" w:rsidR="00D12268" w:rsidRPr="00683CB0" w:rsidRDefault="00D12268" w:rsidP="003C2E12">
            <w:pPr>
              <w:pStyle w:val="Tabletext1"/>
              <w:jc w:val="center"/>
            </w:pPr>
            <w:r w:rsidRPr="00683CB0">
              <w:t>13743</w:t>
            </w:r>
          </w:p>
        </w:tc>
      </w:tr>
      <w:tr w:rsidR="00D12268" w:rsidRPr="00683CB0" w14:paraId="68971356"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429B3CF4" w14:textId="77777777" w:rsidR="00D12268" w:rsidRPr="00683CB0" w:rsidRDefault="00D12268" w:rsidP="003C2E12">
            <w:pPr>
              <w:pStyle w:val="Tabletext1"/>
            </w:pPr>
            <w:r w:rsidRPr="00683CB0">
              <w:t>13</w:t>
            </w:r>
          </w:p>
        </w:tc>
        <w:tc>
          <w:tcPr>
            <w:tcW w:w="3991" w:type="pct"/>
            <w:tcBorders>
              <w:top w:val="nil"/>
              <w:left w:val="nil"/>
              <w:bottom w:val="single" w:sz="4" w:space="0" w:color="auto"/>
              <w:right w:val="single" w:sz="4" w:space="0" w:color="auto"/>
            </w:tcBorders>
            <w:shd w:val="clear" w:color="auto" w:fill="auto"/>
            <w:vAlign w:val="bottom"/>
            <w:hideMark/>
          </w:tcPr>
          <w:p w14:paraId="587E31C2" w14:textId="77777777" w:rsidR="00D12268" w:rsidRPr="00683CB0" w:rsidRDefault="00D12268" w:rsidP="003C2E12">
            <w:pPr>
              <w:pStyle w:val="Tabletext1"/>
            </w:pPr>
            <w:r w:rsidRPr="00683CB0">
              <w:t>budget*.ti,ab,kf.</w:t>
            </w:r>
          </w:p>
        </w:tc>
        <w:tc>
          <w:tcPr>
            <w:tcW w:w="553" w:type="pct"/>
            <w:tcBorders>
              <w:top w:val="nil"/>
              <w:left w:val="nil"/>
              <w:bottom w:val="single" w:sz="4" w:space="0" w:color="auto"/>
              <w:right w:val="single" w:sz="4" w:space="0" w:color="auto"/>
            </w:tcBorders>
            <w:shd w:val="clear" w:color="auto" w:fill="auto"/>
            <w:noWrap/>
            <w:vAlign w:val="center"/>
            <w:hideMark/>
          </w:tcPr>
          <w:p w14:paraId="7C47C680" w14:textId="77777777" w:rsidR="00D12268" w:rsidRPr="00683CB0" w:rsidRDefault="00D12268" w:rsidP="003C2E12">
            <w:pPr>
              <w:pStyle w:val="Tabletext1"/>
              <w:jc w:val="center"/>
            </w:pPr>
            <w:r w:rsidRPr="00683CB0">
              <w:t>29994</w:t>
            </w:r>
          </w:p>
        </w:tc>
      </w:tr>
      <w:tr w:rsidR="00D12268" w:rsidRPr="00683CB0" w14:paraId="6ACEA0EE" w14:textId="77777777" w:rsidTr="005007E2">
        <w:trPr>
          <w:trHeight w:val="9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06CDA762" w14:textId="77777777" w:rsidR="00D12268" w:rsidRPr="00683CB0" w:rsidRDefault="00D12268" w:rsidP="003C2E12">
            <w:pPr>
              <w:pStyle w:val="Tabletext1"/>
            </w:pPr>
            <w:r w:rsidRPr="00683CB0">
              <w:t>14</w:t>
            </w:r>
          </w:p>
        </w:tc>
        <w:tc>
          <w:tcPr>
            <w:tcW w:w="3991" w:type="pct"/>
            <w:tcBorders>
              <w:top w:val="nil"/>
              <w:left w:val="nil"/>
              <w:bottom w:val="single" w:sz="4" w:space="0" w:color="auto"/>
              <w:right w:val="single" w:sz="4" w:space="0" w:color="auto"/>
            </w:tcBorders>
            <w:shd w:val="clear" w:color="auto" w:fill="auto"/>
            <w:vAlign w:val="bottom"/>
            <w:hideMark/>
          </w:tcPr>
          <w:p w14:paraId="1A9B059D" w14:textId="77777777" w:rsidR="00D12268" w:rsidRPr="00683CB0" w:rsidRDefault="00D12268" w:rsidP="003C2E12">
            <w:pPr>
              <w:pStyle w:val="Tabletext1"/>
            </w:pPr>
            <w:r w:rsidRPr="00683CB0">
              <w:t>(economic* or cost or costs or costly or costing or price or prices or pricing or pharmacoeconomic* or pharmaco-economic* or expenditure or expenditures or expense or expenses or financial or finance or finances or financed).ti,kf.</w:t>
            </w:r>
          </w:p>
        </w:tc>
        <w:tc>
          <w:tcPr>
            <w:tcW w:w="553" w:type="pct"/>
            <w:tcBorders>
              <w:top w:val="nil"/>
              <w:left w:val="nil"/>
              <w:bottom w:val="single" w:sz="4" w:space="0" w:color="auto"/>
              <w:right w:val="single" w:sz="4" w:space="0" w:color="auto"/>
            </w:tcBorders>
            <w:shd w:val="clear" w:color="auto" w:fill="auto"/>
            <w:noWrap/>
            <w:vAlign w:val="center"/>
            <w:hideMark/>
          </w:tcPr>
          <w:p w14:paraId="4833158D" w14:textId="77777777" w:rsidR="00D12268" w:rsidRPr="00683CB0" w:rsidRDefault="00D12268" w:rsidP="003C2E12">
            <w:pPr>
              <w:pStyle w:val="Tabletext1"/>
              <w:jc w:val="center"/>
            </w:pPr>
            <w:r w:rsidRPr="00683CB0">
              <w:t>231689</w:t>
            </w:r>
          </w:p>
        </w:tc>
      </w:tr>
      <w:tr w:rsidR="00D12268" w:rsidRPr="00683CB0" w14:paraId="1AE940CA" w14:textId="77777777" w:rsidTr="005007E2">
        <w:trPr>
          <w:trHeight w:val="9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400BB15" w14:textId="77777777" w:rsidR="00D12268" w:rsidRPr="00683CB0" w:rsidRDefault="00D12268" w:rsidP="003C2E12">
            <w:pPr>
              <w:pStyle w:val="Tabletext1"/>
            </w:pPr>
            <w:r w:rsidRPr="00683CB0">
              <w:t>15</w:t>
            </w:r>
          </w:p>
        </w:tc>
        <w:tc>
          <w:tcPr>
            <w:tcW w:w="3991" w:type="pct"/>
            <w:tcBorders>
              <w:top w:val="nil"/>
              <w:left w:val="nil"/>
              <w:bottom w:val="single" w:sz="4" w:space="0" w:color="auto"/>
              <w:right w:val="single" w:sz="4" w:space="0" w:color="auto"/>
            </w:tcBorders>
            <w:shd w:val="clear" w:color="auto" w:fill="auto"/>
            <w:vAlign w:val="bottom"/>
            <w:hideMark/>
          </w:tcPr>
          <w:p w14:paraId="7B15C867" w14:textId="77777777" w:rsidR="00D12268" w:rsidRPr="00683CB0" w:rsidRDefault="00D12268" w:rsidP="003C2E12">
            <w:pPr>
              <w:pStyle w:val="Tabletext1"/>
            </w:pPr>
            <w:r w:rsidRPr="00683CB0">
              <w:t>(economic* or cost or costs or costly or costing or price or prices or pricing or pharmacoeconomic* or pharmaco-economic* or expenditure or expenditures or expense or expenses or financial or finance or finances or financed).ab.</w:t>
            </w:r>
          </w:p>
        </w:tc>
        <w:tc>
          <w:tcPr>
            <w:tcW w:w="553" w:type="pct"/>
            <w:tcBorders>
              <w:top w:val="nil"/>
              <w:left w:val="nil"/>
              <w:bottom w:val="single" w:sz="4" w:space="0" w:color="auto"/>
              <w:right w:val="single" w:sz="4" w:space="0" w:color="auto"/>
            </w:tcBorders>
            <w:shd w:val="clear" w:color="auto" w:fill="auto"/>
            <w:noWrap/>
            <w:vAlign w:val="center"/>
            <w:hideMark/>
          </w:tcPr>
          <w:p w14:paraId="0DB604F7" w14:textId="77777777" w:rsidR="00D12268" w:rsidRPr="00683CB0" w:rsidRDefault="00D12268" w:rsidP="003C2E12">
            <w:pPr>
              <w:pStyle w:val="Tabletext1"/>
              <w:jc w:val="center"/>
            </w:pPr>
            <w:r w:rsidRPr="00683CB0">
              <w:t>864336</w:t>
            </w:r>
          </w:p>
        </w:tc>
      </w:tr>
      <w:tr w:rsidR="00D12268" w:rsidRPr="00683CB0" w14:paraId="57253DC7" w14:textId="77777777" w:rsidTr="005007E2">
        <w:trPr>
          <w:trHeight w:val="6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01673CAF" w14:textId="77777777" w:rsidR="00D12268" w:rsidRPr="00683CB0" w:rsidRDefault="00D12268" w:rsidP="003C2E12">
            <w:pPr>
              <w:pStyle w:val="Tabletext1"/>
            </w:pPr>
            <w:r w:rsidRPr="00683CB0">
              <w:t>16</w:t>
            </w:r>
          </w:p>
        </w:tc>
        <w:tc>
          <w:tcPr>
            <w:tcW w:w="3991" w:type="pct"/>
            <w:tcBorders>
              <w:top w:val="nil"/>
              <w:left w:val="nil"/>
              <w:bottom w:val="single" w:sz="4" w:space="0" w:color="auto"/>
              <w:right w:val="single" w:sz="4" w:space="0" w:color="auto"/>
            </w:tcBorders>
            <w:shd w:val="clear" w:color="auto" w:fill="auto"/>
            <w:vAlign w:val="bottom"/>
            <w:hideMark/>
          </w:tcPr>
          <w:p w14:paraId="708FBAFF" w14:textId="77777777" w:rsidR="00D12268" w:rsidRPr="00683CB0" w:rsidRDefault="00D12268" w:rsidP="003C2E12">
            <w:pPr>
              <w:pStyle w:val="Tabletext1"/>
            </w:pPr>
            <w:r w:rsidRPr="00683CB0">
              <w:t>(cost* adj2 (effective* or utilit* or benefit* or minimi* or analy* or outcome or outcomes)).ab,kf.</w:t>
            </w:r>
          </w:p>
        </w:tc>
        <w:tc>
          <w:tcPr>
            <w:tcW w:w="553" w:type="pct"/>
            <w:tcBorders>
              <w:top w:val="nil"/>
              <w:left w:val="nil"/>
              <w:bottom w:val="single" w:sz="4" w:space="0" w:color="auto"/>
              <w:right w:val="single" w:sz="4" w:space="0" w:color="auto"/>
            </w:tcBorders>
            <w:shd w:val="clear" w:color="auto" w:fill="auto"/>
            <w:noWrap/>
            <w:vAlign w:val="center"/>
            <w:hideMark/>
          </w:tcPr>
          <w:p w14:paraId="5505B608" w14:textId="77777777" w:rsidR="00D12268" w:rsidRPr="00683CB0" w:rsidRDefault="00D12268" w:rsidP="003C2E12">
            <w:pPr>
              <w:pStyle w:val="Tabletext1"/>
              <w:jc w:val="center"/>
            </w:pPr>
            <w:r w:rsidRPr="00683CB0">
              <w:t>165349</w:t>
            </w:r>
          </w:p>
        </w:tc>
      </w:tr>
      <w:tr w:rsidR="00D12268" w:rsidRPr="00683CB0" w14:paraId="6CD4BD5B"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4ABFD236" w14:textId="77777777" w:rsidR="00D12268" w:rsidRPr="00683CB0" w:rsidRDefault="00D12268" w:rsidP="003C2E12">
            <w:pPr>
              <w:pStyle w:val="Tabletext1"/>
            </w:pPr>
            <w:r w:rsidRPr="00683CB0">
              <w:t>17</w:t>
            </w:r>
          </w:p>
        </w:tc>
        <w:tc>
          <w:tcPr>
            <w:tcW w:w="3991" w:type="pct"/>
            <w:tcBorders>
              <w:top w:val="nil"/>
              <w:left w:val="nil"/>
              <w:bottom w:val="single" w:sz="4" w:space="0" w:color="auto"/>
              <w:right w:val="single" w:sz="4" w:space="0" w:color="auto"/>
            </w:tcBorders>
            <w:shd w:val="clear" w:color="auto" w:fill="auto"/>
            <w:vAlign w:val="bottom"/>
            <w:hideMark/>
          </w:tcPr>
          <w:p w14:paraId="3BF03011" w14:textId="77777777" w:rsidR="00D12268" w:rsidRPr="00683CB0" w:rsidRDefault="00D12268" w:rsidP="003C2E12">
            <w:pPr>
              <w:pStyle w:val="Tabletext1"/>
            </w:pPr>
            <w:r w:rsidRPr="00683CB0">
              <w:t>(value adj2 (money or monetary)).ti,ab,kf.</w:t>
            </w:r>
          </w:p>
        </w:tc>
        <w:tc>
          <w:tcPr>
            <w:tcW w:w="553" w:type="pct"/>
            <w:tcBorders>
              <w:top w:val="nil"/>
              <w:left w:val="nil"/>
              <w:bottom w:val="single" w:sz="4" w:space="0" w:color="auto"/>
              <w:right w:val="single" w:sz="4" w:space="0" w:color="auto"/>
            </w:tcBorders>
            <w:shd w:val="clear" w:color="auto" w:fill="auto"/>
            <w:noWrap/>
            <w:vAlign w:val="center"/>
            <w:hideMark/>
          </w:tcPr>
          <w:p w14:paraId="0870DCD6" w14:textId="77777777" w:rsidR="00D12268" w:rsidRPr="00683CB0" w:rsidRDefault="00D12268" w:rsidP="003C2E12">
            <w:pPr>
              <w:pStyle w:val="Tabletext1"/>
              <w:jc w:val="center"/>
            </w:pPr>
            <w:r w:rsidRPr="00683CB0">
              <w:t>2428</w:t>
            </w:r>
          </w:p>
        </w:tc>
      </w:tr>
      <w:tr w:rsidR="00D12268" w:rsidRPr="00683CB0" w14:paraId="420ECF32"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38712E11" w14:textId="77777777" w:rsidR="00D12268" w:rsidRPr="00683CB0" w:rsidRDefault="00D12268" w:rsidP="003C2E12">
            <w:pPr>
              <w:pStyle w:val="Tabletext1"/>
            </w:pPr>
            <w:r w:rsidRPr="00683CB0">
              <w:t>18</w:t>
            </w:r>
          </w:p>
        </w:tc>
        <w:tc>
          <w:tcPr>
            <w:tcW w:w="3991" w:type="pct"/>
            <w:tcBorders>
              <w:top w:val="nil"/>
              <w:left w:val="nil"/>
              <w:bottom w:val="single" w:sz="4" w:space="0" w:color="auto"/>
              <w:right w:val="single" w:sz="4" w:space="0" w:color="auto"/>
            </w:tcBorders>
            <w:shd w:val="clear" w:color="auto" w:fill="auto"/>
            <w:vAlign w:val="bottom"/>
            <w:hideMark/>
          </w:tcPr>
          <w:p w14:paraId="69010C21" w14:textId="77777777" w:rsidR="00D12268" w:rsidRPr="00683CB0" w:rsidRDefault="00D12268" w:rsidP="003C2E12">
            <w:pPr>
              <w:pStyle w:val="Tabletext1"/>
            </w:pPr>
            <w:r w:rsidRPr="00683CB0">
              <w:t>exp models, economic/</w:t>
            </w:r>
          </w:p>
        </w:tc>
        <w:tc>
          <w:tcPr>
            <w:tcW w:w="553" w:type="pct"/>
            <w:tcBorders>
              <w:top w:val="nil"/>
              <w:left w:val="nil"/>
              <w:bottom w:val="single" w:sz="4" w:space="0" w:color="auto"/>
              <w:right w:val="single" w:sz="4" w:space="0" w:color="auto"/>
            </w:tcBorders>
            <w:shd w:val="clear" w:color="auto" w:fill="auto"/>
            <w:noWrap/>
            <w:vAlign w:val="center"/>
            <w:hideMark/>
          </w:tcPr>
          <w:p w14:paraId="683B328A" w14:textId="77777777" w:rsidR="00D12268" w:rsidRPr="00683CB0" w:rsidRDefault="00D12268" w:rsidP="003C2E12">
            <w:pPr>
              <w:pStyle w:val="Tabletext1"/>
              <w:jc w:val="center"/>
            </w:pPr>
            <w:r w:rsidRPr="00683CB0">
              <w:t>15160</w:t>
            </w:r>
          </w:p>
        </w:tc>
      </w:tr>
      <w:tr w:rsidR="00D12268" w:rsidRPr="00683CB0" w14:paraId="2496E3E5"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4D2F7CB1" w14:textId="77777777" w:rsidR="00D12268" w:rsidRPr="00683CB0" w:rsidRDefault="00D12268" w:rsidP="003C2E12">
            <w:pPr>
              <w:pStyle w:val="Tabletext1"/>
            </w:pPr>
            <w:r w:rsidRPr="00683CB0">
              <w:t>19</w:t>
            </w:r>
          </w:p>
        </w:tc>
        <w:tc>
          <w:tcPr>
            <w:tcW w:w="3991" w:type="pct"/>
            <w:tcBorders>
              <w:top w:val="nil"/>
              <w:left w:val="nil"/>
              <w:bottom w:val="single" w:sz="4" w:space="0" w:color="auto"/>
              <w:right w:val="single" w:sz="4" w:space="0" w:color="auto"/>
            </w:tcBorders>
            <w:shd w:val="clear" w:color="auto" w:fill="auto"/>
            <w:vAlign w:val="bottom"/>
            <w:hideMark/>
          </w:tcPr>
          <w:p w14:paraId="31CF6FBD" w14:textId="77777777" w:rsidR="00D12268" w:rsidRPr="00683CB0" w:rsidRDefault="00D12268" w:rsidP="003C2E12">
            <w:pPr>
              <w:pStyle w:val="Tabletext1"/>
            </w:pPr>
            <w:r w:rsidRPr="00683CB0">
              <w:t>economic model*.ab,kf.</w:t>
            </w:r>
          </w:p>
        </w:tc>
        <w:tc>
          <w:tcPr>
            <w:tcW w:w="553" w:type="pct"/>
            <w:tcBorders>
              <w:top w:val="nil"/>
              <w:left w:val="nil"/>
              <w:bottom w:val="single" w:sz="4" w:space="0" w:color="auto"/>
              <w:right w:val="single" w:sz="4" w:space="0" w:color="auto"/>
            </w:tcBorders>
            <w:shd w:val="clear" w:color="auto" w:fill="auto"/>
            <w:noWrap/>
            <w:vAlign w:val="center"/>
            <w:hideMark/>
          </w:tcPr>
          <w:p w14:paraId="7DFE6C8A" w14:textId="77777777" w:rsidR="00D12268" w:rsidRPr="00683CB0" w:rsidRDefault="00D12268" w:rsidP="003C2E12">
            <w:pPr>
              <w:pStyle w:val="Tabletext1"/>
              <w:jc w:val="center"/>
            </w:pPr>
            <w:r w:rsidRPr="00683CB0">
              <w:t>3377</w:t>
            </w:r>
          </w:p>
        </w:tc>
      </w:tr>
      <w:tr w:rsidR="00D12268" w:rsidRPr="00683CB0" w14:paraId="06D62F75"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4BB1821C" w14:textId="77777777" w:rsidR="00D12268" w:rsidRPr="00683CB0" w:rsidRDefault="00D12268" w:rsidP="003C2E12">
            <w:pPr>
              <w:pStyle w:val="Tabletext1"/>
            </w:pPr>
            <w:r w:rsidRPr="00683CB0">
              <w:t>20</w:t>
            </w:r>
          </w:p>
        </w:tc>
        <w:tc>
          <w:tcPr>
            <w:tcW w:w="3991" w:type="pct"/>
            <w:tcBorders>
              <w:top w:val="nil"/>
              <w:left w:val="nil"/>
              <w:bottom w:val="single" w:sz="4" w:space="0" w:color="auto"/>
              <w:right w:val="single" w:sz="4" w:space="0" w:color="auto"/>
            </w:tcBorders>
            <w:shd w:val="clear" w:color="auto" w:fill="auto"/>
            <w:vAlign w:val="bottom"/>
            <w:hideMark/>
          </w:tcPr>
          <w:p w14:paraId="73D955AB" w14:textId="77777777" w:rsidR="00D12268" w:rsidRPr="00683CB0" w:rsidRDefault="00D12268" w:rsidP="003C2E12">
            <w:pPr>
              <w:pStyle w:val="Tabletext1"/>
            </w:pPr>
            <w:r w:rsidRPr="00683CB0">
              <w:t>markov chains/</w:t>
            </w:r>
          </w:p>
        </w:tc>
        <w:tc>
          <w:tcPr>
            <w:tcW w:w="553" w:type="pct"/>
            <w:tcBorders>
              <w:top w:val="nil"/>
              <w:left w:val="nil"/>
              <w:bottom w:val="single" w:sz="4" w:space="0" w:color="auto"/>
              <w:right w:val="single" w:sz="4" w:space="0" w:color="auto"/>
            </w:tcBorders>
            <w:shd w:val="clear" w:color="auto" w:fill="auto"/>
            <w:noWrap/>
            <w:vAlign w:val="center"/>
            <w:hideMark/>
          </w:tcPr>
          <w:p w14:paraId="73B877BB" w14:textId="77777777" w:rsidR="00D12268" w:rsidRPr="00683CB0" w:rsidRDefault="00D12268" w:rsidP="003C2E12">
            <w:pPr>
              <w:pStyle w:val="Tabletext1"/>
              <w:jc w:val="center"/>
            </w:pPr>
            <w:r w:rsidRPr="00683CB0">
              <w:t>14453</w:t>
            </w:r>
          </w:p>
        </w:tc>
      </w:tr>
      <w:tr w:rsidR="00D12268" w:rsidRPr="00683CB0" w14:paraId="4E5A5664"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61E74BFB" w14:textId="77777777" w:rsidR="00D12268" w:rsidRPr="00683CB0" w:rsidRDefault="00D12268" w:rsidP="003C2E12">
            <w:pPr>
              <w:pStyle w:val="Tabletext1"/>
            </w:pPr>
            <w:r w:rsidRPr="00683CB0">
              <w:t>21</w:t>
            </w:r>
          </w:p>
        </w:tc>
        <w:tc>
          <w:tcPr>
            <w:tcW w:w="3991" w:type="pct"/>
            <w:tcBorders>
              <w:top w:val="nil"/>
              <w:left w:val="nil"/>
              <w:bottom w:val="single" w:sz="4" w:space="0" w:color="auto"/>
              <w:right w:val="single" w:sz="4" w:space="0" w:color="auto"/>
            </w:tcBorders>
            <w:shd w:val="clear" w:color="auto" w:fill="auto"/>
            <w:vAlign w:val="bottom"/>
            <w:hideMark/>
          </w:tcPr>
          <w:p w14:paraId="015ACA08" w14:textId="77777777" w:rsidR="00D12268" w:rsidRPr="00683CB0" w:rsidRDefault="00D12268" w:rsidP="003C2E12">
            <w:pPr>
              <w:pStyle w:val="Tabletext1"/>
            </w:pPr>
            <w:r w:rsidRPr="00683CB0">
              <w:t>markov.ti,ab,kf.</w:t>
            </w:r>
          </w:p>
        </w:tc>
        <w:tc>
          <w:tcPr>
            <w:tcW w:w="553" w:type="pct"/>
            <w:tcBorders>
              <w:top w:val="nil"/>
              <w:left w:val="nil"/>
              <w:bottom w:val="single" w:sz="4" w:space="0" w:color="auto"/>
              <w:right w:val="single" w:sz="4" w:space="0" w:color="auto"/>
            </w:tcBorders>
            <w:shd w:val="clear" w:color="auto" w:fill="auto"/>
            <w:noWrap/>
            <w:vAlign w:val="center"/>
            <w:hideMark/>
          </w:tcPr>
          <w:p w14:paraId="13055353" w14:textId="77777777" w:rsidR="00D12268" w:rsidRPr="00683CB0" w:rsidRDefault="00D12268" w:rsidP="003C2E12">
            <w:pPr>
              <w:pStyle w:val="Tabletext1"/>
              <w:jc w:val="center"/>
            </w:pPr>
            <w:r w:rsidRPr="00683CB0">
              <w:t>22808</w:t>
            </w:r>
          </w:p>
        </w:tc>
      </w:tr>
      <w:tr w:rsidR="00D12268" w:rsidRPr="00683CB0" w14:paraId="2AC123F6"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7AB12B5B" w14:textId="77777777" w:rsidR="00D12268" w:rsidRPr="00683CB0" w:rsidRDefault="00D12268" w:rsidP="003C2E12">
            <w:pPr>
              <w:pStyle w:val="Tabletext1"/>
            </w:pPr>
            <w:r w:rsidRPr="00683CB0">
              <w:t>22</w:t>
            </w:r>
          </w:p>
        </w:tc>
        <w:tc>
          <w:tcPr>
            <w:tcW w:w="3991" w:type="pct"/>
            <w:tcBorders>
              <w:top w:val="nil"/>
              <w:left w:val="nil"/>
              <w:bottom w:val="single" w:sz="4" w:space="0" w:color="auto"/>
              <w:right w:val="single" w:sz="4" w:space="0" w:color="auto"/>
            </w:tcBorders>
            <w:shd w:val="clear" w:color="auto" w:fill="auto"/>
            <w:vAlign w:val="bottom"/>
            <w:hideMark/>
          </w:tcPr>
          <w:p w14:paraId="79D92F4D" w14:textId="77777777" w:rsidR="00D12268" w:rsidRPr="00683CB0" w:rsidRDefault="00D12268" w:rsidP="003C2E12">
            <w:pPr>
              <w:pStyle w:val="Tabletext1"/>
            </w:pPr>
            <w:r w:rsidRPr="00683CB0">
              <w:t>monte carlo method/</w:t>
            </w:r>
          </w:p>
        </w:tc>
        <w:tc>
          <w:tcPr>
            <w:tcW w:w="553" w:type="pct"/>
            <w:tcBorders>
              <w:top w:val="nil"/>
              <w:left w:val="nil"/>
              <w:bottom w:val="single" w:sz="4" w:space="0" w:color="auto"/>
              <w:right w:val="single" w:sz="4" w:space="0" w:color="auto"/>
            </w:tcBorders>
            <w:shd w:val="clear" w:color="auto" w:fill="auto"/>
            <w:noWrap/>
            <w:vAlign w:val="center"/>
            <w:hideMark/>
          </w:tcPr>
          <w:p w14:paraId="1BF896E2" w14:textId="77777777" w:rsidR="00D12268" w:rsidRPr="00683CB0" w:rsidRDefault="00D12268" w:rsidP="003C2E12">
            <w:pPr>
              <w:pStyle w:val="Tabletext1"/>
              <w:jc w:val="center"/>
            </w:pPr>
            <w:r w:rsidRPr="00683CB0">
              <w:t>28506</w:t>
            </w:r>
          </w:p>
        </w:tc>
      </w:tr>
      <w:tr w:rsidR="00D12268" w:rsidRPr="00683CB0" w14:paraId="5C9B66E4"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4E8D4F43" w14:textId="77777777" w:rsidR="00D12268" w:rsidRPr="00683CB0" w:rsidRDefault="00D12268" w:rsidP="003C2E12">
            <w:pPr>
              <w:pStyle w:val="Tabletext1"/>
            </w:pPr>
            <w:r w:rsidRPr="00683CB0">
              <w:t>23</w:t>
            </w:r>
          </w:p>
        </w:tc>
        <w:tc>
          <w:tcPr>
            <w:tcW w:w="3991" w:type="pct"/>
            <w:tcBorders>
              <w:top w:val="nil"/>
              <w:left w:val="nil"/>
              <w:bottom w:val="single" w:sz="4" w:space="0" w:color="auto"/>
              <w:right w:val="single" w:sz="4" w:space="0" w:color="auto"/>
            </w:tcBorders>
            <w:shd w:val="clear" w:color="auto" w:fill="auto"/>
            <w:vAlign w:val="bottom"/>
            <w:hideMark/>
          </w:tcPr>
          <w:p w14:paraId="1E268E57" w14:textId="77777777" w:rsidR="00D12268" w:rsidRPr="00683CB0" w:rsidRDefault="00D12268" w:rsidP="003C2E12">
            <w:pPr>
              <w:pStyle w:val="Tabletext1"/>
            </w:pPr>
            <w:r w:rsidRPr="00683CB0">
              <w:t>monte carlo.ti,ab,kf.</w:t>
            </w:r>
          </w:p>
        </w:tc>
        <w:tc>
          <w:tcPr>
            <w:tcW w:w="553" w:type="pct"/>
            <w:tcBorders>
              <w:top w:val="nil"/>
              <w:left w:val="nil"/>
              <w:bottom w:val="single" w:sz="4" w:space="0" w:color="auto"/>
              <w:right w:val="single" w:sz="4" w:space="0" w:color="auto"/>
            </w:tcBorders>
            <w:shd w:val="clear" w:color="auto" w:fill="auto"/>
            <w:noWrap/>
            <w:vAlign w:val="center"/>
            <w:hideMark/>
          </w:tcPr>
          <w:p w14:paraId="482F60A5" w14:textId="77777777" w:rsidR="00D12268" w:rsidRPr="00683CB0" w:rsidRDefault="00D12268" w:rsidP="003C2E12">
            <w:pPr>
              <w:pStyle w:val="Tabletext1"/>
              <w:jc w:val="center"/>
            </w:pPr>
            <w:r w:rsidRPr="00683CB0">
              <w:t>49805</w:t>
            </w:r>
          </w:p>
        </w:tc>
      </w:tr>
      <w:tr w:rsidR="00D12268" w:rsidRPr="00683CB0" w14:paraId="6FC29983"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50C72792" w14:textId="77777777" w:rsidR="00D12268" w:rsidRPr="00683CB0" w:rsidRDefault="00D12268" w:rsidP="003C2E12">
            <w:pPr>
              <w:pStyle w:val="Tabletext1"/>
            </w:pPr>
            <w:r w:rsidRPr="00683CB0">
              <w:t>24</w:t>
            </w:r>
          </w:p>
        </w:tc>
        <w:tc>
          <w:tcPr>
            <w:tcW w:w="3991" w:type="pct"/>
            <w:tcBorders>
              <w:top w:val="nil"/>
              <w:left w:val="nil"/>
              <w:bottom w:val="single" w:sz="4" w:space="0" w:color="auto"/>
              <w:right w:val="single" w:sz="4" w:space="0" w:color="auto"/>
            </w:tcBorders>
            <w:shd w:val="clear" w:color="auto" w:fill="auto"/>
            <w:vAlign w:val="bottom"/>
            <w:hideMark/>
          </w:tcPr>
          <w:p w14:paraId="0345F7B7" w14:textId="77777777" w:rsidR="00D12268" w:rsidRPr="00683CB0" w:rsidRDefault="00D12268" w:rsidP="003C2E12">
            <w:pPr>
              <w:pStyle w:val="Tabletext1"/>
            </w:pPr>
            <w:r w:rsidRPr="00683CB0">
              <w:t>exp Decision Theory/</w:t>
            </w:r>
          </w:p>
        </w:tc>
        <w:tc>
          <w:tcPr>
            <w:tcW w:w="553" w:type="pct"/>
            <w:tcBorders>
              <w:top w:val="nil"/>
              <w:left w:val="nil"/>
              <w:bottom w:val="single" w:sz="4" w:space="0" w:color="auto"/>
              <w:right w:val="single" w:sz="4" w:space="0" w:color="auto"/>
            </w:tcBorders>
            <w:shd w:val="clear" w:color="auto" w:fill="auto"/>
            <w:noWrap/>
            <w:vAlign w:val="center"/>
            <w:hideMark/>
          </w:tcPr>
          <w:p w14:paraId="2E3CDBA2" w14:textId="77777777" w:rsidR="00D12268" w:rsidRPr="00683CB0" w:rsidRDefault="00D12268" w:rsidP="003C2E12">
            <w:pPr>
              <w:pStyle w:val="Tabletext1"/>
              <w:jc w:val="center"/>
            </w:pPr>
            <w:r w:rsidRPr="00683CB0">
              <w:t>12129</w:t>
            </w:r>
          </w:p>
        </w:tc>
      </w:tr>
      <w:tr w:rsidR="00D12268" w:rsidRPr="00683CB0" w14:paraId="5267881E"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7882842" w14:textId="77777777" w:rsidR="00D12268" w:rsidRPr="00683CB0" w:rsidRDefault="00D12268" w:rsidP="003C2E12">
            <w:pPr>
              <w:pStyle w:val="Tabletext1"/>
            </w:pPr>
            <w:r w:rsidRPr="00683CB0">
              <w:t>25</w:t>
            </w:r>
          </w:p>
        </w:tc>
        <w:tc>
          <w:tcPr>
            <w:tcW w:w="3991" w:type="pct"/>
            <w:tcBorders>
              <w:top w:val="nil"/>
              <w:left w:val="nil"/>
              <w:bottom w:val="single" w:sz="4" w:space="0" w:color="auto"/>
              <w:right w:val="single" w:sz="4" w:space="0" w:color="auto"/>
            </w:tcBorders>
            <w:shd w:val="clear" w:color="auto" w:fill="auto"/>
            <w:vAlign w:val="bottom"/>
            <w:hideMark/>
          </w:tcPr>
          <w:p w14:paraId="5D7D3495" w14:textId="77777777" w:rsidR="00D12268" w:rsidRPr="00683CB0" w:rsidRDefault="00D12268" w:rsidP="003C2E12">
            <w:pPr>
              <w:pStyle w:val="Tabletext1"/>
            </w:pPr>
            <w:r w:rsidRPr="00683CB0">
              <w:t>(decision* adj2 (tree* or analy* or model*)).ti,ab,kf.</w:t>
            </w:r>
          </w:p>
        </w:tc>
        <w:tc>
          <w:tcPr>
            <w:tcW w:w="553" w:type="pct"/>
            <w:tcBorders>
              <w:top w:val="nil"/>
              <w:left w:val="nil"/>
              <w:bottom w:val="single" w:sz="4" w:space="0" w:color="auto"/>
              <w:right w:val="single" w:sz="4" w:space="0" w:color="auto"/>
            </w:tcBorders>
            <w:shd w:val="clear" w:color="auto" w:fill="auto"/>
            <w:noWrap/>
            <w:vAlign w:val="center"/>
            <w:hideMark/>
          </w:tcPr>
          <w:p w14:paraId="27571258" w14:textId="77777777" w:rsidR="00D12268" w:rsidRPr="00683CB0" w:rsidRDefault="00D12268" w:rsidP="003C2E12">
            <w:pPr>
              <w:pStyle w:val="Tabletext1"/>
              <w:jc w:val="center"/>
            </w:pPr>
            <w:r w:rsidRPr="00683CB0">
              <w:t>24653</w:t>
            </w:r>
          </w:p>
        </w:tc>
      </w:tr>
      <w:tr w:rsidR="00D12268" w:rsidRPr="00683CB0" w14:paraId="52B90621" w14:textId="77777777" w:rsidTr="005007E2">
        <w:trPr>
          <w:trHeight w:val="6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68DDD20B" w14:textId="77777777" w:rsidR="00D12268" w:rsidRPr="00683CB0" w:rsidRDefault="00D12268" w:rsidP="003C2E12">
            <w:pPr>
              <w:pStyle w:val="Tabletext1"/>
            </w:pPr>
            <w:r w:rsidRPr="00683CB0">
              <w:t>26</w:t>
            </w:r>
          </w:p>
        </w:tc>
        <w:tc>
          <w:tcPr>
            <w:tcW w:w="3991" w:type="pct"/>
            <w:tcBorders>
              <w:top w:val="nil"/>
              <w:left w:val="nil"/>
              <w:bottom w:val="single" w:sz="4" w:space="0" w:color="auto"/>
              <w:right w:val="single" w:sz="4" w:space="0" w:color="auto"/>
            </w:tcBorders>
            <w:shd w:val="clear" w:color="auto" w:fill="auto"/>
            <w:vAlign w:val="bottom"/>
            <w:hideMark/>
          </w:tcPr>
          <w:p w14:paraId="20CFE676" w14:textId="77777777" w:rsidR="00D12268" w:rsidRPr="00683CB0" w:rsidRDefault="00D12268" w:rsidP="003C2E12">
            <w:pPr>
              <w:pStyle w:val="Tabletext1"/>
            </w:pPr>
            <w:r w:rsidRPr="00683CB0">
              <w:t>4 or 5 or 6 or 7 or 8 or 9 or 10 or 11 or 12 or 13 or 14 or 15 or 16 or 17 or 18 or 19 or 20 or 21 or 22 or 23 or 24 or 25</w:t>
            </w:r>
          </w:p>
        </w:tc>
        <w:tc>
          <w:tcPr>
            <w:tcW w:w="553" w:type="pct"/>
            <w:tcBorders>
              <w:top w:val="nil"/>
              <w:left w:val="nil"/>
              <w:bottom w:val="single" w:sz="4" w:space="0" w:color="auto"/>
              <w:right w:val="single" w:sz="4" w:space="0" w:color="auto"/>
            </w:tcBorders>
            <w:shd w:val="clear" w:color="auto" w:fill="auto"/>
            <w:noWrap/>
            <w:vAlign w:val="center"/>
            <w:hideMark/>
          </w:tcPr>
          <w:p w14:paraId="62C8F702" w14:textId="77777777" w:rsidR="00D12268" w:rsidRPr="00683CB0" w:rsidRDefault="00D12268" w:rsidP="003C2E12">
            <w:pPr>
              <w:pStyle w:val="Tabletext1"/>
              <w:jc w:val="center"/>
            </w:pPr>
            <w:r w:rsidRPr="00683CB0">
              <w:t>1182430</w:t>
            </w:r>
          </w:p>
        </w:tc>
      </w:tr>
      <w:tr w:rsidR="00D12268" w:rsidRPr="00683CB0" w14:paraId="41405926" w14:textId="77777777" w:rsidTr="005007E2">
        <w:trPr>
          <w:trHeight w:val="30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F2D0A3D" w14:textId="77777777" w:rsidR="00D12268" w:rsidRPr="00683CB0" w:rsidRDefault="00D12268" w:rsidP="003C2E12">
            <w:pPr>
              <w:pStyle w:val="Tabletext1"/>
            </w:pPr>
            <w:r w:rsidRPr="00683CB0">
              <w:t>27</w:t>
            </w:r>
          </w:p>
        </w:tc>
        <w:tc>
          <w:tcPr>
            <w:tcW w:w="3991" w:type="pct"/>
            <w:tcBorders>
              <w:top w:val="nil"/>
              <w:left w:val="nil"/>
              <w:bottom w:val="single" w:sz="4" w:space="0" w:color="auto"/>
              <w:right w:val="single" w:sz="4" w:space="0" w:color="auto"/>
            </w:tcBorders>
            <w:shd w:val="clear" w:color="auto" w:fill="auto"/>
            <w:vAlign w:val="bottom"/>
            <w:hideMark/>
          </w:tcPr>
          <w:p w14:paraId="1DEE8F5E" w14:textId="77777777" w:rsidR="00D12268" w:rsidRPr="00683CB0" w:rsidRDefault="00D12268" w:rsidP="003C2E12">
            <w:pPr>
              <w:pStyle w:val="Tabletext1"/>
            </w:pPr>
            <w:r w:rsidRPr="00683CB0">
              <w:t>3 and 26</w:t>
            </w:r>
          </w:p>
        </w:tc>
        <w:tc>
          <w:tcPr>
            <w:tcW w:w="553" w:type="pct"/>
            <w:tcBorders>
              <w:top w:val="nil"/>
              <w:left w:val="nil"/>
              <w:bottom w:val="single" w:sz="4" w:space="0" w:color="auto"/>
              <w:right w:val="single" w:sz="4" w:space="0" w:color="auto"/>
            </w:tcBorders>
            <w:shd w:val="clear" w:color="auto" w:fill="auto"/>
            <w:noWrap/>
            <w:vAlign w:val="center"/>
            <w:hideMark/>
          </w:tcPr>
          <w:p w14:paraId="63FECE61" w14:textId="77777777" w:rsidR="00D12268" w:rsidRPr="00683CB0" w:rsidRDefault="00D12268" w:rsidP="003C2E12">
            <w:pPr>
              <w:pStyle w:val="Tabletext1"/>
              <w:jc w:val="center"/>
            </w:pPr>
            <w:r w:rsidRPr="00683CB0">
              <w:t>144</w:t>
            </w:r>
          </w:p>
        </w:tc>
      </w:tr>
    </w:tbl>
    <w:p w14:paraId="530A2AC8" w14:textId="158C74C0" w:rsidR="00D12268" w:rsidRDefault="00D12268" w:rsidP="00D12268">
      <w:pPr>
        <w:pStyle w:val="Caption"/>
      </w:pPr>
      <w:bookmarkStart w:id="509" w:name="_Ref56419939"/>
      <w:bookmarkStart w:id="510" w:name="_Toc89857916"/>
      <w:r>
        <w:lastRenderedPageBreak/>
        <w:t xml:space="preserve">Table </w:t>
      </w:r>
      <w:r w:rsidR="00211285">
        <w:fldChar w:fldCharType="begin"/>
      </w:r>
      <w:r w:rsidR="00211285">
        <w:instrText xml:space="preserve"> SEQ Table \* ARABIC </w:instrText>
      </w:r>
      <w:r w:rsidR="00211285">
        <w:fldChar w:fldCharType="separate"/>
      </w:r>
      <w:r w:rsidR="00451350">
        <w:rPr>
          <w:noProof/>
        </w:rPr>
        <w:t>45</w:t>
      </w:r>
      <w:r w:rsidR="00211285">
        <w:rPr>
          <w:noProof/>
        </w:rPr>
        <w:fldChar w:fldCharType="end"/>
      </w:r>
      <w:bookmarkEnd w:id="509"/>
      <w:r>
        <w:tab/>
        <w:t>Literature search from EMBASE</w:t>
      </w:r>
      <w:bookmarkEnd w:id="510"/>
      <w:r>
        <w:t xml:space="preserve"> </w:t>
      </w:r>
    </w:p>
    <w:tbl>
      <w:tblPr>
        <w:tblStyle w:val="TableGrid1"/>
        <w:tblW w:w="5000" w:type="pct"/>
        <w:tblLook w:val="04A0" w:firstRow="1" w:lastRow="0" w:firstColumn="1" w:lastColumn="0" w:noHBand="0" w:noVBand="1"/>
      </w:tblPr>
      <w:tblGrid>
        <w:gridCol w:w="768"/>
        <w:gridCol w:w="7343"/>
        <w:gridCol w:w="905"/>
      </w:tblGrid>
      <w:tr w:rsidR="00D12268" w:rsidRPr="00D75BF5" w14:paraId="178E1D4F" w14:textId="77777777" w:rsidTr="005007E2">
        <w:trPr>
          <w:cnfStyle w:val="100000000000" w:firstRow="1" w:lastRow="0" w:firstColumn="0" w:lastColumn="0" w:oddVBand="0" w:evenVBand="0" w:oddHBand="0" w:evenHBand="0" w:firstRowFirstColumn="0" w:firstRowLastColumn="0" w:lastRowFirstColumn="0" w:lastRowLastColumn="0"/>
          <w:trHeight w:val="300"/>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180FC6" w14:textId="77777777" w:rsidR="00D12268" w:rsidRPr="00D75BF5" w:rsidRDefault="00D12268" w:rsidP="003C2E12">
            <w:pPr>
              <w:pStyle w:val="TableHeading"/>
            </w:pPr>
            <w:r w:rsidRPr="00683CB0">
              <w:t>#</w:t>
            </w:r>
          </w:p>
        </w:tc>
        <w:tc>
          <w:tcPr>
            <w:tcW w:w="4071" w:type="pct"/>
            <w:tcBorders>
              <w:top w:val="single" w:sz="4" w:space="0" w:color="auto"/>
              <w:left w:val="single" w:sz="4" w:space="0" w:color="auto"/>
              <w:bottom w:val="single" w:sz="4" w:space="0" w:color="auto"/>
              <w:right w:val="single" w:sz="4" w:space="0" w:color="auto"/>
            </w:tcBorders>
            <w:shd w:val="clear" w:color="auto" w:fill="auto"/>
            <w:vAlign w:val="bottom"/>
          </w:tcPr>
          <w:p w14:paraId="5E2205F4" w14:textId="77777777" w:rsidR="00D12268" w:rsidRPr="00D75BF5" w:rsidRDefault="00D12268" w:rsidP="003C2E12">
            <w:pPr>
              <w:pStyle w:val="TableHeading"/>
            </w:pPr>
            <w:r w:rsidRPr="00683CB0">
              <w:t>Search terms</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A4B587A" w14:textId="77777777" w:rsidR="00D12268" w:rsidRPr="00D75BF5" w:rsidRDefault="00D12268" w:rsidP="005007E2">
            <w:pPr>
              <w:pStyle w:val="TableHeading"/>
              <w:jc w:val="center"/>
            </w:pPr>
            <w:r w:rsidRPr="00683CB0">
              <w:t>Hits</w:t>
            </w:r>
          </w:p>
        </w:tc>
      </w:tr>
      <w:tr w:rsidR="00D12268" w:rsidRPr="00D75BF5" w14:paraId="4FE17EAB"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42072323" w14:textId="77777777" w:rsidR="00D12268" w:rsidRPr="00D75BF5" w:rsidRDefault="00D12268" w:rsidP="003C2E12">
            <w:pPr>
              <w:pStyle w:val="Tabletext1"/>
            </w:pPr>
            <w:r w:rsidRPr="00D75BF5">
              <w:t>1</w:t>
            </w:r>
          </w:p>
        </w:tc>
        <w:tc>
          <w:tcPr>
            <w:tcW w:w="4071" w:type="pct"/>
            <w:tcBorders>
              <w:top w:val="nil"/>
              <w:left w:val="nil"/>
              <w:bottom w:val="single" w:sz="4" w:space="0" w:color="auto"/>
              <w:right w:val="single" w:sz="4" w:space="0" w:color="auto"/>
            </w:tcBorders>
            <w:shd w:val="clear" w:color="auto" w:fill="auto"/>
            <w:vAlign w:val="bottom"/>
            <w:hideMark/>
          </w:tcPr>
          <w:p w14:paraId="26DBBB7A" w14:textId="77777777" w:rsidR="00D12268" w:rsidRPr="00D75BF5" w:rsidRDefault="00D12268" w:rsidP="003C2E12">
            <w:pPr>
              <w:pStyle w:val="Tabletext1"/>
            </w:pPr>
            <w:r w:rsidRPr="00D75BF5">
              <w:t>(("Magnetic Resonance Imaging" or MRI) and (guidance or guided)).ab,kw,ti.</w:t>
            </w:r>
          </w:p>
        </w:tc>
        <w:tc>
          <w:tcPr>
            <w:tcW w:w="502" w:type="pct"/>
            <w:tcBorders>
              <w:top w:val="nil"/>
              <w:left w:val="nil"/>
              <w:bottom w:val="single" w:sz="4" w:space="0" w:color="auto"/>
              <w:right w:val="single" w:sz="4" w:space="0" w:color="auto"/>
            </w:tcBorders>
            <w:shd w:val="clear" w:color="auto" w:fill="auto"/>
            <w:noWrap/>
            <w:vAlign w:val="center"/>
            <w:hideMark/>
          </w:tcPr>
          <w:p w14:paraId="56B3EEEB" w14:textId="77777777" w:rsidR="00D12268" w:rsidRPr="00D75BF5" w:rsidRDefault="00D12268" w:rsidP="003C2E12">
            <w:pPr>
              <w:pStyle w:val="Tabletext1"/>
              <w:jc w:val="center"/>
            </w:pPr>
            <w:r w:rsidRPr="00D75BF5">
              <w:t>24414</w:t>
            </w:r>
          </w:p>
        </w:tc>
      </w:tr>
      <w:tr w:rsidR="00D12268" w:rsidRPr="00D75BF5" w14:paraId="32FA83B8"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18C54309" w14:textId="77777777" w:rsidR="00D12268" w:rsidRPr="00D75BF5" w:rsidRDefault="00D12268" w:rsidP="003C2E12">
            <w:pPr>
              <w:pStyle w:val="Tabletext1"/>
            </w:pPr>
            <w:r w:rsidRPr="00D75BF5">
              <w:t>2</w:t>
            </w:r>
          </w:p>
        </w:tc>
        <w:tc>
          <w:tcPr>
            <w:tcW w:w="4071" w:type="pct"/>
            <w:tcBorders>
              <w:top w:val="nil"/>
              <w:left w:val="nil"/>
              <w:bottom w:val="single" w:sz="4" w:space="0" w:color="auto"/>
              <w:right w:val="single" w:sz="4" w:space="0" w:color="auto"/>
            </w:tcBorders>
            <w:shd w:val="clear" w:color="auto" w:fill="auto"/>
            <w:vAlign w:val="bottom"/>
            <w:hideMark/>
          </w:tcPr>
          <w:p w14:paraId="62A96CBC" w14:textId="77777777" w:rsidR="00D12268" w:rsidRPr="00D75BF5" w:rsidRDefault="00D12268" w:rsidP="003C2E12">
            <w:pPr>
              <w:pStyle w:val="Tabletext1"/>
            </w:pPr>
            <w:r w:rsidRPr="00D75BF5">
              <w:t>(RADIOTHERAPY or RADIATION).ab,kw,ti.</w:t>
            </w:r>
          </w:p>
        </w:tc>
        <w:tc>
          <w:tcPr>
            <w:tcW w:w="502" w:type="pct"/>
            <w:tcBorders>
              <w:top w:val="nil"/>
              <w:left w:val="nil"/>
              <w:bottom w:val="single" w:sz="4" w:space="0" w:color="auto"/>
              <w:right w:val="single" w:sz="4" w:space="0" w:color="auto"/>
            </w:tcBorders>
            <w:shd w:val="clear" w:color="auto" w:fill="auto"/>
            <w:noWrap/>
            <w:vAlign w:val="center"/>
            <w:hideMark/>
          </w:tcPr>
          <w:p w14:paraId="18BD588B" w14:textId="77777777" w:rsidR="00D12268" w:rsidRPr="00D75BF5" w:rsidRDefault="00D12268" w:rsidP="003C2E12">
            <w:pPr>
              <w:pStyle w:val="Tabletext1"/>
              <w:jc w:val="center"/>
            </w:pPr>
            <w:r w:rsidRPr="00D75BF5">
              <w:t>722110</w:t>
            </w:r>
          </w:p>
        </w:tc>
      </w:tr>
      <w:tr w:rsidR="00D12268" w:rsidRPr="00D75BF5" w14:paraId="275E086F"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4F9BFEA9" w14:textId="77777777" w:rsidR="00D12268" w:rsidRPr="00D75BF5" w:rsidRDefault="00D12268" w:rsidP="003C2E12">
            <w:pPr>
              <w:pStyle w:val="Tabletext1"/>
            </w:pPr>
            <w:r w:rsidRPr="00D75BF5">
              <w:t>3</w:t>
            </w:r>
          </w:p>
        </w:tc>
        <w:tc>
          <w:tcPr>
            <w:tcW w:w="4071" w:type="pct"/>
            <w:tcBorders>
              <w:top w:val="nil"/>
              <w:left w:val="nil"/>
              <w:bottom w:val="single" w:sz="4" w:space="0" w:color="auto"/>
              <w:right w:val="single" w:sz="4" w:space="0" w:color="auto"/>
            </w:tcBorders>
            <w:shd w:val="clear" w:color="auto" w:fill="auto"/>
            <w:vAlign w:val="bottom"/>
            <w:hideMark/>
          </w:tcPr>
          <w:p w14:paraId="2E858AEA" w14:textId="77777777" w:rsidR="00D12268" w:rsidRPr="00D75BF5" w:rsidRDefault="00D12268" w:rsidP="003C2E12">
            <w:pPr>
              <w:pStyle w:val="Tabletext1"/>
            </w:pPr>
            <w:r w:rsidRPr="00D75BF5">
              <w:t>1 and 2</w:t>
            </w:r>
          </w:p>
        </w:tc>
        <w:tc>
          <w:tcPr>
            <w:tcW w:w="502" w:type="pct"/>
            <w:tcBorders>
              <w:top w:val="nil"/>
              <w:left w:val="nil"/>
              <w:bottom w:val="single" w:sz="4" w:space="0" w:color="auto"/>
              <w:right w:val="single" w:sz="4" w:space="0" w:color="auto"/>
            </w:tcBorders>
            <w:shd w:val="clear" w:color="auto" w:fill="auto"/>
            <w:noWrap/>
            <w:vAlign w:val="center"/>
            <w:hideMark/>
          </w:tcPr>
          <w:p w14:paraId="542EED9A" w14:textId="77777777" w:rsidR="00D12268" w:rsidRPr="00D75BF5" w:rsidRDefault="00D12268" w:rsidP="003C2E12">
            <w:pPr>
              <w:pStyle w:val="Tabletext1"/>
              <w:jc w:val="center"/>
            </w:pPr>
            <w:r w:rsidRPr="00D75BF5">
              <w:t>4459</w:t>
            </w:r>
          </w:p>
        </w:tc>
      </w:tr>
      <w:tr w:rsidR="00D12268" w:rsidRPr="00D75BF5" w14:paraId="404539EA"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5D765BD8" w14:textId="77777777" w:rsidR="00D12268" w:rsidRPr="00D75BF5" w:rsidRDefault="00D12268" w:rsidP="003C2E12">
            <w:pPr>
              <w:pStyle w:val="Tabletext1"/>
            </w:pPr>
            <w:r w:rsidRPr="00D75BF5">
              <w:t>4</w:t>
            </w:r>
          </w:p>
        </w:tc>
        <w:tc>
          <w:tcPr>
            <w:tcW w:w="4071" w:type="pct"/>
            <w:tcBorders>
              <w:top w:val="nil"/>
              <w:left w:val="nil"/>
              <w:bottom w:val="single" w:sz="4" w:space="0" w:color="auto"/>
              <w:right w:val="single" w:sz="4" w:space="0" w:color="auto"/>
            </w:tcBorders>
            <w:shd w:val="clear" w:color="auto" w:fill="auto"/>
            <w:vAlign w:val="bottom"/>
            <w:hideMark/>
          </w:tcPr>
          <w:p w14:paraId="20AE5F49" w14:textId="77777777" w:rsidR="00D12268" w:rsidRPr="00D75BF5" w:rsidRDefault="00D12268" w:rsidP="003C2E12">
            <w:pPr>
              <w:pStyle w:val="Tabletext1"/>
            </w:pPr>
            <w:r w:rsidRPr="00D75BF5">
              <w:t>Economics/</w:t>
            </w:r>
          </w:p>
        </w:tc>
        <w:tc>
          <w:tcPr>
            <w:tcW w:w="502" w:type="pct"/>
            <w:tcBorders>
              <w:top w:val="nil"/>
              <w:left w:val="nil"/>
              <w:bottom w:val="single" w:sz="4" w:space="0" w:color="auto"/>
              <w:right w:val="single" w:sz="4" w:space="0" w:color="auto"/>
            </w:tcBorders>
            <w:shd w:val="clear" w:color="auto" w:fill="auto"/>
            <w:noWrap/>
            <w:vAlign w:val="center"/>
            <w:hideMark/>
          </w:tcPr>
          <w:p w14:paraId="5C8A49FC" w14:textId="77777777" w:rsidR="00D12268" w:rsidRPr="00D75BF5" w:rsidRDefault="00D12268" w:rsidP="003C2E12">
            <w:pPr>
              <w:pStyle w:val="Tabletext1"/>
              <w:jc w:val="center"/>
            </w:pPr>
            <w:r w:rsidRPr="00D75BF5">
              <w:t>241652</w:t>
            </w:r>
          </w:p>
        </w:tc>
      </w:tr>
      <w:tr w:rsidR="00D12268" w:rsidRPr="00D75BF5" w14:paraId="50C36063"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3ACB9907" w14:textId="77777777" w:rsidR="00D12268" w:rsidRPr="00D75BF5" w:rsidRDefault="00D12268" w:rsidP="003C2E12">
            <w:pPr>
              <w:pStyle w:val="Tabletext1"/>
            </w:pPr>
            <w:r w:rsidRPr="00D75BF5">
              <w:t>5</w:t>
            </w:r>
          </w:p>
        </w:tc>
        <w:tc>
          <w:tcPr>
            <w:tcW w:w="4071" w:type="pct"/>
            <w:tcBorders>
              <w:top w:val="nil"/>
              <w:left w:val="nil"/>
              <w:bottom w:val="single" w:sz="4" w:space="0" w:color="auto"/>
              <w:right w:val="single" w:sz="4" w:space="0" w:color="auto"/>
            </w:tcBorders>
            <w:shd w:val="clear" w:color="auto" w:fill="auto"/>
            <w:vAlign w:val="bottom"/>
            <w:hideMark/>
          </w:tcPr>
          <w:p w14:paraId="2FBA8546" w14:textId="77777777" w:rsidR="00D12268" w:rsidRPr="00D75BF5" w:rsidRDefault="00D12268" w:rsidP="003C2E12">
            <w:pPr>
              <w:pStyle w:val="Tabletext1"/>
            </w:pPr>
            <w:r w:rsidRPr="00D75BF5">
              <w:t>Cost/</w:t>
            </w:r>
          </w:p>
        </w:tc>
        <w:tc>
          <w:tcPr>
            <w:tcW w:w="502" w:type="pct"/>
            <w:tcBorders>
              <w:top w:val="nil"/>
              <w:left w:val="nil"/>
              <w:bottom w:val="single" w:sz="4" w:space="0" w:color="auto"/>
              <w:right w:val="single" w:sz="4" w:space="0" w:color="auto"/>
            </w:tcBorders>
            <w:shd w:val="clear" w:color="auto" w:fill="auto"/>
            <w:noWrap/>
            <w:vAlign w:val="center"/>
            <w:hideMark/>
          </w:tcPr>
          <w:p w14:paraId="21979F34" w14:textId="77777777" w:rsidR="00D12268" w:rsidRPr="00D75BF5" w:rsidRDefault="00D12268" w:rsidP="003C2E12">
            <w:pPr>
              <w:pStyle w:val="Tabletext1"/>
              <w:jc w:val="center"/>
            </w:pPr>
            <w:r w:rsidRPr="00D75BF5">
              <w:t>61989</w:t>
            </w:r>
          </w:p>
        </w:tc>
      </w:tr>
      <w:tr w:rsidR="00D12268" w:rsidRPr="00D75BF5" w14:paraId="01E8A914"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72558F47" w14:textId="77777777" w:rsidR="00D12268" w:rsidRPr="00D75BF5" w:rsidRDefault="00D12268" w:rsidP="003C2E12">
            <w:pPr>
              <w:pStyle w:val="Tabletext1"/>
            </w:pPr>
            <w:r w:rsidRPr="00D75BF5">
              <w:t>6</w:t>
            </w:r>
          </w:p>
        </w:tc>
        <w:tc>
          <w:tcPr>
            <w:tcW w:w="4071" w:type="pct"/>
            <w:tcBorders>
              <w:top w:val="nil"/>
              <w:left w:val="nil"/>
              <w:bottom w:val="single" w:sz="4" w:space="0" w:color="auto"/>
              <w:right w:val="single" w:sz="4" w:space="0" w:color="auto"/>
            </w:tcBorders>
            <w:shd w:val="clear" w:color="auto" w:fill="auto"/>
            <w:vAlign w:val="bottom"/>
            <w:hideMark/>
          </w:tcPr>
          <w:p w14:paraId="57668469" w14:textId="77777777" w:rsidR="00D12268" w:rsidRPr="00D75BF5" w:rsidRDefault="00D12268" w:rsidP="003C2E12">
            <w:pPr>
              <w:pStyle w:val="Tabletext1"/>
            </w:pPr>
            <w:r w:rsidRPr="00D75BF5">
              <w:t>exp Health Economics/</w:t>
            </w:r>
          </w:p>
        </w:tc>
        <w:tc>
          <w:tcPr>
            <w:tcW w:w="502" w:type="pct"/>
            <w:tcBorders>
              <w:top w:val="nil"/>
              <w:left w:val="nil"/>
              <w:bottom w:val="single" w:sz="4" w:space="0" w:color="auto"/>
              <w:right w:val="single" w:sz="4" w:space="0" w:color="auto"/>
            </w:tcBorders>
            <w:shd w:val="clear" w:color="auto" w:fill="auto"/>
            <w:noWrap/>
            <w:vAlign w:val="center"/>
            <w:hideMark/>
          </w:tcPr>
          <w:p w14:paraId="12F2A676" w14:textId="77777777" w:rsidR="00D12268" w:rsidRPr="00D75BF5" w:rsidRDefault="00D12268" w:rsidP="003C2E12">
            <w:pPr>
              <w:pStyle w:val="Tabletext1"/>
              <w:jc w:val="center"/>
            </w:pPr>
            <w:r w:rsidRPr="00D75BF5">
              <w:t>872560</w:t>
            </w:r>
          </w:p>
        </w:tc>
      </w:tr>
      <w:tr w:rsidR="00D12268" w:rsidRPr="00D75BF5" w14:paraId="45C08C0C"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55AB1E2F" w14:textId="77777777" w:rsidR="00D12268" w:rsidRPr="00D75BF5" w:rsidRDefault="00D12268" w:rsidP="003C2E12">
            <w:pPr>
              <w:pStyle w:val="Tabletext1"/>
            </w:pPr>
            <w:r w:rsidRPr="00D75BF5">
              <w:t>7</w:t>
            </w:r>
          </w:p>
        </w:tc>
        <w:tc>
          <w:tcPr>
            <w:tcW w:w="4071" w:type="pct"/>
            <w:tcBorders>
              <w:top w:val="nil"/>
              <w:left w:val="nil"/>
              <w:bottom w:val="single" w:sz="4" w:space="0" w:color="auto"/>
              <w:right w:val="single" w:sz="4" w:space="0" w:color="auto"/>
            </w:tcBorders>
            <w:shd w:val="clear" w:color="auto" w:fill="auto"/>
            <w:vAlign w:val="bottom"/>
            <w:hideMark/>
          </w:tcPr>
          <w:p w14:paraId="20B1DA94" w14:textId="77777777" w:rsidR="00D12268" w:rsidRPr="00D75BF5" w:rsidRDefault="00D12268" w:rsidP="003C2E12">
            <w:pPr>
              <w:pStyle w:val="Tabletext1"/>
            </w:pPr>
            <w:r w:rsidRPr="00D75BF5">
              <w:t>Budget/</w:t>
            </w:r>
          </w:p>
        </w:tc>
        <w:tc>
          <w:tcPr>
            <w:tcW w:w="502" w:type="pct"/>
            <w:tcBorders>
              <w:top w:val="nil"/>
              <w:left w:val="nil"/>
              <w:bottom w:val="single" w:sz="4" w:space="0" w:color="auto"/>
              <w:right w:val="single" w:sz="4" w:space="0" w:color="auto"/>
            </w:tcBorders>
            <w:shd w:val="clear" w:color="auto" w:fill="auto"/>
            <w:noWrap/>
            <w:vAlign w:val="center"/>
            <w:hideMark/>
          </w:tcPr>
          <w:p w14:paraId="621B20A7" w14:textId="77777777" w:rsidR="00D12268" w:rsidRPr="00D75BF5" w:rsidRDefault="00D12268" w:rsidP="003C2E12">
            <w:pPr>
              <w:pStyle w:val="Tabletext1"/>
              <w:jc w:val="center"/>
            </w:pPr>
            <w:r w:rsidRPr="00D75BF5">
              <w:t>29851</w:t>
            </w:r>
          </w:p>
        </w:tc>
      </w:tr>
      <w:tr w:rsidR="00D12268" w:rsidRPr="00D75BF5" w14:paraId="043315CF"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06C978FC" w14:textId="77777777" w:rsidR="00D12268" w:rsidRPr="00D75BF5" w:rsidRDefault="00D12268" w:rsidP="003C2E12">
            <w:pPr>
              <w:pStyle w:val="Tabletext1"/>
            </w:pPr>
            <w:r w:rsidRPr="00D75BF5">
              <w:t>8</w:t>
            </w:r>
          </w:p>
        </w:tc>
        <w:tc>
          <w:tcPr>
            <w:tcW w:w="4071" w:type="pct"/>
            <w:tcBorders>
              <w:top w:val="nil"/>
              <w:left w:val="nil"/>
              <w:bottom w:val="single" w:sz="4" w:space="0" w:color="auto"/>
              <w:right w:val="single" w:sz="4" w:space="0" w:color="auto"/>
            </w:tcBorders>
            <w:shd w:val="clear" w:color="auto" w:fill="auto"/>
            <w:vAlign w:val="bottom"/>
            <w:hideMark/>
          </w:tcPr>
          <w:p w14:paraId="7A33201A" w14:textId="77777777" w:rsidR="00D12268" w:rsidRPr="00D75BF5" w:rsidRDefault="00D12268" w:rsidP="003C2E12">
            <w:pPr>
              <w:pStyle w:val="Tabletext1"/>
            </w:pPr>
            <w:r w:rsidRPr="00D75BF5">
              <w:t>budget*.ti,ab,kw.</w:t>
            </w:r>
          </w:p>
        </w:tc>
        <w:tc>
          <w:tcPr>
            <w:tcW w:w="502" w:type="pct"/>
            <w:tcBorders>
              <w:top w:val="nil"/>
              <w:left w:val="nil"/>
              <w:bottom w:val="single" w:sz="4" w:space="0" w:color="auto"/>
              <w:right w:val="single" w:sz="4" w:space="0" w:color="auto"/>
            </w:tcBorders>
            <w:shd w:val="clear" w:color="auto" w:fill="auto"/>
            <w:noWrap/>
            <w:vAlign w:val="center"/>
            <w:hideMark/>
          </w:tcPr>
          <w:p w14:paraId="16638D5E" w14:textId="77777777" w:rsidR="00D12268" w:rsidRPr="00D75BF5" w:rsidRDefault="00D12268" w:rsidP="003C2E12">
            <w:pPr>
              <w:pStyle w:val="Tabletext1"/>
              <w:jc w:val="center"/>
            </w:pPr>
            <w:r w:rsidRPr="00D75BF5">
              <w:t>40439</w:t>
            </w:r>
          </w:p>
        </w:tc>
      </w:tr>
      <w:tr w:rsidR="00D12268" w:rsidRPr="00D75BF5" w14:paraId="58DF31C9" w14:textId="77777777" w:rsidTr="005007E2">
        <w:trPr>
          <w:trHeight w:val="9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36D864B1" w14:textId="77777777" w:rsidR="00D12268" w:rsidRPr="00D75BF5" w:rsidRDefault="00D12268" w:rsidP="003C2E12">
            <w:pPr>
              <w:pStyle w:val="Tabletext1"/>
            </w:pPr>
            <w:r w:rsidRPr="00D75BF5">
              <w:t>9</w:t>
            </w:r>
          </w:p>
        </w:tc>
        <w:tc>
          <w:tcPr>
            <w:tcW w:w="4071" w:type="pct"/>
            <w:tcBorders>
              <w:top w:val="nil"/>
              <w:left w:val="nil"/>
              <w:bottom w:val="single" w:sz="4" w:space="0" w:color="auto"/>
              <w:right w:val="single" w:sz="4" w:space="0" w:color="auto"/>
            </w:tcBorders>
            <w:shd w:val="clear" w:color="auto" w:fill="auto"/>
            <w:vAlign w:val="bottom"/>
            <w:hideMark/>
          </w:tcPr>
          <w:p w14:paraId="269BA083" w14:textId="77777777" w:rsidR="00D12268" w:rsidRPr="00D75BF5" w:rsidRDefault="00D12268" w:rsidP="003C2E12">
            <w:pPr>
              <w:pStyle w:val="Tabletext1"/>
            </w:pPr>
            <w:r w:rsidRPr="00D75BF5">
              <w:t>(economic* or cost or costs or costly or costing or price or prices or pricing or pharmacoeconomic* or pharmaco-economic* or expenditure or expenditures or expense or expenses or financial or finance or finances or financed).ti,kw.</w:t>
            </w:r>
          </w:p>
        </w:tc>
        <w:tc>
          <w:tcPr>
            <w:tcW w:w="502" w:type="pct"/>
            <w:tcBorders>
              <w:top w:val="nil"/>
              <w:left w:val="nil"/>
              <w:bottom w:val="single" w:sz="4" w:space="0" w:color="auto"/>
              <w:right w:val="single" w:sz="4" w:space="0" w:color="auto"/>
            </w:tcBorders>
            <w:shd w:val="clear" w:color="auto" w:fill="auto"/>
            <w:noWrap/>
            <w:vAlign w:val="center"/>
            <w:hideMark/>
          </w:tcPr>
          <w:p w14:paraId="3B697CA2" w14:textId="77777777" w:rsidR="00D12268" w:rsidRPr="00D75BF5" w:rsidRDefault="00D12268" w:rsidP="003C2E12">
            <w:pPr>
              <w:pStyle w:val="Tabletext1"/>
              <w:jc w:val="center"/>
            </w:pPr>
            <w:r w:rsidRPr="00D75BF5">
              <w:t>292843</w:t>
            </w:r>
          </w:p>
        </w:tc>
      </w:tr>
      <w:tr w:rsidR="00D12268" w:rsidRPr="00D75BF5" w14:paraId="42DC374B" w14:textId="77777777" w:rsidTr="005007E2">
        <w:trPr>
          <w:trHeight w:val="9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0585CB2F" w14:textId="77777777" w:rsidR="00D12268" w:rsidRPr="00D75BF5" w:rsidRDefault="00D12268" w:rsidP="003C2E12">
            <w:pPr>
              <w:pStyle w:val="Tabletext1"/>
            </w:pPr>
            <w:r w:rsidRPr="00D75BF5">
              <w:t>10</w:t>
            </w:r>
          </w:p>
        </w:tc>
        <w:tc>
          <w:tcPr>
            <w:tcW w:w="4071" w:type="pct"/>
            <w:tcBorders>
              <w:top w:val="nil"/>
              <w:left w:val="nil"/>
              <w:bottom w:val="single" w:sz="4" w:space="0" w:color="auto"/>
              <w:right w:val="single" w:sz="4" w:space="0" w:color="auto"/>
            </w:tcBorders>
            <w:shd w:val="clear" w:color="auto" w:fill="auto"/>
            <w:vAlign w:val="bottom"/>
            <w:hideMark/>
          </w:tcPr>
          <w:p w14:paraId="78D07169" w14:textId="77777777" w:rsidR="00D12268" w:rsidRPr="00D75BF5" w:rsidRDefault="00D12268" w:rsidP="003C2E12">
            <w:pPr>
              <w:pStyle w:val="Tabletext1"/>
            </w:pPr>
            <w:r w:rsidRPr="00D75BF5">
              <w:t>(economic* or cost or costs or costly or costing or price or prices or pricing or pharmacoeconomic* or pharmaco-economic* or expenditure or expenditures or expense or expenses or financial or finance or finances or financed).ab.</w:t>
            </w:r>
          </w:p>
        </w:tc>
        <w:tc>
          <w:tcPr>
            <w:tcW w:w="502" w:type="pct"/>
            <w:tcBorders>
              <w:top w:val="nil"/>
              <w:left w:val="nil"/>
              <w:bottom w:val="single" w:sz="4" w:space="0" w:color="auto"/>
              <w:right w:val="single" w:sz="4" w:space="0" w:color="auto"/>
            </w:tcBorders>
            <w:shd w:val="clear" w:color="auto" w:fill="auto"/>
            <w:noWrap/>
            <w:vAlign w:val="center"/>
            <w:hideMark/>
          </w:tcPr>
          <w:p w14:paraId="6F9BB0D8" w14:textId="77777777" w:rsidR="00D12268" w:rsidRPr="00D75BF5" w:rsidRDefault="00D12268" w:rsidP="003C2E12">
            <w:pPr>
              <w:pStyle w:val="Tabletext1"/>
              <w:jc w:val="center"/>
            </w:pPr>
            <w:r w:rsidRPr="00D75BF5">
              <w:t>1171663</w:t>
            </w:r>
          </w:p>
        </w:tc>
      </w:tr>
      <w:tr w:rsidR="00D12268" w:rsidRPr="00D75BF5" w14:paraId="149D9233" w14:textId="77777777" w:rsidTr="005007E2">
        <w:trPr>
          <w:trHeight w:val="6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15421695" w14:textId="77777777" w:rsidR="00D12268" w:rsidRPr="00D75BF5" w:rsidRDefault="00D12268" w:rsidP="003C2E12">
            <w:pPr>
              <w:pStyle w:val="Tabletext1"/>
            </w:pPr>
            <w:r w:rsidRPr="00D75BF5">
              <w:t>11</w:t>
            </w:r>
          </w:p>
        </w:tc>
        <w:tc>
          <w:tcPr>
            <w:tcW w:w="4071" w:type="pct"/>
            <w:tcBorders>
              <w:top w:val="nil"/>
              <w:left w:val="nil"/>
              <w:bottom w:val="single" w:sz="4" w:space="0" w:color="auto"/>
              <w:right w:val="single" w:sz="4" w:space="0" w:color="auto"/>
            </w:tcBorders>
            <w:shd w:val="clear" w:color="auto" w:fill="auto"/>
            <w:vAlign w:val="bottom"/>
            <w:hideMark/>
          </w:tcPr>
          <w:p w14:paraId="23691FE8" w14:textId="77777777" w:rsidR="00D12268" w:rsidRPr="00D75BF5" w:rsidRDefault="00D12268" w:rsidP="003C2E12">
            <w:pPr>
              <w:pStyle w:val="Tabletext1"/>
            </w:pPr>
            <w:r w:rsidRPr="00D75BF5">
              <w:t>(cost* adj2 (effective* or utilit* or benefit* or minimi* or analy* or outcome or outcomes)).ab,kw.</w:t>
            </w:r>
          </w:p>
        </w:tc>
        <w:tc>
          <w:tcPr>
            <w:tcW w:w="502" w:type="pct"/>
            <w:tcBorders>
              <w:top w:val="nil"/>
              <w:left w:val="nil"/>
              <w:bottom w:val="single" w:sz="4" w:space="0" w:color="auto"/>
              <w:right w:val="single" w:sz="4" w:space="0" w:color="auto"/>
            </w:tcBorders>
            <w:shd w:val="clear" w:color="auto" w:fill="auto"/>
            <w:noWrap/>
            <w:vAlign w:val="center"/>
            <w:hideMark/>
          </w:tcPr>
          <w:p w14:paraId="12F9CF97" w14:textId="77777777" w:rsidR="00D12268" w:rsidRPr="00D75BF5" w:rsidRDefault="00D12268" w:rsidP="003C2E12">
            <w:pPr>
              <w:pStyle w:val="Tabletext1"/>
              <w:jc w:val="center"/>
            </w:pPr>
            <w:r w:rsidRPr="00D75BF5">
              <w:t>233595</w:t>
            </w:r>
          </w:p>
        </w:tc>
      </w:tr>
      <w:tr w:rsidR="00D12268" w:rsidRPr="00D75BF5" w14:paraId="24A2BA57"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7BFE66CC" w14:textId="77777777" w:rsidR="00D12268" w:rsidRPr="00D75BF5" w:rsidRDefault="00D12268" w:rsidP="003C2E12">
            <w:pPr>
              <w:pStyle w:val="Tabletext1"/>
            </w:pPr>
            <w:r w:rsidRPr="00D75BF5">
              <w:t>12</w:t>
            </w:r>
          </w:p>
        </w:tc>
        <w:tc>
          <w:tcPr>
            <w:tcW w:w="4071" w:type="pct"/>
            <w:tcBorders>
              <w:top w:val="nil"/>
              <w:left w:val="nil"/>
              <w:bottom w:val="single" w:sz="4" w:space="0" w:color="auto"/>
              <w:right w:val="single" w:sz="4" w:space="0" w:color="auto"/>
            </w:tcBorders>
            <w:shd w:val="clear" w:color="auto" w:fill="auto"/>
            <w:vAlign w:val="bottom"/>
            <w:hideMark/>
          </w:tcPr>
          <w:p w14:paraId="69BA89C2" w14:textId="77777777" w:rsidR="00D12268" w:rsidRPr="00D75BF5" w:rsidRDefault="00D12268" w:rsidP="003C2E12">
            <w:pPr>
              <w:pStyle w:val="Tabletext1"/>
            </w:pPr>
            <w:r w:rsidRPr="00D75BF5">
              <w:t>(value adj2 (money or monetary)).ti,ab,kw.</w:t>
            </w:r>
          </w:p>
        </w:tc>
        <w:tc>
          <w:tcPr>
            <w:tcW w:w="502" w:type="pct"/>
            <w:tcBorders>
              <w:top w:val="nil"/>
              <w:left w:val="nil"/>
              <w:bottom w:val="single" w:sz="4" w:space="0" w:color="auto"/>
              <w:right w:val="single" w:sz="4" w:space="0" w:color="auto"/>
            </w:tcBorders>
            <w:shd w:val="clear" w:color="auto" w:fill="auto"/>
            <w:noWrap/>
            <w:vAlign w:val="center"/>
            <w:hideMark/>
          </w:tcPr>
          <w:p w14:paraId="3443B5D0" w14:textId="77777777" w:rsidR="00D12268" w:rsidRPr="00D75BF5" w:rsidRDefault="00D12268" w:rsidP="003C2E12">
            <w:pPr>
              <w:pStyle w:val="Tabletext1"/>
              <w:jc w:val="center"/>
            </w:pPr>
            <w:r w:rsidRPr="00D75BF5">
              <w:t>3382</w:t>
            </w:r>
          </w:p>
        </w:tc>
      </w:tr>
      <w:tr w:rsidR="00D12268" w:rsidRPr="00D75BF5" w14:paraId="04444775"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11D363EA" w14:textId="77777777" w:rsidR="00D12268" w:rsidRPr="00D75BF5" w:rsidRDefault="00D12268" w:rsidP="003C2E12">
            <w:pPr>
              <w:pStyle w:val="Tabletext1"/>
            </w:pPr>
            <w:r w:rsidRPr="00D75BF5">
              <w:t>13</w:t>
            </w:r>
          </w:p>
        </w:tc>
        <w:tc>
          <w:tcPr>
            <w:tcW w:w="4071" w:type="pct"/>
            <w:tcBorders>
              <w:top w:val="nil"/>
              <w:left w:val="nil"/>
              <w:bottom w:val="single" w:sz="4" w:space="0" w:color="auto"/>
              <w:right w:val="single" w:sz="4" w:space="0" w:color="auto"/>
            </w:tcBorders>
            <w:shd w:val="clear" w:color="auto" w:fill="auto"/>
            <w:vAlign w:val="bottom"/>
            <w:hideMark/>
          </w:tcPr>
          <w:p w14:paraId="75ACC658" w14:textId="77777777" w:rsidR="00D12268" w:rsidRPr="00D75BF5" w:rsidRDefault="00D12268" w:rsidP="003C2E12">
            <w:pPr>
              <w:pStyle w:val="Tabletext1"/>
            </w:pPr>
            <w:r w:rsidRPr="00D75BF5">
              <w:t>Statistical Model/</w:t>
            </w:r>
          </w:p>
        </w:tc>
        <w:tc>
          <w:tcPr>
            <w:tcW w:w="502" w:type="pct"/>
            <w:tcBorders>
              <w:top w:val="nil"/>
              <w:left w:val="nil"/>
              <w:bottom w:val="single" w:sz="4" w:space="0" w:color="auto"/>
              <w:right w:val="single" w:sz="4" w:space="0" w:color="auto"/>
            </w:tcBorders>
            <w:shd w:val="clear" w:color="auto" w:fill="auto"/>
            <w:noWrap/>
            <w:vAlign w:val="center"/>
            <w:hideMark/>
          </w:tcPr>
          <w:p w14:paraId="004222F8" w14:textId="77777777" w:rsidR="00D12268" w:rsidRPr="00D75BF5" w:rsidRDefault="00D12268" w:rsidP="003C2E12">
            <w:pPr>
              <w:pStyle w:val="Tabletext1"/>
              <w:jc w:val="center"/>
            </w:pPr>
            <w:r w:rsidRPr="00D75BF5">
              <w:t>161380</w:t>
            </w:r>
          </w:p>
        </w:tc>
      </w:tr>
      <w:tr w:rsidR="00D12268" w:rsidRPr="00D75BF5" w14:paraId="16F73E38"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4A76124C" w14:textId="77777777" w:rsidR="00D12268" w:rsidRPr="00D75BF5" w:rsidRDefault="00D12268" w:rsidP="003C2E12">
            <w:pPr>
              <w:pStyle w:val="Tabletext1"/>
            </w:pPr>
            <w:r w:rsidRPr="00D75BF5">
              <w:t>14</w:t>
            </w:r>
          </w:p>
        </w:tc>
        <w:tc>
          <w:tcPr>
            <w:tcW w:w="4071" w:type="pct"/>
            <w:tcBorders>
              <w:top w:val="nil"/>
              <w:left w:val="nil"/>
              <w:bottom w:val="single" w:sz="4" w:space="0" w:color="auto"/>
              <w:right w:val="single" w:sz="4" w:space="0" w:color="auto"/>
            </w:tcBorders>
            <w:shd w:val="clear" w:color="auto" w:fill="auto"/>
            <w:vAlign w:val="bottom"/>
            <w:hideMark/>
          </w:tcPr>
          <w:p w14:paraId="2EA8B7B3" w14:textId="77777777" w:rsidR="00D12268" w:rsidRPr="00D75BF5" w:rsidRDefault="00D12268" w:rsidP="003C2E12">
            <w:pPr>
              <w:pStyle w:val="Tabletext1"/>
            </w:pPr>
            <w:r w:rsidRPr="00D75BF5">
              <w:t>economic model*.ab,kw.</w:t>
            </w:r>
          </w:p>
        </w:tc>
        <w:tc>
          <w:tcPr>
            <w:tcW w:w="502" w:type="pct"/>
            <w:tcBorders>
              <w:top w:val="nil"/>
              <w:left w:val="nil"/>
              <w:bottom w:val="single" w:sz="4" w:space="0" w:color="auto"/>
              <w:right w:val="single" w:sz="4" w:space="0" w:color="auto"/>
            </w:tcBorders>
            <w:shd w:val="clear" w:color="auto" w:fill="auto"/>
            <w:noWrap/>
            <w:vAlign w:val="center"/>
            <w:hideMark/>
          </w:tcPr>
          <w:p w14:paraId="199C29AB" w14:textId="77777777" w:rsidR="00D12268" w:rsidRPr="00D75BF5" w:rsidRDefault="00D12268" w:rsidP="003C2E12">
            <w:pPr>
              <w:pStyle w:val="Tabletext1"/>
              <w:jc w:val="center"/>
            </w:pPr>
            <w:r w:rsidRPr="00D75BF5">
              <w:t>4991</w:t>
            </w:r>
          </w:p>
        </w:tc>
      </w:tr>
      <w:tr w:rsidR="00D12268" w:rsidRPr="00D75BF5" w14:paraId="00AE2B49"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261AAD8E" w14:textId="77777777" w:rsidR="00D12268" w:rsidRPr="00D75BF5" w:rsidRDefault="00D12268" w:rsidP="003C2E12">
            <w:pPr>
              <w:pStyle w:val="Tabletext1"/>
            </w:pPr>
            <w:r w:rsidRPr="00D75BF5">
              <w:t>15</w:t>
            </w:r>
          </w:p>
        </w:tc>
        <w:tc>
          <w:tcPr>
            <w:tcW w:w="4071" w:type="pct"/>
            <w:tcBorders>
              <w:top w:val="nil"/>
              <w:left w:val="nil"/>
              <w:bottom w:val="single" w:sz="4" w:space="0" w:color="auto"/>
              <w:right w:val="single" w:sz="4" w:space="0" w:color="auto"/>
            </w:tcBorders>
            <w:shd w:val="clear" w:color="auto" w:fill="auto"/>
            <w:vAlign w:val="bottom"/>
            <w:hideMark/>
          </w:tcPr>
          <w:p w14:paraId="6880F7CD" w14:textId="77777777" w:rsidR="00D12268" w:rsidRPr="00D75BF5" w:rsidRDefault="00D12268" w:rsidP="003C2E12">
            <w:pPr>
              <w:pStyle w:val="Tabletext1"/>
            </w:pPr>
            <w:r w:rsidRPr="00D75BF5">
              <w:t>Probability/</w:t>
            </w:r>
          </w:p>
        </w:tc>
        <w:tc>
          <w:tcPr>
            <w:tcW w:w="502" w:type="pct"/>
            <w:tcBorders>
              <w:top w:val="nil"/>
              <w:left w:val="nil"/>
              <w:bottom w:val="single" w:sz="4" w:space="0" w:color="auto"/>
              <w:right w:val="single" w:sz="4" w:space="0" w:color="auto"/>
            </w:tcBorders>
            <w:shd w:val="clear" w:color="auto" w:fill="auto"/>
            <w:noWrap/>
            <w:vAlign w:val="center"/>
            <w:hideMark/>
          </w:tcPr>
          <w:p w14:paraId="36AF5DCC" w14:textId="77777777" w:rsidR="00D12268" w:rsidRPr="00D75BF5" w:rsidRDefault="00D12268" w:rsidP="003C2E12">
            <w:pPr>
              <w:pStyle w:val="Tabletext1"/>
              <w:jc w:val="center"/>
            </w:pPr>
            <w:r w:rsidRPr="00D75BF5">
              <w:t>111124</w:t>
            </w:r>
          </w:p>
        </w:tc>
      </w:tr>
      <w:tr w:rsidR="00D12268" w:rsidRPr="00D75BF5" w14:paraId="506803A2"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34BF50A2" w14:textId="77777777" w:rsidR="00D12268" w:rsidRPr="00D75BF5" w:rsidRDefault="00D12268" w:rsidP="003C2E12">
            <w:pPr>
              <w:pStyle w:val="Tabletext1"/>
            </w:pPr>
            <w:r w:rsidRPr="00D75BF5">
              <w:t>16</w:t>
            </w:r>
          </w:p>
        </w:tc>
        <w:tc>
          <w:tcPr>
            <w:tcW w:w="4071" w:type="pct"/>
            <w:tcBorders>
              <w:top w:val="nil"/>
              <w:left w:val="nil"/>
              <w:bottom w:val="single" w:sz="4" w:space="0" w:color="auto"/>
              <w:right w:val="single" w:sz="4" w:space="0" w:color="auto"/>
            </w:tcBorders>
            <w:shd w:val="clear" w:color="auto" w:fill="auto"/>
            <w:vAlign w:val="bottom"/>
            <w:hideMark/>
          </w:tcPr>
          <w:p w14:paraId="2A852AC6" w14:textId="77777777" w:rsidR="00D12268" w:rsidRPr="00D75BF5" w:rsidRDefault="00D12268" w:rsidP="003C2E12">
            <w:pPr>
              <w:pStyle w:val="Tabletext1"/>
            </w:pPr>
            <w:r w:rsidRPr="00D75BF5">
              <w:t>markov.ti,ab,kw.</w:t>
            </w:r>
          </w:p>
        </w:tc>
        <w:tc>
          <w:tcPr>
            <w:tcW w:w="502" w:type="pct"/>
            <w:tcBorders>
              <w:top w:val="nil"/>
              <w:left w:val="nil"/>
              <w:bottom w:val="single" w:sz="4" w:space="0" w:color="auto"/>
              <w:right w:val="single" w:sz="4" w:space="0" w:color="auto"/>
            </w:tcBorders>
            <w:shd w:val="clear" w:color="auto" w:fill="auto"/>
            <w:noWrap/>
            <w:vAlign w:val="center"/>
            <w:hideMark/>
          </w:tcPr>
          <w:p w14:paraId="51C6BDB1" w14:textId="77777777" w:rsidR="00D12268" w:rsidRPr="00D75BF5" w:rsidRDefault="00D12268" w:rsidP="003C2E12">
            <w:pPr>
              <w:pStyle w:val="Tabletext1"/>
              <w:jc w:val="center"/>
            </w:pPr>
            <w:r w:rsidRPr="00D75BF5">
              <w:t>30197</w:t>
            </w:r>
          </w:p>
        </w:tc>
      </w:tr>
      <w:tr w:rsidR="00D12268" w:rsidRPr="00D75BF5" w14:paraId="0E9D435F"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41603538" w14:textId="77777777" w:rsidR="00D12268" w:rsidRPr="00D75BF5" w:rsidRDefault="00D12268" w:rsidP="003C2E12">
            <w:pPr>
              <w:pStyle w:val="Tabletext1"/>
            </w:pPr>
            <w:r w:rsidRPr="00D75BF5">
              <w:t>17</w:t>
            </w:r>
          </w:p>
        </w:tc>
        <w:tc>
          <w:tcPr>
            <w:tcW w:w="4071" w:type="pct"/>
            <w:tcBorders>
              <w:top w:val="nil"/>
              <w:left w:val="nil"/>
              <w:bottom w:val="single" w:sz="4" w:space="0" w:color="auto"/>
              <w:right w:val="single" w:sz="4" w:space="0" w:color="auto"/>
            </w:tcBorders>
            <w:shd w:val="clear" w:color="auto" w:fill="auto"/>
            <w:vAlign w:val="bottom"/>
            <w:hideMark/>
          </w:tcPr>
          <w:p w14:paraId="22E6773E" w14:textId="77777777" w:rsidR="00D12268" w:rsidRPr="00D75BF5" w:rsidRDefault="00D12268" w:rsidP="003C2E12">
            <w:pPr>
              <w:pStyle w:val="Tabletext1"/>
            </w:pPr>
            <w:r w:rsidRPr="00D75BF5">
              <w:t>monte carlo method/</w:t>
            </w:r>
          </w:p>
        </w:tc>
        <w:tc>
          <w:tcPr>
            <w:tcW w:w="502" w:type="pct"/>
            <w:tcBorders>
              <w:top w:val="nil"/>
              <w:left w:val="nil"/>
              <w:bottom w:val="single" w:sz="4" w:space="0" w:color="auto"/>
              <w:right w:val="single" w:sz="4" w:space="0" w:color="auto"/>
            </w:tcBorders>
            <w:shd w:val="clear" w:color="auto" w:fill="auto"/>
            <w:noWrap/>
            <w:vAlign w:val="center"/>
            <w:hideMark/>
          </w:tcPr>
          <w:p w14:paraId="7E794D73" w14:textId="77777777" w:rsidR="00D12268" w:rsidRPr="00D75BF5" w:rsidRDefault="00D12268" w:rsidP="003C2E12">
            <w:pPr>
              <w:pStyle w:val="Tabletext1"/>
              <w:jc w:val="center"/>
            </w:pPr>
            <w:r w:rsidRPr="00D75BF5">
              <w:t>40857</w:t>
            </w:r>
          </w:p>
        </w:tc>
      </w:tr>
      <w:tr w:rsidR="00D12268" w:rsidRPr="00D75BF5" w14:paraId="6FCB63AA"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422E3A1A" w14:textId="77777777" w:rsidR="00D12268" w:rsidRPr="00D75BF5" w:rsidRDefault="00D12268" w:rsidP="003C2E12">
            <w:pPr>
              <w:pStyle w:val="Tabletext1"/>
            </w:pPr>
            <w:r w:rsidRPr="00D75BF5">
              <w:t>18</w:t>
            </w:r>
          </w:p>
        </w:tc>
        <w:tc>
          <w:tcPr>
            <w:tcW w:w="4071" w:type="pct"/>
            <w:tcBorders>
              <w:top w:val="nil"/>
              <w:left w:val="nil"/>
              <w:bottom w:val="single" w:sz="4" w:space="0" w:color="auto"/>
              <w:right w:val="single" w:sz="4" w:space="0" w:color="auto"/>
            </w:tcBorders>
            <w:shd w:val="clear" w:color="auto" w:fill="auto"/>
            <w:vAlign w:val="bottom"/>
            <w:hideMark/>
          </w:tcPr>
          <w:p w14:paraId="0277BFD5" w14:textId="77777777" w:rsidR="00D12268" w:rsidRPr="00D75BF5" w:rsidRDefault="00D12268" w:rsidP="003C2E12">
            <w:pPr>
              <w:pStyle w:val="Tabletext1"/>
            </w:pPr>
            <w:r w:rsidRPr="00D75BF5">
              <w:t>monte carlo.ti,ab,kw.</w:t>
            </w:r>
          </w:p>
        </w:tc>
        <w:tc>
          <w:tcPr>
            <w:tcW w:w="502" w:type="pct"/>
            <w:tcBorders>
              <w:top w:val="nil"/>
              <w:left w:val="nil"/>
              <w:bottom w:val="single" w:sz="4" w:space="0" w:color="auto"/>
              <w:right w:val="single" w:sz="4" w:space="0" w:color="auto"/>
            </w:tcBorders>
            <w:shd w:val="clear" w:color="auto" w:fill="auto"/>
            <w:noWrap/>
            <w:vAlign w:val="center"/>
            <w:hideMark/>
          </w:tcPr>
          <w:p w14:paraId="4706ED53" w14:textId="77777777" w:rsidR="00D12268" w:rsidRPr="00D75BF5" w:rsidRDefault="00D12268" w:rsidP="003C2E12">
            <w:pPr>
              <w:pStyle w:val="Tabletext1"/>
              <w:jc w:val="center"/>
            </w:pPr>
            <w:r w:rsidRPr="00D75BF5">
              <w:t>51154</w:t>
            </w:r>
          </w:p>
        </w:tc>
      </w:tr>
      <w:tr w:rsidR="00D12268" w:rsidRPr="00D75BF5" w14:paraId="75ACE690"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68BB71C8" w14:textId="77777777" w:rsidR="00D12268" w:rsidRPr="00D75BF5" w:rsidRDefault="00D12268" w:rsidP="003C2E12">
            <w:pPr>
              <w:pStyle w:val="Tabletext1"/>
            </w:pPr>
            <w:r w:rsidRPr="00D75BF5">
              <w:t>19</w:t>
            </w:r>
          </w:p>
        </w:tc>
        <w:tc>
          <w:tcPr>
            <w:tcW w:w="4071" w:type="pct"/>
            <w:tcBorders>
              <w:top w:val="nil"/>
              <w:left w:val="nil"/>
              <w:bottom w:val="single" w:sz="4" w:space="0" w:color="auto"/>
              <w:right w:val="single" w:sz="4" w:space="0" w:color="auto"/>
            </w:tcBorders>
            <w:shd w:val="clear" w:color="auto" w:fill="auto"/>
            <w:vAlign w:val="bottom"/>
            <w:hideMark/>
          </w:tcPr>
          <w:p w14:paraId="7A08FDC3" w14:textId="77777777" w:rsidR="00D12268" w:rsidRPr="00D75BF5" w:rsidRDefault="00D12268" w:rsidP="003C2E12">
            <w:pPr>
              <w:pStyle w:val="Tabletext1"/>
            </w:pPr>
            <w:r w:rsidRPr="00D75BF5">
              <w:t>Decision Theory/</w:t>
            </w:r>
          </w:p>
        </w:tc>
        <w:tc>
          <w:tcPr>
            <w:tcW w:w="502" w:type="pct"/>
            <w:tcBorders>
              <w:top w:val="nil"/>
              <w:left w:val="nil"/>
              <w:bottom w:val="single" w:sz="4" w:space="0" w:color="auto"/>
              <w:right w:val="single" w:sz="4" w:space="0" w:color="auto"/>
            </w:tcBorders>
            <w:shd w:val="clear" w:color="auto" w:fill="auto"/>
            <w:noWrap/>
            <w:vAlign w:val="center"/>
            <w:hideMark/>
          </w:tcPr>
          <w:p w14:paraId="45FC2890" w14:textId="77777777" w:rsidR="00D12268" w:rsidRPr="00D75BF5" w:rsidRDefault="00D12268" w:rsidP="003C2E12">
            <w:pPr>
              <w:pStyle w:val="Tabletext1"/>
              <w:jc w:val="center"/>
            </w:pPr>
            <w:r w:rsidRPr="00D75BF5">
              <w:t>1772</w:t>
            </w:r>
          </w:p>
        </w:tc>
      </w:tr>
      <w:tr w:rsidR="00D12268" w:rsidRPr="00D75BF5" w14:paraId="43D0CC91"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051622BE" w14:textId="77777777" w:rsidR="00D12268" w:rsidRPr="00D75BF5" w:rsidRDefault="00D12268" w:rsidP="003C2E12">
            <w:pPr>
              <w:pStyle w:val="Tabletext1"/>
            </w:pPr>
            <w:r w:rsidRPr="00D75BF5">
              <w:t>20</w:t>
            </w:r>
          </w:p>
        </w:tc>
        <w:tc>
          <w:tcPr>
            <w:tcW w:w="4071" w:type="pct"/>
            <w:tcBorders>
              <w:top w:val="nil"/>
              <w:left w:val="nil"/>
              <w:bottom w:val="single" w:sz="4" w:space="0" w:color="auto"/>
              <w:right w:val="single" w:sz="4" w:space="0" w:color="auto"/>
            </w:tcBorders>
            <w:shd w:val="clear" w:color="auto" w:fill="auto"/>
            <w:vAlign w:val="bottom"/>
            <w:hideMark/>
          </w:tcPr>
          <w:p w14:paraId="3D3F9363" w14:textId="77777777" w:rsidR="00D12268" w:rsidRPr="00D75BF5" w:rsidRDefault="00D12268" w:rsidP="003C2E12">
            <w:pPr>
              <w:pStyle w:val="Tabletext1"/>
            </w:pPr>
            <w:r w:rsidRPr="00D75BF5">
              <w:t>Decision Tree/</w:t>
            </w:r>
          </w:p>
        </w:tc>
        <w:tc>
          <w:tcPr>
            <w:tcW w:w="502" w:type="pct"/>
            <w:tcBorders>
              <w:top w:val="nil"/>
              <w:left w:val="nil"/>
              <w:bottom w:val="single" w:sz="4" w:space="0" w:color="auto"/>
              <w:right w:val="single" w:sz="4" w:space="0" w:color="auto"/>
            </w:tcBorders>
            <w:shd w:val="clear" w:color="auto" w:fill="auto"/>
            <w:noWrap/>
            <w:vAlign w:val="center"/>
            <w:hideMark/>
          </w:tcPr>
          <w:p w14:paraId="4B0617ED" w14:textId="77777777" w:rsidR="00D12268" w:rsidRPr="00D75BF5" w:rsidRDefault="00D12268" w:rsidP="003C2E12">
            <w:pPr>
              <w:pStyle w:val="Tabletext1"/>
              <w:jc w:val="center"/>
            </w:pPr>
            <w:r w:rsidRPr="00D75BF5">
              <w:t>13337</w:t>
            </w:r>
          </w:p>
        </w:tc>
      </w:tr>
      <w:tr w:rsidR="00D12268" w:rsidRPr="00D75BF5" w14:paraId="56C04550"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3C44BEFA" w14:textId="77777777" w:rsidR="00D12268" w:rsidRPr="00D75BF5" w:rsidRDefault="00D12268" w:rsidP="003C2E12">
            <w:pPr>
              <w:pStyle w:val="Tabletext1"/>
            </w:pPr>
            <w:r w:rsidRPr="00D75BF5">
              <w:t>21</w:t>
            </w:r>
          </w:p>
        </w:tc>
        <w:tc>
          <w:tcPr>
            <w:tcW w:w="4071" w:type="pct"/>
            <w:tcBorders>
              <w:top w:val="nil"/>
              <w:left w:val="nil"/>
              <w:bottom w:val="single" w:sz="4" w:space="0" w:color="auto"/>
              <w:right w:val="single" w:sz="4" w:space="0" w:color="auto"/>
            </w:tcBorders>
            <w:shd w:val="clear" w:color="auto" w:fill="auto"/>
            <w:vAlign w:val="bottom"/>
            <w:hideMark/>
          </w:tcPr>
          <w:p w14:paraId="345F50AB" w14:textId="77777777" w:rsidR="00D12268" w:rsidRPr="00D75BF5" w:rsidRDefault="00D12268" w:rsidP="003C2E12">
            <w:pPr>
              <w:pStyle w:val="Tabletext1"/>
            </w:pPr>
            <w:r w:rsidRPr="00D75BF5">
              <w:t>(decision* adj2 (tree* or analy* or model*)).ti,ab,kw.</w:t>
            </w:r>
          </w:p>
        </w:tc>
        <w:tc>
          <w:tcPr>
            <w:tcW w:w="502" w:type="pct"/>
            <w:tcBorders>
              <w:top w:val="nil"/>
              <w:left w:val="nil"/>
              <w:bottom w:val="single" w:sz="4" w:space="0" w:color="auto"/>
              <w:right w:val="single" w:sz="4" w:space="0" w:color="auto"/>
            </w:tcBorders>
            <w:shd w:val="clear" w:color="auto" w:fill="auto"/>
            <w:noWrap/>
            <w:vAlign w:val="center"/>
            <w:hideMark/>
          </w:tcPr>
          <w:p w14:paraId="47A66D6A" w14:textId="77777777" w:rsidR="00D12268" w:rsidRPr="00D75BF5" w:rsidRDefault="00D12268" w:rsidP="003C2E12">
            <w:pPr>
              <w:pStyle w:val="Tabletext1"/>
              <w:jc w:val="center"/>
            </w:pPr>
            <w:r w:rsidRPr="00D75BF5">
              <w:t>35336</w:t>
            </w:r>
          </w:p>
        </w:tc>
      </w:tr>
      <w:tr w:rsidR="00D12268" w:rsidRPr="00D75BF5" w14:paraId="7ADCC264" w14:textId="77777777" w:rsidTr="005007E2">
        <w:trPr>
          <w:trHeight w:val="6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292FE4AE" w14:textId="77777777" w:rsidR="00D12268" w:rsidRPr="00D75BF5" w:rsidRDefault="00D12268" w:rsidP="003C2E12">
            <w:pPr>
              <w:pStyle w:val="Tabletext1"/>
            </w:pPr>
            <w:r w:rsidRPr="00D75BF5">
              <w:t>22</w:t>
            </w:r>
          </w:p>
        </w:tc>
        <w:tc>
          <w:tcPr>
            <w:tcW w:w="4071" w:type="pct"/>
            <w:tcBorders>
              <w:top w:val="nil"/>
              <w:left w:val="nil"/>
              <w:bottom w:val="single" w:sz="4" w:space="0" w:color="auto"/>
              <w:right w:val="single" w:sz="4" w:space="0" w:color="auto"/>
            </w:tcBorders>
            <w:shd w:val="clear" w:color="auto" w:fill="auto"/>
            <w:vAlign w:val="bottom"/>
            <w:hideMark/>
          </w:tcPr>
          <w:p w14:paraId="2D64C027" w14:textId="77777777" w:rsidR="00D12268" w:rsidRPr="00D75BF5" w:rsidRDefault="00D12268" w:rsidP="003C2E12">
            <w:pPr>
              <w:pStyle w:val="Tabletext1"/>
            </w:pPr>
            <w:r w:rsidRPr="00D75BF5">
              <w:t>4 or 5 or 6 or 7 or 8 or 9 or 10 or 11 or 12 or 13 or 14 or 15 or 16 or 17 or 18 or 19 or 20 or 21</w:t>
            </w:r>
          </w:p>
        </w:tc>
        <w:tc>
          <w:tcPr>
            <w:tcW w:w="502" w:type="pct"/>
            <w:tcBorders>
              <w:top w:val="nil"/>
              <w:left w:val="nil"/>
              <w:bottom w:val="single" w:sz="4" w:space="0" w:color="auto"/>
              <w:right w:val="single" w:sz="4" w:space="0" w:color="auto"/>
            </w:tcBorders>
            <w:shd w:val="clear" w:color="auto" w:fill="auto"/>
            <w:noWrap/>
            <w:vAlign w:val="center"/>
            <w:hideMark/>
          </w:tcPr>
          <w:p w14:paraId="0D2C62F3" w14:textId="77777777" w:rsidR="00D12268" w:rsidRPr="00D75BF5" w:rsidRDefault="00D12268" w:rsidP="003C2E12">
            <w:pPr>
              <w:pStyle w:val="Tabletext1"/>
              <w:jc w:val="center"/>
            </w:pPr>
            <w:r w:rsidRPr="00D75BF5">
              <w:t>2199668</w:t>
            </w:r>
          </w:p>
        </w:tc>
      </w:tr>
      <w:tr w:rsidR="00D12268" w:rsidRPr="00D75BF5" w14:paraId="5A4C87AA" w14:textId="77777777" w:rsidTr="005007E2">
        <w:trPr>
          <w:trHeight w:val="300"/>
        </w:trPr>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021A666D" w14:textId="77777777" w:rsidR="00D12268" w:rsidRPr="00D75BF5" w:rsidRDefault="00D12268" w:rsidP="003C2E12">
            <w:pPr>
              <w:pStyle w:val="Tabletext1"/>
            </w:pPr>
            <w:r w:rsidRPr="00D75BF5">
              <w:t>23</w:t>
            </w:r>
          </w:p>
        </w:tc>
        <w:tc>
          <w:tcPr>
            <w:tcW w:w="4071" w:type="pct"/>
            <w:tcBorders>
              <w:top w:val="nil"/>
              <w:left w:val="nil"/>
              <w:bottom w:val="single" w:sz="4" w:space="0" w:color="auto"/>
              <w:right w:val="single" w:sz="4" w:space="0" w:color="auto"/>
            </w:tcBorders>
            <w:shd w:val="clear" w:color="auto" w:fill="auto"/>
            <w:vAlign w:val="bottom"/>
            <w:hideMark/>
          </w:tcPr>
          <w:p w14:paraId="49D80CE2" w14:textId="77777777" w:rsidR="00D12268" w:rsidRPr="00D75BF5" w:rsidRDefault="00D12268" w:rsidP="003C2E12">
            <w:pPr>
              <w:pStyle w:val="Tabletext1"/>
            </w:pPr>
            <w:r w:rsidRPr="00D75BF5">
              <w:t>3 and 22</w:t>
            </w:r>
          </w:p>
        </w:tc>
        <w:tc>
          <w:tcPr>
            <w:tcW w:w="502" w:type="pct"/>
            <w:tcBorders>
              <w:top w:val="nil"/>
              <w:left w:val="nil"/>
              <w:bottom w:val="single" w:sz="4" w:space="0" w:color="auto"/>
              <w:right w:val="single" w:sz="4" w:space="0" w:color="auto"/>
            </w:tcBorders>
            <w:shd w:val="clear" w:color="auto" w:fill="auto"/>
            <w:noWrap/>
            <w:vAlign w:val="center"/>
            <w:hideMark/>
          </w:tcPr>
          <w:p w14:paraId="0073172B" w14:textId="77777777" w:rsidR="00D12268" w:rsidRPr="00D75BF5" w:rsidRDefault="00D12268" w:rsidP="003C2E12">
            <w:pPr>
              <w:pStyle w:val="Tabletext1"/>
              <w:jc w:val="center"/>
            </w:pPr>
            <w:r w:rsidRPr="00D75BF5">
              <w:t>408</w:t>
            </w:r>
          </w:p>
        </w:tc>
      </w:tr>
    </w:tbl>
    <w:p w14:paraId="44FD63B1" w14:textId="77777777" w:rsidR="00D12268" w:rsidRPr="00013791" w:rsidRDefault="00D12268" w:rsidP="00D12268">
      <w:pPr>
        <w:pStyle w:val="Heading3"/>
      </w:pPr>
      <w:bookmarkStart w:id="511" w:name="_Toc395200800"/>
      <w:bookmarkStart w:id="512" w:name="_Toc59018797"/>
      <w:bookmarkStart w:id="513" w:name="_Toc59020341"/>
      <w:bookmarkStart w:id="514" w:name="_Toc59439563"/>
      <w:bookmarkStart w:id="515" w:name="_Toc89857835"/>
      <w:r>
        <w:t>Structure of the economic evaluation</w:t>
      </w:r>
      <w:bookmarkEnd w:id="511"/>
      <w:bookmarkEnd w:id="512"/>
      <w:bookmarkEnd w:id="513"/>
      <w:bookmarkEnd w:id="514"/>
      <w:bookmarkEnd w:id="515"/>
    </w:p>
    <w:p w14:paraId="47E667EC" w14:textId="77777777" w:rsidR="00D12268" w:rsidRDefault="00D12268" w:rsidP="00D12268">
      <w:r>
        <w:t xml:space="preserve">For the economic evaluation, Microsoft Excel </w:t>
      </w:r>
      <w:r w:rsidRPr="007C2A87">
        <w:t>2016 MSO (16.0.8431.2110) 64-bit</w:t>
      </w:r>
      <w:r>
        <w:t xml:space="preserve"> was used to develop the cost-minimisation model.</w:t>
      </w:r>
    </w:p>
    <w:p w14:paraId="6D2DB4C7" w14:textId="18BEACDE" w:rsidR="00D12268" w:rsidRDefault="00D12268" w:rsidP="00D12268">
      <w:r>
        <w:t xml:space="preserve">A cost-minimisation model was developed to estimate the costs of MR-IGRT compared with CBCT-IGRT. As requested in the PICO, the economic evaluation presented the distribution of costs between the intervention and comparator, including capital costs, and resource costs (including procedural time). Furthermore, adverse event profile modelling to assess the risk-benefit trade-offs has been assessed for prostate cancer. Since prostate cancer is one of the most common cancers in </w:t>
      </w:r>
      <w:r>
        <w:lastRenderedPageBreak/>
        <w:t xml:space="preserve">Australia, it made practical sense to use it as an </w:t>
      </w:r>
      <w:r w:rsidR="00185240">
        <w:t>example</w:t>
      </w:r>
      <w:r>
        <w:t xml:space="preserve"> within this report. The economic modelling of MR-IGRT and CBCT-IGRT for prostate cancer related adverse events was discussed with the </w:t>
      </w:r>
      <w:r w:rsidR="00DA07F7">
        <w:t>D</w:t>
      </w:r>
      <w:r>
        <w:t xml:space="preserve">epartment. </w:t>
      </w:r>
    </w:p>
    <w:p w14:paraId="0D7D33A7" w14:textId="26DBB697" w:rsidR="00D12268" w:rsidRDefault="00D12268" w:rsidP="00D12268">
      <w:r>
        <w:t xml:space="preserve">From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t xml:space="preserve"> and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t xml:space="preserve"> the healthcare resources and time estimates provided were used to derive the cost of delivering 5 fraction SBRT with MR-IGRT and CBCT-IGRT. Using data from these studies two separate costs were estimated for MR-IGRT and CBCT-IGRT. </w:t>
      </w:r>
    </w:p>
    <w:p w14:paraId="17333CCD" w14:textId="55F883F0" w:rsidR="00D12268" w:rsidRDefault="00211285" w:rsidP="00D12268">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rsidR="00D12268">
        <w:t xml:space="preserve"> provided process maps (online supplementary) for each step identifying the relevant healthcare professional, time spent, and probability estimate specific to delivering MR-guided SBRT and CBCT-guided SBRT for patients with localized unresectable heapatocellular carcinoma. In both settings, patients were to be treated with 50 Gy over 5 fractions. The steps identified were new patient consultation, treatment simulation, fiducial placement that occurs prior to simulation (for CBCT-guided radiation therapy only), prior to simulation steps (for MR-IGRT specific patients), treatment planning, treatment, management of patient while on-treatment, follow-up. Since the study was conducted in the United States, </w:t>
      </w:r>
      <w:r w:rsidR="0078354E">
        <w:t>the DCAR</w:t>
      </w:r>
      <w:r w:rsidR="00D12268">
        <w:t xml:space="preserve"> obtained Australian specific costs of healthcare professionals involved and multiplied them with time and probability estimate to derive Australian specific cost of delivering MR-guided SBRT and CBCT-guided SBRT.  </w:t>
      </w:r>
    </w:p>
    <w:p w14:paraId="23B0419E" w14:textId="39EA7A29" w:rsidR="00D12268" w:rsidRDefault="00211285" w:rsidP="00D12268">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rsidR="00D12268">
        <w:t xml:space="preserve"> provided estimates on personnel time spent and costs at each step of delivering two treatment regiments: conventional radiotherapy with daily 39 fractions using CBCT and MRI and 5 fractions SBRT using CBCT and MRI. In this report, 5-fractions</w:t>
      </w:r>
      <w:r w:rsidR="0078354E">
        <w:t xml:space="preserve"> was used an</w:t>
      </w:r>
      <w:r w:rsidR="00DA07F7">
        <w:t>d</w:t>
      </w:r>
      <w:r w:rsidR="0078354E">
        <w:t xml:space="preserve"> the estimate for</w:t>
      </w:r>
      <w:r w:rsidR="00D12268">
        <w:t xml:space="preserve"> MR-guided SBRT and CBCT-guided SBRT in prostate cancer patients. The steps identified were consultation, simulation, planning, treatment, on-treatment visit, follow-up visit. </w:t>
      </w:r>
      <w:r w:rsidR="00F4184D">
        <w:t xml:space="preserve">Australian specific costs were obtained </w:t>
      </w:r>
      <w:r w:rsidR="00720E9E">
        <w:t>as mentioned in the paragraph above.</w:t>
      </w:r>
      <w:r w:rsidR="00F4184D">
        <w:t xml:space="preserve"> </w:t>
      </w:r>
    </w:p>
    <w:p w14:paraId="3BD20644" w14:textId="1E527A65" w:rsidR="00D12268" w:rsidRDefault="00D12268" w:rsidP="00D12268">
      <w:r>
        <w:t xml:space="preserve">As guided by the PICO, capital costs </w:t>
      </w:r>
      <w:r w:rsidR="00AC2908">
        <w:t xml:space="preserve">were included for both MRI </w:t>
      </w:r>
      <w:r w:rsidR="000E3404">
        <w:t xml:space="preserve">guided SBRT and </w:t>
      </w:r>
      <w:r w:rsidR="00AC2908">
        <w:t>CBCT-guided SBRT</w:t>
      </w:r>
      <w:r>
        <w:t xml:space="preserve"> which includes one-off cost (installation cost, software, imaging, Linac, professional development, training and accreditation, maintenance for first two years). </w:t>
      </w:r>
      <w:r w:rsidR="000E3404">
        <w:t xml:space="preserve">The DCAR assumed a </w:t>
      </w:r>
      <w:r>
        <w:t xml:space="preserve">lifetime of 10 years over which the value of equipment will depreciate at 10% per annum and have added it to the capital cost. In addition, </w:t>
      </w:r>
      <w:r w:rsidR="000E3404">
        <w:t>the DCAR</w:t>
      </w:r>
      <w:r>
        <w:t xml:space="preserve"> have assumed a cost of borrowing capital at an interest rate of 5% per annum (reflecting discount rate) and added it to the capital cost. A half-cycle correction was factored to avoid overestimation of the capital cost.</w:t>
      </w:r>
    </w:p>
    <w:p w14:paraId="03473D91" w14:textId="34110ED6" w:rsidR="00D12268" w:rsidRDefault="000E3404" w:rsidP="00D12268">
      <w:r>
        <w:t>The DCAR</w:t>
      </w:r>
      <w:r w:rsidR="00D12268">
        <w:t xml:space="preserve"> included annual service and maintenance cost of both equipment up to 8 years. </w:t>
      </w:r>
      <w:r w:rsidR="00C46ABA">
        <w:t xml:space="preserve">As mentioned above, the cost of borrowing capital and a half cycle correction was applied. </w:t>
      </w:r>
      <w:r w:rsidR="00D12268">
        <w:t xml:space="preserve"> </w:t>
      </w:r>
    </w:p>
    <w:p w14:paraId="5F119580" w14:textId="5C767EE9" w:rsidR="00D12268" w:rsidRDefault="00D12268" w:rsidP="00D12268">
      <w:r>
        <w:t xml:space="preserve">The Australian specific costs estimated from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t xml:space="preserve"> and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t xml:space="preserve"> were averaged to derive the cost of MR-guided SBRT and CBCT-guided SBRT per treatment course to be used in the cost-minimisation model. </w:t>
      </w:r>
    </w:p>
    <w:p w14:paraId="40A147B0" w14:textId="2D444CCC" w:rsidR="00D12268" w:rsidRDefault="00D12268" w:rsidP="00D12268">
      <w:r>
        <w:lastRenderedPageBreak/>
        <w:t xml:space="preserve">The cost-minimisation model comprised of modelling acute and late GI/GU toxicity in prostate cancer patients. The rates of different grades of toxicity related to prostate cancer are provided in </w:t>
      </w:r>
      <w:r>
        <w:fldChar w:fldCharType="begin"/>
      </w:r>
      <w:r>
        <w:instrText xml:space="preserve"> REF _Ref55823918 \h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fldChar w:fldCharType="separate"/>
      </w:r>
      <w:r w:rsidR="00451350" w:rsidRPr="00E86441">
        <w:t xml:space="preserve">Table </w:t>
      </w:r>
      <w:r w:rsidR="00451350">
        <w:rPr>
          <w:noProof/>
        </w:rPr>
        <w:t>21</w:t>
      </w:r>
      <w:r>
        <w:fldChar w:fldCharType="end"/>
      </w:r>
      <w:r>
        <w:t xml:space="preserve"> to which relevant treatment costs were applied. The final costs consisted of the cost of delivering 5 fractions MR-guided SBRT and CBCT-guided SBRT and the cost of treating adverse events in patients with prostate cancer. </w:t>
      </w:r>
    </w:p>
    <w:p w14:paraId="13A43B33" w14:textId="77777777" w:rsidR="00D12268" w:rsidRPr="00183E4D" w:rsidRDefault="00D12268" w:rsidP="00D12268">
      <w:pPr>
        <w:pStyle w:val="Heading4"/>
      </w:pPr>
      <w:r w:rsidRPr="00183E4D">
        <w:t>Assumptions incorporated into the model structure:</w:t>
      </w:r>
    </w:p>
    <w:p w14:paraId="62FCA256" w14:textId="3042ED20" w:rsidR="00412581" w:rsidRDefault="00D12268" w:rsidP="00412581">
      <w:r>
        <w:t xml:space="preserve">In this assessment, </w:t>
      </w:r>
      <w:r w:rsidR="00D6604C">
        <w:t>the DCAR</w:t>
      </w:r>
      <w:r>
        <w:t xml:space="preserve"> </w:t>
      </w:r>
      <w:r w:rsidR="00745B02">
        <w:t xml:space="preserve">has </w:t>
      </w:r>
      <w:r>
        <w:t xml:space="preserve">provided an </w:t>
      </w:r>
      <w:r w:rsidR="00892F48">
        <w:t xml:space="preserve">example </w:t>
      </w:r>
      <w:r>
        <w:t xml:space="preserve">on cost of delivering 5 fractions MR-guided radiation therapy and CBCT-guided radiation therapy and adverse event modelling for prostate cancer patients. </w:t>
      </w:r>
      <w:r w:rsidR="00D6604C">
        <w:t>The DCAR</w:t>
      </w:r>
      <w:r>
        <w:t xml:space="preserve"> did not find relevant economic literature in the Australian setting regarding healthcare professionals required at each step of delivering MR-IGRT and CBCT-IGRT, time spent on each activity, and relevant healthcare resources required to estimate costs. </w:t>
      </w:r>
      <w:r w:rsidR="00D6604C">
        <w:t>T</w:t>
      </w:r>
      <w:r>
        <w:t>wo US based studies</w:t>
      </w:r>
      <w:r w:rsidR="00D6604C">
        <w:t xml:space="preserve"> were identified,</w:t>
      </w:r>
      <w:r>
        <w:t xml:space="preserve"> conducted in prostate cancer and hepatocellular carcinoma patients relevant to this assessment. While </w:t>
      </w:r>
      <w:r w:rsidR="002C3B9E">
        <w:t>from</w:t>
      </w:r>
      <w:r>
        <w:t xml:space="preserve"> the literature</w:t>
      </w:r>
      <w:r w:rsidR="002C3B9E">
        <w:t>,</w:t>
      </w:r>
      <w:r>
        <w:t xml:space="preserve"> healthcare resources required </w:t>
      </w:r>
      <w:r w:rsidR="002C3B9E">
        <w:t>for</w:t>
      </w:r>
      <w:r>
        <w:t xml:space="preserve"> treating toxicity in prostate cancer patients </w:t>
      </w:r>
      <w:r w:rsidR="002C3B9E">
        <w:t>were</w:t>
      </w:r>
      <w:r>
        <w:t xml:space="preserve"> available </w:t>
      </w:r>
      <w:r w:rsidR="000C77B0">
        <w:fldChar w:fldCharType="begin"/>
      </w:r>
      <w:r w:rsidR="000C77B0">
        <w:instrText xml:space="preserve"> ADDIN EN.CITE &lt;EndNote&gt;&lt;Cite&gt;&lt;Author&gt;Schumacher&lt;/Author&gt;&lt;Year&gt;2020&lt;/Year&gt;&lt;RecNum&gt;93&lt;/RecNum&gt;&lt;DisplayText&gt;(Schumacher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0C77B0">
        <w:fldChar w:fldCharType="separate"/>
      </w:r>
      <w:r w:rsidR="000C77B0">
        <w:rPr>
          <w:noProof/>
        </w:rPr>
        <w:t>(</w:t>
      </w:r>
      <w:hyperlink w:anchor="_ENREF_62" w:tooltip="Schumacher, 2020 #93" w:history="1">
        <w:r w:rsidR="008B6FC0">
          <w:rPr>
            <w:noProof/>
          </w:rPr>
          <w:t>Schumacher et al., 2020</w:t>
        </w:r>
      </w:hyperlink>
      <w:r w:rsidR="000C77B0">
        <w:rPr>
          <w:noProof/>
        </w:rPr>
        <w:t>)</w:t>
      </w:r>
      <w:r w:rsidR="000C77B0">
        <w:fldChar w:fldCharType="end"/>
      </w:r>
      <w:r>
        <w:t xml:space="preserve">, </w:t>
      </w:r>
      <w:r w:rsidR="00D6604C">
        <w:t>the DCAR did</w:t>
      </w:r>
      <w:r>
        <w:t xml:space="preserve"> not identify healthcare resources required for treating toxicity related to hepatocellular carcinoma. </w:t>
      </w:r>
      <w:r w:rsidR="00412581">
        <w:t xml:space="preserve">The amount of available identified evidence was discussed with the Department of Health and it was agreed that the most pragmatic evaluation was to provide a cost-minimisation analysis of MR-IGRT versus CBCT-IGRT based on the two studies along with economic modelling of adverse events in prostate cancer patients. </w:t>
      </w:r>
    </w:p>
    <w:p w14:paraId="2AE1F66B" w14:textId="4070707E" w:rsidR="00D12268" w:rsidRDefault="00D6604C" w:rsidP="00D12268">
      <w:r>
        <w:t xml:space="preserve">The </w:t>
      </w:r>
      <w:r w:rsidR="00D84DBC">
        <w:t>DCAR</w:t>
      </w:r>
      <w:r w:rsidR="00D12268">
        <w:t xml:space="preserve"> assumed that radiation therapy will be delivered using 5 fractions SBRT, and have derived costs of delivering MR-guided SBRT and CBCT-guided SBRT. </w:t>
      </w:r>
      <w:r w:rsidR="000B7C20" w:rsidRPr="00F70799">
        <w:rPr>
          <w:rFonts w:asciiTheme="minorHAnsi" w:hAnsiTheme="minorHAnsi" w:cstheme="minorHAnsi"/>
        </w:rPr>
        <w:t xml:space="preserve">However, in the Australian setting, underlying radiation therapy could be delivered using different treatment such as Intensity Modulated Radiation Therapy (IMRT). As such the radiation dose, number of fractions, and healthcare resources utilisation is likely to differ based on the radiation treatment and can impact the cost. Furthermore, depending on the type of cancer and stage, the requirements are likely to differ and impact the overall cost. </w:t>
      </w:r>
      <w:r w:rsidR="00D12268">
        <w:t xml:space="preserve">Due to paucity in the available evidence, it was decided to use the available evidence from the two </w:t>
      </w:r>
      <w:r w:rsidR="000B7C20">
        <w:t xml:space="preserve">studies </w:t>
      </w:r>
      <w:r w:rsidR="00D12268">
        <w:t xml:space="preserve">on healthcare resources, time spent by health professionals, and probabilities to estimate cost of delivering MR-guided SBRT and CBCT-guided SBRT in Australian setting. Furthermore, it is likely that CBCT-IGRT may require higher number of fractions per treatment course. </w:t>
      </w:r>
      <w:r w:rsidR="00D84DBC">
        <w:t>The DCAR</w:t>
      </w:r>
      <w:r w:rsidR="00D12268">
        <w:t xml:space="preserve"> conducted </w:t>
      </w:r>
      <w:r w:rsidR="00D84DBC">
        <w:t xml:space="preserve">a </w:t>
      </w:r>
      <w:r w:rsidR="00D12268">
        <w:t>sensitivity analysis by increasing number of fractions with CBCT-IGRT from 5 fractions to 30 fractions per treatment course.</w:t>
      </w:r>
    </w:p>
    <w:p w14:paraId="39B73DF0" w14:textId="0EEA969E" w:rsidR="00D12268" w:rsidRDefault="00BA3249" w:rsidP="00D12268">
      <w:r>
        <w:t>The DCAR</w:t>
      </w:r>
      <w:r w:rsidR="00D12268">
        <w:t xml:space="preserve"> assumed lifetime of the equipment to be 10-years, however, this is likely to vary and will impact the overall cost. </w:t>
      </w:r>
      <w:r w:rsidR="003A29DC">
        <w:t>A</w:t>
      </w:r>
      <w:r w:rsidR="00D12268">
        <w:t xml:space="preserve"> sensitivity analysis </w:t>
      </w:r>
      <w:r w:rsidR="003A29DC">
        <w:t xml:space="preserve">was </w:t>
      </w:r>
      <w:r w:rsidR="00D12268">
        <w:t xml:space="preserve">conducted on lifetime of the equipment and subsequent variables such as interest rate and depreciation. Cost of equipment and maintenance accounted for the largest proportion in overall cost, so to avoid uncertainty, </w:t>
      </w:r>
      <w:r w:rsidR="00D84DBC">
        <w:t>a</w:t>
      </w:r>
      <w:r w:rsidR="00D12268">
        <w:t xml:space="preserve"> sensitivity analysis</w:t>
      </w:r>
      <w:r w:rsidR="00D84DBC">
        <w:t xml:space="preserve"> was developed</w:t>
      </w:r>
      <w:r w:rsidR="00D12268">
        <w:t xml:space="preserve"> </w:t>
      </w:r>
      <w:r w:rsidR="00D84DBC">
        <w:t>testing</w:t>
      </w:r>
      <w:r w:rsidR="00D12268">
        <w:t xml:space="preserve"> these costs. </w:t>
      </w:r>
    </w:p>
    <w:p w14:paraId="45CFFC93" w14:textId="60C0D126" w:rsidR="00D12268" w:rsidRDefault="003A29DC" w:rsidP="00D12268">
      <w:r>
        <w:lastRenderedPageBreak/>
        <w:t>The DCAR</w:t>
      </w:r>
      <w:r w:rsidR="00D12268">
        <w:t xml:space="preserve"> included fiducial marker placement as a prior step to simulation for all the patients, however, for certain kinds of cancer, it might not require and likely to overestimate the cost. </w:t>
      </w:r>
      <w:r w:rsidR="00150931">
        <w:t xml:space="preserve">A </w:t>
      </w:r>
      <w:r w:rsidR="00D12268">
        <w:t xml:space="preserve">sensitivity analysis </w:t>
      </w:r>
      <w:r w:rsidR="00150931">
        <w:t xml:space="preserve">was included </w:t>
      </w:r>
      <w:r w:rsidR="00D12268">
        <w:t xml:space="preserve">by removing cost of fiducial marker placement. </w:t>
      </w:r>
    </w:p>
    <w:p w14:paraId="57196BD1" w14:textId="128FB540" w:rsidR="00D12268" w:rsidRDefault="003A29DC" w:rsidP="00D12268">
      <w:r>
        <w:t>The DCAR</w:t>
      </w:r>
      <w:r w:rsidR="00D12268">
        <w:t xml:space="preserve"> estimated the number of treatment course</w:t>
      </w:r>
      <w:r w:rsidR="00A07A30">
        <w:t>s</w:t>
      </w:r>
      <w:r w:rsidR="00D12268">
        <w:t xml:space="preserve"> (volume of patients treated over lifetime) delivered using MR-guided SBRT and CBCT-guided SBRT from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rsidR="0005279C">
        <w:t>.</w:t>
      </w:r>
      <w:r w:rsidR="00D12268">
        <w:t xml:space="preserve"> The estimates provided in the paper were for 15 years, however, </w:t>
      </w:r>
      <w:r w:rsidR="00150931">
        <w:t>the DCAR</w:t>
      </w:r>
      <w:r w:rsidR="00D12268">
        <w:t xml:space="preserve"> derived number of treatment course</w:t>
      </w:r>
      <w:r w:rsidR="00A07A30">
        <w:t>s</w:t>
      </w:r>
      <w:r w:rsidR="00D12268">
        <w:t xml:space="preserve"> to be delivered using MR-guided SBRT and CBCT-guided SBRT for 10 years (lifetime of the equipment assumed in the economic evaluation). The number of treatment courses delivered over the lifetime of the equipment are likely to vary and create uncertainty in estimating cost. </w:t>
      </w:r>
      <w:r w:rsidR="00150931">
        <w:t>A</w:t>
      </w:r>
      <w:r w:rsidR="00D12268">
        <w:t xml:space="preserve"> sensitivity analysis</w:t>
      </w:r>
      <w:r w:rsidR="00150931">
        <w:t xml:space="preserve"> was included</w:t>
      </w:r>
      <w:r w:rsidR="00D12268">
        <w:t xml:space="preserve"> by increasing and decreasing number of treatment courses delivered from base case value to see its impact on the overall costs. </w:t>
      </w:r>
    </w:p>
    <w:p w14:paraId="054A17A8" w14:textId="77777777" w:rsidR="00D12268" w:rsidRDefault="00D12268" w:rsidP="00D12268">
      <w:pPr>
        <w:pStyle w:val="Heading2"/>
        <w:numPr>
          <w:ilvl w:val="3"/>
          <w:numId w:val="10"/>
        </w:numPr>
      </w:pPr>
      <w:bookmarkStart w:id="516" w:name="_Toc381796479"/>
      <w:bookmarkStart w:id="517" w:name="_Ref59013161"/>
      <w:bookmarkStart w:id="518" w:name="_Ref59013182"/>
      <w:bookmarkStart w:id="519" w:name="_Ref59013289"/>
      <w:bookmarkStart w:id="520" w:name="_Ref59013950"/>
      <w:bookmarkStart w:id="521" w:name="_Ref59013998"/>
      <w:bookmarkStart w:id="522" w:name="_Ref59014012"/>
      <w:bookmarkStart w:id="523" w:name="_Ref59014103"/>
      <w:bookmarkStart w:id="524" w:name="_Ref59014118"/>
      <w:bookmarkStart w:id="525" w:name="_Ref59014148"/>
      <w:bookmarkStart w:id="526" w:name="_Ref59014267"/>
      <w:bookmarkStart w:id="527" w:name="_Toc59018798"/>
      <w:bookmarkStart w:id="528" w:name="_Toc59020342"/>
      <w:bookmarkStart w:id="529" w:name="_Ref59021263"/>
      <w:bookmarkStart w:id="530" w:name="_Ref59021818"/>
      <w:bookmarkStart w:id="531" w:name="_Ref59021831"/>
      <w:bookmarkStart w:id="532" w:name="_Toc59439564"/>
      <w:bookmarkStart w:id="533" w:name="_Toc89857836"/>
      <w:r w:rsidRPr="00183E4D">
        <w:t>Inputs to the economic evaluation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067A3CA2" w14:textId="78120A39" w:rsidR="00D12268" w:rsidRPr="00680A09" w:rsidRDefault="00D12268" w:rsidP="00D12268">
      <w:r>
        <w:t xml:space="preserve">The DCAR acknowledges uncertainty in the inputs used in the economic evaluation. </w:t>
      </w:r>
      <w:r w:rsidR="00150931">
        <w:t>The assessment group contacted</w:t>
      </w:r>
      <w:r>
        <w:t xml:space="preserve"> the </w:t>
      </w:r>
      <w:r w:rsidR="00150931">
        <w:t>D</w:t>
      </w:r>
      <w:r>
        <w:t>epartment</w:t>
      </w:r>
      <w:r w:rsidR="00150931">
        <w:t xml:space="preserve"> of Health</w:t>
      </w:r>
      <w:r>
        <w:t xml:space="preserve">, </w:t>
      </w:r>
      <w:r w:rsidRPr="00B40C49">
        <w:t>The Royal Australian and New Zealand College of Radiologists</w:t>
      </w:r>
      <w:r>
        <w:t xml:space="preserve"> (RANZCR), and the </w:t>
      </w:r>
      <w:r w:rsidR="008F4472">
        <w:t>Applicant</w:t>
      </w:r>
      <w:r>
        <w:t xml:space="preserve"> to provide inputs for economic evaluation as no Australian specific literature comparing MR-IGRT versus CBCT-IGRT could be found. </w:t>
      </w:r>
      <w:r w:rsidR="00DC2E6E">
        <w:t>The DCAR</w:t>
      </w:r>
      <w:r>
        <w:t xml:space="preserve"> reviewed previous MSAC application on IGRT technologies, and some inputs provided by the </w:t>
      </w:r>
      <w:r w:rsidR="008F4472">
        <w:t>Applicant</w:t>
      </w:r>
      <w:r>
        <w:t xml:space="preserve"> which were useful for the economic evaluation.</w:t>
      </w:r>
      <w:r w:rsidR="00390CD2">
        <w:t xml:space="preserve"> M</w:t>
      </w:r>
      <w:r>
        <w:t xml:space="preserve">ajority of the inputs in the economic evaluation were derived from the US based studies. </w:t>
      </w:r>
    </w:p>
    <w:p w14:paraId="1A74D9F6" w14:textId="77777777" w:rsidR="00D12268" w:rsidRDefault="00D12268" w:rsidP="00D12268">
      <w:pPr>
        <w:pStyle w:val="Heading3"/>
      </w:pPr>
      <w:bookmarkStart w:id="534" w:name="_Toc59018799"/>
      <w:bookmarkStart w:id="535" w:name="_Toc59020343"/>
      <w:bookmarkStart w:id="536" w:name="_Toc59439565"/>
      <w:bookmarkStart w:id="537" w:name="_Toc89857837"/>
      <w:r>
        <w:t>Costs</w:t>
      </w:r>
      <w:bookmarkEnd w:id="534"/>
      <w:bookmarkEnd w:id="535"/>
      <w:bookmarkEnd w:id="536"/>
      <w:bookmarkEnd w:id="537"/>
    </w:p>
    <w:p w14:paraId="0FDA744F" w14:textId="00DA9DF4" w:rsidR="00D12268" w:rsidRDefault="00D12268" w:rsidP="00D12268">
      <w:r>
        <w:fldChar w:fldCharType="begin"/>
      </w:r>
      <w:r>
        <w:instrText xml:space="preserve"> REF _Ref58237383 \h </w:instrText>
      </w:r>
      <w:r>
        <w:fldChar w:fldCharType="separate"/>
      </w:r>
      <w:r w:rsidR="00451350">
        <w:t xml:space="preserve">Table </w:t>
      </w:r>
      <w:r w:rsidR="00451350">
        <w:rPr>
          <w:noProof/>
        </w:rPr>
        <w:t>46</w:t>
      </w:r>
      <w:r>
        <w:fldChar w:fldCharType="end"/>
      </w:r>
      <w:r>
        <w:t xml:space="preserve"> presents a summary of the costs used in the cost minimisation analysis.</w:t>
      </w:r>
    </w:p>
    <w:p w14:paraId="4AACA82E" w14:textId="2069348A" w:rsidR="00D12268" w:rsidRPr="009352D7" w:rsidRDefault="00D12268" w:rsidP="00D12268">
      <w:pPr>
        <w:pStyle w:val="Caption"/>
      </w:pPr>
      <w:bookmarkStart w:id="538" w:name="_Ref58237383"/>
      <w:bookmarkStart w:id="539" w:name="_Toc89857917"/>
      <w:r>
        <w:t xml:space="preserve">Table </w:t>
      </w:r>
      <w:r w:rsidR="00211285">
        <w:fldChar w:fldCharType="begin"/>
      </w:r>
      <w:r w:rsidR="00211285">
        <w:instrText xml:space="preserve"> SEQ Table \* ARABIC</w:instrText>
      </w:r>
      <w:r w:rsidR="00211285">
        <w:instrText xml:space="preserve"> </w:instrText>
      </w:r>
      <w:r w:rsidR="00211285">
        <w:fldChar w:fldCharType="separate"/>
      </w:r>
      <w:r w:rsidR="00451350">
        <w:rPr>
          <w:noProof/>
        </w:rPr>
        <w:t>46</w:t>
      </w:r>
      <w:r w:rsidR="00211285">
        <w:rPr>
          <w:noProof/>
        </w:rPr>
        <w:fldChar w:fldCharType="end"/>
      </w:r>
      <w:bookmarkEnd w:id="538"/>
      <w:r>
        <w:tab/>
        <w:t>Cost inputs</w:t>
      </w:r>
      <w:bookmarkEnd w:id="539"/>
    </w:p>
    <w:tbl>
      <w:tblPr>
        <w:tblStyle w:val="TableClassic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st inputs "/>
        <w:tblDescription w:val="List of cost inputs included in the model"/>
      </w:tblPr>
      <w:tblGrid>
        <w:gridCol w:w="6136"/>
        <w:gridCol w:w="2880"/>
      </w:tblGrid>
      <w:tr w:rsidR="00D12268" w:rsidRPr="004977E9" w14:paraId="56DDBA42" w14:textId="77777777" w:rsidTr="005007E2">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403" w:type="pct"/>
          </w:tcPr>
          <w:p w14:paraId="5CBCD05D" w14:textId="77777777" w:rsidR="00D12268" w:rsidRPr="004977E9" w:rsidRDefault="00D12268" w:rsidP="00BF261E">
            <w:pPr>
              <w:pStyle w:val="TableHeading"/>
            </w:pPr>
            <w:r w:rsidRPr="004977E9">
              <w:t>Total Cost</w:t>
            </w:r>
          </w:p>
        </w:tc>
        <w:tc>
          <w:tcPr>
            <w:tcW w:w="1597" w:type="pct"/>
            <w:noWrap/>
            <w:vAlign w:val="center"/>
            <w:hideMark/>
          </w:tcPr>
          <w:p w14:paraId="52926FF4" w14:textId="77777777" w:rsidR="00D12268" w:rsidRPr="004977E9" w:rsidRDefault="00D12268" w:rsidP="005007E2">
            <w:pPr>
              <w:pStyle w:val="TableHeading"/>
              <w:jc w:val="center"/>
              <w:cnfStyle w:val="100000000000" w:firstRow="1" w:lastRow="0" w:firstColumn="0" w:lastColumn="0" w:oddVBand="0" w:evenVBand="0" w:oddHBand="0" w:evenHBand="0" w:firstRowFirstColumn="0" w:firstRowLastColumn="0" w:lastRowFirstColumn="0" w:lastRowLastColumn="0"/>
            </w:pPr>
            <w:r>
              <w:t>Per treatment course</w:t>
            </w:r>
          </w:p>
        </w:tc>
      </w:tr>
      <w:tr w:rsidR="00D12268" w:rsidRPr="004977E9" w14:paraId="27198E49" w14:textId="77777777" w:rsidTr="005007E2">
        <w:trPr>
          <w:trHeight w:val="315"/>
        </w:trPr>
        <w:tc>
          <w:tcPr>
            <w:cnfStyle w:val="001000000000" w:firstRow="0" w:lastRow="0" w:firstColumn="1" w:lastColumn="0" w:oddVBand="0" w:evenVBand="0" w:oddHBand="0" w:evenHBand="0" w:firstRowFirstColumn="0" w:firstRowLastColumn="0" w:lastRowFirstColumn="0" w:lastRowLastColumn="0"/>
            <w:tcW w:w="3403" w:type="pct"/>
          </w:tcPr>
          <w:p w14:paraId="133F4EEB" w14:textId="77777777" w:rsidR="00D12268" w:rsidRPr="004977E9" w:rsidRDefault="00D12268" w:rsidP="00556AB6">
            <w:pPr>
              <w:pStyle w:val="Tabletext1"/>
              <w:rPr>
                <w:rFonts w:cstheme="minorHAnsi"/>
              </w:rPr>
            </w:pPr>
            <w:r>
              <w:rPr>
                <w:rFonts w:cstheme="minorHAnsi"/>
              </w:rPr>
              <w:t>Cost of MR-guided SBRT (average of cost estimate derived from Parikh et al and Schumacher et al)</w:t>
            </w:r>
          </w:p>
        </w:tc>
        <w:tc>
          <w:tcPr>
            <w:tcW w:w="1597" w:type="pct"/>
            <w:noWrap/>
            <w:vAlign w:val="center"/>
          </w:tcPr>
          <w:p w14:paraId="7EC35825" w14:textId="77777777" w:rsidR="00D12268" w:rsidRPr="004977E9" w:rsidRDefault="00D12268" w:rsidP="00556AB6">
            <w:pPr>
              <w:pStyle w:val="Tabletext1"/>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$5,906.05</w:t>
            </w:r>
          </w:p>
        </w:tc>
      </w:tr>
      <w:tr w:rsidR="00D12268" w:rsidRPr="004977E9" w14:paraId="081F9C83" w14:textId="77777777" w:rsidTr="005007E2">
        <w:trPr>
          <w:trHeight w:val="315"/>
        </w:trPr>
        <w:tc>
          <w:tcPr>
            <w:cnfStyle w:val="001000000000" w:firstRow="0" w:lastRow="0" w:firstColumn="1" w:lastColumn="0" w:oddVBand="0" w:evenVBand="0" w:oddHBand="0" w:evenHBand="0" w:firstRowFirstColumn="0" w:firstRowLastColumn="0" w:lastRowFirstColumn="0" w:lastRowLastColumn="0"/>
            <w:tcW w:w="3403" w:type="pct"/>
          </w:tcPr>
          <w:p w14:paraId="1A745054" w14:textId="77777777" w:rsidR="00D12268" w:rsidRPr="004977E9" w:rsidRDefault="00D12268" w:rsidP="00556AB6">
            <w:pPr>
              <w:pStyle w:val="Tabletext1"/>
              <w:rPr>
                <w:rFonts w:cstheme="minorHAnsi"/>
              </w:rPr>
            </w:pPr>
            <w:r>
              <w:rPr>
                <w:rFonts w:cstheme="minorHAnsi"/>
              </w:rPr>
              <w:t>Cost of CBCT-guided SBRT (average of cost estimate derived from Parikh et al and Schumacher et al)</w:t>
            </w:r>
          </w:p>
        </w:tc>
        <w:tc>
          <w:tcPr>
            <w:tcW w:w="1597" w:type="pct"/>
            <w:noWrap/>
            <w:vAlign w:val="center"/>
          </w:tcPr>
          <w:p w14:paraId="7B3A56C4" w14:textId="77777777" w:rsidR="00D12268" w:rsidRPr="004977E9" w:rsidRDefault="00D12268" w:rsidP="00556AB6">
            <w:pPr>
              <w:pStyle w:val="Tabletext1"/>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$2,533.34</w:t>
            </w:r>
          </w:p>
        </w:tc>
      </w:tr>
      <w:tr w:rsidR="00D12268" w:rsidRPr="004977E9" w14:paraId="152F3617" w14:textId="77777777" w:rsidTr="005007E2">
        <w:trPr>
          <w:trHeight w:val="315"/>
        </w:trPr>
        <w:tc>
          <w:tcPr>
            <w:cnfStyle w:val="001000000000" w:firstRow="0" w:lastRow="0" w:firstColumn="1" w:lastColumn="0" w:oddVBand="0" w:evenVBand="0" w:oddHBand="0" w:evenHBand="0" w:firstRowFirstColumn="0" w:firstRowLastColumn="0" w:lastRowFirstColumn="0" w:lastRowLastColumn="0"/>
            <w:tcW w:w="3403" w:type="pct"/>
          </w:tcPr>
          <w:p w14:paraId="3FC3F215" w14:textId="77777777" w:rsidR="00D12268" w:rsidRPr="004977E9" w:rsidRDefault="00D12268" w:rsidP="00556AB6">
            <w:pPr>
              <w:pStyle w:val="Tabletext1"/>
              <w:rPr>
                <w:rFonts w:cstheme="minorHAnsi"/>
              </w:rPr>
            </w:pPr>
            <w:r>
              <w:rPr>
                <w:rFonts w:cstheme="minorHAnsi"/>
              </w:rPr>
              <w:t>Cost of Acute toxicity 1-2 grade (GI/GU)</w:t>
            </w:r>
          </w:p>
        </w:tc>
        <w:tc>
          <w:tcPr>
            <w:tcW w:w="1597" w:type="pct"/>
            <w:noWrap/>
            <w:vAlign w:val="center"/>
          </w:tcPr>
          <w:p w14:paraId="5B2AD4B6" w14:textId="77777777" w:rsidR="00D12268" w:rsidRPr="004977E9" w:rsidRDefault="00D12268" w:rsidP="00556AB6">
            <w:pPr>
              <w:pStyle w:val="Tabletext1"/>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$404.34</w:t>
            </w:r>
          </w:p>
        </w:tc>
      </w:tr>
      <w:tr w:rsidR="00D12268" w:rsidRPr="004977E9" w14:paraId="51432874" w14:textId="77777777" w:rsidTr="005007E2">
        <w:trPr>
          <w:trHeight w:val="315"/>
        </w:trPr>
        <w:tc>
          <w:tcPr>
            <w:cnfStyle w:val="001000000000" w:firstRow="0" w:lastRow="0" w:firstColumn="1" w:lastColumn="0" w:oddVBand="0" w:evenVBand="0" w:oddHBand="0" w:evenHBand="0" w:firstRowFirstColumn="0" w:firstRowLastColumn="0" w:lastRowFirstColumn="0" w:lastRowLastColumn="0"/>
            <w:tcW w:w="3403" w:type="pct"/>
          </w:tcPr>
          <w:p w14:paraId="4F3AE061" w14:textId="77777777" w:rsidR="00D12268" w:rsidRPr="004977E9" w:rsidRDefault="00D12268" w:rsidP="00556AB6">
            <w:pPr>
              <w:pStyle w:val="Tabletext1"/>
              <w:rPr>
                <w:rFonts w:cstheme="minorHAnsi"/>
              </w:rPr>
            </w:pPr>
            <w:r>
              <w:rPr>
                <w:rFonts w:cstheme="minorHAnsi"/>
              </w:rPr>
              <w:t>Cost of Acute toxicity grade 3 and above (GI/GU)</w:t>
            </w:r>
          </w:p>
        </w:tc>
        <w:tc>
          <w:tcPr>
            <w:tcW w:w="1597" w:type="pct"/>
            <w:noWrap/>
            <w:vAlign w:val="center"/>
          </w:tcPr>
          <w:p w14:paraId="20BEC2C8" w14:textId="77777777" w:rsidR="00D12268" w:rsidRPr="004977E9" w:rsidRDefault="00D12268" w:rsidP="00556AB6">
            <w:pPr>
              <w:pStyle w:val="Tabletext1"/>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$4,305.72</w:t>
            </w:r>
          </w:p>
        </w:tc>
      </w:tr>
      <w:tr w:rsidR="00D12268" w:rsidRPr="004977E9" w14:paraId="4E8B408D" w14:textId="77777777" w:rsidTr="005007E2">
        <w:trPr>
          <w:trHeight w:val="315"/>
        </w:trPr>
        <w:tc>
          <w:tcPr>
            <w:cnfStyle w:val="001000000000" w:firstRow="0" w:lastRow="0" w:firstColumn="1" w:lastColumn="0" w:oddVBand="0" w:evenVBand="0" w:oddHBand="0" w:evenHBand="0" w:firstRowFirstColumn="0" w:firstRowLastColumn="0" w:lastRowFirstColumn="0" w:lastRowLastColumn="0"/>
            <w:tcW w:w="3403" w:type="pct"/>
          </w:tcPr>
          <w:p w14:paraId="1873D404" w14:textId="77777777" w:rsidR="00D12268" w:rsidRPr="004977E9" w:rsidRDefault="00D12268" w:rsidP="00556AB6">
            <w:pPr>
              <w:pStyle w:val="Tabletext1"/>
              <w:rPr>
                <w:rFonts w:cstheme="minorHAnsi"/>
              </w:rPr>
            </w:pPr>
            <w:r>
              <w:rPr>
                <w:rFonts w:cstheme="minorHAnsi"/>
              </w:rPr>
              <w:t>Cost of Late toxicity grade 2 (GI)</w:t>
            </w:r>
          </w:p>
        </w:tc>
        <w:tc>
          <w:tcPr>
            <w:tcW w:w="1597" w:type="pct"/>
            <w:noWrap/>
            <w:vAlign w:val="center"/>
          </w:tcPr>
          <w:p w14:paraId="2E996A2E" w14:textId="77777777" w:rsidR="00D12268" w:rsidRPr="004977E9" w:rsidRDefault="00D12268" w:rsidP="00556AB6">
            <w:pPr>
              <w:pStyle w:val="Tabletext1"/>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$819.67</w:t>
            </w:r>
          </w:p>
        </w:tc>
      </w:tr>
      <w:tr w:rsidR="00D12268" w:rsidRPr="004977E9" w14:paraId="798AA65A" w14:textId="77777777" w:rsidTr="005007E2">
        <w:trPr>
          <w:trHeight w:val="315"/>
        </w:trPr>
        <w:tc>
          <w:tcPr>
            <w:cnfStyle w:val="001000000000" w:firstRow="0" w:lastRow="0" w:firstColumn="1" w:lastColumn="0" w:oddVBand="0" w:evenVBand="0" w:oddHBand="0" w:evenHBand="0" w:firstRowFirstColumn="0" w:firstRowLastColumn="0" w:lastRowFirstColumn="0" w:lastRowLastColumn="0"/>
            <w:tcW w:w="3403" w:type="pct"/>
          </w:tcPr>
          <w:p w14:paraId="4F3832E5" w14:textId="77777777" w:rsidR="00D12268" w:rsidRDefault="00D12268" w:rsidP="00556AB6">
            <w:pPr>
              <w:pStyle w:val="Tabletext1"/>
              <w:rPr>
                <w:rFonts w:cstheme="minorHAnsi"/>
              </w:rPr>
            </w:pPr>
            <w:r>
              <w:rPr>
                <w:rFonts w:cstheme="minorHAnsi"/>
              </w:rPr>
              <w:t>Cost of Late toxicity grade 3 and above (GI)</w:t>
            </w:r>
          </w:p>
        </w:tc>
        <w:tc>
          <w:tcPr>
            <w:tcW w:w="1597" w:type="pct"/>
            <w:noWrap/>
            <w:vAlign w:val="center"/>
          </w:tcPr>
          <w:p w14:paraId="3A055495" w14:textId="77777777" w:rsidR="00D12268" w:rsidRPr="004977E9" w:rsidRDefault="00D12268" w:rsidP="00556AB6">
            <w:pPr>
              <w:pStyle w:val="Tabletext1"/>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$4,058.81</w:t>
            </w:r>
          </w:p>
        </w:tc>
      </w:tr>
      <w:tr w:rsidR="00D12268" w:rsidRPr="004977E9" w14:paraId="6122C5E2" w14:textId="77777777" w:rsidTr="005007E2">
        <w:trPr>
          <w:trHeight w:val="315"/>
        </w:trPr>
        <w:tc>
          <w:tcPr>
            <w:cnfStyle w:val="001000000000" w:firstRow="0" w:lastRow="0" w:firstColumn="1" w:lastColumn="0" w:oddVBand="0" w:evenVBand="0" w:oddHBand="0" w:evenHBand="0" w:firstRowFirstColumn="0" w:firstRowLastColumn="0" w:lastRowFirstColumn="0" w:lastRowLastColumn="0"/>
            <w:tcW w:w="3403" w:type="pct"/>
          </w:tcPr>
          <w:p w14:paraId="571CBCCF" w14:textId="77777777" w:rsidR="00D12268" w:rsidRPr="004977E9" w:rsidRDefault="00D12268" w:rsidP="00556AB6">
            <w:pPr>
              <w:pStyle w:val="Tabletext1"/>
              <w:rPr>
                <w:rFonts w:cstheme="minorHAnsi"/>
              </w:rPr>
            </w:pPr>
            <w:r>
              <w:rPr>
                <w:rFonts w:cstheme="minorHAnsi"/>
              </w:rPr>
              <w:t>Cost of Late toxicity grade 2 (GU)</w:t>
            </w:r>
          </w:p>
        </w:tc>
        <w:tc>
          <w:tcPr>
            <w:tcW w:w="1597" w:type="pct"/>
            <w:noWrap/>
            <w:vAlign w:val="center"/>
          </w:tcPr>
          <w:p w14:paraId="0484439E" w14:textId="77777777" w:rsidR="00D12268" w:rsidRPr="004977E9" w:rsidRDefault="00D12268" w:rsidP="00556AB6">
            <w:pPr>
              <w:pStyle w:val="Tabletext1"/>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$1,393.81</w:t>
            </w:r>
          </w:p>
        </w:tc>
      </w:tr>
      <w:tr w:rsidR="00D12268" w:rsidRPr="004977E9" w14:paraId="51E068E4" w14:textId="77777777" w:rsidTr="005007E2">
        <w:trPr>
          <w:trHeight w:val="315"/>
        </w:trPr>
        <w:tc>
          <w:tcPr>
            <w:cnfStyle w:val="001000000000" w:firstRow="0" w:lastRow="0" w:firstColumn="1" w:lastColumn="0" w:oddVBand="0" w:evenVBand="0" w:oddHBand="0" w:evenHBand="0" w:firstRowFirstColumn="0" w:firstRowLastColumn="0" w:lastRowFirstColumn="0" w:lastRowLastColumn="0"/>
            <w:tcW w:w="3403" w:type="pct"/>
          </w:tcPr>
          <w:p w14:paraId="0E0E65DE" w14:textId="77777777" w:rsidR="00D12268" w:rsidRPr="004977E9" w:rsidRDefault="00D12268" w:rsidP="00556AB6">
            <w:pPr>
              <w:pStyle w:val="Tabletext1"/>
              <w:rPr>
                <w:rFonts w:cstheme="minorHAnsi"/>
              </w:rPr>
            </w:pPr>
            <w:r>
              <w:rPr>
                <w:rFonts w:cstheme="minorHAnsi"/>
              </w:rPr>
              <w:t>Cost of Late toxicity grade 3 and above (GU)</w:t>
            </w:r>
          </w:p>
        </w:tc>
        <w:tc>
          <w:tcPr>
            <w:tcW w:w="1597" w:type="pct"/>
            <w:noWrap/>
            <w:vAlign w:val="center"/>
          </w:tcPr>
          <w:p w14:paraId="5966A54D" w14:textId="77777777" w:rsidR="00D12268" w:rsidRPr="004977E9" w:rsidRDefault="00D12268" w:rsidP="00556AB6">
            <w:pPr>
              <w:pStyle w:val="Tabletext1"/>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$4,221.35</w:t>
            </w:r>
          </w:p>
        </w:tc>
      </w:tr>
    </w:tbl>
    <w:p w14:paraId="2924DE94" w14:textId="77777777" w:rsidR="00D12268" w:rsidRPr="008104DA" w:rsidRDefault="00D12268" w:rsidP="00150931">
      <w:pPr>
        <w:pStyle w:val="Tablenotes0"/>
        <w:spacing w:after="240" w:line="312" w:lineRule="auto"/>
      </w:pPr>
      <w:r>
        <w:t>MR=Magnetic resonance; CBCT=Cone-beam computed tomography; SBRT=Stereotactic body radiation therapy; GI=Gastrointestinal; GU=Genitourinary</w:t>
      </w:r>
    </w:p>
    <w:p w14:paraId="067B8EE3" w14:textId="2CD044C5" w:rsidR="00D12268" w:rsidRDefault="00D12268" w:rsidP="00D12268">
      <w:r>
        <w:lastRenderedPageBreak/>
        <w:t xml:space="preserve">Detail breakdown of the healthcare resources and their costs to estimate the overall cost related to MR-guided SBRT and CBCT-guided SBRT are provided in </w:t>
      </w:r>
      <w:r>
        <w:fldChar w:fldCharType="begin"/>
      </w:r>
      <w:r>
        <w:instrText xml:space="preserve"> REF _Ref58240197 \h </w:instrText>
      </w:r>
      <w:r>
        <w:fldChar w:fldCharType="separate"/>
      </w:r>
      <w:r w:rsidR="00451350">
        <w:t xml:space="preserve">Table </w:t>
      </w:r>
      <w:r w:rsidR="00451350">
        <w:rPr>
          <w:noProof/>
        </w:rPr>
        <w:t>47</w:t>
      </w:r>
      <w:r>
        <w:fldChar w:fldCharType="end"/>
      </w:r>
      <w:r>
        <w:t xml:space="preserve"> and </w:t>
      </w:r>
      <w:r>
        <w:fldChar w:fldCharType="begin"/>
      </w:r>
      <w:r>
        <w:instrText xml:space="preserve"> REF _Ref58337105 \h </w:instrText>
      </w:r>
      <w:r>
        <w:fldChar w:fldCharType="separate"/>
      </w:r>
      <w:r w:rsidR="00451350">
        <w:t xml:space="preserve">Table </w:t>
      </w:r>
      <w:r w:rsidR="00451350">
        <w:rPr>
          <w:noProof/>
        </w:rPr>
        <w:t>48</w:t>
      </w:r>
      <w:r>
        <w:fldChar w:fldCharType="end"/>
      </w:r>
      <w:r>
        <w:t xml:space="preserve">. Detail breakdown of the healthcare resources and their costs to estimate the overall cost related to the treatment of prostate cancer toxicities are provided in </w:t>
      </w:r>
      <w:r>
        <w:fldChar w:fldCharType="begin"/>
      </w:r>
      <w:r>
        <w:instrText xml:space="preserve"> REF _Ref58242732 \h </w:instrText>
      </w:r>
      <w:r>
        <w:fldChar w:fldCharType="separate"/>
      </w:r>
      <w:r w:rsidR="00451350">
        <w:t xml:space="preserve">Table </w:t>
      </w:r>
      <w:r w:rsidR="00451350">
        <w:rPr>
          <w:noProof/>
        </w:rPr>
        <w:t>49</w:t>
      </w:r>
      <w:r>
        <w:fldChar w:fldCharType="end"/>
      </w:r>
      <w:r>
        <w:t xml:space="preserve">. </w:t>
      </w:r>
      <w:r w:rsidRPr="000741AA">
        <w:rPr>
          <w:rFonts w:asciiTheme="minorHAnsi" w:hAnsiTheme="minorHAnsi" w:cstheme="minorHAnsi"/>
        </w:rPr>
        <w:t xml:space="preserve">Unit costs </w:t>
      </w:r>
      <w:r>
        <w:rPr>
          <w:rFonts w:asciiTheme="minorHAnsi" w:hAnsiTheme="minorHAnsi" w:cstheme="minorHAnsi"/>
        </w:rPr>
        <w:t xml:space="preserve">were </w:t>
      </w:r>
      <w:r w:rsidRPr="000741AA">
        <w:rPr>
          <w:rFonts w:asciiTheme="minorHAnsi" w:hAnsiTheme="minorHAnsi" w:cstheme="minorHAnsi"/>
        </w:rPr>
        <w:t xml:space="preserve">obtained from the </w:t>
      </w:r>
      <w:r>
        <w:rPr>
          <w:rFonts w:asciiTheme="minorHAnsi" w:hAnsiTheme="minorHAnsi" w:cstheme="minorHAnsi"/>
        </w:rPr>
        <w:t>MBS 2020, AR-DRG 2018-19</w:t>
      </w:r>
      <w:r w:rsidRPr="000741AA">
        <w:rPr>
          <w:rFonts w:asciiTheme="minorHAnsi" w:hAnsiTheme="minorHAnsi" w:cstheme="minorHAnsi"/>
        </w:rPr>
        <w:t>, and PBS</w:t>
      </w:r>
      <w:r>
        <w:rPr>
          <w:rFonts w:asciiTheme="minorHAnsi" w:hAnsiTheme="minorHAnsi" w:cstheme="minorHAnsi"/>
        </w:rPr>
        <w:t xml:space="preserve"> 2020 databases</w:t>
      </w:r>
      <w:r w:rsidRPr="000741AA">
        <w:rPr>
          <w:rFonts w:asciiTheme="minorHAnsi" w:hAnsiTheme="minorHAnsi" w:cstheme="minorHAnsi"/>
        </w:rPr>
        <w:t xml:space="preserve">. </w:t>
      </w:r>
    </w:p>
    <w:p w14:paraId="4D255A01" w14:textId="031A5DE7" w:rsidR="00D12268" w:rsidRDefault="00D12268" w:rsidP="008B6FC0">
      <w:pPr>
        <w:pStyle w:val="Caption"/>
        <w:keepNext/>
      </w:pPr>
      <w:bookmarkStart w:id="540" w:name="_Ref58240197"/>
      <w:bookmarkStart w:id="541" w:name="_Ref58237675"/>
      <w:bookmarkStart w:id="542" w:name="_Toc89857918"/>
      <w:r>
        <w:t xml:space="preserve">Table </w:t>
      </w:r>
      <w:r w:rsidR="00211285">
        <w:fldChar w:fldCharType="begin"/>
      </w:r>
      <w:r w:rsidR="00211285">
        <w:instrText xml:space="preserve"> SEQ Table \* ARABIC </w:instrText>
      </w:r>
      <w:r w:rsidR="00211285">
        <w:fldChar w:fldCharType="separate"/>
      </w:r>
      <w:r w:rsidR="00451350">
        <w:rPr>
          <w:noProof/>
        </w:rPr>
        <w:t>47</w:t>
      </w:r>
      <w:r w:rsidR="00211285">
        <w:rPr>
          <w:noProof/>
        </w:rPr>
        <w:fldChar w:fldCharType="end"/>
      </w:r>
      <w:bookmarkEnd w:id="540"/>
      <w:r>
        <w:tab/>
        <w:t>List of steps, healthcare resources, time estimates and their costs to derive cost of MRI-guided SBRT and CBCT-guided SBRT from Parikh et al (Base case)</w:t>
      </w:r>
      <w:bookmarkEnd w:id="542"/>
    </w:p>
    <w:tbl>
      <w:tblPr>
        <w:tblStyle w:val="TableGrid2"/>
        <w:tblW w:w="5000" w:type="pct"/>
        <w:tblLook w:val="04A0" w:firstRow="1" w:lastRow="0" w:firstColumn="1" w:lastColumn="0" w:noHBand="0" w:noVBand="1"/>
        <w:tblCaption w:val="List of health care resource items and summary of cost impacts for each health state in a state transition model"/>
        <w:tblDescription w:val="List of health care resource items and summary of cost impacts for each health state in a state transition model"/>
      </w:tblPr>
      <w:tblGrid>
        <w:gridCol w:w="2577"/>
        <w:gridCol w:w="1520"/>
        <w:gridCol w:w="1291"/>
        <w:gridCol w:w="2131"/>
        <w:gridCol w:w="1497"/>
      </w:tblGrid>
      <w:tr w:rsidR="00D12268" w:rsidRPr="00F77E8D" w14:paraId="760D4DA5" w14:textId="77777777" w:rsidTr="005007E2">
        <w:trPr>
          <w:cnfStyle w:val="100000000000" w:firstRow="1" w:lastRow="0" w:firstColumn="0" w:lastColumn="0" w:oddVBand="0" w:evenVBand="0" w:oddHBand="0" w:evenHBand="0" w:firstRowFirstColumn="0" w:firstRowLastColumn="0" w:lastRowFirstColumn="0" w:lastRowLastColumn="0"/>
          <w:tblHeader/>
        </w:trPr>
        <w:tc>
          <w:tcPr>
            <w:tcW w:w="1429" w:type="pct"/>
            <w:tcBorders>
              <w:bottom w:val="single" w:sz="4" w:space="0" w:color="auto"/>
            </w:tcBorders>
          </w:tcPr>
          <w:p w14:paraId="2CFAB367" w14:textId="77777777" w:rsidR="00D12268" w:rsidRPr="00F77E8D" w:rsidRDefault="00D12268" w:rsidP="008B6FC0">
            <w:pPr>
              <w:pStyle w:val="TableHeading"/>
            </w:pPr>
            <w:r>
              <w:t>Category</w:t>
            </w:r>
            <w:r w:rsidRPr="00F77E8D">
              <w:t xml:space="preserve"> </w:t>
            </w:r>
          </w:p>
        </w:tc>
        <w:tc>
          <w:tcPr>
            <w:tcW w:w="843" w:type="pct"/>
            <w:tcBorders>
              <w:bottom w:val="single" w:sz="4" w:space="0" w:color="auto"/>
            </w:tcBorders>
            <w:vAlign w:val="center"/>
          </w:tcPr>
          <w:p w14:paraId="28C1447F" w14:textId="77777777" w:rsidR="00D12268" w:rsidRPr="00F77E8D" w:rsidRDefault="00D12268" w:rsidP="008B6FC0">
            <w:pPr>
              <w:pStyle w:val="TableHeading"/>
              <w:jc w:val="center"/>
            </w:pPr>
            <w:r w:rsidRPr="00F77E8D">
              <w:t>Number of items in natural unit of measurement</w:t>
            </w:r>
            <w:r>
              <w:t>/ %/ Personnel (Base case)</w:t>
            </w:r>
          </w:p>
        </w:tc>
        <w:tc>
          <w:tcPr>
            <w:tcW w:w="716" w:type="pct"/>
            <w:tcBorders>
              <w:bottom w:val="single" w:sz="4" w:space="0" w:color="auto"/>
            </w:tcBorders>
            <w:vAlign w:val="center"/>
          </w:tcPr>
          <w:p w14:paraId="196D79F5" w14:textId="77777777" w:rsidR="00D12268" w:rsidRPr="00F77E8D" w:rsidRDefault="00D12268" w:rsidP="008B6FC0">
            <w:pPr>
              <w:pStyle w:val="TableHeading"/>
              <w:jc w:val="center"/>
            </w:pPr>
            <w:r>
              <w:t>Time (mins) (Base case)</w:t>
            </w:r>
          </w:p>
        </w:tc>
        <w:tc>
          <w:tcPr>
            <w:tcW w:w="1182" w:type="pct"/>
            <w:tcBorders>
              <w:bottom w:val="single" w:sz="4" w:space="0" w:color="auto"/>
            </w:tcBorders>
            <w:vAlign w:val="center"/>
          </w:tcPr>
          <w:p w14:paraId="17EC59DD" w14:textId="77777777" w:rsidR="00D12268" w:rsidRPr="003816D8" w:rsidRDefault="00D12268" w:rsidP="008B6FC0">
            <w:pPr>
              <w:pStyle w:val="TableHeading"/>
              <w:jc w:val="center"/>
            </w:pPr>
            <w:r>
              <w:t>MRI-guided radiation therapy (Base case)</w:t>
            </w:r>
          </w:p>
        </w:tc>
        <w:tc>
          <w:tcPr>
            <w:tcW w:w="830" w:type="pct"/>
            <w:tcBorders>
              <w:bottom w:val="single" w:sz="4" w:space="0" w:color="auto"/>
            </w:tcBorders>
            <w:vAlign w:val="center"/>
          </w:tcPr>
          <w:p w14:paraId="61402D0E" w14:textId="77777777" w:rsidR="00D12268" w:rsidRPr="003816D8" w:rsidRDefault="00D12268" w:rsidP="008B6FC0">
            <w:pPr>
              <w:pStyle w:val="TableHeading"/>
              <w:jc w:val="center"/>
            </w:pPr>
            <w:r>
              <w:t>CBCT-guided radiation therapy (Base case)</w:t>
            </w:r>
          </w:p>
        </w:tc>
      </w:tr>
      <w:tr w:rsidR="00D12268" w:rsidRPr="00F77E8D" w14:paraId="67BB6D83" w14:textId="77777777" w:rsidTr="005007E2">
        <w:tc>
          <w:tcPr>
            <w:tcW w:w="1429" w:type="pct"/>
          </w:tcPr>
          <w:p w14:paraId="7768B1CB" w14:textId="77777777" w:rsidR="00D12268" w:rsidRPr="003816D8" w:rsidRDefault="00D12268" w:rsidP="008B6FC0">
            <w:pPr>
              <w:pStyle w:val="Tabletext1"/>
              <w:keepNext/>
              <w:rPr>
                <w:b/>
              </w:rPr>
            </w:pPr>
            <w:r>
              <w:rPr>
                <w:b/>
              </w:rPr>
              <w:t>Capital cost</w:t>
            </w:r>
          </w:p>
        </w:tc>
        <w:tc>
          <w:tcPr>
            <w:tcW w:w="843" w:type="pct"/>
            <w:vAlign w:val="center"/>
          </w:tcPr>
          <w:p w14:paraId="0679A685" w14:textId="77777777" w:rsidR="00D12268" w:rsidRPr="003816D8" w:rsidRDefault="00D12268" w:rsidP="008B6FC0">
            <w:pPr>
              <w:pStyle w:val="Tabletext1"/>
              <w:keepNext/>
              <w:jc w:val="center"/>
              <w:rPr>
                <w:b/>
              </w:rPr>
            </w:pPr>
          </w:p>
        </w:tc>
        <w:tc>
          <w:tcPr>
            <w:tcW w:w="716" w:type="pct"/>
            <w:vAlign w:val="center"/>
          </w:tcPr>
          <w:p w14:paraId="03F5F3D8" w14:textId="77777777" w:rsidR="00D12268" w:rsidRPr="003816D8" w:rsidRDefault="00D12268" w:rsidP="008B6FC0">
            <w:pPr>
              <w:pStyle w:val="Tabletext1"/>
              <w:keepNext/>
              <w:jc w:val="center"/>
              <w:rPr>
                <w:b/>
              </w:rPr>
            </w:pPr>
          </w:p>
        </w:tc>
        <w:tc>
          <w:tcPr>
            <w:tcW w:w="1182" w:type="pct"/>
            <w:vAlign w:val="center"/>
          </w:tcPr>
          <w:p w14:paraId="0D984970" w14:textId="77777777" w:rsidR="00D12268" w:rsidRPr="003816D8" w:rsidRDefault="00D12268" w:rsidP="008B6FC0">
            <w:pPr>
              <w:pStyle w:val="Tabletext1"/>
              <w:keepNext/>
              <w:jc w:val="center"/>
              <w:rPr>
                <w:rFonts w:cs="Calibri"/>
                <w:b/>
              </w:rPr>
            </w:pPr>
          </w:p>
        </w:tc>
        <w:tc>
          <w:tcPr>
            <w:tcW w:w="830" w:type="pct"/>
            <w:vAlign w:val="center"/>
          </w:tcPr>
          <w:p w14:paraId="2646085C" w14:textId="77777777" w:rsidR="00D12268" w:rsidRPr="003816D8" w:rsidRDefault="00D12268" w:rsidP="008B6FC0">
            <w:pPr>
              <w:pStyle w:val="Tabletext1"/>
              <w:keepNext/>
              <w:jc w:val="center"/>
              <w:rPr>
                <w:rFonts w:cs="Calibri"/>
                <w:b/>
              </w:rPr>
            </w:pPr>
          </w:p>
        </w:tc>
      </w:tr>
      <w:tr w:rsidR="00D12268" w:rsidRPr="00F77E8D" w14:paraId="7B317E5B" w14:textId="77777777" w:rsidTr="005007E2">
        <w:tc>
          <w:tcPr>
            <w:tcW w:w="1429" w:type="pct"/>
          </w:tcPr>
          <w:p w14:paraId="1C652E5B" w14:textId="77777777" w:rsidR="00D12268" w:rsidRPr="003816D8" w:rsidRDefault="00D12268" w:rsidP="008B6FC0">
            <w:pPr>
              <w:pStyle w:val="Tabletext1"/>
              <w:keepNext/>
            </w:pPr>
            <w:r>
              <w:t>Cost of equipment</w:t>
            </w:r>
          </w:p>
        </w:tc>
        <w:tc>
          <w:tcPr>
            <w:tcW w:w="843" w:type="pct"/>
            <w:vAlign w:val="center"/>
          </w:tcPr>
          <w:p w14:paraId="70B024E2" w14:textId="77777777" w:rsidR="00D12268" w:rsidRPr="003816D8" w:rsidRDefault="00D12268" w:rsidP="008B6FC0">
            <w:pPr>
              <w:pStyle w:val="Tabletext1"/>
              <w:keepNext/>
              <w:jc w:val="center"/>
            </w:pPr>
            <w:r w:rsidRPr="00636707">
              <w:t>1</w:t>
            </w:r>
          </w:p>
        </w:tc>
        <w:tc>
          <w:tcPr>
            <w:tcW w:w="716" w:type="pct"/>
            <w:vAlign w:val="center"/>
          </w:tcPr>
          <w:p w14:paraId="3083EB69" w14:textId="77777777" w:rsidR="00D12268" w:rsidRPr="003816D8" w:rsidRDefault="00D12268" w:rsidP="008B6FC0">
            <w:pPr>
              <w:pStyle w:val="Tabletext1"/>
              <w:keepNext/>
              <w:jc w:val="center"/>
            </w:pPr>
            <w:r>
              <w:t>-</w:t>
            </w:r>
          </w:p>
        </w:tc>
        <w:tc>
          <w:tcPr>
            <w:tcW w:w="1182" w:type="pct"/>
            <w:vAlign w:val="center"/>
          </w:tcPr>
          <w:p w14:paraId="4FEAF7FB" w14:textId="09836FF4" w:rsidR="00D12268" w:rsidRPr="003816D8" w:rsidRDefault="00D12268" w:rsidP="008B6FC0">
            <w:pPr>
              <w:pStyle w:val="Tabletext1"/>
              <w:keepNext/>
              <w:jc w:val="center"/>
              <w:rPr>
                <w:rFonts w:cs="Calibri"/>
              </w:rPr>
            </w:pPr>
            <w:r w:rsidRPr="008F3098">
              <w:t>$9,900,000</w:t>
            </w:r>
          </w:p>
        </w:tc>
        <w:tc>
          <w:tcPr>
            <w:tcW w:w="830" w:type="pct"/>
            <w:vAlign w:val="center"/>
          </w:tcPr>
          <w:p w14:paraId="0438340D" w14:textId="1C54212C" w:rsidR="00D12268" w:rsidRPr="003816D8" w:rsidRDefault="00D12268" w:rsidP="008B6FC0">
            <w:pPr>
              <w:pStyle w:val="Tabletext1"/>
              <w:keepNext/>
              <w:jc w:val="center"/>
              <w:rPr>
                <w:rFonts w:cs="Calibri"/>
              </w:rPr>
            </w:pPr>
            <w:r w:rsidRPr="008F3098">
              <w:t>$3,000,000</w:t>
            </w:r>
          </w:p>
        </w:tc>
      </w:tr>
      <w:tr w:rsidR="00D12268" w:rsidRPr="00F77E8D" w14:paraId="6DA35ED2" w14:textId="77777777" w:rsidTr="005007E2">
        <w:tc>
          <w:tcPr>
            <w:tcW w:w="1429" w:type="pct"/>
          </w:tcPr>
          <w:p w14:paraId="34C96CA2" w14:textId="77777777" w:rsidR="00D12268" w:rsidRPr="003816D8" w:rsidRDefault="00D12268" w:rsidP="00556AB6">
            <w:pPr>
              <w:pStyle w:val="Tabletext1"/>
            </w:pPr>
            <w:r w:rsidRPr="00191610">
              <w:t>Lifetime of the equipment (in years)</w:t>
            </w:r>
          </w:p>
        </w:tc>
        <w:tc>
          <w:tcPr>
            <w:tcW w:w="843" w:type="pct"/>
            <w:vAlign w:val="center"/>
          </w:tcPr>
          <w:p w14:paraId="2E595B32" w14:textId="77777777" w:rsidR="00D12268" w:rsidRPr="003816D8" w:rsidRDefault="00D12268" w:rsidP="00BF261E">
            <w:pPr>
              <w:pStyle w:val="Tabletext1"/>
              <w:jc w:val="center"/>
            </w:pPr>
            <w:r w:rsidRPr="00636707">
              <w:t>10</w:t>
            </w:r>
          </w:p>
        </w:tc>
        <w:tc>
          <w:tcPr>
            <w:tcW w:w="716" w:type="pct"/>
            <w:vAlign w:val="center"/>
          </w:tcPr>
          <w:p w14:paraId="350C468F" w14:textId="77777777" w:rsidR="00D12268" w:rsidRPr="003816D8" w:rsidRDefault="00D12268" w:rsidP="00BF261E">
            <w:pPr>
              <w:pStyle w:val="Tabletext1"/>
              <w:jc w:val="center"/>
            </w:pPr>
            <w:r>
              <w:t>-</w:t>
            </w:r>
          </w:p>
        </w:tc>
        <w:tc>
          <w:tcPr>
            <w:tcW w:w="1182" w:type="pct"/>
            <w:vAlign w:val="center"/>
          </w:tcPr>
          <w:p w14:paraId="32FBBB09" w14:textId="47434D53" w:rsidR="00D12268" w:rsidRPr="003816D8" w:rsidRDefault="00D12268" w:rsidP="00BF261E">
            <w:pPr>
              <w:pStyle w:val="Tabletext1"/>
              <w:jc w:val="center"/>
            </w:pPr>
            <w:r w:rsidRPr="008F3098">
              <w:t>-</w:t>
            </w:r>
          </w:p>
        </w:tc>
        <w:tc>
          <w:tcPr>
            <w:tcW w:w="830" w:type="pct"/>
            <w:vAlign w:val="center"/>
          </w:tcPr>
          <w:p w14:paraId="7E430F00" w14:textId="4AB23E67" w:rsidR="00D12268" w:rsidRPr="003816D8" w:rsidRDefault="00D12268" w:rsidP="00BF261E">
            <w:pPr>
              <w:pStyle w:val="Tabletext1"/>
              <w:jc w:val="center"/>
              <w:rPr>
                <w:rFonts w:cs="Calibri"/>
              </w:rPr>
            </w:pPr>
            <w:r w:rsidRPr="008F3098">
              <w:t>-</w:t>
            </w:r>
          </w:p>
        </w:tc>
      </w:tr>
      <w:tr w:rsidR="00D12268" w:rsidRPr="00F77E8D" w14:paraId="01655876" w14:textId="77777777" w:rsidTr="005007E2">
        <w:tc>
          <w:tcPr>
            <w:tcW w:w="1429" w:type="pct"/>
          </w:tcPr>
          <w:p w14:paraId="2F7986D1" w14:textId="77777777" w:rsidR="00D12268" w:rsidRPr="003816D8" w:rsidRDefault="00D12268" w:rsidP="00556AB6">
            <w:pPr>
              <w:pStyle w:val="Tabletext1"/>
            </w:pPr>
            <w:r w:rsidRPr="00191610">
              <w:t>Depreciation (10%)</w:t>
            </w:r>
          </w:p>
        </w:tc>
        <w:tc>
          <w:tcPr>
            <w:tcW w:w="843" w:type="pct"/>
            <w:vAlign w:val="center"/>
          </w:tcPr>
          <w:p w14:paraId="6435C263" w14:textId="77777777" w:rsidR="00D12268" w:rsidRPr="003816D8" w:rsidRDefault="00D12268" w:rsidP="00BF261E">
            <w:pPr>
              <w:pStyle w:val="Tabletext1"/>
              <w:jc w:val="center"/>
            </w:pPr>
            <w:r w:rsidRPr="00636707">
              <w:t>10%</w:t>
            </w:r>
          </w:p>
        </w:tc>
        <w:tc>
          <w:tcPr>
            <w:tcW w:w="716" w:type="pct"/>
            <w:vAlign w:val="center"/>
          </w:tcPr>
          <w:p w14:paraId="7D6F2E39" w14:textId="77777777" w:rsidR="00D12268" w:rsidRPr="003816D8" w:rsidRDefault="00D12268" w:rsidP="00BF261E">
            <w:pPr>
              <w:pStyle w:val="Tabletext1"/>
              <w:jc w:val="center"/>
            </w:pPr>
            <w:r>
              <w:t>-</w:t>
            </w:r>
          </w:p>
        </w:tc>
        <w:tc>
          <w:tcPr>
            <w:tcW w:w="1182" w:type="pct"/>
            <w:vAlign w:val="center"/>
          </w:tcPr>
          <w:p w14:paraId="2D4D2DE1" w14:textId="2719E695" w:rsidR="00D12268" w:rsidRPr="003816D8" w:rsidRDefault="00D12268" w:rsidP="00BF261E">
            <w:pPr>
              <w:pStyle w:val="Tabletext1"/>
              <w:jc w:val="center"/>
            </w:pPr>
            <w:r w:rsidRPr="008F3098">
              <w:t>$4,950,000</w:t>
            </w:r>
          </w:p>
        </w:tc>
        <w:tc>
          <w:tcPr>
            <w:tcW w:w="830" w:type="pct"/>
            <w:vAlign w:val="center"/>
          </w:tcPr>
          <w:p w14:paraId="04E5DD3E" w14:textId="1797DB23" w:rsidR="00D12268" w:rsidRPr="003816D8" w:rsidRDefault="00D12268" w:rsidP="00BF261E">
            <w:pPr>
              <w:pStyle w:val="Tabletext1"/>
              <w:jc w:val="center"/>
              <w:rPr>
                <w:rFonts w:cs="Calibri"/>
              </w:rPr>
            </w:pPr>
            <w:r w:rsidRPr="008F3098">
              <w:t>$1,500,000</w:t>
            </w:r>
          </w:p>
        </w:tc>
      </w:tr>
      <w:tr w:rsidR="00D12268" w:rsidRPr="00F77E8D" w14:paraId="3B8C0966" w14:textId="77777777" w:rsidTr="005007E2">
        <w:tc>
          <w:tcPr>
            <w:tcW w:w="1429" w:type="pct"/>
          </w:tcPr>
          <w:p w14:paraId="27FF5E8A" w14:textId="77777777" w:rsidR="00D12268" w:rsidRPr="003816D8" w:rsidRDefault="00D12268" w:rsidP="00556AB6">
            <w:pPr>
              <w:pStyle w:val="Tabletext1"/>
            </w:pPr>
            <w:r w:rsidRPr="00191610">
              <w:t>Cost of borrowing money (interest rate of 5%)</w:t>
            </w:r>
          </w:p>
        </w:tc>
        <w:tc>
          <w:tcPr>
            <w:tcW w:w="843" w:type="pct"/>
            <w:vAlign w:val="center"/>
          </w:tcPr>
          <w:p w14:paraId="0ADAAC67" w14:textId="77777777" w:rsidR="00D12268" w:rsidRPr="003816D8" w:rsidRDefault="00D12268" w:rsidP="00BF261E">
            <w:pPr>
              <w:pStyle w:val="Tabletext1"/>
              <w:jc w:val="center"/>
            </w:pPr>
            <w:r w:rsidRPr="00636707">
              <w:t>5%</w:t>
            </w:r>
          </w:p>
        </w:tc>
        <w:tc>
          <w:tcPr>
            <w:tcW w:w="716" w:type="pct"/>
            <w:vAlign w:val="center"/>
          </w:tcPr>
          <w:p w14:paraId="0214A95A" w14:textId="77777777" w:rsidR="00D12268" w:rsidRPr="003816D8" w:rsidRDefault="00D12268" w:rsidP="00BF261E">
            <w:pPr>
              <w:pStyle w:val="Tabletext1"/>
              <w:jc w:val="center"/>
            </w:pPr>
            <w:r>
              <w:t>-</w:t>
            </w:r>
          </w:p>
        </w:tc>
        <w:tc>
          <w:tcPr>
            <w:tcW w:w="1182" w:type="pct"/>
            <w:vAlign w:val="center"/>
          </w:tcPr>
          <w:p w14:paraId="6DB186D2" w14:textId="23607B9C" w:rsidR="00D12268" w:rsidRPr="003816D8" w:rsidRDefault="00D12268" w:rsidP="00BF261E">
            <w:pPr>
              <w:pStyle w:val="Tabletext1"/>
              <w:jc w:val="center"/>
            </w:pPr>
            <w:r w:rsidRPr="008F3098">
              <w:t>$2,475,000</w:t>
            </w:r>
          </w:p>
        </w:tc>
        <w:tc>
          <w:tcPr>
            <w:tcW w:w="830" w:type="pct"/>
            <w:vAlign w:val="center"/>
          </w:tcPr>
          <w:p w14:paraId="4E8E136D" w14:textId="1E415A98" w:rsidR="00D12268" w:rsidRPr="003816D8" w:rsidRDefault="00D12268" w:rsidP="00BF261E">
            <w:pPr>
              <w:pStyle w:val="Tabletext1"/>
              <w:jc w:val="center"/>
              <w:rPr>
                <w:rFonts w:cs="Calibri"/>
              </w:rPr>
            </w:pPr>
            <w:r w:rsidRPr="008F3098">
              <w:t>$750,000</w:t>
            </w:r>
          </w:p>
        </w:tc>
      </w:tr>
      <w:tr w:rsidR="00D12268" w:rsidRPr="00F77E8D" w14:paraId="6B6151F5" w14:textId="77777777" w:rsidTr="005007E2">
        <w:tc>
          <w:tcPr>
            <w:tcW w:w="1429" w:type="pct"/>
          </w:tcPr>
          <w:p w14:paraId="06516EDE" w14:textId="77777777" w:rsidR="00D12268" w:rsidRPr="002215D8" w:rsidRDefault="00D12268" w:rsidP="00556AB6">
            <w:pPr>
              <w:pStyle w:val="Tabletext1"/>
              <w:rPr>
                <w:b/>
              </w:rPr>
            </w:pPr>
            <w:r w:rsidRPr="002215D8">
              <w:rPr>
                <w:b/>
              </w:rPr>
              <w:t>Total capital cost over lifetime</w:t>
            </w:r>
          </w:p>
        </w:tc>
        <w:tc>
          <w:tcPr>
            <w:tcW w:w="843" w:type="pct"/>
            <w:vAlign w:val="center"/>
          </w:tcPr>
          <w:p w14:paraId="7D16E1D5" w14:textId="77777777" w:rsidR="00D12268" w:rsidRPr="003816D8" w:rsidRDefault="00D12268" w:rsidP="00BF261E">
            <w:pPr>
              <w:pStyle w:val="Tabletext1"/>
              <w:jc w:val="center"/>
            </w:pPr>
          </w:p>
        </w:tc>
        <w:tc>
          <w:tcPr>
            <w:tcW w:w="716" w:type="pct"/>
            <w:vAlign w:val="center"/>
          </w:tcPr>
          <w:p w14:paraId="71E2A881" w14:textId="77777777" w:rsidR="00D12268" w:rsidRPr="003816D8" w:rsidRDefault="00D12268" w:rsidP="00BF261E">
            <w:pPr>
              <w:pStyle w:val="Tabletext1"/>
              <w:jc w:val="center"/>
            </w:pPr>
          </w:p>
        </w:tc>
        <w:tc>
          <w:tcPr>
            <w:tcW w:w="1182" w:type="pct"/>
            <w:vAlign w:val="center"/>
          </w:tcPr>
          <w:p w14:paraId="1F674E15" w14:textId="61757F82" w:rsidR="00D12268" w:rsidRPr="002215D8" w:rsidRDefault="00D12268" w:rsidP="00BF261E">
            <w:pPr>
              <w:pStyle w:val="Tabletext1"/>
              <w:jc w:val="center"/>
              <w:rPr>
                <w:b/>
              </w:rPr>
            </w:pPr>
            <w:r w:rsidRPr="002215D8">
              <w:rPr>
                <w:b/>
              </w:rPr>
              <w:t>$17,325,000</w:t>
            </w:r>
          </w:p>
        </w:tc>
        <w:tc>
          <w:tcPr>
            <w:tcW w:w="830" w:type="pct"/>
            <w:vAlign w:val="center"/>
          </w:tcPr>
          <w:p w14:paraId="592B40C9" w14:textId="4913A2F7" w:rsidR="00D12268" w:rsidRPr="002215D8" w:rsidRDefault="00D12268" w:rsidP="00BF261E">
            <w:pPr>
              <w:pStyle w:val="Tabletext1"/>
              <w:jc w:val="center"/>
              <w:rPr>
                <w:rFonts w:cs="Calibri"/>
                <w:b/>
              </w:rPr>
            </w:pPr>
            <w:r w:rsidRPr="002215D8">
              <w:rPr>
                <w:b/>
              </w:rPr>
              <w:t>$5,250,000</w:t>
            </w:r>
          </w:p>
        </w:tc>
      </w:tr>
      <w:tr w:rsidR="00D12268" w:rsidRPr="00F77E8D" w14:paraId="377EB4EA" w14:textId="77777777" w:rsidTr="005007E2">
        <w:tc>
          <w:tcPr>
            <w:tcW w:w="1429" w:type="pct"/>
          </w:tcPr>
          <w:p w14:paraId="555F47AC" w14:textId="77777777" w:rsidR="00D12268" w:rsidRPr="003816D8" w:rsidRDefault="00D12268" w:rsidP="00556AB6">
            <w:pPr>
              <w:pStyle w:val="Tabletext1"/>
              <w:rPr>
                <w:b/>
              </w:rPr>
            </w:pPr>
            <w:r w:rsidRPr="00205262">
              <w:rPr>
                <w:b/>
              </w:rPr>
              <w:t>Maintenance cost</w:t>
            </w:r>
          </w:p>
        </w:tc>
        <w:tc>
          <w:tcPr>
            <w:tcW w:w="843" w:type="pct"/>
            <w:vAlign w:val="center"/>
          </w:tcPr>
          <w:p w14:paraId="434D7D15" w14:textId="77777777" w:rsidR="00D12268" w:rsidRPr="003816D8" w:rsidRDefault="00D12268" w:rsidP="00BF261E">
            <w:pPr>
              <w:pStyle w:val="Tabletext1"/>
              <w:jc w:val="center"/>
              <w:rPr>
                <w:b/>
              </w:rPr>
            </w:pPr>
          </w:p>
        </w:tc>
        <w:tc>
          <w:tcPr>
            <w:tcW w:w="716" w:type="pct"/>
            <w:vAlign w:val="center"/>
          </w:tcPr>
          <w:p w14:paraId="0EC4622D" w14:textId="77777777" w:rsidR="00D12268" w:rsidRPr="003816D8" w:rsidRDefault="00D12268" w:rsidP="00BF261E">
            <w:pPr>
              <w:pStyle w:val="Tabletext1"/>
              <w:jc w:val="center"/>
              <w:rPr>
                <w:b/>
              </w:rPr>
            </w:pPr>
          </w:p>
        </w:tc>
        <w:tc>
          <w:tcPr>
            <w:tcW w:w="1182" w:type="pct"/>
            <w:vAlign w:val="center"/>
          </w:tcPr>
          <w:p w14:paraId="1EF72022" w14:textId="77777777" w:rsidR="00D12268" w:rsidRPr="003816D8" w:rsidRDefault="00D12268" w:rsidP="00BF261E">
            <w:pPr>
              <w:pStyle w:val="Tabletext1"/>
              <w:jc w:val="center"/>
              <w:rPr>
                <w:rFonts w:cs="Calibri"/>
                <w:b/>
              </w:rPr>
            </w:pPr>
          </w:p>
        </w:tc>
        <w:tc>
          <w:tcPr>
            <w:tcW w:w="830" w:type="pct"/>
            <w:vAlign w:val="center"/>
          </w:tcPr>
          <w:p w14:paraId="09986C48" w14:textId="77777777" w:rsidR="00D12268" w:rsidRPr="003816D8" w:rsidRDefault="00D12268" w:rsidP="00BF261E">
            <w:pPr>
              <w:pStyle w:val="Tabletext1"/>
              <w:jc w:val="center"/>
              <w:rPr>
                <w:rFonts w:cs="Calibri"/>
                <w:b/>
              </w:rPr>
            </w:pPr>
          </w:p>
        </w:tc>
      </w:tr>
      <w:tr w:rsidR="00D12268" w:rsidRPr="00F77E8D" w14:paraId="3B5BE93A" w14:textId="77777777" w:rsidTr="005007E2">
        <w:tc>
          <w:tcPr>
            <w:tcW w:w="1429" w:type="pct"/>
          </w:tcPr>
          <w:p w14:paraId="12EF35AD" w14:textId="77777777" w:rsidR="00D12268" w:rsidRPr="003816D8" w:rsidRDefault="00D12268" w:rsidP="00556AB6">
            <w:pPr>
              <w:pStyle w:val="Tabletext1"/>
            </w:pPr>
            <w:r w:rsidRPr="005325AE">
              <w:t>Service contract (for 8 years, first 2 years included)</w:t>
            </w:r>
          </w:p>
        </w:tc>
        <w:tc>
          <w:tcPr>
            <w:tcW w:w="843" w:type="pct"/>
            <w:vAlign w:val="center"/>
          </w:tcPr>
          <w:p w14:paraId="7DEAD7F4" w14:textId="77777777" w:rsidR="00D12268" w:rsidRPr="003816D8" w:rsidRDefault="00D12268" w:rsidP="00BF261E">
            <w:pPr>
              <w:pStyle w:val="Tabletext1"/>
              <w:jc w:val="center"/>
            </w:pPr>
            <w:r w:rsidRPr="00650994">
              <w:t>8</w:t>
            </w:r>
          </w:p>
        </w:tc>
        <w:tc>
          <w:tcPr>
            <w:tcW w:w="716" w:type="pct"/>
            <w:vAlign w:val="center"/>
          </w:tcPr>
          <w:p w14:paraId="356BAEFE" w14:textId="77777777" w:rsidR="00D12268" w:rsidRPr="003816D8" w:rsidRDefault="00D12268" w:rsidP="00BF261E">
            <w:pPr>
              <w:pStyle w:val="Tabletext1"/>
              <w:jc w:val="center"/>
            </w:pPr>
            <w:r>
              <w:t>-</w:t>
            </w:r>
          </w:p>
        </w:tc>
        <w:tc>
          <w:tcPr>
            <w:tcW w:w="1182" w:type="pct"/>
            <w:vAlign w:val="center"/>
          </w:tcPr>
          <w:p w14:paraId="7F2509C8" w14:textId="21D2998A" w:rsidR="00D12268" w:rsidRPr="003816D8" w:rsidRDefault="00D12268" w:rsidP="00BF261E">
            <w:pPr>
              <w:pStyle w:val="Tabletext1"/>
              <w:jc w:val="center"/>
              <w:rPr>
                <w:rFonts w:cs="Calibri"/>
              </w:rPr>
            </w:pPr>
            <w:r w:rsidRPr="00E93CA9">
              <w:t>$6,000,000</w:t>
            </w:r>
          </w:p>
        </w:tc>
        <w:tc>
          <w:tcPr>
            <w:tcW w:w="830" w:type="pct"/>
            <w:vAlign w:val="center"/>
          </w:tcPr>
          <w:p w14:paraId="4AF530BF" w14:textId="1C4CC116" w:rsidR="00D12268" w:rsidRPr="003816D8" w:rsidRDefault="00D12268" w:rsidP="00BF261E">
            <w:pPr>
              <w:pStyle w:val="Tabletext1"/>
              <w:jc w:val="center"/>
              <w:rPr>
                <w:rFonts w:cs="Calibri"/>
              </w:rPr>
            </w:pPr>
            <w:r w:rsidRPr="00E93CA9">
              <w:t>$2,520,000</w:t>
            </w:r>
          </w:p>
        </w:tc>
      </w:tr>
      <w:tr w:rsidR="00D12268" w:rsidRPr="00F77E8D" w14:paraId="086DEEEA" w14:textId="77777777" w:rsidTr="005007E2">
        <w:tc>
          <w:tcPr>
            <w:tcW w:w="1429" w:type="pct"/>
          </w:tcPr>
          <w:p w14:paraId="500F27BE" w14:textId="77777777" w:rsidR="00D12268" w:rsidRPr="003816D8" w:rsidRDefault="00D12268" w:rsidP="00556AB6">
            <w:pPr>
              <w:pStyle w:val="Tabletext1"/>
              <w:rPr>
                <w:snapToGrid w:val="0"/>
                <w:lang w:eastAsia="en-US"/>
              </w:rPr>
            </w:pPr>
            <w:r w:rsidRPr="005325AE">
              <w:t xml:space="preserve">Service provision/Maintenance cost with interest </w:t>
            </w:r>
          </w:p>
        </w:tc>
        <w:tc>
          <w:tcPr>
            <w:tcW w:w="843" w:type="pct"/>
            <w:vAlign w:val="center"/>
          </w:tcPr>
          <w:p w14:paraId="70747D69" w14:textId="77777777" w:rsidR="00D12268" w:rsidRPr="003816D8" w:rsidRDefault="00D12268" w:rsidP="00BF261E">
            <w:pPr>
              <w:pStyle w:val="Tabletext1"/>
              <w:jc w:val="center"/>
              <w:rPr>
                <w:snapToGrid w:val="0"/>
                <w:lang w:eastAsia="en-US"/>
              </w:rPr>
            </w:pPr>
            <w:r w:rsidRPr="00650994">
              <w:t>5%</w:t>
            </w:r>
          </w:p>
        </w:tc>
        <w:tc>
          <w:tcPr>
            <w:tcW w:w="716" w:type="pct"/>
            <w:vAlign w:val="center"/>
          </w:tcPr>
          <w:p w14:paraId="3FFC19BC" w14:textId="77777777" w:rsidR="00D12268" w:rsidRPr="003816D8" w:rsidRDefault="00D12268" w:rsidP="00BF261E">
            <w:pPr>
              <w:pStyle w:val="Tabletext1"/>
              <w:jc w:val="center"/>
              <w:rPr>
                <w:snapToGrid w:val="0"/>
                <w:lang w:eastAsia="en-US"/>
              </w:rPr>
            </w:pPr>
            <w:r>
              <w:rPr>
                <w:snapToGrid w:val="0"/>
                <w:lang w:eastAsia="en-US"/>
              </w:rPr>
              <w:t>-</w:t>
            </w:r>
          </w:p>
        </w:tc>
        <w:tc>
          <w:tcPr>
            <w:tcW w:w="1182" w:type="pct"/>
            <w:vAlign w:val="center"/>
          </w:tcPr>
          <w:p w14:paraId="45740D0D" w14:textId="3354E493" w:rsidR="00D12268" w:rsidRPr="003816D8" w:rsidRDefault="00D12268" w:rsidP="00BF261E">
            <w:pPr>
              <w:pStyle w:val="Tabletext1"/>
              <w:jc w:val="center"/>
              <w:rPr>
                <w:snapToGrid w:val="0"/>
                <w:lang w:eastAsia="en-US"/>
              </w:rPr>
            </w:pPr>
            <w:r w:rsidRPr="00E93CA9">
              <w:t>$1,200,000</w:t>
            </w:r>
          </w:p>
        </w:tc>
        <w:tc>
          <w:tcPr>
            <w:tcW w:w="830" w:type="pct"/>
            <w:vAlign w:val="center"/>
          </w:tcPr>
          <w:p w14:paraId="102577B4" w14:textId="38FDAA63" w:rsidR="00D12268" w:rsidRPr="003816D8" w:rsidRDefault="00D12268" w:rsidP="00BF261E">
            <w:pPr>
              <w:pStyle w:val="Tabletext1"/>
              <w:jc w:val="center"/>
              <w:rPr>
                <w:rFonts w:cs="Calibri"/>
              </w:rPr>
            </w:pPr>
            <w:r w:rsidRPr="00E93CA9">
              <w:t>$504,000</w:t>
            </w:r>
          </w:p>
        </w:tc>
      </w:tr>
      <w:tr w:rsidR="00D12268" w:rsidRPr="00F77E8D" w14:paraId="4C7A558A" w14:textId="77777777" w:rsidTr="00207D12">
        <w:tc>
          <w:tcPr>
            <w:tcW w:w="1429" w:type="pct"/>
            <w:tcBorders>
              <w:bottom w:val="single" w:sz="4" w:space="0" w:color="auto"/>
            </w:tcBorders>
          </w:tcPr>
          <w:p w14:paraId="7C733529" w14:textId="77777777" w:rsidR="00D12268" w:rsidRPr="00205262" w:rsidRDefault="00D12268" w:rsidP="00556AB6">
            <w:pPr>
              <w:pStyle w:val="Tabletext1"/>
              <w:rPr>
                <w:b/>
                <w:snapToGrid w:val="0"/>
                <w:lang w:eastAsia="en-US"/>
              </w:rPr>
            </w:pPr>
            <w:r w:rsidRPr="00205262">
              <w:rPr>
                <w:b/>
              </w:rPr>
              <w:t>Total cost of Service provision/Maintenance over lifetime</w:t>
            </w:r>
          </w:p>
        </w:tc>
        <w:tc>
          <w:tcPr>
            <w:tcW w:w="843" w:type="pct"/>
            <w:tcBorders>
              <w:bottom w:val="single" w:sz="4" w:space="0" w:color="auto"/>
            </w:tcBorders>
            <w:vAlign w:val="center"/>
          </w:tcPr>
          <w:p w14:paraId="6ACB61E6" w14:textId="77777777" w:rsidR="00D12268" w:rsidRPr="00205262" w:rsidRDefault="00D12268" w:rsidP="00BF261E">
            <w:pPr>
              <w:pStyle w:val="Tabletext1"/>
              <w:jc w:val="center"/>
              <w:rPr>
                <w:b/>
                <w:snapToGrid w:val="0"/>
                <w:lang w:eastAsia="en-US"/>
              </w:rPr>
            </w:pPr>
          </w:p>
        </w:tc>
        <w:tc>
          <w:tcPr>
            <w:tcW w:w="716" w:type="pct"/>
            <w:tcBorders>
              <w:bottom w:val="single" w:sz="4" w:space="0" w:color="auto"/>
            </w:tcBorders>
            <w:vAlign w:val="center"/>
          </w:tcPr>
          <w:p w14:paraId="1777A613" w14:textId="77777777" w:rsidR="00D12268" w:rsidRPr="00205262" w:rsidRDefault="00D12268" w:rsidP="00BF261E">
            <w:pPr>
              <w:pStyle w:val="Tabletext1"/>
              <w:jc w:val="center"/>
              <w:rPr>
                <w:b/>
              </w:rPr>
            </w:pPr>
            <w:r>
              <w:rPr>
                <w:b/>
              </w:rPr>
              <w:t>-</w:t>
            </w:r>
          </w:p>
        </w:tc>
        <w:tc>
          <w:tcPr>
            <w:tcW w:w="1182" w:type="pct"/>
            <w:tcBorders>
              <w:bottom w:val="single" w:sz="4" w:space="0" w:color="auto"/>
            </w:tcBorders>
            <w:vAlign w:val="center"/>
          </w:tcPr>
          <w:p w14:paraId="642AE192" w14:textId="6B904120" w:rsidR="00D12268" w:rsidRPr="00205262" w:rsidRDefault="00D12268" w:rsidP="00BF261E">
            <w:pPr>
              <w:pStyle w:val="Tabletext1"/>
              <w:jc w:val="center"/>
              <w:rPr>
                <w:rFonts w:cs="Calibri"/>
                <w:b/>
              </w:rPr>
            </w:pPr>
            <w:r w:rsidRPr="00205262">
              <w:rPr>
                <w:b/>
              </w:rPr>
              <w:t>$7,200,000</w:t>
            </w:r>
          </w:p>
        </w:tc>
        <w:tc>
          <w:tcPr>
            <w:tcW w:w="830" w:type="pct"/>
            <w:tcBorders>
              <w:bottom w:val="single" w:sz="4" w:space="0" w:color="auto"/>
            </w:tcBorders>
            <w:vAlign w:val="center"/>
          </w:tcPr>
          <w:p w14:paraId="5C1C807E" w14:textId="08055EC4" w:rsidR="00D12268" w:rsidRPr="00205262" w:rsidRDefault="00D12268" w:rsidP="00BF261E">
            <w:pPr>
              <w:pStyle w:val="Tabletext1"/>
              <w:jc w:val="center"/>
              <w:rPr>
                <w:rFonts w:cs="Calibri"/>
                <w:b/>
              </w:rPr>
            </w:pPr>
            <w:r w:rsidRPr="00205262">
              <w:rPr>
                <w:b/>
              </w:rPr>
              <w:t>$3,024,000</w:t>
            </w:r>
          </w:p>
        </w:tc>
      </w:tr>
      <w:tr w:rsidR="00207D12" w:rsidRPr="00F77E8D" w14:paraId="535A5036" w14:textId="77777777" w:rsidTr="00207D12">
        <w:tc>
          <w:tcPr>
            <w:tcW w:w="1429" w:type="pct"/>
            <w:tcBorders>
              <w:right w:val="nil"/>
            </w:tcBorders>
            <w:vAlign w:val="center"/>
          </w:tcPr>
          <w:p w14:paraId="62236F26" w14:textId="4CEB095D" w:rsidR="00207D12" w:rsidRPr="00D24180" w:rsidRDefault="00207D12" w:rsidP="006D66DC">
            <w:pPr>
              <w:pStyle w:val="Tabletext1"/>
              <w:rPr>
                <w:b/>
                <w:snapToGrid w:val="0"/>
                <w:lang w:eastAsia="en-US"/>
              </w:rPr>
            </w:pPr>
            <w:r>
              <w:rPr>
                <w:b/>
                <w:snapToGrid w:val="0"/>
                <w:lang w:eastAsia="en-US"/>
              </w:rPr>
              <w:t>E</w:t>
            </w:r>
            <w:r w:rsidRPr="00D24180">
              <w:rPr>
                <w:b/>
                <w:snapToGrid w:val="0"/>
                <w:lang w:eastAsia="en-US"/>
              </w:rPr>
              <w:t xml:space="preserve">stimation of cost from </w:t>
            </w:r>
            <w:hyperlink w:anchor="_ENREF_57" w:tooltip="Parikh, 2020 #92" w:history="1">
              <w:r>
                <w:rPr>
                  <w:b/>
                  <w:snapToGrid w:val="0"/>
                  <w:lang w:eastAsia="en-US"/>
                </w:rPr>
                <w:fldChar w:fldCharType="begin"/>
              </w:r>
              <w:r>
                <w:rPr>
                  <w:b/>
                  <w:snapToGrid w:val="0"/>
                  <w:lang w:eastAsia="en-US"/>
                </w:rPr>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Pr>
                  <w:b/>
                  <w:snapToGrid w:val="0"/>
                  <w:lang w:eastAsia="en-US"/>
                </w:rPr>
                <w:fldChar w:fldCharType="separate"/>
              </w:r>
              <w:r>
                <w:rPr>
                  <w:b/>
                  <w:noProof/>
                  <w:snapToGrid w:val="0"/>
                  <w:lang w:eastAsia="en-US"/>
                </w:rPr>
                <w:t>Parikh et al. (2020)</w:t>
              </w:r>
              <w:r>
                <w:rPr>
                  <w:b/>
                  <w:snapToGrid w:val="0"/>
                  <w:lang w:eastAsia="en-US"/>
                </w:rPr>
                <w:fldChar w:fldCharType="end"/>
              </w:r>
            </w:hyperlink>
            <w:r w:rsidRPr="00D24180">
              <w:rPr>
                <w:b/>
                <w:snapToGrid w:val="0"/>
                <w:lang w:eastAsia="en-US"/>
              </w:rPr>
              <w:t xml:space="preserve"> </w:t>
            </w:r>
          </w:p>
        </w:tc>
        <w:tc>
          <w:tcPr>
            <w:tcW w:w="843" w:type="pct"/>
            <w:tcBorders>
              <w:left w:val="nil"/>
              <w:right w:val="nil"/>
            </w:tcBorders>
            <w:vAlign w:val="center"/>
          </w:tcPr>
          <w:p w14:paraId="046BDDC0" w14:textId="77777777" w:rsidR="00207D12" w:rsidRPr="00D24180" w:rsidRDefault="00207D12" w:rsidP="006D66DC">
            <w:pPr>
              <w:pStyle w:val="Tabletext1"/>
              <w:rPr>
                <w:b/>
                <w:snapToGrid w:val="0"/>
                <w:lang w:eastAsia="en-US"/>
              </w:rPr>
            </w:pPr>
          </w:p>
        </w:tc>
        <w:tc>
          <w:tcPr>
            <w:tcW w:w="716" w:type="pct"/>
            <w:tcBorders>
              <w:left w:val="nil"/>
              <w:right w:val="nil"/>
            </w:tcBorders>
            <w:vAlign w:val="center"/>
          </w:tcPr>
          <w:p w14:paraId="3926B32A" w14:textId="77777777" w:rsidR="00207D12" w:rsidRPr="00D24180" w:rsidRDefault="00207D12" w:rsidP="006D66DC">
            <w:pPr>
              <w:pStyle w:val="Tabletext1"/>
              <w:rPr>
                <w:b/>
                <w:snapToGrid w:val="0"/>
                <w:lang w:eastAsia="en-US"/>
              </w:rPr>
            </w:pPr>
          </w:p>
        </w:tc>
        <w:tc>
          <w:tcPr>
            <w:tcW w:w="1182" w:type="pct"/>
            <w:tcBorders>
              <w:left w:val="nil"/>
              <w:right w:val="nil"/>
            </w:tcBorders>
            <w:vAlign w:val="center"/>
          </w:tcPr>
          <w:p w14:paraId="1CB436BD" w14:textId="77777777" w:rsidR="00207D12" w:rsidRPr="00D24180" w:rsidRDefault="00207D12" w:rsidP="006D66DC">
            <w:pPr>
              <w:pStyle w:val="Tabletext1"/>
              <w:rPr>
                <w:b/>
                <w:snapToGrid w:val="0"/>
                <w:lang w:eastAsia="en-US"/>
              </w:rPr>
            </w:pPr>
          </w:p>
        </w:tc>
        <w:tc>
          <w:tcPr>
            <w:tcW w:w="830" w:type="pct"/>
            <w:tcBorders>
              <w:left w:val="nil"/>
            </w:tcBorders>
            <w:vAlign w:val="center"/>
          </w:tcPr>
          <w:p w14:paraId="3F0C3BAE" w14:textId="31D56228" w:rsidR="00207D12" w:rsidRPr="00D24180" w:rsidRDefault="00207D12" w:rsidP="006D66DC">
            <w:pPr>
              <w:pStyle w:val="Tabletext1"/>
              <w:rPr>
                <w:b/>
                <w:snapToGrid w:val="0"/>
                <w:lang w:eastAsia="en-US"/>
              </w:rPr>
            </w:pPr>
          </w:p>
        </w:tc>
      </w:tr>
      <w:tr w:rsidR="00D12268" w:rsidRPr="00F77E8D" w14:paraId="7263089C" w14:textId="77777777" w:rsidTr="005007E2">
        <w:tc>
          <w:tcPr>
            <w:tcW w:w="1429" w:type="pct"/>
          </w:tcPr>
          <w:p w14:paraId="4AC404D4" w14:textId="77777777" w:rsidR="00D12268" w:rsidRPr="000106D9" w:rsidRDefault="00D12268" w:rsidP="00556AB6">
            <w:pPr>
              <w:pStyle w:val="Tabletext1"/>
              <w:rPr>
                <w:b/>
                <w:snapToGrid w:val="0"/>
                <w:lang w:eastAsia="en-US"/>
              </w:rPr>
            </w:pPr>
            <w:r>
              <w:rPr>
                <w:b/>
                <w:snapToGrid w:val="0"/>
                <w:lang w:eastAsia="en-US"/>
              </w:rPr>
              <w:t xml:space="preserve">Step - </w:t>
            </w:r>
            <w:r w:rsidRPr="000106D9">
              <w:rPr>
                <w:b/>
                <w:snapToGrid w:val="0"/>
                <w:lang w:eastAsia="en-US"/>
              </w:rPr>
              <w:t>Process map reflecting new patient consultation</w:t>
            </w:r>
          </w:p>
        </w:tc>
        <w:tc>
          <w:tcPr>
            <w:tcW w:w="843" w:type="pct"/>
            <w:vAlign w:val="center"/>
          </w:tcPr>
          <w:p w14:paraId="5CFA115B" w14:textId="77777777" w:rsidR="00D12268" w:rsidRPr="003816D8" w:rsidRDefault="00D12268" w:rsidP="00BF261E">
            <w:pPr>
              <w:pStyle w:val="Tabletext1"/>
              <w:jc w:val="center"/>
              <w:rPr>
                <w:snapToGrid w:val="0"/>
                <w:lang w:eastAsia="en-US"/>
              </w:rPr>
            </w:pPr>
          </w:p>
        </w:tc>
        <w:tc>
          <w:tcPr>
            <w:tcW w:w="716" w:type="pct"/>
            <w:vAlign w:val="center"/>
          </w:tcPr>
          <w:p w14:paraId="0078AFD2" w14:textId="77777777" w:rsidR="00D12268" w:rsidRPr="003816D8" w:rsidRDefault="00D12268" w:rsidP="00BF261E">
            <w:pPr>
              <w:pStyle w:val="Tabletext1"/>
              <w:jc w:val="center"/>
            </w:pPr>
          </w:p>
        </w:tc>
        <w:tc>
          <w:tcPr>
            <w:tcW w:w="1182" w:type="pct"/>
            <w:vAlign w:val="center"/>
          </w:tcPr>
          <w:p w14:paraId="30FDC403" w14:textId="77777777" w:rsidR="00D12268" w:rsidRPr="003816D8" w:rsidRDefault="00D12268" w:rsidP="00BF261E">
            <w:pPr>
              <w:pStyle w:val="Tabletext1"/>
              <w:jc w:val="center"/>
              <w:rPr>
                <w:rFonts w:cs="Calibri"/>
              </w:rPr>
            </w:pPr>
          </w:p>
        </w:tc>
        <w:tc>
          <w:tcPr>
            <w:tcW w:w="830" w:type="pct"/>
            <w:vAlign w:val="center"/>
          </w:tcPr>
          <w:p w14:paraId="12556DD4" w14:textId="77777777" w:rsidR="00D12268" w:rsidRPr="003816D8" w:rsidRDefault="00D12268" w:rsidP="00BF261E">
            <w:pPr>
              <w:pStyle w:val="Tabletext1"/>
              <w:jc w:val="center"/>
              <w:rPr>
                <w:snapToGrid w:val="0"/>
                <w:lang w:eastAsia="en-US"/>
              </w:rPr>
            </w:pPr>
          </w:p>
        </w:tc>
      </w:tr>
      <w:tr w:rsidR="00D12268" w:rsidRPr="00F77E8D" w14:paraId="5E6196EE" w14:textId="77777777" w:rsidTr="005007E2">
        <w:tc>
          <w:tcPr>
            <w:tcW w:w="1429" w:type="pct"/>
          </w:tcPr>
          <w:p w14:paraId="5C4E3FC5" w14:textId="77777777" w:rsidR="00D12268" w:rsidRPr="00A82576" w:rsidRDefault="00D12268" w:rsidP="00556AB6">
            <w:pPr>
              <w:pStyle w:val="Tabletext1"/>
              <w:rPr>
                <w:b/>
                <w:snapToGrid w:val="0"/>
                <w:lang w:eastAsia="en-US"/>
              </w:rPr>
            </w:pPr>
            <w:r w:rsidRPr="00A82576">
              <w:rPr>
                <w:b/>
              </w:rPr>
              <w:t>Register patient</w:t>
            </w:r>
          </w:p>
        </w:tc>
        <w:tc>
          <w:tcPr>
            <w:tcW w:w="843" w:type="pct"/>
            <w:vAlign w:val="center"/>
          </w:tcPr>
          <w:p w14:paraId="40F14ACC" w14:textId="77777777" w:rsidR="00D12268" w:rsidRPr="003816D8" w:rsidRDefault="00D12268" w:rsidP="00BF261E">
            <w:pPr>
              <w:pStyle w:val="Tabletext1"/>
              <w:jc w:val="center"/>
              <w:rPr>
                <w:snapToGrid w:val="0"/>
                <w:lang w:eastAsia="en-US"/>
              </w:rPr>
            </w:pPr>
          </w:p>
        </w:tc>
        <w:tc>
          <w:tcPr>
            <w:tcW w:w="716" w:type="pct"/>
            <w:vAlign w:val="center"/>
          </w:tcPr>
          <w:p w14:paraId="03CF52F9" w14:textId="77777777" w:rsidR="00D12268" w:rsidRPr="003816D8" w:rsidRDefault="00D12268" w:rsidP="00BF261E">
            <w:pPr>
              <w:pStyle w:val="Tabletext1"/>
              <w:jc w:val="center"/>
            </w:pPr>
          </w:p>
        </w:tc>
        <w:tc>
          <w:tcPr>
            <w:tcW w:w="1182" w:type="pct"/>
            <w:vAlign w:val="center"/>
          </w:tcPr>
          <w:p w14:paraId="43AECC49" w14:textId="77777777" w:rsidR="00D12268" w:rsidRPr="003816D8" w:rsidRDefault="00D12268" w:rsidP="00BF261E">
            <w:pPr>
              <w:pStyle w:val="Tabletext1"/>
              <w:jc w:val="center"/>
              <w:rPr>
                <w:rFonts w:cs="Calibri"/>
              </w:rPr>
            </w:pPr>
          </w:p>
        </w:tc>
        <w:tc>
          <w:tcPr>
            <w:tcW w:w="830" w:type="pct"/>
            <w:vAlign w:val="center"/>
          </w:tcPr>
          <w:p w14:paraId="23DFDE58" w14:textId="77777777" w:rsidR="00D12268" w:rsidRPr="003816D8" w:rsidRDefault="00D12268" w:rsidP="00BF261E">
            <w:pPr>
              <w:pStyle w:val="Tabletext1"/>
              <w:jc w:val="center"/>
              <w:rPr>
                <w:snapToGrid w:val="0"/>
                <w:lang w:eastAsia="en-US"/>
              </w:rPr>
            </w:pPr>
          </w:p>
        </w:tc>
      </w:tr>
      <w:tr w:rsidR="00D12268" w:rsidRPr="00F77E8D" w14:paraId="6DD7302E" w14:textId="77777777" w:rsidTr="005007E2">
        <w:tc>
          <w:tcPr>
            <w:tcW w:w="1429" w:type="pct"/>
          </w:tcPr>
          <w:p w14:paraId="60E814CE" w14:textId="77777777" w:rsidR="00D12268" w:rsidRDefault="00D12268" w:rsidP="00556AB6">
            <w:pPr>
              <w:pStyle w:val="Tabletext1"/>
              <w:rPr>
                <w:b/>
                <w:snapToGrid w:val="0"/>
                <w:lang w:eastAsia="en-US"/>
              </w:rPr>
            </w:pPr>
            <w:r w:rsidRPr="00665CC6">
              <w:t>Obtain referral from patient directly, referring provider, or work que</w:t>
            </w:r>
            <w:r>
              <w:t>ue</w:t>
            </w:r>
          </w:p>
        </w:tc>
        <w:tc>
          <w:tcPr>
            <w:tcW w:w="843" w:type="pct"/>
            <w:vAlign w:val="center"/>
          </w:tcPr>
          <w:p w14:paraId="427315B4" w14:textId="77777777" w:rsidR="00D12268" w:rsidRPr="003816D8" w:rsidRDefault="00D12268" w:rsidP="00BF261E">
            <w:pPr>
              <w:pStyle w:val="Tabletext1"/>
              <w:jc w:val="center"/>
              <w:rPr>
                <w:b/>
                <w:snapToGrid w:val="0"/>
                <w:lang w:eastAsia="en-US"/>
              </w:rPr>
            </w:pPr>
            <w:r w:rsidRPr="00C14E90">
              <w:t>Front desk (x1)</w:t>
            </w:r>
          </w:p>
        </w:tc>
        <w:tc>
          <w:tcPr>
            <w:tcW w:w="716" w:type="pct"/>
            <w:vAlign w:val="center"/>
          </w:tcPr>
          <w:p w14:paraId="54145F53" w14:textId="77777777" w:rsidR="00D12268" w:rsidRPr="003816D8" w:rsidRDefault="00D12268" w:rsidP="00BF261E">
            <w:pPr>
              <w:pStyle w:val="Tabletext1"/>
              <w:jc w:val="center"/>
              <w:rPr>
                <w:b/>
              </w:rPr>
            </w:pPr>
            <w:r w:rsidRPr="0089302C">
              <w:t>7</w:t>
            </w:r>
          </w:p>
        </w:tc>
        <w:tc>
          <w:tcPr>
            <w:tcW w:w="1182" w:type="pct"/>
            <w:vAlign w:val="center"/>
          </w:tcPr>
          <w:p w14:paraId="2C99D130" w14:textId="68DE5C9D" w:rsidR="00D12268" w:rsidRPr="003816D8" w:rsidRDefault="00D12268" w:rsidP="00BF261E">
            <w:pPr>
              <w:pStyle w:val="Tabletext1"/>
              <w:jc w:val="center"/>
              <w:rPr>
                <w:rFonts w:cs="Calibri"/>
                <w:b/>
              </w:rPr>
            </w:pPr>
            <w:r w:rsidRPr="00DA0EDB">
              <w:t>$2.75</w:t>
            </w:r>
          </w:p>
        </w:tc>
        <w:tc>
          <w:tcPr>
            <w:tcW w:w="830" w:type="pct"/>
            <w:vAlign w:val="center"/>
          </w:tcPr>
          <w:p w14:paraId="23FAF6B4" w14:textId="056ED94A" w:rsidR="00D12268" w:rsidRDefault="00D12268" w:rsidP="00BF261E">
            <w:pPr>
              <w:pStyle w:val="Tabletext1"/>
              <w:jc w:val="center"/>
              <w:rPr>
                <w:rFonts w:cs="Calibri"/>
                <w:b/>
              </w:rPr>
            </w:pPr>
            <w:r w:rsidRPr="00E51EB3">
              <w:t>$2.75</w:t>
            </w:r>
          </w:p>
        </w:tc>
      </w:tr>
      <w:tr w:rsidR="00D12268" w:rsidRPr="00F77E8D" w14:paraId="1DA7950D" w14:textId="77777777" w:rsidTr="005007E2">
        <w:tc>
          <w:tcPr>
            <w:tcW w:w="1429" w:type="pct"/>
          </w:tcPr>
          <w:p w14:paraId="736037EA" w14:textId="77777777" w:rsidR="00D12268" w:rsidRPr="003816D8" w:rsidRDefault="00D12268" w:rsidP="00556AB6">
            <w:pPr>
              <w:pStyle w:val="Tabletext1"/>
              <w:rPr>
                <w:b/>
                <w:snapToGrid w:val="0"/>
                <w:lang w:eastAsia="en-US"/>
              </w:rPr>
            </w:pPr>
            <w:r w:rsidRPr="00665CC6">
              <w:t>Obtain medical records and insurance authorization for consultation</w:t>
            </w:r>
          </w:p>
        </w:tc>
        <w:tc>
          <w:tcPr>
            <w:tcW w:w="843" w:type="pct"/>
            <w:vAlign w:val="center"/>
          </w:tcPr>
          <w:p w14:paraId="4D4DF8BA" w14:textId="77777777" w:rsidR="00D12268" w:rsidRPr="003816D8" w:rsidRDefault="00D12268" w:rsidP="00BF261E">
            <w:pPr>
              <w:pStyle w:val="Tabletext1"/>
              <w:jc w:val="center"/>
              <w:rPr>
                <w:b/>
                <w:snapToGrid w:val="0"/>
                <w:lang w:eastAsia="en-US"/>
              </w:rPr>
            </w:pPr>
            <w:r w:rsidRPr="00C14E90">
              <w:t>Front desk (x1)</w:t>
            </w:r>
          </w:p>
        </w:tc>
        <w:tc>
          <w:tcPr>
            <w:tcW w:w="716" w:type="pct"/>
            <w:vAlign w:val="center"/>
          </w:tcPr>
          <w:p w14:paraId="434BE6FD" w14:textId="77777777" w:rsidR="00D12268" w:rsidRPr="003816D8" w:rsidRDefault="00D12268" w:rsidP="00BF261E">
            <w:pPr>
              <w:pStyle w:val="Tabletext1"/>
              <w:jc w:val="center"/>
              <w:rPr>
                <w:b/>
              </w:rPr>
            </w:pPr>
            <w:r w:rsidRPr="0089302C">
              <w:t>9</w:t>
            </w:r>
          </w:p>
        </w:tc>
        <w:tc>
          <w:tcPr>
            <w:tcW w:w="1182" w:type="pct"/>
            <w:vAlign w:val="center"/>
          </w:tcPr>
          <w:p w14:paraId="51E95592" w14:textId="79CAB72E" w:rsidR="00D12268" w:rsidRPr="003816D8" w:rsidRDefault="00D12268" w:rsidP="00BF261E">
            <w:pPr>
              <w:pStyle w:val="Tabletext1"/>
              <w:jc w:val="center"/>
              <w:rPr>
                <w:rFonts w:cs="Calibri"/>
                <w:b/>
              </w:rPr>
            </w:pPr>
            <w:r w:rsidRPr="00DA0EDB">
              <w:t>$3.54</w:t>
            </w:r>
          </w:p>
        </w:tc>
        <w:tc>
          <w:tcPr>
            <w:tcW w:w="830" w:type="pct"/>
            <w:vAlign w:val="center"/>
          </w:tcPr>
          <w:p w14:paraId="7F849DD3" w14:textId="36897123" w:rsidR="00D12268" w:rsidRPr="003816D8" w:rsidRDefault="00D12268" w:rsidP="00BF261E">
            <w:pPr>
              <w:pStyle w:val="Tabletext1"/>
              <w:jc w:val="center"/>
              <w:rPr>
                <w:rFonts w:cs="Calibri"/>
                <w:b/>
              </w:rPr>
            </w:pPr>
            <w:r w:rsidRPr="00E51EB3">
              <w:t>$3.54</w:t>
            </w:r>
          </w:p>
        </w:tc>
      </w:tr>
      <w:tr w:rsidR="00D12268" w:rsidRPr="00F77E8D" w14:paraId="5502F5DD" w14:textId="77777777" w:rsidTr="005007E2">
        <w:tc>
          <w:tcPr>
            <w:tcW w:w="1429" w:type="pct"/>
          </w:tcPr>
          <w:p w14:paraId="410DCEB1" w14:textId="77777777" w:rsidR="00D12268" w:rsidRPr="00673F0A" w:rsidRDefault="00D12268" w:rsidP="00556AB6">
            <w:pPr>
              <w:pStyle w:val="Tabletext1"/>
              <w:rPr>
                <w:b/>
                <w:snapToGrid w:val="0"/>
                <w:lang w:eastAsia="en-US"/>
              </w:rPr>
            </w:pPr>
            <w:r w:rsidRPr="00665CC6">
              <w:t>Prepar</w:t>
            </w:r>
            <w:r>
              <w:t>e chart; register patient in medical records</w:t>
            </w:r>
          </w:p>
        </w:tc>
        <w:tc>
          <w:tcPr>
            <w:tcW w:w="843" w:type="pct"/>
            <w:vAlign w:val="center"/>
          </w:tcPr>
          <w:p w14:paraId="49BF3444" w14:textId="77777777" w:rsidR="00D12268" w:rsidRPr="003816D8" w:rsidRDefault="00D12268" w:rsidP="00BF261E">
            <w:pPr>
              <w:pStyle w:val="Tabletext1"/>
              <w:jc w:val="center"/>
              <w:rPr>
                <w:snapToGrid w:val="0"/>
                <w:lang w:eastAsia="en-US"/>
              </w:rPr>
            </w:pPr>
            <w:r w:rsidRPr="00C14E90">
              <w:t>Front desk (x1)</w:t>
            </w:r>
          </w:p>
        </w:tc>
        <w:tc>
          <w:tcPr>
            <w:tcW w:w="716" w:type="pct"/>
            <w:vAlign w:val="center"/>
          </w:tcPr>
          <w:p w14:paraId="4744F7FC" w14:textId="77777777" w:rsidR="00D12268" w:rsidRPr="003816D8" w:rsidRDefault="00D12268" w:rsidP="00BF261E">
            <w:pPr>
              <w:pStyle w:val="Tabletext1"/>
              <w:jc w:val="center"/>
            </w:pPr>
            <w:r w:rsidRPr="0089302C">
              <w:t>3</w:t>
            </w:r>
          </w:p>
        </w:tc>
        <w:tc>
          <w:tcPr>
            <w:tcW w:w="1182" w:type="pct"/>
            <w:vAlign w:val="center"/>
          </w:tcPr>
          <w:p w14:paraId="3BEA4BE0" w14:textId="3773A317" w:rsidR="00D12268" w:rsidRPr="003816D8" w:rsidRDefault="00D12268" w:rsidP="00BF261E">
            <w:pPr>
              <w:pStyle w:val="Tabletext1"/>
              <w:jc w:val="center"/>
              <w:rPr>
                <w:rFonts w:cs="Calibri"/>
              </w:rPr>
            </w:pPr>
            <w:r w:rsidRPr="00DA0EDB">
              <w:t>$1.18</w:t>
            </w:r>
          </w:p>
        </w:tc>
        <w:tc>
          <w:tcPr>
            <w:tcW w:w="830" w:type="pct"/>
            <w:vAlign w:val="center"/>
          </w:tcPr>
          <w:p w14:paraId="266D953C" w14:textId="5F30C071" w:rsidR="00D12268" w:rsidRPr="00673F0A" w:rsidRDefault="00D12268" w:rsidP="00BF261E">
            <w:pPr>
              <w:pStyle w:val="Tabletext1"/>
              <w:jc w:val="center"/>
              <w:rPr>
                <w:rFonts w:cs="Calibri"/>
                <w:b/>
              </w:rPr>
            </w:pPr>
            <w:r w:rsidRPr="00E51EB3">
              <w:t>$1.18</w:t>
            </w:r>
          </w:p>
        </w:tc>
      </w:tr>
      <w:tr w:rsidR="00D12268" w:rsidRPr="00F77E8D" w14:paraId="29D0FA86" w14:textId="77777777" w:rsidTr="005007E2">
        <w:tc>
          <w:tcPr>
            <w:tcW w:w="1429" w:type="pct"/>
          </w:tcPr>
          <w:p w14:paraId="6D9EFBAB" w14:textId="77777777" w:rsidR="00D12268" w:rsidRPr="000106D9" w:rsidRDefault="00D12268" w:rsidP="00556AB6">
            <w:pPr>
              <w:pStyle w:val="Tabletext1"/>
              <w:rPr>
                <w:b/>
                <w:snapToGrid w:val="0"/>
                <w:lang w:eastAsia="en-US"/>
              </w:rPr>
            </w:pPr>
            <w:r w:rsidRPr="000106D9">
              <w:rPr>
                <w:b/>
              </w:rPr>
              <w:t>Pre-clinic charting</w:t>
            </w:r>
          </w:p>
        </w:tc>
        <w:tc>
          <w:tcPr>
            <w:tcW w:w="843" w:type="pct"/>
            <w:vAlign w:val="center"/>
          </w:tcPr>
          <w:p w14:paraId="0729CDE7" w14:textId="77777777" w:rsidR="00D12268" w:rsidRPr="003816D8" w:rsidRDefault="00D12268" w:rsidP="00BF261E">
            <w:pPr>
              <w:pStyle w:val="Tabletext1"/>
              <w:jc w:val="center"/>
              <w:rPr>
                <w:snapToGrid w:val="0"/>
                <w:lang w:eastAsia="en-US"/>
              </w:rPr>
            </w:pPr>
          </w:p>
        </w:tc>
        <w:tc>
          <w:tcPr>
            <w:tcW w:w="716" w:type="pct"/>
            <w:vAlign w:val="center"/>
          </w:tcPr>
          <w:p w14:paraId="69CCD747" w14:textId="77777777" w:rsidR="00D12268" w:rsidRPr="003816D8" w:rsidRDefault="00D12268" w:rsidP="00BF261E">
            <w:pPr>
              <w:pStyle w:val="Tabletext1"/>
              <w:jc w:val="center"/>
            </w:pPr>
          </w:p>
        </w:tc>
        <w:tc>
          <w:tcPr>
            <w:tcW w:w="1182" w:type="pct"/>
            <w:vAlign w:val="center"/>
          </w:tcPr>
          <w:p w14:paraId="726BC01E" w14:textId="77777777" w:rsidR="00D12268" w:rsidRPr="003816D8" w:rsidRDefault="00D12268" w:rsidP="00BF261E">
            <w:pPr>
              <w:pStyle w:val="Tabletext1"/>
              <w:jc w:val="center"/>
              <w:rPr>
                <w:rFonts w:cs="Calibri"/>
              </w:rPr>
            </w:pPr>
          </w:p>
        </w:tc>
        <w:tc>
          <w:tcPr>
            <w:tcW w:w="830" w:type="pct"/>
            <w:vAlign w:val="center"/>
          </w:tcPr>
          <w:p w14:paraId="2AB62C5F" w14:textId="77777777" w:rsidR="00D12268" w:rsidRPr="003816D8" w:rsidRDefault="00D12268" w:rsidP="00BF261E">
            <w:pPr>
              <w:pStyle w:val="Tabletext1"/>
              <w:jc w:val="center"/>
              <w:rPr>
                <w:rFonts w:cs="Calibri"/>
              </w:rPr>
            </w:pPr>
          </w:p>
        </w:tc>
      </w:tr>
      <w:tr w:rsidR="00D12268" w:rsidRPr="00F77E8D" w14:paraId="59AF15B3" w14:textId="77777777" w:rsidTr="005007E2">
        <w:tc>
          <w:tcPr>
            <w:tcW w:w="1429" w:type="pct"/>
          </w:tcPr>
          <w:p w14:paraId="5127C17E" w14:textId="77777777" w:rsidR="00D12268" w:rsidRPr="003816D8" w:rsidRDefault="00D12268" w:rsidP="00556AB6">
            <w:pPr>
              <w:pStyle w:val="Tabletext1"/>
              <w:rPr>
                <w:snapToGrid w:val="0"/>
                <w:lang w:eastAsia="en-US"/>
              </w:rPr>
            </w:pPr>
            <w:r w:rsidRPr="00665CC6">
              <w:t>Review records in advance; prepare note</w:t>
            </w:r>
          </w:p>
        </w:tc>
        <w:tc>
          <w:tcPr>
            <w:tcW w:w="843" w:type="pct"/>
            <w:vAlign w:val="center"/>
          </w:tcPr>
          <w:p w14:paraId="7D36DE4E" w14:textId="77777777" w:rsidR="00D12268" w:rsidRPr="003816D8" w:rsidRDefault="00D12268" w:rsidP="00BF261E">
            <w:pPr>
              <w:pStyle w:val="Tabletext1"/>
              <w:jc w:val="center"/>
              <w:rPr>
                <w:snapToGrid w:val="0"/>
                <w:lang w:eastAsia="en-US"/>
              </w:rPr>
            </w:pPr>
            <w:r w:rsidRPr="00C14E90">
              <w:t>Radiation Oncologist (x1)</w:t>
            </w:r>
          </w:p>
        </w:tc>
        <w:tc>
          <w:tcPr>
            <w:tcW w:w="716" w:type="pct"/>
            <w:vAlign w:val="center"/>
          </w:tcPr>
          <w:p w14:paraId="3CFB46E1" w14:textId="77777777" w:rsidR="00D12268" w:rsidRPr="003816D8" w:rsidRDefault="00D12268" w:rsidP="00BF261E">
            <w:pPr>
              <w:pStyle w:val="Tabletext1"/>
              <w:jc w:val="center"/>
            </w:pPr>
            <w:r w:rsidRPr="0089302C">
              <w:t>25</w:t>
            </w:r>
          </w:p>
        </w:tc>
        <w:tc>
          <w:tcPr>
            <w:tcW w:w="1182" w:type="pct"/>
            <w:vAlign w:val="center"/>
          </w:tcPr>
          <w:p w14:paraId="0EDAF8FD" w14:textId="5D32D36D" w:rsidR="00D12268" w:rsidRPr="003816D8" w:rsidRDefault="00D12268" w:rsidP="00BF261E">
            <w:pPr>
              <w:pStyle w:val="Tabletext1"/>
              <w:jc w:val="center"/>
              <w:rPr>
                <w:rFonts w:cs="Calibri"/>
              </w:rPr>
            </w:pPr>
            <w:r w:rsidRPr="00DA0EDB">
              <w:t>$44.61</w:t>
            </w:r>
          </w:p>
        </w:tc>
        <w:tc>
          <w:tcPr>
            <w:tcW w:w="830" w:type="pct"/>
            <w:vAlign w:val="center"/>
          </w:tcPr>
          <w:p w14:paraId="018EADD3" w14:textId="6E0C228F" w:rsidR="00D12268" w:rsidRPr="003816D8" w:rsidRDefault="00D12268" w:rsidP="00BF261E">
            <w:pPr>
              <w:pStyle w:val="Tabletext1"/>
              <w:jc w:val="center"/>
              <w:rPr>
                <w:rFonts w:cs="Calibri"/>
              </w:rPr>
            </w:pPr>
            <w:r w:rsidRPr="00E51EB3">
              <w:t>$44.61</w:t>
            </w:r>
          </w:p>
        </w:tc>
      </w:tr>
      <w:tr w:rsidR="00D12268" w:rsidRPr="00F77E8D" w14:paraId="6A1019BF" w14:textId="77777777" w:rsidTr="005007E2">
        <w:tc>
          <w:tcPr>
            <w:tcW w:w="1429" w:type="pct"/>
          </w:tcPr>
          <w:p w14:paraId="2CE047A6" w14:textId="77777777" w:rsidR="00D12268" w:rsidRPr="000106D9" w:rsidRDefault="00D12268" w:rsidP="008B6FC0">
            <w:pPr>
              <w:pStyle w:val="Tabletext1"/>
              <w:keepNext/>
              <w:rPr>
                <w:b/>
                <w:snapToGrid w:val="0"/>
                <w:lang w:eastAsia="en-US"/>
              </w:rPr>
            </w:pPr>
            <w:r w:rsidRPr="000106D9">
              <w:rPr>
                <w:b/>
              </w:rPr>
              <w:lastRenderedPageBreak/>
              <w:t>Clinic Visit</w:t>
            </w:r>
          </w:p>
        </w:tc>
        <w:tc>
          <w:tcPr>
            <w:tcW w:w="843" w:type="pct"/>
            <w:vAlign w:val="center"/>
          </w:tcPr>
          <w:p w14:paraId="33298585" w14:textId="77777777" w:rsidR="00D12268" w:rsidRPr="003816D8" w:rsidRDefault="00D12268" w:rsidP="008B6FC0">
            <w:pPr>
              <w:pStyle w:val="Tabletext1"/>
              <w:keepNext/>
              <w:jc w:val="center"/>
              <w:rPr>
                <w:snapToGrid w:val="0"/>
                <w:lang w:eastAsia="en-US"/>
              </w:rPr>
            </w:pPr>
          </w:p>
        </w:tc>
        <w:tc>
          <w:tcPr>
            <w:tcW w:w="716" w:type="pct"/>
            <w:vAlign w:val="center"/>
          </w:tcPr>
          <w:p w14:paraId="5AF40D77" w14:textId="77777777" w:rsidR="00D12268" w:rsidRPr="003816D8" w:rsidRDefault="00D12268" w:rsidP="008B6FC0">
            <w:pPr>
              <w:pStyle w:val="Tabletext1"/>
              <w:keepNext/>
              <w:jc w:val="center"/>
            </w:pPr>
          </w:p>
        </w:tc>
        <w:tc>
          <w:tcPr>
            <w:tcW w:w="1182" w:type="pct"/>
            <w:vAlign w:val="center"/>
          </w:tcPr>
          <w:p w14:paraId="5FB57960" w14:textId="77777777" w:rsidR="00D12268" w:rsidRPr="003816D8" w:rsidRDefault="00D12268" w:rsidP="008B6FC0">
            <w:pPr>
              <w:pStyle w:val="Tabletext1"/>
              <w:keepNext/>
              <w:jc w:val="center"/>
              <w:rPr>
                <w:rFonts w:cs="Calibri"/>
              </w:rPr>
            </w:pPr>
          </w:p>
        </w:tc>
        <w:tc>
          <w:tcPr>
            <w:tcW w:w="830" w:type="pct"/>
            <w:vAlign w:val="center"/>
          </w:tcPr>
          <w:p w14:paraId="4FFE4E56" w14:textId="77777777" w:rsidR="00D12268" w:rsidRPr="003816D8" w:rsidRDefault="00D12268" w:rsidP="008B6FC0">
            <w:pPr>
              <w:pStyle w:val="Tabletext1"/>
              <w:keepNext/>
              <w:jc w:val="center"/>
              <w:rPr>
                <w:snapToGrid w:val="0"/>
                <w:lang w:eastAsia="en-US"/>
              </w:rPr>
            </w:pPr>
          </w:p>
        </w:tc>
      </w:tr>
      <w:tr w:rsidR="00D12268" w:rsidRPr="00F77E8D" w14:paraId="754C2CEE" w14:textId="77777777" w:rsidTr="005007E2">
        <w:tc>
          <w:tcPr>
            <w:tcW w:w="1429" w:type="pct"/>
          </w:tcPr>
          <w:p w14:paraId="06B8B2CB" w14:textId="77777777" w:rsidR="00D12268" w:rsidRPr="003816D8" w:rsidRDefault="00D12268" w:rsidP="008B6FC0">
            <w:pPr>
              <w:pStyle w:val="Tabletext1"/>
              <w:keepNext/>
              <w:rPr>
                <w:snapToGrid w:val="0"/>
                <w:lang w:eastAsia="en-US"/>
              </w:rPr>
            </w:pPr>
            <w:r w:rsidRPr="00665CC6">
              <w:t>Check-in patient for appointment</w:t>
            </w:r>
          </w:p>
        </w:tc>
        <w:tc>
          <w:tcPr>
            <w:tcW w:w="843" w:type="pct"/>
            <w:vAlign w:val="center"/>
          </w:tcPr>
          <w:p w14:paraId="76AFD9A1" w14:textId="77777777" w:rsidR="00D12268" w:rsidRPr="003816D8" w:rsidRDefault="00D12268" w:rsidP="008B6FC0">
            <w:pPr>
              <w:pStyle w:val="Tabletext1"/>
              <w:keepNext/>
              <w:jc w:val="center"/>
              <w:rPr>
                <w:snapToGrid w:val="0"/>
                <w:lang w:eastAsia="en-US"/>
              </w:rPr>
            </w:pPr>
            <w:r w:rsidRPr="00C14E90">
              <w:t>Front desk (x1)</w:t>
            </w:r>
          </w:p>
        </w:tc>
        <w:tc>
          <w:tcPr>
            <w:tcW w:w="716" w:type="pct"/>
            <w:vAlign w:val="center"/>
          </w:tcPr>
          <w:p w14:paraId="533CE50E" w14:textId="77777777" w:rsidR="00D12268" w:rsidRPr="003816D8" w:rsidRDefault="00D12268" w:rsidP="008B6FC0">
            <w:pPr>
              <w:pStyle w:val="Tabletext1"/>
              <w:keepNext/>
              <w:jc w:val="center"/>
            </w:pPr>
            <w:r w:rsidRPr="0089302C">
              <w:t>10</w:t>
            </w:r>
          </w:p>
        </w:tc>
        <w:tc>
          <w:tcPr>
            <w:tcW w:w="1182" w:type="pct"/>
            <w:vAlign w:val="center"/>
          </w:tcPr>
          <w:p w14:paraId="622C35C2" w14:textId="49845724" w:rsidR="00D12268" w:rsidRPr="003816D8" w:rsidRDefault="00D12268" w:rsidP="008B6FC0">
            <w:pPr>
              <w:pStyle w:val="Tabletext1"/>
              <w:keepNext/>
              <w:jc w:val="center"/>
              <w:rPr>
                <w:rFonts w:cs="Calibri"/>
              </w:rPr>
            </w:pPr>
            <w:r w:rsidRPr="00DA0EDB">
              <w:t>$3.94</w:t>
            </w:r>
          </w:p>
        </w:tc>
        <w:tc>
          <w:tcPr>
            <w:tcW w:w="830" w:type="pct"/>
            <w:vAlign w:val="center"/>
          </w:tcPr>
          <w:p w14:paraId="55172DFD" w14:textId="7D5B7034" w:rsidR="00D12268" w:rsidRPr="003816D8" w:rsidRDefault="00D12268" w:rsidP="008B6FC0">
            <w:pPr>
              <w:pStyle w:val="Tabletext1"/>
              <w:keepNext/>
              <w:jc w:val="center"/>
              <w:rPr>
                <w:snapToGrid w:val="0"/>
                <w:lang w:eastAsia="en-US"/>
              </w:rPr>
            </w:pPr>
            <w:r w:rsidRPr="00E51EB3">
              <w:t>$3.94</w:t>
            </w:r>
          </w:p>
        </w:tc>
      </w:tr>
      <w:tr w:rsidR="00D12268" w:rsidRPr="00F77E8D" w14:paraId="4E21A719" w14:textId="77777777" w:rsidTr="005007E2">
        <w:tc>
          <w:tcPr>
            <w:tcW w:w="1429" w:type="pct"/>
          </w:tcPr>
          <w:p w14:paraId="0664A77E" w14:textId="77777777" w:rsidR="00D12268" w:rsidRPr="003816D8" w:rsidRDefault="00D12268" w:rsidP="008B6FC0">
            <w:pPr>
              <w:pStyle w:val="Tabletext1"/>
              <w:keepNext/>
              <w:rPr>
                <w:snapToGrid w:val="0"/>
                <w:lang w:eastAsia="en-US"/>
              </w:rPr>
            </w:pPr>
            <w:r w:rsidRPr="00665CC6">
              <w:t xml:space="preserve">Take vitals; perform medication reconciliation; update medical history in </w:t>
            </w:r>
            <w:r>
              <w:t>medical records</w:t>
            </w:r>
          </w:p>
        </w:tc>
        <w:tc>
          <w:tcPr>
            <w:tcW w:w="843" w:type="pct"/>
            <w:vAlign w:val="center"/>
          </w:tcPr>
          <w:p w14:paraId="5E7A3828" w14:textId="77777777" w:rsidR="00D12268" w:rsidRPr="003816D8" w:rsidRDefault="00D12268" w:rsidP="008B6FC0">
            <w:pPr>
              <w:pStyle w:val="Tabletext1"/>
              <w:keepNext/>
              <w:jc w:val="center"/>
              <w:rPr>
                <w:snapToGrid w:val="0"/>
                <w:lang w:eastAsia="en-US"/>
              </w:rPr>
            </w:pPr>
            <w:r w:rsidRPr="00C14E90">
              <w:t>Medical Assistant (x1)</w:t>
            </w:r>
          </w:p>
        </w:tc>
        <w:tc>
          <w:tcPr>
            <w:tcW w:w="716" w:type="pct"/>
            <w:vAlign w:val="center"/>
          </w:tcPr>
          <w:p w14:paraId="11C936E4" w14:textId="77777777" w:rsidR="00D12268" w:rsidRPr="003816D8" w:rsidRDefault="00D12268" w:rsidP="008B6FC0">
            <w:pPr>
              <w:pStyle w:val="Tabletext1"/>
              <w:keepNext/>
              <w:jc w:val="center"/>
            </w:pPr>
            <w:r w:rsidRPr="0089302C">
              <w:t>13</w:t>
            </w:r>
          </w:p>
        </w:tc>
        <w:tc>
          <w:tcPr>
            <w:tcW w:w="1182" w:type="pct"/>
            <w:vAlign w:val="center"/>
          </w:tcPr>
          <w:p w14:paraId="6F4B92EE" w14:textId="03557AD6" w:rsidR="00D12268" w:rsidRPr="003816D8" w:rsidRDefault="00D12268" w:rsidP="008B6FC0">
            <w:pPr>
              <w:pStyle w:val="Tabletext1"/>
              <w:keepNext/>
              <w:jc w:val="center"/>
              <w:rPr>
                <w:rFonts w:cs="Calibri"/>
              </w:rPr>
            </w:pPr>
            <w:r w:rsidRPr="00DA0EDB">
              <w:t>$5.33</w:t>
            </w:r>
          </w:p>
        </w:tc>
        <w:tc>
          <w:tcPr>
            <w:tcW w:w="830" w:type="pct"/>
            <w:vAlign w:val="center"/>
          </w:tcPr>
          <w:p w14:paraId="4150A6F4" w14:textId="5E1BF8A5" w:rsidR="00D12268" w:rsidRPr="003816D8" w:rsidRDefault="00D12268" w:rsidP="008B6FC0">
            <w:pPr>
              <w:pStyle w:val="Tabletext1"/>
              <w:keepNext/>
              <w:jc w:val="center"/>
              <w:rPr>
                <w:snapToGrid w:val="0"/>
                <w:lang w:eastAsia="en-US"/>
              </w:rPr>
            </w:pPr>
            <w:r w:rsidRPr="00E51EB3">
              <w:t>$5.33</w:t>
            </w:r>
          </w:p>
        </w:tc>
      </w:tr>
      <w:tr w:rsidR="00D12268" w:rsidRPr="00F77E8D" w14:paraId="076728A1" w14:textId="77777777" w:rsidTr="005007E2">
        <w:tc>
          <w:tcPr>
            <w:tcW w:w="1429" w:type="pct"/>
          </w:tcPr>
          <w:p w14:paraId="7C14365B" w14:textId="77777777" w:rsidR="00D12268" w:rsidRPr="003816D8" w:rsidRDefault="00D12268" w:rsidP="008B6FC0">
            <w:pPr>
              <w:pStyle w:val="Tabletext1"/>
              <w:keepNext/>
              <w:rPr>
                <w:snapToGrid w:val="0"/>
                <w:lang w:eastAsia="en-US"/>
              </w:rPr>
            </w:pPr>
            <w:r w:rsidRPr="00665CC6">
              <w:t>See patient and complete consult (H&amp;P; informed consent; place simulation orders)</w:t>
            </w:r>
          </w:p>
        </w:tc>
        <w:tc>
          <w:tcPr>
            <w:tcW w:w="843" w:type="pct"/>
            <w:vAlign w:val="center"/>
          </w:tcPr>
          <w:p w14:paraId="2E763DD1" w14:textId="77777777" w:rsidR="00D12268" w:rsidRPr="003816D8" w:rsidRDefault="00D12268" w:rsidP="008B6FC0">
            <w:pPr>
              <w:pStyle w:val="Tabletext1"/>
              <w:keepNext/>
              <w:jc w:val="center"/>
              <w:rPr>
                <w:snapToGrid w:val="0"/>
                <w:lang w:eastAsia="en-US"/>
              </w:rPr>
            </w:pPr>
            <w:r w:rsidRPr="00C14E90">
              <w:t>Radiation Oncologist (x1)</w:t>
            </w:r>
          </w:p>
        </w:tc>
        <w:tc>
          <w:tcPr>
            <w:tcW w:w="716" w:type="pct"/>
            <w:vAlign w:val="center"/>
          </w:tcPr>
          <w:p w14:paraId="092E3F0A" w14:textId="77777777" w:rsidR="00D12268" w:rsidRPr="003816D8" w:rsidRDefault="00D12268" w:rsidP="008B6FC0">
            <w:pPr>
              <w:pStyle w:val="Tabletext1"/>
              <w:keepNext/>
              <w:jc w:val="center"/>
            </w:pPr>
            <w:r w:rsidRPr="0089302C">
              <w:t>45</w:t>
            </w:r>
          </w:p>
        </w:tc>
        <w:tc>
          <w:tcPr>
            <w:tcW w:w="1182" w:type="pct"/>
            <w:vAlign w:val="center"/>
          </w:tcPr>
          <w:p w14:paraId="4E351A61" w14:textId="1F90FF32" w:rsidR="00D12268" w:rsidRPr="003816D8" w:rsidRDefault="00D12268" w:rsidP="008B6FC0">
            <w:pPr>
              <w:pStyle w:val="Tabletext1"/>
              <w:keepNext/>
              <w:jc w:val="center"/>
              <w:rPr>
                <w:rFonts w:cs="Calibri"/>
              </w:rPr>
            </w:pPr>
            <w:r w:rsidRPr="00DA0EDB">
              <w:t>$80.29</w:t>
            </w:r>
          </w:p>
        </w:tc>
        <w:tc>
          <w:tcPr>
            <w:tcW w:w="830" w:type="pct"/>
            <w:vAlign w:val="center"/>
          </w:tcPr>
          <w:p w14:paraId="6641DA78" w14:textId="0BB63162" w:rsidR="00D12268" w:rsidRPr="003816D8" w:rsidRDefault="00D12268" w:rsidP="008B6FC0">
            <w:pPr>
              <w:pStyle w:val="Tabletext1"/>
              <w:keepNext/>
              <w:jc w:val="center"/>
              <w:rPr>
                <w:snapToGrid w:val="0"/>
                <w:lang w:eastAsia="en-US"/>
              </w:rPr>
            </w:pPr>
            <w:r w:rsidRPr="00E51EB3">
              <w:t>$80.29</w:t>
            </w:r>
          </w:p>
        </w:tc>
      </w:tr>
      <w:tr w:rsidR="00D12268" w:rsidRPr="00F77E8D" w14:paraId="68808D83" w14:textId="77777777" w:rsidTr="005007E2">
        <w:tc>
          <w:tcPr>
            <w:tcW w:w="1429" w:type="pct"/>
          </w:tcPr>
          <w:p w14:paraId="1B8E65B5" w14:textId="77777777" w:rsidR="00D12268" w:rsidRPr="003816D8" w:rsidRDefault="00D12268" w:rsidP="008B6FC0">
            <w:pPr>
              <w:pStyle w:val="Tabletext1"/>
              <w:keepNext/>
              <w:rPr>
                <w:snapToGrid w:val="0"/>
                <w:lang w:eastAsia="en-US"/>
              </w:rPr>
            </w:pPr>
            <w:r w:rsidRPr="00665CC6">
              <w:t>Print-post-visit-summary</w:t>
            </w:r>
          </w:p>
        </w:tc>
        <w:tc>
          <w:tcPr>
            <w:tcW w:w="843" w:type="pct"/>
            <w:vAlign w:val="center"/>
          </w:tcPr>
          <w:p w14:paraId="40E09397" w14:textId="77777777" w:rsidR="00D12268" w:rsidRPr="003816D8" w:rsidRDefault="00D12268" w:rsidP="008B6FC0">
            <w:pPr>
              <w:pStyle w:val="Tabletext1"/>
              <w:keepNext/>
              <w:jc w:val="center"/>
              <w:rPr>
                <w:snapToGrid w:val="0"/>
                <w:lang w:eastAsia="en-US"/>
              </w:rPr>
            </w:pPr>
            <w:r w:rsidRPr="00C14E90">
              <w:t>Nurse (x1)</w:t>
            </w:r>
          </w:p>
        </w:tc>
        <w:tc>
          <w:tcPr>
            <w:tcW w:w="716" w:type="pct"/>
            <w:vAlign w:val="center"/>
          </w:tcPr>
          <w:p w14:paraId="028AE299" w14:textId="77777777" w:rsidR="00D12268" w:rsidRPr="003816D8" w:rsidRDefault="00D12268" w:rsidP="008B6FC0">
            <w:pPr>
              <w:pStyle w:val="Tabletext1"/>
              <w:keepNext/>
              <w:jc w:val="center"/>
            </w:pPr>
            <w:r w:rsidRPr="0089302C">
              <w:t>2</w:t>
            </w:r>
          </w:p>
        </w:tc>
        <w:tc>
          <w:tcPr>
            <w:tcW w:w="1182" w:type="pct"/>
            <w:vAlign w:val="center"/>
          </w:tcPr>
          <w:p w14:paraId="2523B9C9" w14:textId="4B46DA66" w:rsidR="00D12268" w:rsidRPr="00673F0A" w:rsidRDefault="00D12268" w:rsidP="008B6FC0">
            <w:pPr>
              <w:pStyle w:val="Tabletext1"/>
              <w:keepNext/>
              <w:jc w:val="center"/>
            </w:pPr>
            <w:r w:rsidRPr="00DA0EDB">
              <w:t>$1.23</w:t>
            </w:r>
          </w:p>
        </w:tc>
        <w:tc>
          <w:tcPr>
            <w:tcW w:w="830" w:type="pct"/>
            <w:vAlign w:val="center"/>
          </w:tcPr>
          <w:p w14:paraId="669B2252" w14:textId="30E4286B" w:rsidR="00D12268" w:rsidRPr="003816D8" w:rsidRDefault="00D12268" w:rsidP="008B6FC0">
            <w:pPr>
              <w:pStyle w:val="Tabletext1"/>
              <w:keepNext/>
              <w:jc w:val="center"/>
              <w:rPr>
                <w:snapToGrid w:val="0"/>
                <w:lang w:eastAsia="en-US"/>
              </w:rPr>
            </w:pPr>
            <w:r w:rsidRPr="00E51EB3">
              <w:t>$1.23</w:t>
            </w:r>
          </w:p>
        </w:tc>
      </w:tr>
      <w:tr w:rsidR="00D12268" w:rsidRPr="00F77E8D" w14:paraId="44463DB7" w14:textId="77777777" w:rsidTr="005007E2">
        <w:tc>
          <w:tcPr>
            <w:tcW w:w="1429" w:type="pct"/>
          </w:tcPr>
          <w:p w14:paraId="26C1BFBF" w14:textId="77777777" w:rsidR="00D12268" w:rsidRPr="00793ED2" w:rsidRDefault="00D12268" w:rsidP="008B6FC0">
            <w:pPr>
              <w:pStyle w:val="Tabletext1"/>
              <w:keepNext/>
              <w:rPr>
                <w:b/>
                <w:snapToGrid w:val="0"/>
                <w:lang w:eastAsia="en-US"/>
              </w:rPr>
            </w:pPr>
            <w:r w:rsidRPr="00665CC6">
              <w:t>Complete consent paperwork with patient</w:t>
            </w:r>
          </w:p>
        </w:tc>
        <w:tc>
          <w:tcPr>
            <w:tcW w:w="843" w:type="pct"/>
            <w:vAlign w:val="center"/>
          </w:tcPr>
          <w:p w14:paraId="71E5BE1A" w14:textId="77777777" w:rsidR="00D12268" w:rsidRPr="003816D8" w:rsidRDefault="00D12268" w:rsidP="008B6FC0">
            <w:pPr>
              <w:pStyle w:val="Tabletext1"/>
              <w:keepNext/>
              <w:jc w:val="center"/>
              <w:rPr>
                <w:snapToGrid w:val="0"/>
                <w:lang w:eastAsia="en-US"/>
              </w:rPr>
            </w:pPr>
            <w:r w:rsidRPr="00C14E90">
              <w:t>Nurse (x1)</w:t>
            </w:r>
          </w:p>
        </w:tc>
        <w:tc>
          <w:tcPr>
            <w:tcW w:w="716" w:type="pct"/>
            <w:vAlign w:val="center"/>
          </w:tcPr>
          <w:p w14:paraId="15BAE2BC" w14:textId="77777777" w:rsidR="00D12268" w:rsidRPr="003816D8" w:rsidRDefault="00D12268" w:rsidP="008B6FC0">
            <w:pPr>
              <w:pStyle w:val="Tabletext1"/>
              <w:keepNext/>
              <w:jc w:val="center"/>
            </w:pPr>
            <w:r w:rsidRPr="0089302C">
              <w:t>3</w:t>
            </w:r>
          </w:p>
        </w:tc>
        <w:tc>
          <w:tcPr>
            <w:tcW w:w="1182" w:type="pct"/>
            <w:vAlign w:val="center"/>
          </w:tcPr>
          <w:p w14:paraId="3D99005E" w14:textId="5D5F517D" w:rsidR="00D12268" w:rsidRPr="003816D8" w:rsidRDefault="00D12268" w:rsidP="008B6FC0">
            <w:pPr>
              <w:pStyle w:val="Tabletext1"/>
              <w:keepNext/>
              <w:jc w:val="center"/>
              <w:rPr>
                <w:rFonts w:cs="Calibri"/>
              </w:rPr>
            </w:pPr>
            <w:r w:rsidRPr="00DA0EDB">
              <w:t>$1.85</w:t>
            </w:r>
          </w:p>
        </w:tc>
        <w:tc>
          <w:tcPr>
            <w:tcW w:w="830" w:type="pct"/>
            <w:vAlign w:val="center"/>
          </w:tcPr>
          <w:p w14:paraId="31AFE739" w14:textId="465C1FE0" w:rsidR="00D12268" w:rsidRPr="0046426F" w:rsidRDefault="00D12268" w:rsidP="008B6FC0">
            <w:pPr>
              <w:pStyle w:val="Tabletext1"/>
              <w:keepNext/>
              <w:jc w:val="center"/>
              <w:rPr>
                <w:b/>
                <w:snapToGrid w:val="0"/>
                <w:lang w:eastAsia="en-US"/>
              </w:rPr>
            </w:pPr>
            <w:r w:rsidRPr="00E51EB3">
              <w:t>$1.85</w:t>
            </w:r>
          </w:p>
        </w:tc>
      </w:tr>
      <w:tr w:rsidR="00D12268" w:rsidRPr="00F77E8D" w14:paraId="6DC3E827" w14:textId="77777777" w:rsidTr="005007E2">
        <w:tc>
          <w:tcPr>
            <w:tcW w:w="1429" w:type="pct"/>
          </w:tcPr>
          <w:p w14:paraId="55BA5E4F" w14:textId="77777777" w:rsidR="00D12268" w:rsidRPr="003816D8" w:rsidRDefault="00D12268" w:rsidP="00556AB6">
            <w:pPr>
              <w:pStyle w:val="Tabletext1"/>
              <w:rPr>
                <w:snapToGrid w:val="0"/>
                <w:lang w:eastAsia="en-US"/>
              </w:rPr>
            </w:pPr>
            <w:r w:rsidRPr="00665CC6">
              <w:t>Check-out patient; schedule simulation and orders</w:t>
            </w:r>
          </w:p>
        </w:tc>
        <w:tc>
          <w:tcPr>
            <w:tcW w:w="843" w:type="pct"/>
            <w:vAlign w:val="center"/>
          </w:tcPr>
          <w:p w14:paraId="69C0EBD1" w14:textId="77777777" w:rsidR="00D12268" w:rsidRPr="003816D8" w:rsidRDefault="00D12268" w:rsidP="00BF261E">
            <w:pPr>
              <w:pStyle w:val="Tabletext1"/>
              <w:jc w:val="center"/>
              <w:rPr>
                <w:snapToGrid w:val="0"/>
                <w:lang w:eastAsia="en-US"/>
              </w:rPr>
            </w:pPr>
            <w:r w:rsidRPr="00C14E90">
              <w:t>Front desk (x1)</w:t>
            </w:r>
          </w:p>
        </w:tc>
        <w:tc>
          <w:tcPr>
            <w:tcW w:w="716" w:type="pct"/>
            <w:vAlign w:val="center"/>
          </w:tcPr>
          <w:p w14:paraId="29239914" w14:textId="77777777" w:rsidR="00D12268" w:rsidRPr="003816D8" w:rsidRDefault="00D12268" w:rsidP="00BF261E">
            <w:pPr>
              <w:pStyle w:val="Tabletext1"/>
              <w:jc w:val="center"/>
            </w:pPr>
            <w:r w:rsidRPr="0089302C">
              <w:t>8</w:t>
            </w:r>
          </w:p>
        </w:tc>
        <w:tc>
          <w:tcPr>
            <w:tcW w:w="1182" w:type="pct"/>
            <w:vAlign w:val="center"/>
          </w:tcPr>
          <w:p w14:paraId="55B45A2C" w14:textId="40562DCD" w:rsidR="00D12268" w:rsidRPr="003816D8" w:rsidRDefault="00D12268" w:rsidP="00BF261E">
            <w:pPr>
              <w:pStyle w:val="Tabletext1"/>
              <w:jc w:val="center"/>
              <w:rPr>
                <w:rFonts w:cs="Calibri"/>
              </w:rPr>
            </w:pPr>
            <w:r w:rsidRPr="00DA0EDB">
              <w:t>$3.15</w:t>
            </w:r>
          </w:p>
        </w:tc>
        <w:tc>
          <w:tcPr>
            <w:tcW w:w="830" w:type="pct"/>
            <w:vAlign w:val="center"/>
          </w:tcPr>
          <w:p w14:paraId="02F435E3" w14:textId="2613DDE7" w:rsidR="00D12268" w:rsidRPr="003816D8" w:rsidRDefault="00D12268" w:rsidP="00BF261E">
            <w:pPr>
              <w:pStyle w:val="Tabletext1"/>
              <w:jc w:val="center"/>
              <w:rPr>
                <w:snapToGrid w:val="0"/>
                <w:lang w:eastAsia="en-US"/>
              </w:rPr>
            </w:pPr>
            <w:r w:rsidRPr="00E51EB3">
              <w:t>$3.15</w:t>
            </w:r>
          </w:p>
        </w:tc>
      </w:tr>
      <w:tr w:rsidR="00D12268" w:rsidRPr="00F77E8D" w14:paraId="46CA22D5" w14:textId="77777777" w:rsidTr="005007E2">
        <w:tc>
          <w:tcPr>
            <w:tcW w:w="1429" w:type="pct"/>
          </w:tcPr>
          <w:p w14:paraId="0FAE2432" w14:textId="77777777" w:rsidR="00D12268" w:rsidRPr="000106D9" w:rsidRDefault="00D12268" w:rsidP="00556AB6">
            <w:pPr>
              <w:pStyle w:val="Tabletext1"/>
              <w:rPr>
                <w:b/>
                <w:snapToGrid w:val="0"/>
                <w:lang w:eastAsia="en-US"/>
              </w:rPr>
            </w:pPr>
            <w:r w:rsidRPr="000106D9">
              <w:rPr>
                <w:b/>
              </w:rPr>
              <w:t>Post-clinic visits</w:t>
            </w:r>
          </w:p>
        </w:tc>
        <w:tc>
          <w:tcPr>
            <w:tcW w:w="843" w:type="pct"/>
            <w:vAlign w:val="center"/>
          </w:tcPr>
          <w:p w14:paraId="26AF5EAB" w14:textId="77777777" w:rsidR="00D12268" w:rsidRPr="003816D8" w:rsidRDefault="00D12268" w:rsidP="00BF261E">
            <w:pPr>
              <w:pStyle w:val="Tabletext1"/>
              <w:jc w:val="center"/>
              <w:rPr>
                <w:snapToGrid w:val="0"/>
                <w:lang w:eastAsia="en-US"/>
              </w:rPr>
            </w:pPr>
          </w:p>
        </w:tc>
        <w:tc>
          <w:tcPr>
            <w:tcW w:w="716" w:type="pct"/>
            <w:vAlign w:val="center"/>
          </w:tcPr>
          <w:p w14:paraId="30CF8B0E" w14:textId="77777777" w:rsidR="00D12268" w:rsidRPr="003816D8" w:rsidRDefault="00D12268" w:rsidP="00BF261E">
            <w:pPr>
              <w:pStyle w:val="Tabletext1"/>
              <w:jc w:val="center"/>
            </w:pPr>
          </w:p>
        </w:tc>
        <w:tc>
          <w:tcPr>
            <w:tcW w:w="1182" w:type="pct"/>
            <w:vAlign w:val="center"/>
          </w:tcPr>
          <w:p w14:paraId="2516761F" w14:textId="77777777" w:rsidR="00D12268" w:rsidRPr="003816D8" w:rsidRDefault="00D12268" w:rsidP="00BF261E">
            <w:pPr>
              <w:pStyle w:val="Tabletext1"/>
              <w:jc w:val="center"/>
              <w:rPr>
                <w:rFonts w:cs="Calibri"/>
              </w:rPr>
            </w:pPr>
          </w:p>
        </w:tc>
        <w:tc>
          <w:tcPr>
            <w:tcW w:w="830" w:type="pct"/>
            <w:vAlign w:val="center"/>
          </w:tcPr>
          <w:p w14:paraId="69BE5B86" w14:textId="77777777" w:rsidR="00D12268" w:rsidRPr="003816D8" w:rsidRDefault="00D12268" w:rsidP="00BF261E">
            <w:pPr>
              <w:pStyle w:val="Tabletext1"/>
              <w:jc w:val="center"/>
              <w:rPr>
                <w:snapToGrid w:val="0"/>
                <w:lang w:eastAsia="en-US"/>
              </w:rPr>
            </w:pPr>
          </w:p>
        </w:tc>
      </w:tr>
      <w:tr w:rsidR="00D12268" w:rsidRPr="00F77E8D" w14:paraId="53FFA727" w14:textId="77777777" w:rsidTr="005007E2">
        <w:tc>
          <w:tcPr>
            <w:tcW w:w="1429" w:type="pct"/>
          </w:tcPr>
          <w:p w14:paraId="53A72895" w14:textId="77777777" w:rsidR="00D12268" w:rsidRPr="003816D8" w:rsidRDefault="00D12268" w:rsidP="00556AB6">
            <w:pPr>
              <w:pStyle w:val="Tabletext1"/>
              <w:rPr>
                <w:snapToGrid w:val="0"/>
                <w:lang w:eastAsia="en-US"/>
              </w:rPr>
            </w:pPr>
            <w:r w:rsidRPr="00665CC6">
              <w:t>Revise/sign consult note</w:t>
            </w:r>
          </w:p>
        </w:tc>
        <w:tc>
          <w:tcPr>
            <w:tcW w:w="843" w:type="pct"/>
            <w:vAlign w:val="center"/>
          </w:tcPr>
          <w:p w14:paraId="4ECCC8D9" w14:textId="77777777" w:rsidR="00D12268" w:rsidRPr="003816D8" w:rsidRDefault="00D12268" w:rsidP="00BF261E">
            <w:pPr>
              <w:pStyle w:val="Tabletext1"/>
              <w:jc w:val="center"/>
              <w:rPr>
                <w:snapToGrid w:val="0"/>
                <w:lang w:eastAsia="en-US"/>
              </w:rPr>
            </w:pPr>
            <w:r w:rsidRPr="00C14E90">
              <w:t>Radiation Oncologist (x1)</w:t>
            </w:r>
          </w:p>
        </w:tc>
        <w:tc>
          <w:tcPr>
            <w:tcW w:w="716" w:type="pct"/>
            <w:vAlign w:val="center"/>
          </w:tcPr>
          <w:p w14:paraId="21421C2D" w14:textId="77777777" w:rsidR="00D12268" w:rsidRPr="003816D8" w:rsidRDefault="00D12268" w:rsidP="00BF261E">
            <w:pPr>
              <w:pStyle w:val="Tabletext1"/>
              <w:jc w:val="center"/>
            </w:pPr>
            <w:r w:rsidRPr="0089302C">
              <w:t>10</w:t>
            </w:r>
          </w:p>
        </w:tc>
        <w:tc>
          <w:tcPr>
            <w:tcW w:w="1182" w:type="pct"/>
            <w:vAlign w:val="center"/>
          </w:tcPr>
          <w:p w14:paraId="003FC10B" w14:textId="76782AD0" w:rsidR="00D12268" w:rsidRPr="003816D8" w:rsidRDefault="00D12268" w:rsidP="00BF261E">
            <w:pPr>
              <w:pStyle w:val="Tabletext1"/>
              <w:jc w:val="center"/>
              <w:rPr>
                <w:rFonts w:cs="Calibri"/>
              </w:rPr>
            </w:pPr>
            <w:r w:rsidRPr="00DA0EDB">
              <w:t>$17.84</w:t>
            </w:r>
          </w:p>
        </w:tc>
        <w:tc>
          <w:tcPr>
            <w:tcW w:w="830" w:type="pct"/>
            <w:vAlign w:val="center"/>
          </w:tcPr>
          <w:p w14:paraId="28DD7C8B" w14:textId="1A90E2EA" w:rsidR="00D12268" w:rsidRPr="003816D8" w:rsidRDefault="00D12268" w:rsidP="00BF261E">
            <w:pPr>
              <w:pStyle w:val="Tabletext1"/>
              <w:jc w:val="center"/>
              <w:rPr>
                <w:snapToGrid w:val="0"/>
                <w:lang w:eastAsia="en-US"/>
              </w:rPr>
            </w:pPr>
            <w:r w:rsidRPr="00E51EB3">
              <w:t>$17.84</w:t>
            </w:r>
          </w:p>
        </w:tc>
      </w:tr>
      <w:tr w:rsidR="00D12268" w:rsidRPr="00F77E8D" w14:paraId="35D2214A" w14:textId="77777777" w:rsidTr="005007E2">
        <w:tc>
          <w:tcPr>
            <w:tcW w:w="1429" w:type="pct"/>
          </w:tcPr>
          <w:p w14:paraId="11BC7669" w14:textId="77777777" w:rsidR="00D12268" w:rsidRPr="003816D8" w:rsidRDefault="00D12268" w:rsidP="00556AB6">
            <w:pPr>
              <w:pStyle w:val="Tabletext1"/>
              <w:rPr>
                <w:snapToGrid w:val="0"/>
                <w:lang w:eastAsia="en-US"/>
              </w:rPr>
            </w:pPr>
            <w:r w:rsidRPr="00665CC6">
              <w:t>Run insurance authorization for simulation and treatment</w:t>
            </w:r>
          </w:p>
        </w:tc>
        <w:tc>
          <w:tcPr>
            <w:tcW w:w="843" w:type="pct"/>
            <w:vAlign w:val="center"/>
          </w:tcPr>
          <w:p w14:paraId="06175B90" w14:textId="77777777" w:rsidR="00D12268" w:rsidRPr="003816D8" w:rsidRDefault="00D12268" w:rsidP="00BF261E">
            <w:pPr>
              <w:pStyle w:val="Tabletext1"/>
              <w:jc w:val="center"/>
              <w:rPr>
                <w:snapToGrid w:val="0"/>
                <w:lang w:eastAsia="en-US"/>
              </w:rPr>
            </w:pPr>
            <w:r w:rsidRPr="00C14E90">
              <w:t>Front desk (x1)</w:t>
            </w:r>
          </w:p>
        </w:tc>
        <w:tc>
          <w:tcPr>
            <w:tcW w:w="716" w:type="pct"/>
            <w:vAlign w:val="center"/>
          </w:tcPr>
          <w:p w14:paraId="49204661" w14:textId="77777777" w:rsidR="00D12268" w:rsidRPr="003816D8" w:rsidRDefault="00D12268" w:rsidP="00BF261E">
            <w:pPr>
              <w:pStyle w:val="Tabletext1"/>
              <w:jc w:val="center"/>
              <w:rPr>
                <w:snapToGrid w:val="0"/>
                <w:lang w:eastAsia="en-US"/>
              </w:rPr>
            </w:pPr>
            <w:r w:rsidRPr="0089302C">
              <w:t>13</w:t>
            </w:r>
          </w:p>
        </w:tc>
        <w:tc>
          <w:tcPr>
            <w:tcW w:w="1182" w:type="pct"/>
            <w:vAlign w:val="center"/>
          </w:tcPr>
          <w:p w14:paraId="7638D160" w14:textId="05BC6F3C" w:rsidR="00D12268" w:rsidRPr="003816D8" w:rsidRDefault="00D12268" w:rsidP="00BF261E">
            <w:pPr>
              <w:pStyle w:val="Tabletext1"/>
              <w:jc w:val="center"/>
              <w:rPr>
                <w:snapToGrid w:val="0"/>
                <w:lang w:eastAsia="en-US"/>
              </w:rPr>
            </w:pPr>
            <w:r w:rsidRPr="00DA0EDB">
              <w:t>$5.12</w:t>
            </w:r>
          </w:p>
        </w:tc>
        <w:tc>
          <w:tcPr>
            <w:tcW w:w="830" w:type="pct"/>
            <w:vAlign w:val="center"/>
          </w:tcPr>
          <w:p w14:paraId="7CC53D6B" w14:textId="1CFEE241" w:rsidR="00D12268" w:rsidRPr="003816D8" w:rsidRDefault="00D12268" w:rsidP="00BF261E">
            <w:pPr>
              <w:pStyle w:val="Tabletext1"/>
              <w:jc w:val="center"/>
              <w:rPr>
                <w:rFonts w:cs="Calibri"/>
              </w:rPr>
            </w:pPr>
            <w:r w:rsidRPr="00E51EB3">
              <w:t>$5.12</w:t>
            </w:r>
          </w:p>
        </w:tc>
      </w:tr>
      <w:tr w:rsidR="00D12268" w:rsidRPr="00F77E8D" w14:paraId="74267C7B" w14:textId="77777777" w:rsidTr="005007E2">
        <w:tc>
          <w:tcPr>
            <w:tcW w:w="1429" w:type="pct"/>
          </w:tcPr>
          <w:p w14:paraId="5953F19E" w14:textId="77777777" w:rsidR="00D12268" w:rsidRPr="000106D9" w:rsidRDefault="00D12268" w:rsidP="00556AB6">
            <w:pPr>
              <w:pStyle w:val="Tabletext1"/>
              <w:rPr>
                <w:b/>
                <w:snapToGrid w:val="0"/>
                <w:lang w:eastAsia="en-US"/>
              </w:rPr>
            </w:pPr>
            <w:r w:rsidRPr="000106D9">
              <w:rPr>
                <w:b/>
              </w:rPr>
              <w:t>MR clearance process</w:t>
            </w:r>
          </w:p>
        </w:tc>
        <w:tc>
          <w:tcPr>
            <w:tcW w:w="843" w:type="pct"/>
            <w:vAlign w:val="center"/>
          </w:tcPr>
          <w:p w14:paraId="04691D28" w14:textId="77777777" w:rsidR="00D12268" w:rsidRPr="003816D8" w:rsidRDefault="00D12268" w:rsidP="00BF261E">
            <w:pPr>
              <w:pStyle w:val="Tabletext1"/>
              <w:jc w:val="center"/>
              <w:rPr>
                <w:snapToGrid w:val="0"/>
                <w:lang w:eastAsia="en-US"/>
              </w:rPr>
            </w:pPr>
          </w:p>
        </w:tc>
        <w:tc>
          <w:tcPr>
            <w:tcW w:w="716" w:type="pct"/>
            <w:vAlign w:val="center"/>
          </w:tcPr>
          <w:p w14:paraId="4F904A71" w14:textId="77777777" w:rsidR="00D12268" w:rsidRPr="003816D8" w:rsidRDefault="00D12268" w:rsidP="00BF261E">
            <w:pPr>
              <w:pStyle w:val="Tabletext1"/>
              <w:jc w:val="center"/>
            </w:pPr>
          </w:p>
        </w:tc>
        <w:tc>
          <w:tcPr>
            <w:tcW w:w="1182" w:type="pct"/>
            <w:vAlign w:val="center"/>
          </w:tcPr>
          <w:p w14:paraId="6D84B2C1" w14:textId="77777777" w:rsidR="00D12268" w:rsidRPr="003816D8" w:rsidRDefault="00D12268" w:rsidP="00BF261E">
            <w:pPr>
              <w:pStyle w:val="Tabletext1"/>
              <w:jc w:val="center"/>
              <w:rPr>
                <w:rFonts w:cs="Calibri"/>
              </w:rPr>
            </w:pPr>
          </w:p>
        </w:tc>
        <w:tc>
          <w:tcPr>
            <w:tcW w:w="830" w:type="pct"/>
            <w:vAlign w:val="center"/>
          </w:tcPr>
          <w:p w14:paraId="16CA90EC" w14:textId="77777777" w:rsidR="00D12268" w:rsidRPr="003816D8" w:rsidRDefault="00D12268" w:rsidP="00BF261E">
            <w:pPr>
              <w:pStyle w:val="Tabletext1"/>
              <w:jc w:val="center"/>
              <w:rPr>
                <w:snapToGrid w:val="0"/>
                <w:lang w:eastAsia="en-US"/>
              </w:rPr>
            </w:pPr>
          </w:p>
        </w:tc>
      </w:tr>
      <w:tr w:rsidR="00D12268" w:rsidRPr="00F77E8D" w14:paraId="4A622D6D" w14:textId="77777777" w:rsidTr="005007E2">
        <w:tc>
          <w:tcPr>
            <w:tcW w:w="1429" w:type="pct"/>
          </w:tcPr>
          <w:p w14:paraId="03827738" w14:textId="77777777" w:rsidR="00D12268" w:rsidRPr="00EE74F4" w:rsidRDefault="00D12268" w:rsidP="00556AB6">
            <w:pPr>
              <w:pStyle w:val="Tabletext1"/>
              <w:rPr>
                <w:b/>
                <w:snapToGrid w:val="0"/>
                <w:lang w:eastAsia="en-US"/>
              </w:rPr>
            </w:pPr>
            <w:r w:rsidRPr="00665CC6">
              <w:t>Perform MR clearance process</w:t>
            </w:r>
          </w:p>
        </w:tc>
        <w:tc>
          <w:tcPr>
            <w:tcW w:w="843" w:type="pct"/>
            <w:vAlign w:val="center"/>
          </w:tcPr>
          <w:p w14:paraId="3F244EA0" w14:textId="77777777" w:rsidR="00D12268" w:rsidRPr="003816D8" w:rsidRDefault="00D12268" w:rsidP="00BF261E">
            <w:pPr>
              <w:pStyle w:val="Tabletext1"/>
              <w:jc w:val="center"/>
              <w:rPr>
                <w:snapToGrid w:val="0"/>
                <w:lang w:eastAsia="en-US"/>
              </w:rPr>
            </w:pPr>
            <w:r w:rsidRPr="00C14E90">
              <w:t>Radiation Therapist (x1)</w:t>
            </w:r>
          </w:p>
        </w:tc>
        <w:tc>
          <w:tcPr>
            <w:tcW w:w="716" w:type="pct"/>
            <w:vAlign w:val="center"/>
          </w:tcPr>
          <w:p w14:paraId="6EE91B33" w14:textId="77777777" w:rsidR="00D12268" w:rsidRPr="003816D8" w:rsidRDefault="00D12268" w:rsidP="00BF261E">
            <w:pPr>
              <w:pStyle w:val="Tabletext1"/>
              <w:jc w:val="center"/>
            </w:pPr>
            <w:r w:rsidRPr="0089302C">
              <w:t>8</w:t>
            </w:r>
          </w:p>
        </w:tc>
        <w:tc>
          <w:tcPr>
            <w:tcW w:w="1182" w:type="pct"/>
            <w:vAlign w:val="center"/>
          </w:tcPr>
          <w:p w14:paraId="7FC573E0" w14:textId="5A019478" w:rsidR="00D12268" w:rsidRPr="003816D8" w:rsidRDefault="00D12268" w:rsidP="00BF261E">
            <w:pPr>
              <w:pStyle w:val="Tabletext1"/>
              <w:jc w:val="center"/>
              <w:rPr>
                <w:rFonts w:cs="Calibri"/>
              </w:rPr>
            </w:pPr>
            <w:r w:rsidRPr="00DA0EDB">
              <w:t>$6.07</w:t>
            </w:r>
          </w:p>
        </w:tc>
        <w:tc>
          <w:tcPr>
            <w:tcW w:w="830" w:type="pct"/>
            <w:vAlign w:val="center"/>
          </w:tcPr>
          <w:p w14:paraId="54FB5E6C" w14:textId="77777777" w:rsidR="00D12268" w:rsidRPr="00EE74F4" w:rsidRDefault="00D12268" w:rsidP="00BF261E">
            <w:pPr>
              <w:pStyle w:val="Tabletext1"/>
              <w:jc w:val="center"/>
              <w:rPr>
                <w:b/>
                <w:snapToGrid w:val="0"/>
                <w:lang w:eastAsia="en-US"/>
              </w:rPr>
            </w:pPr>
            <w:r w:rsidRPr="00E51EB3">
              <w:t>-</w:t>
            </w:r>
          </w:p>
        </w:tc>
      </w:tr>
      <w:tr w:rsidR="00D12268" w:rsidRPr="00F77E8D" w14:paraId="3ABF8DB4" w14:textId="77777777" w:rsidTr="005007E2">
        <w:tc>
          <w:tcPr>
            <w:tcW w:w="1429" w:type="pct"/>
          </w:tcPr>
          <w:p w14:paraId="3375806C" w14:textId="77777777" w:rsidR="00D12268" w:rsidRPr="003816D8" w:rsidRDefault="00D12268" w:rsidP="00556AB6">
            <w:pPr>
              <w:pStyle w:val="Tabletext1"/>
              <w:rPr>
                <w:snapToGrid w:val="0"/>
                <w:lang w:eastAsia="en-US"/>
              </w:rPr>
            </w:pPr>
            <w:r w:rsidRPr="00665CC6">
              <w:t>MR safety officer to further investigate if patient does not pass initial clearance</w:t>
            </w:r>
          </w:p>
        </w:tc>
        <w:tc>
          <w:tcPr>
            <w:tcW w:w="843" w:type="pct"/>
            <w:vAlign w:val="center"/>
          </w:tcPr>
          <w:p w14:paraId="3DCC7033" w14:textId="77777777" w:rsidR="00D12268" w:rsidRPr="003816D8" w:rsidRDefault="00D12268" w:rsidP="00BF261E">
            <w:pPr>
              <w:pStyle w:val="Tabletext1"/>
              <w:jc w:val="center"/>
              <w:rPr>
                <w:snapToGrid w:val="0"/>
                <w:lang w:eastAsia="en-US"/>
              </w:rPr>
            </w:pPr>
            <w:r w:rsidRPr="00C14E90">
              <w:t>Radiation Therapist (x1) (probability 0.05)</w:t>
            </w:r>
          </w:p>
        </w:tc>
        <w:tc>
          <w:tcPr>
            <w:tcW w:w="716" w:type="pct"/>
            <w:vAlign w:val="center"/>
          </w:tcPr>
          <w:p w14:paraId="66F91A82" w14:textId="77777777" w:rsidR="00D12268" w:rsidRPr="003816D8" w:rsidRDefault="00D12268" w:rsidP="00BF261E">
            <w:pPr>
              <w:pStyle w:val="Tabletext1"/>
              <w:jc w:val="center"/>
            </w:pPr>
            <w:r w:rsidRPr="0089302C">
              <w:t>45</w:t>
            </w:r>
          </w:p>
        </w:tc>
        <w:tc>
          <w:tcPr>
            <w:tcW w:w="1182" w:type="pct"/>
            <w:vAlign w:val="center"/>
          </w:tcPr>
          <w:p w14:paraId="7D7AE017" w14:textId="4C4773C9" w:rsidR="00D12268" w:rsidRPr="003816D8" w:rsidRDefault="00D12268" w:rsidP="00BF261E">
            <w:pPr>
              <w:pStyle w:val="Tabletext1"/>
              <w:jc w:val="center"/>
              <w:rPr>
                <w:rFonts w:cs="Calibri"/>
              </w:rPr>
            </w:pPr>
            <w:r w:rsidRPr="00DA0EDB">
              <w:t>$1.71</w:t>
            </w:r>
          </w:p>
        </w:tc>
        <w:tc>
          <w:tcPr>
            <w:tcW w:w="830" w:type="pct"/>
            <w:vAlign w:val="center"/>
          </w:tcPr>
          <w:p w14:paraId="6DF3BDA6" w14:textId="77777777" w:rsidR="00D12268" w:rsidRPr="003816D8" w:rsidRDefault="00D12268" w:rsidP="00BF261E">
            <w:pPr>
              <w:pStyle w:val="Tabletext1"/>
              <w:jc w:val="center"/>
              <w:rPr>
                <w:snapToGrid w:val="0"/>
                <w:lang w:eastAsia="en-US"/>
              </w:rPr>
            </w:pPr>
            <w:r w:rsidRPr="00E51EB3">
              <w:t>-</w:t>
            </w:r>
          </w:p>
        </w:tc>
      </w:tr>
      <w:tr w:rsidR="00D12268" w:rsidRPr="00F77E8D" w14:paraId="45BB617F" w14:textId="77777777" w:rsidTr="005007E2">
        <w:tc>
          <w:tcPr>
            <w:tcW w:w="1429" w:type="pct"/>
          </w:tcPr>
          <w:p w14:paraId="61AC0ABB" w14:textId="77777777" w:rsidR="00D12268" w:rsidRPr="000106D9" w:rsidRDefault="00D12268" w:rsidP="00556AB6">
            <w:pPr>
              <w:pStyle w:val="Tabletext1"/>
              <w:rPr>
                <w:b/>
                <w:snapToGrid w:val="0"/>
                <w:lang w:eastAsia="en-US"/>
              </w:rPr>
            </w:pPr>
            <w:r w:rsidRPr="000106D9">
              <w:rPr>
                <w:b/>
              </w:rPr>
              <w:t>Total</w:t>
            </w:r>
          </w:p>
        </w:tc>
        <w:tc>
          <w:tcPr>
            <w:tcW w:w="843" w:type="pct"/>
            <w:vAlign w:val="center"/>
          </w:tcPr>
          <w:p w14:paraId="202487B2" w14:textId="77777777" w:rsidR="00D12268" w:rsidRPr="003816D8" w:rsidRDefault="00D12268" w:rsidP="00BF261E">
            <w:pPr>
              <w:pStyle w:val="Tabletext1"/>
              <w:jc w:val="center"/>
              <w:rPr>
                <w:snapToGrid w:val="0"/>
                <w:lang w:eastAsia="en-US"/>
              </w:rPr>
            </w:pPr>
          </w:p>
        </w:tc>
        <w:tc>
          <w:tcPr>
            <w:tcW w:w="716" w:type="pct"/>
            <w:vAlign w:val="center"/>
          </w:tcPr>
          <w:p w14:paraId="34767063" w14:textId="77777777" w:rsidR="00D12268" w:rsidRPr="003816D8" w:rsidRDefault="00D12268" w:rsidP="00BF261E">
            <w:pPr>
              <w:pStyle w:val="Tabletext1"/>
              <w:jc w:val="center"/>
            </w:pPr>
          </w:p>
        </w:tc>
        <w:tc>
          <w:tcPr>
            <w:tcW w:w="1182" w:type="pct"/>
            <w:vAlign w:val="center"/>
          </w:tcPr>
          <w:p w14:paraId="3EC24CB3" w14:textId="4DBC5405" w:rsidR="00D12268" w:rsidRPr="00A82576" w:rsidRDefault="00D12268" w:rsidP="00BF261E">
            <w:pPr>
              <w:pStyle w:val="Tabletext1"/>
              <w:jc w:val="center"/>
              <w:rPr>
                <w:rFonts w:cs="Calibri"/>
                <w:b/>
              </w:rPr>
            </w:pPr>
            <w:r w:rsidRPr="00A82576">
              <w:rPr>
                <w:b/>
              </w:rPr>
              <w:t>$178.60</w:t>
            </w:r>
          </w:p>
        </w:tc>
        <w:tc>
          <w:tcPr>
            <w:tcW w:w="830" w:type="pct"/>
            <w:vAlign w:val="center"/>
          </w:tcPr>
          <w:p w14:paraId="3F05347C" w14:textId="3601616C" w:rsidR="00D12268" w:rsidRPr="00A82576" w:rsidRDefault="00D12268" w:rsidP="00BF261E">
            <w:pPr>
              <w:pStyle w:val="Tabletext1"/>
              <w:jc w:val="center"/>
              <w:rPr>
                <w:b/>
                <w:snapToGrid w:val="0"/>
                <w:lang w:eastAsia="en-US"/>
              </w:rPr>
            </w:pPr>
            <w:r w:rsidRPr="00A82576">
              <w:rPr>
                <w:b/>
              </w:rPr>
              <w:t>$170.82</w:t>
            </w:r>
          </w:p>
        </w:tc>
      </w:tr>
      <w:tr w:rsidR="00D12268" w:rsidRPr="00F77E8D" w14:paraId="3766671D" w14:textId="77777777" w:rsidTr="005007E2">
        <w:tc>
          <w:tcPr>
            <w:tcW w:w="1429" w:type="pct"/>
          </w:tcPr>
          <w:p w14:paraId="5A52BF08" w14:textId="77777777" w:rsidR="00D12268" w:rsidRPr="003816D8" w:rsidRDefault="00D12268" w:rsidP="00556AB6">
            <w:pPr>
              <w:pStyle w:val="Tabletext1"/>
              <w:rPr>
                <w:b/>
                <w:snapToGrid w:val="0"/>
                <w:lang w:eastAsia="en-US"/>
              </w:rPr>
            </w:pPr>
            <w:r>
              <w:rPr>
                <w:b/>
                <w:snapToGrid w:val="0"/>
                <w:lang w:eastAsia="en-US"/>
              </w:rPr>
              <w:t xml:space="preserve">Step - </w:t>
            </w:r>
            <w:r w:rsidRPr="00E5718C">
              <w:rPr>
                <w:b/>
                <w:snapToGrid w:val="0"/>
                <w:lang w:eastAsia="en-US"/>
              </w:rPr>
              <w:t>Process map reflecting steps prior simulation</w:t>
            </w:r>
            <w:r>
              <w:rPr>
                <w:b/>
                <w:snapToGrid w:val="0"/>
                <w:lang w:eastAsia="en-US"/>
              </w:rPr>
              <w:t xml:space="preserve"> (fiducial marker placement)</w:t>
            </w:r>
          </w:p>
        </w:tc>
        <w:tc>
          <w:tcPr>
            <w:tcW w:w="843" w:type="pct"/>
            <w:vAlign w:val="center"/>
          </w:tcPr>
          <w:p w14:paraId="337777C4" w14:textId="77777777" w:rsidR="00D12268" w:rsidRPr="003816D8" w:rsidRDefault="00D12268" w:rsidP="00BF261E">
            <w:pPr>
              <w:pStyle w:val="Tabletext1"/>
              <w:jc w:val="center"/>
              <w:rPr>
                <w:b/>
                <w:snapToGrid w:val="0"/>
                <w:lang w:eastAsia="en-US"/>
              </w:rPr>
            </w:pPr>
          </w:p>
        </w:tc>
        <w:tc>
          <w:tcPr>
            <w:tcW w:w="716" w:type="pct"/>
            <w:vAlign w:val="center"/>
          </w:tcPr>
          <w:p w14:paraId="093A5639" w14:textId="77777777" w:rsidR="00D12268" w:rsidRPr="00EE74F4" w:rsidRDefault="00D12268" w:rsidP="00BF261E">
            <w:pPr>
              <w:pStyle w:val="Tabletext1"/>
              <w:jc w:val="center"/>
            </w:pPr>
          </w:p>
        </w:tc>
        <w:tc>
          <w:tcPr>
            <w:tcW w:w="1182" w:type="pct"/>
            <w:vAlign w:val="center"/>
          </w:tcPr>
          <w:p w14:paraId="1E0A8F24" w14:textId="77777777" w:rsidR="00D12268" w:rsidRPr="00EE74F4" w:rsidRDefault="00D12268" w:rsidP="00BF261E">
            <w:pPr>
              <w:pStyle w:val="Tabletext1"/>
              <w:jc w:val="center"/>
              <w:rPr>
                <w:rFonts w:cs="Calibri"/>
              </w:rPr>
            </w:pPr>
          </w:p>
        </w:tc>
        <w:tc>
          <w:tcPr>
            <w:tcW w:w="830" w:type="pct"/>
            <w:vAlign w:val="center"/>
          </w:tcPr>
          <w:p w14:paraId="16222808" w14:textId="77777777" w:rsidR="00D12268" w:rsidRPr="003816D8" w:rsidRDefault="00D12268" w:rsidP="00BF261E">
            <w:pPr>
              <w:pStyle w:val="Tabletext1"/>
              <w:jc w:val="center"/>
              <w:rPr>
                <w:rFonts w:cs="Calibri"/>
                <w:b/>
              </w:rPr>
            </w:pPr>
          </w:p>
        </w:tc>
      </w:tr>
      <w:tr w:rsidR="00D12268" w:rsidRPr="00F77E8D" w14:paraId="0AD70ABA" w14:textId="77777777" w:rsidTr="005007E2">
        <w:tc>
          <w:tcPr>
            <w:tcW w:w="1429" w:type="pct"/>
          </w:tcPr>
          <w:p w14:paraId="6E8EA3D1" w14:textId="77777777" w:rsidR="00D12268" w:rsidRPr="00391190" w:rsidRDefault="00D12268" w:rsidP="00556AB6">
            <w:pPr>
              <w:pStyle w:val="Tabletext1"/>
              <w:rPr>
                <w:b/>
                <w:snapToGrid w:val="0"/>
                <w:lang w:eastAsia="en-US"/>
              </w:rPr>
            </w:pPr>
            <w:r w:rsidRPr="00391190">
              <w:rPr>
                <w:b/>
              </w:rPr>
              <w:t>Check-in patient for fiducial placement that occurs prior to simulation</w:t>
            </w:r>
          </w:p>
        </w:tc>
        <w:tc>
          <w:tcPr>
            <w:tcW w:w="843" w:type="pct"/>
            <w:vAlign w:val="center"/>
          </w:tcPr>
          <w:p w14:paraId="712F726C" w14:textId="77777777" w:rsidR="00D12268" w:rsidRPr="003816D8" w:rsidRDefault="00D12268" w:rsidP="00BF261E">
            <w:pPr>
              <w:pStyle w:val="Tabletext1"/>
              <w:jc w:val="center"/>
              <w:rPr>
                <w:snapToGrid w:val="0"/>
                <w:lang w:eastAsia="en-US"/>
              </w:rPr>
            </w:pPr>
            <w:r w:rsidRPr="00D82AB5">
              <w:t>Front Desk (x1)</w:t>
            </w:r>
          </w:p>
        </w:tc>
        <w:tc>
          <w:tcPr>
            <w:tcW w:w="716" w:type="pct"/>
            <w:vAlign w:val="center"/>
          </w:tcPr>
          <w:p w14:paraId="44458FD9" w14:textId="77777777" w:rsidR="00D12268" w:rsidRPr="003816D8" w:rsidRDefault="00D12268" w:rsidP="00BF261E">
            <w:pPr>
              <w:pStyle w:val="Tabletext1"/>
              <w:jc w:val="center"/>
            </w:pPr>
            <w:r w:rsidRPr="00243213">
              <w:t>10</w:t>
            </w:r>
          </w:p>
        </w:tc>
        <w:tc>
          <w:tcPr>
            <w:tcW w:w="1182" w:type="pct"/>
            <w:vAlign w:val="center"/>
          </w:tcPr>
          <w:p w14:paraId="3BAC3FFD" w14:textId="77777777" w:rsidR="00D12268" w:rsidRPr="003816D8" w:rsidRDefault="00D12268" w:rsidP="00BF261E">
            <w:pPr>
              <w:pStyle w:val="Tabletext1"/>
              <w:jc w:val="center"/>
              <w:rPr>
                <w:rFonts w:cs="Calibri"/>
              </w:rPr>
            </w:pPr>
            <w:r>
              <w:rPr>
                <w:rFonts w:cs="Calibri"/>
              </w:rPr>
              <w:t>-</w:t>
            </w:r>
          </w:p>
        </w:tc>
        <w:tc>
          <w:tcPr>
            <w:tcW w:w="830" w:type="pct"/>
            <w:vAlign w:val="center"/>
          </w:tcPr>
          <w:p w14:paraId="5A1FA3AD" w14:textId="77FE0CB3" w:rsidR="00D12268" w:rsidRPr="003816D8" w:rsidRDefault="00D12268" w:rsidP="00BF261E">
            <w:pPr>
              <w:pStyle w:val="Tabletext1"/>
              <w:jc w:val="center"/>
              <w:rPr>
                <w:snapToGrid w:val="0"/>
                <w:lang w:eastAsia="en-US"/>
              </w:rPr>
            </w:pPr>
            <w:r w:rsidRPr="002A4A97">
              <w:t>$3.94</w:t>
            </w:r>
          </w:p>
        </w:tc>
      </w:tr>
      <w:tr w:rsidR="00D12268" w:rsidRPr="00F77E8D" w14:paraId="20C7B983" w14:textId="77777777" w:rsidTr="005007E2">
        <w:tc>
          <w:tcPr>
            <w:tcW w:w="1429" w:type="pct"/>
          </w:tcPr>
          <w:p w14:paraId="76C3441B" w14:textId="77777777" w:rsidR="00D12268" w:rsidRPr="00391190" w:rsidRDefault="00D12268" w:rsidP="00556AB6">
            <w:pPr>
              <w:pStyle w:val="Tabletext1"/>
              <w:rPr>
                <w:b/>
                <w:snapToGrid w:val="0"/>
                <w:lang w:eastAsia="en-US"/>
              </w:rPr>
            </w:pPr>
            <w:r w:rsidRPr="00391190">
              <w:rPr>
                <w:b/>
              </w:rPr>
              <w:t>Pre-op time</w:t>
            </w:r>
          </w:p>
        </w:tc>
        <w:tc>
          <w:tcPr>
            <w:tcW w:w="843" w:type="pct"/>
            <w:vAlign w:val="center"/>
          </w:tcPr>
          <w:p w14:paraId="3C18A50A" w14:textId="77777777" w:rsidR="00D12268" w:rsidRPr="003816D8" w:rsidRDefault="00D12268" w:rsidP="00BF261E">
            <w:pPr>
              <w:pStyle w:val="Tabletext1"/>
              <w:jc w:val="center"/>
              <w:rPr>
                <w:snapToGrid w:val="0"/>
                <w:lang w:eastAsia="en-US"/>
              </w:rPr>
            </w:pPr>
          </w:p>
        </w:tc>
        <w:tc>
          <w:tcPr>
            <w:tcW w:w="716" w:type="pct"/>
            <w:vAlign w:val="center"/>
          </w:tcPr>
          <w:p w14:paraId="18803366" w14:textId="77777777" w:rsidR="00D12268" w:rsidRPr="003816D8" w:rsidRDefault="00D12268" w:rsidP="00BF261E">
            <w:pPr>
              <w:pStyle w:val="Tabletext1"/>
              <w:jc w:val="center"/>
            </w:pPr>
          </w:p>
        </w:tc>
        <w:tc>
          <w:tcPr>
            <w:tcW w:w="1182" w:type="pct"/>
            <w:vAlign w:val="center"/>
          </w:tcPr>
          <w:p w14:paraId="09407D77" w14:textId="77777777" w:rsidR="00D12268" w:rsidRPr="003816D8" w:rsidRDefault="00D12268" w:rsidP="00BF261E">
            <w:pPr>
              <w:pStyle w:val="Tabletext1"/>
              <w:jc w:val="center"/>
              <w:rPr>
                <w:rFonts w:cs="Calibri"/>
              </w:rPr>
            </w:pPr>
            <w:r>
              <w:rPr>
                <w:rFonts w:cs="Calibri"/>
              </w:rPr>
              <w:t>-</w:t>
            </w:r>
          </w:p>
        </w:tc>
        <w:tc>
          <w:tcPr>
            <w:tcW w:w="830" w:type="pct"/>
            <w:vAlign w:val="center"/>
          </w:tcPr>
          <w:p w14:paraId="0A19F48F" w14:textId="77777777" w:rsidR="00D12268" w:rsidRPr="003816D8" w:rsidRDefault="00D12268" w:rsidP="00BF261E">
            <w:pPr>
              <w:pStyle w:val="Tabletext1"/>
              <w:jc w:val="center"/>
              <w:rPr>
                <w:snapToGrid w:val="0"/>
                <w:lang w:eastAsia="en-US"/>
              </w:rPr>
            </w:pPr>
          </w:p>
        </w:tc>
      </w:tr>
      <w:tr w:rsidR="00D12268" w:rsidRPr="00F77E8D" w14:paraId="19C1F13A" w14:textId="77777777" w:rsidTr="005007E2">
        <w:tc>
          <w:tcPr>
            <w:tcW w:w="1429" w:type="pct"/>
          </w:tcPr>
          <w:p w14:paraId="2924ACD6" w14:textId="77777777" w:rsidR="00D12268" w:rsidRPr="00391190" w:rsidRDefault="00D12268" w:rsidP="00556AB6">
            <w:pPr>
              <w:pStyle w:val="Tabletext1"/>
              <w:rPr>
                <w:i/>
                <w:snapToGrid w:val="0"/>
                <w:lang w:eastAsia="en-US"/>
              </w:rPr>
            </w:pPr>
            <w:r w:rsidRPr="00391190">
              <w:rPr>
                <w:i/>
              </w:rPr>
              <w:t>Place IV; draw labs; perform initial assessment</w:t>
            </w:r>
          </w:p>
        </w:tc>
        <w:tc>
          <w:tcPr>
            <w:tcW w:w="843" w:type="pct"/>
            <w:vAlign w:val="center"/>
          </w:tcPr>
          <w:p w14:paraId="7F0743D6" w14:textId="77777777" w:rsidR="00D12268" w:rsidRPr="003816D8" w:rsidRDefault="00D12268" w:rsidP="00BF261E">
            <w:pPr>
              <w:pStyle w:val="Tabletext1"/>
              <w:jc w:val="center"/>
              <w:rPr>
                <w:snapToGrid w:val="0"/>
                <w:lang w:eastAsia="en-US"/>
              </w:rPr>
            </w:pPr>
            <w:r w:rsidRPr="00D82AB5">
              <w:t>Nurse (x1)</w:t>
            </w:r>
          </w:p>
        </w:tc>
        <w:tc>
          <w:tcPr>
            <w:tcW w:w="716" w:type="pct"/>
            <w:vAlign w:val="center"/>
          </w:tcPr>
          <w:p w14:paraId="54C26E7D" w14:textId="77777777" w:rsidR="00D12268" w:rsidRPr="003816D8" w:rsidRDefault="00D12268" w:rsidP="00BF261E">
            <w:pPr>
              <w:pStyle w:val="Tabletext1"/>
              <w:jc w:val="center"/>
            </w:pPr>
            <w:r w:rsidRPr="00243213">
              <w:t>20</w:t>
            </w:r>
          </w:p>
        </w:tc>
        <w:tc>
          <w:tcPr>
            <w:tcW w:w="1182" w:type="pct"/>
            <w:vAlign w:val="center"/>
          </w:tcPr>
          <w:p w14:paraId="42159417" w14:textId="77777777" w:rsidR="00D12268" w:rsidRPr="003816D8" w:rsidRDefault="00D12268" w:rsidP="00BF261E">
            <w:pPr>
              <w:pStyle w:val="Tabletext1"/>
              <w:jc w:val="center"/>
              <w:rPr>
                <w:rFonts w:cs="Calibri"/>
              </w:rPr>
            </w:pPr>
            <w:r>
              <w:rPr>
                <w:rFonts w:cs="Calibri"/>
              </w:rPr>
              <w:t>-</w:t>
            </w:r>
          </w:p>
        </w:tc>
        <w:tc>
          <w:tcPr>
            <w:tcW w:w="830" w:type="pct"/>
            <w:vAlign w:val="center"/>
          </w:tcPr>
          <w:p w14:paraId="50DF18A9" w14:textId="175308E0" w:rsidR="00D12268" w:rsidRPr="003816D8" w:rsidRDefault="00D12268" w:rsidP="00BF261E">
            <w:pPr>
              <w:pStyle w:val="Tabletext1"/>
              <w:jc w:val="center"/>
              <w:rPr>
                <w:snapToGrid w:val="0"/>
                <w:lang w:eastAsia="en-US"/>
              </w:rPr>
            </w:pPr>
            <w:r w:rsidRPr="002A4A97">
              <w:t>$12.33</w:t>
            </w:r>
          </w:p>
        </w:tc>
      </w:tr>
      <w:tr w:rsidR="00D12268" w:rsidRPr="00F77E8D" w14:paraId="0F2743D2" w14:textId="77777777" w:rsidTr="005007E2">
        <w:tc>
          <w:tcPr>
            <w:tcW w:w="1429" w:type="pct"/>
          </w:tcPr>
          <w:p w14:paraId="404FEBC7" w14:textId="77777777" w:rsidR="00D12268" w:rsidRPr="00391190" w:rsidRDefault="00D12268" w:rsidP="00556AB6">
            <w:pPr>
              <w:pStyle w:val="Tabletext1"/>
              <w:rPr>
                <w:i/>
                <w:snapToGrid w:val="0"/>
                <w:lang w:eastAsia="en-US"/>
              </w:rPr>
            </w:pPr>
            <w:r w:rsidRPr="00391190">
              <w:rPr>
                <w:i/>
              </w:rPr>
              <w:t>Obtain consent and answer questions prior to procedure</w:t>
            </w:r>
          </w:p>
        </w:tc>
        <w:tc>
          <w:tcPr>
            <w:tcW w:w="843" w:type="pct"/>
            <w:vAlign w:val="center"/>
          </w:tcPr>
          <w:p w14:paraId="5515037D" w14:textId="77777777" w:rsidR="00D12268" w:rsidRPr="003816D8" w:rsidRDefault="00D12268" w:rsidP="00BF261E">
            <w:pPr>
              <w:pStyle w:val="Tabletext1"/>
              <w:jc w:val="center"/>
              <w:rPr>
                <w:snapToGrid w:val="0"/>
                <w:lang w:eastAsia="en-US"/>
              </w:rPr>
            </w:pPr>
            <w:r w:rsidRPr="00D82AB5">
              <w:t>Interventional Radiologist (x1)</w:t>
            </w:r>
          </w:p>
        </w:tc>
        <w:tc>
          <w:tcPr>
            <w:tcW w:w="716" w:type="pct"/>
            <w:vAlign w:val="center"/>
          </w:tcPr>
          <w:p w14:paraId="2233B637" w14:textId="77777777" w:rsidR="00D12268" w:rsidRPr="003816D8" w:rsidRDefault="00D12268" w:rsidP="00BF261E">
            <w:pPr>
              <w:pStyle w:val="Tabletext1"/>
              <w:jc w:val="center"/>
            </w:pPr>
            <w:r w:rsidRPr="00243213">
              <w:t>15</w:t>
            </w:r>
          </w:p>
        </w:tc>
        <w:tc>
          <w:tcPr>
            <w:tcW w:w="1182" w:type="pct"/>
            <w:vAlign w:val="center"/>
          </w:tcPr>
          <w:p w14:paraId="34E233B9" w14:textId="77777777" w:rsidR="00D12268" w:rsidRPr="003816D8" w:rsidRDefault="00D12268" w:rsidP="00BF261E">
            <w:pPr>
              <w:pStyle w:val="Tabletext1"/>
              <w:jc w:val="center"/>
              <w:rPr>
                <w:rFonts w:cs="Calibri"/>
              </w:rPr>
            </w:pPr>
            <w:r>
              <w:rPr>
                <w:rFonts w:cs="Calibri"/>
              </w:rPr>
              <w:t>-</w:t>
            </w:r>
          </w:p>
        </w:tc>
        <w:tc>
          <w:tcPr>
            <w:tcW w:w="830" w:type="pct"/>
            <w:vAlign w:val="center"/>
          </w:tcPr>
          <w:p w14:paraId="64E70E95" w14:textId="708BFD94" w:rsidR="00D12268" w:rsidRPr="003816D8" w:rsidRDefault="00D12268" w:rsidP="00BF261E">
            <w:pPr>
              <w:pStyle w:val="Tabletext1"/>
              <w:jc w:val="center"/>
              <w:rPr>
                <w:snapToGrid w:val="0"/>
                <w:lang w:eastAsia="en-US"/>
              </w:rPr>
            </w:pPr>
            <w:r w:rsidRPr="002A4A97">
              <w:t>$44.14</w:t>
            </w:r>
          </w:p>
        </w:tc>
      </w:tr>
      <w:tr w:rsidR="00D12268" w:rsidRPr="00F77E8D" w14:paraId="0AE2BB2E" w14:textId="77777777" w:rsidTr="005007E2">
        <w:tc>
          <w:tcPr>
            <w:tcW w:w="1429" w:type="pct"/>
          </w:tcPr>
          <w:p w14:paraId="70619306" w14:textId="77777777" w:rsidR="00D12268" w:rsidRPr="00891837" w:rsidRDefault="00D12268" w:rsidP="00556AB6">
            <w:pPr>
              <w:pStyle w:val="Tabletext1"/>
              <w:rPr>
                <w:b/>
                <w:snapToGrid w:val="0"/>
                <w:lang w:eastAsia="en-US"/>
              </w:rPr>
            </w:pPr>
            <w:r w:rsidRPr="00891837">
              <w:rPr>
                <w:b/>
              </w:rPr>
              <w:t>Fiducial placement</w:t>
            </w:r>
          </w:p>
        </w:tc>
        <w:tc>
          <w:tcPr>
            <w:tcW w:w="843" w:type="pct"/>
            <w:vAlign w:val="center"/>
          </w:tcPr>
          <w:p w14:paraId="6A522ECF" w14:textId="77777777" w:rsidR="00D12268" w:rsidRPr="003816D8" w:rsidRDefault="00D12268" w:rsidP="00BF261E">
            <w:pPr>
              <w:pStyle w:val="Tabletext1"/>
              <w:jc w:val="center"/>
              <w:rPr>
                <w:snapToGrid w:val="0"/>
                <w:lang w:eastAsia="en-US"/>
              </w:rPr>
            </w:pPr>
          </w:p>
        </w:tc>
        <w:tc>
          <w:tcPr>
            <w:tcW w:w="716" w:type="pct"/>
            <w:vAlign w:val="center"/>
          </w:tcPr>
          <w:p w14:paraId="6DDAAF1C" w14:textId="77777777" w:rsidR="00D12268" w:rsidRPr="003816D8" w:rsidRDefault="00D12268" w:rsidP="00BF261E">
            <w:pPr>
              <w:pStyle w:val="Tabletext1"/>
              <w:jc w:val="center"/>
            </w:pPr>
          </w:p>
        </w:tc>
        <w:tc>
          <w:tcPr>
            <w:tcW w:w="1182" w:type="pct"/>
            <w:vAlign w:val="center"/>
          </w:tcPr>
          <w:p w14:paraId="797CC54C" w14:textId="77777777" w:rsidR="00D12268" w:rsidRPr="003816D8" w:rsidRDefault="00D12268" w:rsidP="00BF261E">
            <w:pPr>
              <w:pStyle w:val="Tabletext1"/>
              <w:jc w:val="center"/>
              <w:rPr>
                <w:rFonts w:cs="Calibri"/>
              </w:rPr>
            </w:pPr>
          </w:p>
        </w:tc>
        <w:tc>
          <w:tcPr>
            <w:tcW w:w="830" w:type="pct"/>
            <w:vAlign w:val="center"/>
          </w:tcPr>
          <w:p w14:paraId="42A9E5D4" w14:textId="77777777" w:rsidR="00D12268" w:rsidRPr="003816D8" w:rsidRDefault="00D12268" w:rsidP="00BF261E">
            <w:pPr>
              <w:pStyle w:val="Tabletext1"/>
              <w:jc w:val="center"/>
              <w:rPr>
                <w:snapToGrid w:val="0"/>
                <w:lang w:eastAsia="en-US"/>
              </w:rPr>
            </w:pPr>
          </w:p>
        </w:tc>
      </w:tr>
      <w:tr w:rsidR="00D12268" w:rsidRPr="00F77E8D" w14:paraId="53431A00" w14:textId="77777777" w:rsidTr="005007E2">
        <w:tc>
          <w:tcPr>
            <w:tcW w:w="1429" w:type="pct"/>
          </w:tcPr>
          <w:p w14:paraId="373379ED" w14:textId="77777777" w:rsidR="00D12268" w:rsidRPr="00391190" w:rsidRDefault="00D12268" w:rsidP="00556AB6">
            <w:pPr>
              <w:pStyle w:val="Tabletext1"/>
              <w:rPr>
                <w:b/>
                <w:i/>
                <w:snapToGrid w:val="0"/>
                <w:lang w:eastAsia="en-US"/>
              </w:rPr>
            </w:pPr>
            <w:r w:rsidRPr="00391190">
              <w:rPr>
                <w:i/>
              </w:rPr>
              <w:t>Place 3 fiducial seeds under image guidance</w:t>
            </w:r>
          </w:p>
        </w:tc>
        <w:tc>
          <w:tcPr>
            <w:tcW w:w="843" w:type="pct"/>
            <w:vAlign w:val="center"/>
          </w:tcPr>
          <w:p w14:paraId="4CD94500" w14:textId="77777777" w:rsidR="00D12268" w:rsidRPr="003816D8" w:rsidRDefault="00D12268" w:rsidP="00BF261E">
            <w:pPr>
              <w:pStyle w:val="Tabletext1"/>
              <w:jc w:val="center"/>
              <w:rPr>
                <w:snapToGrid w:val="0"/>
                <w:lang w:eastAsia="en-US"/>
              </w:rPr>
            </w:pPr>
            <w:r w:rsidRPr="00D82AB5">
              <w:t>Interventional Radiologist (x1)</w:t>
            </w:r>
          </w:p>
        </w:tc>
        <w:tc>
          <w:tcPr>
            <w:tcW w:w="716" w:type="pct"/>
            <w:vAlign w:val="center"/>
          </w:tcPr>
          <w:p w14:paraId="4638EAEA" w14:textId="77777777" w:rsidR="00D12268" w:rsidRPr="003816D8" w:rsidRDefault="00D12268" w:rsidP="00BF261E">
            <w:pPr>
              <w:pStyle w:val="Tabletext1"/>
              <w:jc w:val="center"/>
            </w:pPr>
            <w:r w:rsidRPr="00243213">
              <w:t>45</w:t>
            </w:r>
          </w:p>
        </w:tc>
        <w:tc>
          <w:tcPr>
            <w:tcW w:w="1182" w:type="pct"/>
            <w:vAlign w:val="center"/>
          </w:tcPr>
          <w:p w14:paraId="1098EBA7" w14:textId="77777777" w:rsidR="00D12268" w:rsidRPr="003816D8" w:rsidRDefault="00D12268" w:rsidP="00BF261E">
            <w:pPr>
              <w:pStyle w:val="Tabletext1"/>
              <w:jc w:val="center"/>
              <w:rPr>
                <w:rFonts w:cs="Calibri"/>
              </w:rPr>
            </w:pPr>
            <w:r>
              <w:rPr>
                <w:rFonts w:cs="Calibri"/>
              </w:rPr>
              <w:t>-</w:t>
            </w:r>
          </w:p>
        </w:tc>
        <w:tc>
          <w:tcPr>
            <w:tcW w:w="830" w:type="pct"/>
            <w:vAlign w:val="center"/>
          </w:tcPr>
          <w:p w14:paraId="55951492" w14:textId="267486A5" w:rsidR="00D12268" w:rsidRPr="00D72D17" w:rsidRDefault="00D12268" w:rsidP="00BF261E">
            <w:pPr>
              <w:pStyle w:val="Tabletext1"/>
              <w:jc w:val="center"/>
              <w:rPr>
                <w:b/>
                <w:snapToGrid w:val="0"/>
                <w:lang w:eastAsia="en-US"/>
              </w:rPr>
            </w:pPr>
            <w:r w:rsidRPr="002A4A97">
              <w:t>$132.41</w:t>
            </w:r>
          </w:p>
        </w:tc>
      </w:tr>
      <w:tr w:rsidR="00D12268" w:rsidRPr="00F77E8D" w14:paraId="7EB17421" w14:textId="77777777" w:rsidTr="005007E2">
        <w:tc>
          <w:tcPr>
            <w:tcW w:w="1429" w:type="pct"/>
          </w:tcPr>
          <w:p w14:paraId="50496098" w14:textId="77777777" w:rsidR="00D12268" w:rsidRPr="003816D8" w:rsidRDefault="00D12268" w:rsidP="00556AB6">
            <w:pPr>
              <w:pStyle w:val="Tabletext1"/>
              <w:rPr>
                <w:snapToGrid w:val="0"/>
                <w:lang w:eastAsia="en-US"/>
              </w:rPr>
            </w:pPr>
          </w:p>
        </w:tc>
        <w:tc>
          <w:tcPr>
            <w:tcW w:w="843" w:type="pct"/>
            <w:vAlign w:val="center"/>
          </w:tcPr>
          <w:p w14:paraId="2A0B84F5" w14:textId="77777777" w:rsidR="00D12268" w:rsidRPr="003816D8" w:rsidRDefault="00D12268" w:rsidP="00BF261E">
            <w:pPr>
              <w:pStyle w:val="Tabletext1"/>
              <w:jc w:val="center"/>
              <w:rPr>
                <w:snapToGrid w:val="0"/>
                <w:lang w:eastAsia="en-US"/>
              </w:rPr>
            </w:pPr>
            <w:r w:rsidRPr="00D82AB5">
              <w:t>Nurse (x1)</w:t>
            </w:r>
          </w:p>
        </w:tc>
        <w:tc>
          <w:tcPr>
            <w:tcW w:w="716" w:type="pct"/>
            <w:vAlign w:val="center"/>
          </w:tcPr>
          <w:p w14:paraId="16F86766" w14:textId="77777777" w:rsidR="00D12268" w:rsidRPr="003816D8" w:rsidRDefault="00D12268" w:rsidP="00BF261E">
            <w:pPr>
              <w:pStyle w:val="Tabletext1"/>
              <w:jc w:val="center"/>
            </w:pPr>
            <w:r w:rsidRPr="00243213">
              <w:t>45</w:t>
            </w:r>
          </w:p>
        </w:tc>
        <w:tc>
          <w:tcPr>
            <w:tcW w:w="1182" w:type="pct"/>
            <w:vAlign w:val="center"/>
          </w:tcPr>
          <w:p w14:paraId="52A376F7" w14:textId="77777777" w:rsidR="00D12268" w:rsidRPr="003816D8" w:rsidRDefault="00D12268" w:rsidP="00BF261E">
            <w:pPr>
              <w:pStyle w:val="Tabletext1"/>
              <w:jc w:val="center"/>
              <w:rPr>
                <w:rFonts w:cs="Calibri"/>
              </w:rPr>
            </w:pPr>
            <w:r>
              <w:rPr>
                <w:rFonts w:cs="Calibri"/>
              </w:rPr>
              <w:t>-</w:t>
            </w:r>
          </w:p>
        </w:tc>
        <w:tc>
          <w:tcPr>
            <w:tcW w:w="830" w:type="pct"/>
            <w:vAlign w:val="center"/>
          </w:tcPr>
          <w:p w14:paraId="6417C36F" w14:textId="39D2B816" w:rsidR="00D12268" w:rsidRPr="003816D8" w:rsidRDefault="00D12268" w:rsidP="00BF261E">
            <w:pPr>
              <w:pStyle w:val="Tabletext1"/>
              <w:jc w:val="center"/>
              <w:rPr>
                <w:snapToGrid w:val="0"/>
                <w:lang w:eastAsia="en-US"/>
              </w:rPr>
            </w:pPr>
            <w:r w:rsidRPr="002A4A97">
              <w:t>$27.75</w:t>
            </w:r>
          </w:p>
        </w:tc>
      </w:tr>
      <w:tr w:rsidR="00D12268" w:rsidRPr="00F77E8D" w14:paraId="67C08A3F" w14:textId="77777777" w:rsidTr="005007E2">
        <w:tc>
          <w:tcPr>
            <w:tcW w:w="1429" w:type="pct"/>
          </w:tcPr>
          <w:p w14:paraId="78C10B06" w14:textId="77777777" w:rsidR="00D12268" w:rsidRPr="003816D8" w:rsidRDefault="00D12268" w:rsidP="00556AB6">
            <w:pPr>
              <w:pStyle w:val="Tabletext1"/>
              <w:rPr>
                <w:snapToGrid w:val="0"/>
                <w:lang w:eastAsia="en-US"/>
              </w:rPr>
            </w:pPr>
          </w:p>
        </w:tc>
        <w:tc>
          <w:tcPr>
            <w:tcW w:w="843" w:type="pct"/>
            <w:vAlign w:val="center"/>
          </w:tcPr>
          <w:p w14:paraId="20D0DAE5" w14:textId="77777777" w:rsidR="00D12268" w:rsidRPr="003816D8" w:rsidRDefault="00D12268" w:rsidP="00BF261E">
            <w:pPr>
              <w:pStyle w:val="Tabletext1"/>
              <w:jc w:val="center"/>
              <w:rPr>
                <w:snapToGrid w:val="0"/>
                <w:lang w:eastAsia="en-US"/>
              </w:rPr>
            </w:pPr>
            <w:r w:rsidRPr="00D82AB5">
              <w:t>Imaging Technologist (x1)</w:t>
            </w:r>
          </w:p>
        </w:tc>
        <w:tc>
          <w:tcPr>
            <w:tcW w:w="716" w:type="pct"/>
            <w:vAlign w:val="center"/>
          </w:tcPr>
          <w:p w14:paraId="076A4475" w14:textId="77777777" w:rsidR="00D12268" w:rsidRPr="003816D8" w:rsidRDefault="00D12268" w:rsidP="00BF261E">
            <w:pPr>
              <w:pStyle w:val="Tabletext1"/>
              <w:jc w:val="center"/>
            </w:pPr>
            <w:r w:rsidRPr="00243213">
              <w:t>45</w:t>
            </w:r>
          </w:p>
        </w:tc>
        <w:tc>
          <w:tcPr>
            <w:tcW w:w="1182" w:type="pct"/>
            <w:vAlign w:val="center"/>
          </w:tcPr>
          <w:p w14:paraId="12D0F800" w14:textId="77777777" w:rsidR="00D12268" w:rsidRPr="003816D8" w:rsidRDefault="00D12268" w:rsidP="00BF261E">
            <w:pPr>
              <w:pStyle w:val="Tabletext1"/>
              <w:jc w:val="center"/>
              <w:rPr>
                <w:rFonts w:cs="Calibri"/>
              </w:rPr>
            </w:pPr>
            <w:r>
              <w:rPr>
                <w:rFonts w:cs="Calibri"/>
              </w:rPr>
              <w:t>-</w:t>
            </w:r>
          </w:p>
        </w:tc>
        <w:tc>
          <w:tcPr>
            <w:tcW w:w="830" w:type="pct"/>
            <w:vAlign w:val="center"/>
          </w:tcPr>
          <w:p w14:paraId="75C6D404" w14:textId="12DEA811" w:rsidR="00D12268" w:rsidRPr="003816D8" w:rsidRDefault="00D12268" w:rsidP="00BF261E">
            <w:pPr>
              <w:pStyle w:val="Tabletext1"/>
              <w:jc w:val="center"/>
              <w:rPr>
                <w:snapToGrid w:val="0"/>
                <w:lang w:eastAsia="en-US"/>
              </w:rPr>
            </w:pPr>
            <w:r w:rsidRPr="002A4A97">
              <w:t>$29.74</w:t>
            </w:r>
          </w:p>
        </w:tc>
      </w:tr>
      <w:tr w:rsidR="00D12268" w:rsidRPr="00F77E8D" w14:paraId="100485A7" w14:textId="77777777" w:rsidTr="005007E2">
        <w:tc>
          <w:tcPr>
            <w:tcW w:w="1429" w:type="pct"/>
          </w:tcPr>
          <w:p w14:paraId="60848932" w14:textId="77777777" w:rsidR="00D12268" w:rsidRPr="00391190" w:rsidRDefault="00D12268" w:rsidP="008B6FC0">
            <w:pPr>
              <w:pStyle w:val="Tabletext1"/>
              <w:keepNext/>
              <w:rPr>
                <w:b/>
                <w:snapToGrid w:val="0"/>
                <w:lang w:eastAsia="en-US"/>
              </w:rPr>
            </w:pPr>
            <w:r w:rsidRPr="00391190">
              <w:rPr>
                <w:b/>
              </w:rPr>
              <w:lastRenderedPageBreak/>
              <w:t>Post-op time</w:t>
            </w:r>
          </w:p>
        </w:tc>
        <w:tc>
          <w:tcPr>
            <w:tcW w:w="843" w:type="pct"/>
            <w:vAlign w:val="center"/>
          </w:tcPr>
          <w:p w14:paraId="57903C19" w14:textId="77777777" w:rsidR="00D12268" w:rsidRPr="003816D8" w:rsidRDefault="00D12268" w:rsidP="008B6FC0">
            <w:pPr>
              <w:pStyle w:val="Tabletext1"/>
              <w:keepNext/>
              <w:jc w:val="center"/>
              <w:rPr>
                <w:snapToGrid w:val="0"/>
                <w:lang w:eastAsia="en-US"/>
              </w:rPr>
            </w:pPr>
          </w:p>
        </w:tc>
        <w:tc>
          <w:tcPr>
            <w:tcW w:w="716" w:type="pct"/>
            <w:vAlign w:val="center"/>
          </w:tcPr>
          <w:p w14:paraId="535E6B5D" w14:textId="77777777" w:rsidR="00D12268" w:rsidRPr="003816D8" w:rsidRDefault="00D12268" w:rsidP="008B6FC0">
            <w:pPr>
              <w:pStyle w:val="Tabletext1"/>
              <w:keepNext/>
              <w:jc w:val="center"/>
            </w:pPr>
          </w:p>
        </w:tc>
        <w:tc>
          <w:tcPr>
            <w:tcW w:w="1182" w:type="pct"/>
            <w:vAlign w:val="center"/>
          </w:tcPr>
          <w:p w14:paraId="6849B848" w14:textId="77777777" w:rsidR="00D12268" w:rsidRPr="003816D8" w:rsidRDefault="00D12268" w:rsidP="008B6FC0">
            <w:pPr>
              <w:pStyle w:val="Tabletext1"/>
              <w:keepNext/>
              <w:jc w:val="center"/>
              <w:rPr>
                <w:rFonts w:cs="Calibri"/>
              </w:rPr>
            </w:pPr>
            <w:r>
              <w:rPr>
                <w:rFonts w:cs="Calibri"/>
              </w:rPr>
              <w:t>-</w:t>
            </w:r>
          </w:p>
        </w:tc>
        <w:tc>
          <w:tcPr>
            <w:tcW w:w="830" w:type="pct"/>
            <w:vAlign w:val="center"/>
          </w:tcPr>
          <w:p w14:paraId="6F2F98C4" w14:textId="77777777" w:rsidR="00D12268" w:rsidRPr="003816D8" w:rsidRDefault="00D12268" w:rsidP="008B6FC0">
            <w:pPr>
              <w:pStyle w:val="Tabletext1"/>
              <w:keepNext/>
              <w:jc w:val="center"/>
              <w:rPr>
                <w:rFonts w:cs="Calibri"/>
              </w:rPr>
            </w:pPr>
          </w:p>
        </w:tc>
      </w:tr>
      <w:tr w:rsidR="00D12268" w:rsidRPr="00F77E8D" w14:paraId="1EE8F29C" w14:textId="77777777" w:rsidTr="005007E2">
        <w:tc>
          <w:tcPr>
            <w:tcW w:w="1429" w:type="pct"/>
          </w:tcPr>
          <w:p w14:paraId="18880142" w14:textId="77777777" w:rsidR="00D12268" w:rsidRPr="00391190" w:rsidRDefault="00D12268" w:rsidP="008B6FC0">
            <w:pPr>
              <w:pStyle w:val="Tabletext1"/>
              <w:keepNext/>
              <w:rPr>
                <w:i/>
                <w:snapToGrid w:val="0"/>
                <w:lang w:eastAsia="en-US"/>
              </w:rPr>
            </w:pPr>
            <w:r w:rsidRPr="00391190">
              <w:rPr>
                <w:i/>
              </w:rPr>
              <w:t>Monitor patient post-op</w:t>
            </w:r>
          </w:p>
        </w:tc>
        <w:tc>
          <w:tcPr>
            <w:tcW w:w="843" w:type="pct"/>
            <w:vAlign w:val="center"/>
          </w:tcPr>
          <w:p w14:paraId="34A4ED2F" w14:textId="77777777" w:rsidR="00D12268" w:rsidRPr="003816D8" w:rsidRDefault="00D12268" w:rsidP="008B6FC0">
            <w:pPr>
              <w:pStyle w:val="Tabletext1"/>
              <w:keepNext/>
              <w:jc w:val="center"/>
              <w:rPr>
                <w:snapToGrid w:val="0"/>
                <w:lang w:eastAsia="en-US"/>
              </w:rPr>
            </w:pPr>
            <w:r w:rsidRPr="00D82AB5">
              <w:t>Nurse (x1)</w:t>
            </w:r>
          </w:p>
        </w:tc>
        <w:tc>
          <w:tcPr>
            <w:tcW w:w="716" w:type="pct"/>
            <w:vAlign w:val="center"/>
          </w:tcPr>
          <w:p w14:paraId="362C045C" w14:textId="77777777" w:rsidR="00D12268" w:rsidRPr="003816D8" w:rsidRDefault="00D12268" w:rsidP="008B6FC0">
            <w:pPr>
              <w:pStyle w:val="Tabletext1"/>
              <w:keepNext/>
              <w:jc w:val="center"/>
            </w:pPr>
            <w:r w:rsidRPr="00243213">
              <w:t>60</w:t>
            </w:r>
          </w:p>
        </w:tc>
        <w:tc>
          <w:tcPr>
            <w:tcW w:w="1182" w:type="pct"/>
            <w:vAlign w:val="center"/>
          </w:tcPr>
          <w:p w14:paraId="51B0008F" w14:textId="77777777" w:rsidR="00D12268" w:rsidRPr="003816D8" w:rsidRDefault="00D12268" w:rsidP="008B6FC0">
            <w:pPr>
              <w:pStyle w:val="Tabletext1"/>
              <w:keepNext/>
              <w:jc w:val="center"/>
              <w:rPr>
                <w:rFonts w:cs="Calibri"/>
              </w:rPr>
            </w:pPr>
            <w:r>
              <w:rPr>
                <w:rFonts w:cs="Calibri"/>
              </w:rPr>
              <w:t>-</w:t>
            </w:r>
          </w:p>
        </w:tc>
        <w:tc>
          <w:tcPr>
            <w:tcW w:w="830" w:type="pct"/>
            <w:vAlign w:val="center"/>
          </w:tcPr>
          <w:p w14:paraId="68123E32" w14:textId="3F45336F" w:rsidR="00D12268" w:rsidRPr="003816D8" w:rsidRDefault="00D12268" w:rsidP="008B6FC0">
            <w:pPr>
              <w:pStyle w:val="Tabletext1"/>
              <w:keepNext/>
              <w:jc w:val="center"/>
              <w:rPr>
                <w:rFonts w:cs="Calibri"/>
              </w:rPr>
            </w:pPr>
            <w:r w:rsidRPr="002A4A97">
              <w:t>$37.00</w:t>
            </w:r>
          </w:p>
        </w:tc>
      </w:tr>
      <w:tr w:rsidR="00D12268" w:rsidRPr="00F77E8D" w14:paraId="3EC6B090" w14:textId="77777777" w:rsidTr="005007E2">
        <w:tc>
          <w:tcPr>
            <w:tcW w:w="1429" w:type="pct"/>
          </w:tcPr>
          <w:p w14:paraId="69B01A78" w14:textId="77777777" w:rsidR="00D12268" w:rsidRPr="00391190" w:rsidRDefault="00D12268" w:rsidP="00556AB6">
            <w:pPr>
              <w:pStyle w:val="Tabletext1"/>
              <w:rPr>
                <w:i/>
                <w:snapToGrid w:val="0"/>
                <w:lang w:eastAsia="en-US"/>
              </w:rPr>
            </w:pPr>
            <w:r w:rsidRPr="00391190">
              <w:rPr>
                <w:i/>
              </w:rPr>
              <w:t>Assess patient post-op; place orders; complete documentation; clear for discharge</w:t>
            </w:r>
          </w:p>
        </w:tc>
        <w:tc>
          <w:tcPr>
            <w:tcW w:w="843" w:type="pct"/>
            <w:vAlign w:val="center"/>
          </w:tcPr>
          <w:p w14:paraId="23F45898" w14:textId="77777777" w:rsidR="00D12268" w:rsidRPr="003816D8" w:rsidRDefault="00D12268" w:rsidP="00BF261E">
            <w:pPr>
              <w:pStyle w:val="Tabletext1"/>
              <w:jc w:val="center"/>
              <w:rPr>
                <w:snapToGrid w:val="0"/>
                <w:lang w:eastAsia="en-US"/>
              </w:rPr>
            </w:pPr>
            <w:r w:rsidRPr="00D82AB5">
              <w:t>Interventional Radiologist (x1)</w:t>
            </w:r>
          </w:p>
        </w:tc>
        <w:tc>
          <w:tcPr>
            <w:tcW w:w="716" w:type="pct"/>
            <w:vAlign w:val="center"/>
          </w:tcPr>
          <w:p w14:paraId="6FF78161" w14:textId="77777777" w:rsidR="00D12268" w:rsidRPr="003816D8" w:rsidRDefault="00D12268" w:rsidP="00BF261E">
            <w:pPr>
              <w:pStyle w:val="Tabletext1"/>
              <w:jc w:val="center"/>
            </w:pPr>
            <w:r w:rsidRPr="00243213">
              <w:t>45</w:t>
            </w:r>
          </w:p>
        </w:tc>
        <w:tc>
          <w:tcPr>
            <w:tcW w:w="1182" w:type="pct"/>
            <w:vAlign w:val="center"/>
          </w:tcPr>
          <w:p w14:paraId="052B4EFE" w14:textId="77777777" w:rsidR="00D12268" w:rsidRPr="003816D8" w:rsidRDefault="00D12268" w:rsidP="00BF261E">
            <w:pPr>
              <w:pStyle w:val="Tabletext1"/>
              <w:jc w:val="center"/>
              <w:rPr>
                <w:rFonts w:cs="Calibri"/>
              </w:rPr>
            </w:pPr>
            <w:r>
              <w:rPr>
                <w:rFonts w:cs="Calibri"/>
              </w:rPr>
              <w:t>-</w:t>
            </w:r>
          </w:p>
        </w:tc>
        <w:tc>
          <w:tcPr>
            <w:tcW w:w="830" w:type="pct"/>
            <w:vAlign w:val="center"/>
          </w:tcPr>
          <w:p w14:paraId="69821759" w14:textId="24E2B9CF" w:rsidR="00D12268" w:rsidRPr="003816D8" w:rsidRDefault="00D12268" w:rsidP="00BF261E">
            <w:pPr>
              <w:pStyle w:val="Tabletext1"/>
              <w:jc w:val="center"/>
              <w:rPr>
                <w:rFonts w:cs="Calibri"/>
              </w:rPr>
            </w:pPr>
            <w:r w:rsidRPr="002A4A97">
              <w:t>$132.41</w:t>
            </w:r>
          </w:p>
        </w:tc>
      </w:tr>
      <w:tr w:rsidR="00D12268" w:rsidRPr="00F77E8D" w14:paraId="6598EC9D" w14:textId="77777777" w:rsidTr="005007E2">
        <w:tc>
          <w:tcPr>
            <w:tcW w:w="1429" w:type="pct"/>
          </w:tcPr>
          <w:p w14:paraId="6770481F" w14:textId="77777777" w:rsidR="00D12268" w:rsidRPr="00391190" w:rsidRDefault="00D12268" w:rsidP="00556AB6">
            <w:pPr>
              <w:pStyle w:val="Tabletext1"/>
              <w:rPr>
                <w:b/>
                <w:snapToGrid w:val="0"/>
                <w:lang w:eastAsia="en-US"/>
              </w:rPr>
            </w:pPr>
            <w:r w:rsidRPr="00391190">
              <w:rPr>
                <w:b/>
              </w:rPr>
              <w:t>Disposables</w:t>
            </w:r>
          </w:p>
        </w:tc>
        <w:tc>
          <w:tcPr>
            <w:tcW w:w="843" w:type="pct"/>
            <w:vAlign w:val="center"/>
          </w:tcPr>
          <w:p w14:paraId="598BB5DC" w14:textId="77777777" w:rsidR="00D12268" w:rsidRPr="003816D8" w:rsidRDefault="00D12268" w:rsidP="00BF261E">
            <w:pPr>
              <w:pStyle w:val="Tabletext1"/>
              <w:jc w:val="center"/>
              <w:rPr>
                <w:snapToGrid w:val="0"/>
                <w:lang w:eastAsia="en-US"/>
              </w:rPr>
            </w:pPr>
          </w:p>
        </w:tc>
        <w:tc>
          <w:tcPr>
            <w:tcW w:w="716" w:type="pct"/>
            <w:vAlign w:val="center"/>
          </w:tcPr>
          <w:p w14:paraId="5FCCA8A3" w14:textId="77777777" w:rsidR="00D12268" w:rsidRPr="003816D8" w:rsidRDefault="00D12268" w:rsidP="00BF261E">
            <w:pPr>
              <w:pStyle w:val="Tabletext1"/>
              <w:jc w:val="center"/>
            </w:pPr>
          </w:p>
        </w:tc>
        <w:tc>
          <w:tcPr>
            <w:tcW w:w="1182" w:type="pct"/>
            <w:vAlign w:val="center"/>
          </w:tcPr>
          <w:p w14:paraId="496E6EC0" w14:textId="77777777" w:rsidR="00D12268" w:rsidRPr="003816D8" w:rsidRDefault="00D12268" w:rsidP="00BF261E">
            <w:pPr>
              <w:pStyle w:val="Tabletext1"/>
              <w:jc w:val="center"/>
              <w:rPr>
                <w:rFonts w:cs="Calibri"/>
              </w:rPr>
            </w:pPr>
            <w:r>
              <w:rPr>
                <w:rFonts w:cs="Calibri"/>
              </w:rPr>
              <w:t>-</w:t>
            </w:r>
          </w:p>
        </w:tc>
        <w:tc>
          <w:tcPr>
            <w:tcW w:w="830" w:type="pct"/>
            <w:vAlign w:val="center"/>
          </w:tcPr>
          <w:p w14:paraId="2C9B870E" w14:textId="77777777" w:rsidR="00D12268" w:rsidRPr="003816D8" w:rsidRDefault="00D12268" w:rsidP="00BF261E">
            <w:pPr>
              <w:pStyle w:val="Tabletext1"/>
              <w:jc w:val="center"/>
              <w:rPr>
                <w:rFonts w:cs="Calibri"/>
              </w:rPr>
            </w:pPr>
          </w:p>
        </w:tc>
      </w:tr>
      <w:tr w:rsidR="00D12268" w:rsidRPr="00F77E8D" w14:paraId="1E7C00B6" w14:textId="77777777" w:rsidTr="005007E2">
        <w:tc>
          <w:tcPr>
            <w:tcW w:w="1429" w:type="pct"/>
          </w:tcPr>
          <w:p w14:paraId="36BA3CA5" w14:textId="77777777" w:rsidR="00D12268" w:rsidRPr="00391190" w:rsidRDefault="00D12268" w:rsidP="00556AB6">
            <w:pPr>
              <w:pStyle w:val="Tabletext1"/>
              <w:rPr>
                <w:i/>
                <w:snapToGrid w:val="0"/>
                <w:lang w:eastAsia="en-US"/>
              </w:rPr>
            </w:pPr>
            <w:r w:rsidRPr="00391190">
              <w:rPr>
                <w:i/>
              </w:rPr>
              <w:t>Fiducial markers (x3) including sterile pack</w:t>
            </w:r>
          </w:p>
        </w:tc>
        <w:tc>
          <w:tcPr>
            <w:tcW w:w="843" w:type="pct"/>
            <w:vAlign w:val="center"/>
          </w:tcPr>
          <w:p w14:paraId="21B55837" w14:textId="77777777" w:rsidR="00D12268" w:rsidRPr="003816D8" w:rsidRDefault="00D12268" w:rsidP="00BF261E">
            <w:pPr>
              <w:pStyle w:val="Tabletext1"/>
              <w:jc w:val="center"/>
              <w:rPr>
                <w:snapToGrid w:val="0"/>
                <w:lang w:eastAsia="en-US"/>
              </w:rPr>
            </w:pPr>
          </w:p>
        </w:tc>
        <w:tc>
          <w:tcPr>
            <w:tcW w:w="716" w:type="pct"/>
            <w:vAlign w:val="center"/>
          </w:tcPr>
          <w:p w14:paraId="4505FA64" w14:textId="77777777" w:rsidR="00D12268" w:rsidRPr="003816D8" w:rsidRDefault="00D12268" w:rsidP="00BF261E">
            <w:pPr>
              <w:pStyle w:val="Tabletext1"/>
              <w:jc w:val="center"/>
            </w:pPr>
          </w:p>
        </w:tc>
        <w:tc>
          <w:tcPr>
            <w:tcW w:w="1182" w:type="pct"/>
            <w:vAlign w:val="center"/>
          </w:tcPr>
          <w:p w14:paraId="1163A1F4" w14:textId="77777777" w:rsidR="00D12268" w:rsidRPr="003816D8" w:rsidRDefault="00D12268" w:rsidP="00BF261E">
            <w:pPr>
              <w:pStyle w:val="Tabletext1"/>
              <w:jc w:val="center"/>
              <w:rPr>
                <w:rFonts w:cs="Calibri"/>
              </w:rPr>
            </w:pPr>
            <w:r>
              <w:rPr>
                <w:rFonts w:cs="Calibri"/>
              </w:rPr>
              <w:t>-</w:t>
            </w:r>
          </w:p>
        </w:tc>
        <w:tc>
          <w:tcPr>
            <w:tcW w:w="830" w:type="pct"/>
            <w:vAlign w:val="center"/>
          </w:tcPr>
          <w:p w14:paraId="3648B607" w14:textId="578C1089" w:rsidR="00D12268" w:rsidRPr="00AE37CD" w:rsidRDefault="00D12268" w:rsidP="00BF261E">
            <w:pPr>
              <w:pStyle w:val="Tabletext1"/>
              <w:jc w:val="center"/>
              <w:rPr>
                <w:rFonts w:cs="Calibri"/>
                <w:b/>
              </w:rPr>
            </w:pPr>
            <w:r w:rsidRPr="002A4A97">
              <w:t>$142.60</w:t>
            </w:r>
          </w:p>
        </w:tc>
      </w:tr>
      <w:tr w:rsidR="00D12268" w:rsidRPr="00F77E8D" w14:paraId="39704E40" w14:textId="77777777" w:rsidTr="005007E2">
        <w:tc>
          <w:tcPr>
            <w:tcW w:w="1429" w:type="pct"/>
          </w:tcPr>
          <w:p w14:paraId="16341B9D" w14:textId="77777777" w:rsidR="00D12268" w:rsidRPr="00391190" w:rsidRDefault="00D12268" w:rsidP="00556AB6">
            <w:pPr>
              <w:pStyle w:val="Tabletext1"/>
              <w:rPr>
                <w:b/>
                <w:snapToGrid w:val="0"/>
                <w:lang w:eastAsia="en-US"/>
              </w:rPr>
            </w:pPr>
            <w:r w:rsidRPr="00391190">
              <w:rPr>
                <w:b/>
              </w:rPr>
              <w:t>Total</w:t>
            </w:r>
          </w:p>
        </w:tc>
        <w:tc>
          <w:tcPr>
            <w:tcW w:w="843" w:type="pct"/>
            <w:vAlign w:val="center"/>
          </w:tcPr>
          <w:p w14:paraId="6814132D" w14:textId="77777777" w:rsidR="00D12268" w:rsidRPr="003816D8" w:rsidRDefault="00D12268" w:rsidP="00BF261E">
            <w:pPr>
              <w:pStyle w:val="Tabletext1"/>
              <w:jc w:val="center"/>
              <w:rPr>
                <w:snapToGrid w:val="0"/>
                <w:lang w:eastAsia="en-US"/>
              </w:rPr>
            </w:pPr>
          </w:p>
        </w:tc>
        <w:tc>
          <w:tcPr>
            <w:tcW w:w="716" w:type="pct"/>
            <w:vAlign w:val="center"/>
          </w:tcPr>
          <w:p w14:paraId="65308794" w14:textId="77777777" w:rsidR="00D12268" w:rsidRPr="003816D8" w:rsidRDefault="00D12268" w:rsidP="00BF261E">
            <w:pPr>
              <w:pStyle w:val="Tabletext1"/>
              <w:jc w:val="center"/>
            </w:pPr>
          </w:p>
        </w:tc>
        <w:tc>
          <w:tcPr>
            <w:tcW w:w="1182" w:type="pct"/>
            <w:vAlign w:val="center"/>
          </w:tcPr>
          <w:p w14:paraId="11CE17A1" w14:textId="77777777" w:rsidR="00D12268" w:rsidRPr="003816D8" w:rsidRDefault="00D12268" w:rsidP="00BF261E">
            <w:pPr>
              <w:pStyle w:val="Tabletext1"/>
              <w:jc w:val="center"/>
              <w:rPr>
                <w:rFonts w:cs="Calibri"/>
              </w:rPr>
            </w:pPr>
            <w:r>
              <w:rPr>
                <w:rFonts w:cs="Calibri"/>
              </w:rPr>
              <w:t>-</w:t>
            </w:r>
          </w:p>
        </w:tc>
        <w:tc>
          <w:tcPr>
            <w:tcW w:w="830" w:type="pct"/>
            <w:vAlign w:val="center"/>
          </w:tcPr>
          <w:p w14:paraId="2A6D2D51" w14:textId="0086F2EF" w:rsidR="00D12268" w:rsidRPr="00AE37CD" w:rsidRDefault="00D12268" w:rsidP="00BF261E">
            <w:pPr>
              <w:pStyle w:val="Tabletext1"/>
              <w:jc w:val="center"/>
              <w:rPr>
                <w:rFonts w:cs="Calibri"/>
                <w:b/>
              </w:rPr>
            </w:pPr>
            <w:r w:rsidRPr="002A4A97">
              <w:t>$562.31</w:t>
            </w:r>
          </w:p>
        </w:tc>
      </w:tr>
      <w:tr w:rsidR="00D12268" w:rsidRPr="00F77E8D" w14:paraId="69FD4F4A" w14:textId="77777777" w:rsidTr="005007E2">
        <w:tc>
          <w:tcPr>
            <w:tcW w:w="1429" w:type="pct"/>
          </w:tcPr>
          <w:p w14:paraId="6485466A" w14:textId="77777777" w:rsidR="00D12268" w:rsidRPr="005726B2" w:rsidRDefault="00D12268" w:rsidP="00556AB6">
            <w:pPr>
              <w:pStyle w:val="Tabletext1"/>
              <w:rPr>
                <w:b/>
                <w:snapToGrid w:val="0"/>
                <w:lang w:eastAsia="en-US"/>
              </w:rPr>
            </w:pPr>
            <w:r>
              <w:rPr>
                <w:b/>
                <w:snapToGrid w:val="0"/>
                <w:lang w:eastAsia="en-US"/>
              </w:rPr>
              <w:t xml:space="preserve">Step - </w:t>
            </w:r>
            <w:r w:rsidRPr="005726B2">
              <w:rPr>
                <w:b/>
                <w:snapToGrid w:val="0"/>
                <w:lang w:eastAsia="en-US"/>
              </w:rPr>
              <w:t>Process map reflecting simulation</w:t>
            </w:r>
          </w:p>
        </w:tc>
        <w:tc>
          <w:tcPr>
            <w:tcW w:w="843" w:type="pct"/>
            <w:vAlign w:val="center"/>
          </w:tcPr>
          <w:p w14:paraId="67EB3030" w14:textId="77777777" w:rsidR="00D12268" w:rsidRPr="003816D8" w:rsidRDefault="00D12268" w:rsidP="00BF261E">
            <w:pPr>
              <w:pStyle w:val="Tabletext1"/>
              <w:jc w:val="center"/>
              <w:rPr>
                <w:snapToGrid w:val="0"/>
                <w:lang w:eastAsia="en-US"/>
              </w:rPr>
            </w:pPr>
          </w:p>
        </w:tc>
        <w:tc>
          <w:tcPr>
            <w:tcW w:w="716" w:type="pct"/>
            <w:vAlign w:val="center"/>
          </w:tcPr>
          <w:p w14:paraId="44A49FEB" w14:textId="77777777" w:rsidR="00D12268" w:rsidRPr="003816D8" w:rsidRDefault="00D12268" w:rsidP="00BF261E">
            <w:pPr>
              <w:pStyle w:val="Tabletext1"/>
              <w:jc w:val="center"/>
            </w:pPr>
          </w:p>
        </w:tc>
        <w:tc>
          <w:tcPr>
            <w:tcW w:w="1182" w:type="pct"/>
            <w:vAlign w:val="center"/>
          </w:tcPr>
          <w:p w14:paraId="7A97C539" w14:textId="77777777" w:rsidR="00D12268" w:rsidRPr="003816D8" w:rsidRDefault="00D12268" w:rsidP="00BF261E">
            <w:pPr>
              <w:pStyle w:val="Tabletext1"/>
              <w:jc w:val="center"/>
              <w:rPr>
                <w:rFonts w:cs="Calibri"/>
              </w:rPr>
            </w:pPr>
          </w:p>
        </w:tc>
        <w:tc>
          <w:tcPr>
            <w:tcW w:w="830" w:type="pct"/>
            <w:vAlign w:val="center"/>
          </w:tcPr>
          <w:p w14:paraId="2B760728" w14:textId="77777777" w:rsidR="00D12268" w:rsidRPr="003816D8" w:rsidRDefault="00D12268" w:rsidP="00BF261E">
            <w:pPr>
              <w:pStyle w:val="Tabletext1"/>
              <w:jc w:val="center"/>
              <w:rPr>
                <w:rFonts w:cs="Calibri"/>
              </w:rPr>
            </w:pPr>
          </w:p>
        </w:tc>
      </w:tr>
      <w:tr w:rsidR="00D12268" w:rsidRPr="00F77E8D" w14:paraId="60F0C320" w14:textId="77777777" w:rsidTr="005007E2">
        <w:tc>
          <w:tcPr>
            <w:tcW w:w="1429" w:type="pct"/>
          </w:tcPr>
          <w:p w14:paraId="35D7A7D8" w14:textId="77777777" w:rsidR="00D12268" w:rsidRPr="0093540F" w:rsidRDefault="00D12268" w:rsidP="00556AB6">
            <w:pPr>
              <w:pStyle w:val="Tabletext1"/>
              <w:rPr>
                <w:b/>
                <w:snapToGrid w:val="0"/>
                <w:lang w:eastAsia="en-US"/>
              </w:rPr>
            </w:pPr>
            <w:r w:rsidRPr="0093540F">
              <w:rPr>
                <w:b/>
              </w:rPr>
              <w:t>Pre-Huddle</w:t>
            </w:r>
          </w:p>
        </w:tc>
        <w:tc>
          <w:tcPr>
            <w:tcW w:w="843" w:type="pct"/>
            <w:vAlign w:val="center"/>
          </w:tcPr>
          <w:p w14:paraId="2D4EDAC4" w14:textId="77777777" w:rsidR="00D12268" w:rsidRPr="003816D8" w:rsidRDefault="00D12268" w:rsidP="00BF261E">
            <w:pPr>
              <w:pStyle w:val="Tabletext1"/>
              <w:jc w:val="center"/>
              <w:rPr>
                <w:snapToGrid w:val="0"/>
                <w:lang w:eastAsia="en-US"/>
              </w:rPr>
            </w:pPr>
            <w:r w:rsidRPr="0039712C">
              <w:t>Radiation Therapist (x2)</w:t>
            </w:r>
          </w:p>
        </w:tc>
        <w:tc>
          <w:tcPr>
            <w:tcW w:w="716" w:type="pct"/>
            <w:vAlign w:val="center"/>
          </w:tcPr>
          <w:p w14:paraId="452B6E1D" w14:textId="77777777" w:rsidR="00D12268" w:rsidRPr="003816D8" w:rsidRDefault="00D12268" w:rsidP="00BF261E">
            <w:pPr>
              <w:pStyle w:val="Tabletext1"/>
              <w:jc w:val="center"/>
            </w:pPr>
            <w:r w:rsidRPr="0039712C">
              <w:t>3</w:t>
            </w:r>
          </w:p>
        </w:tc>
        <w:tc>
          <w:tcPr>
            <w:tcW w:w="1182" w:type="pct"/>
            <w:vAlign w:val="center"/>
          </w:tcPr>
          <w:p w14:paraId="2E2C315E" w14:textId="329F06C0" w:rsidR="00D12268" w:rsidRPr="003816D8" w:rsidRDefault="00D12268" w:rsidP="00BF261E">
            <w:pPr>
              <w:pStyle w:val="Tabletext1"/>
              <w:jc w:val="center"/>
              <w:rPr>
                <w:rFonts w:cs="Calibri"/>
              </w:rPr>
            </w:pPr>
            <w:r w:rsidRPr="0039712C">
              <w:t>$4.55</w:t>
            </w:r>
          </w:p>
        </w:tc>
        <w:tc>
          <w:tcPr>
            <w:tcW w:w="830" w:type="pct"/>
            <w:vAlign w:val="center"/>
          </w:tcPr>
          <w:p w14:paraId="706EAD06" w14:textId="43E17129" w:rsidR="00D12268" w:rsidRPr="003816D8" w:rsidRDefault="00D12268" w:rsidP="00BF261E">
            <w:pPr>
              <w:pStyle w:val="Tabletext1"/>
              <w:jc w:val="center"/>
              <w:rPr>
                <w:rFonts w:cs="Calibri"/>
              </w:rPr>
            </w:pPr>
            <w:r w:rsidRPr="0039712C">
              <w:t>$4.55</w:t>
            </w:r>
          </w:p>
        </w:tc>
      </w:tr>
      <w:tr w:rsidR="00D12268" w:rsidRPr="00F77E8D" w14:paraId="05798D57" w14:textId="77777777" w:rsidTr="005007E2">
        <w:tc>
          <w:tcPr>
            <w:tcW w:w="1429" w:type="pct"/>
          </w:tcPr>
          <w:p w14:paraId="0F7A9DE3" w14:textId="77777777" w:rsidR="00D12268" w:rsidRPr="0093540F" w:rsidRDefault="00D12268" w:rsidP="00556AB6">
            <w:pPr>
              <w:pStyle w:val="Tabletext1"/>
              <w:rPr>
                <w:b/>
                <w:snapToGrid w:val="0"/>
                <w:lang w:eastAsia="en-US"/>
              </w:rPr>
            </w:pPr>
            <w:r w:rsidRPr="0093540F">
              <w:rPr>
                <w:b/>
              </w:rPr>
              <w:t>Huddle review of each patient's checklist</w:t>
            </w:r>
          </w:p>
        </w:tc>
        <w:tc>
          <w:tcPr>
            <w:tcW w:w="843" w:type="pct"/>
            <w:vAlign w:val="center"/>
          </w:tcPr>
          <w:p w14:paraId="6E07B938" w14:textId="77777777" w:rsidR="00D12268" w:rsidRPr="003816D8" w:rsidRDefault="00D12268" w:rsidP="00BF261E">
            <w:pPr>
              <w:pStyle w:val="Tabletext1"/>
              <w:jc w:val="center"/>
              <w:rPr>
                <w:snapToGrid w:val="0"/>
                <w:lang w:eastAsia="en-US"/>
              </w:rPr>
            </w:pPr>
            <w:r w:rsidRPr="0039712C">
              <w:t>Radiation Therapists (including Chief Therapist) (x3)</w:t>
            </w:r>
          </w:p>
        </w:tc>
        <w:tc>
          <w:tcPr>
            <w:tcW w:w="716" w:type="pct"/>
            <w:vAlign w:val="center"/>
          </w:tcPr>
          <w:p w14:paraId="39599C8B" w14:textId="77777777" w:rsidR="00D12268" w:rsidRPr="003816D8" w:rsidRDefault="00D12268" w:rsidP="00BF261E">
            <w:pPr>
              <w:pStyle w:val="Tabletext1"/>
              <w:jc w:val="center"/>
            </w:pPr>
            <w:r w:rsidRPr="0039712C">
              <w:t>3</w:t>
            </w:r>
          </w:p>
        </w:tc>
        <w:tc>
          <w:tcPr>
            <w:tcW w:w="1182" w:type="pct"/>
            <w:vAlign w:val="center"/>
          </w:tcPr>
          <w:p w14:paraId="3DD75C6F" w14:textId="4F9F0C8B" w:rsidR="00D12268" w:rsidRPr="003816D8" w:rsidRDefault="00D12268" w:rsidP="00BF261E">
            <w:pPr>
              <w:pStyle w:val="Tabletext1"/>
              <w:jc w:val="center"/>
              <w:rPr>
                <w:rFonts w:cs="Calibri"/>
              </w:rPr>
            </w:pPr>
            <w:r w:rsidRPr="0039712C">
              <w:t>$6.82</w:t>
            </w:r>
          </w:p>
        </w:tc>
        <w:tc>
          <w:tcPr>
            <w:tcW w:w="830" w:type="pct"/>
            <w:vAlign w:val="center"/>
          </w:tcPr>
          <w:p w14:paraId="0A01E34C" w14:textId="5BE32006" w:rsidR="00D12268" w:rsidRPr="003816D8" w:rsidRDefault="00D12268" w:rsidP="00BF261E">
            <w:pPr>
              <w:pStyle w:val="Tabletext1"/>
              <w:jc w:val="center"/>
              <w:rPr>
                <w:rFonts w:cs="Calibri"/>
              </w:rPr>
            </w:pPr>
            <w:r w:rsidRPr="0039712C">
              <w:t>$6.82</w:t>
            </w:r>
          </w:p>
        </w:tc>
      </w:tr>
      <w:tr w:rsidR="00D12268" w:rsidRPr="00F77E8D" w14:paraId="0634BF26" w14:textId="77777777" w:rsidTr="005007E2">
        <w:tc>
          <w:tcPr>
            <w:tcW w:w="1429" w:type="pct"/>
          </w:tcPr>
          <w:p w14:paraId="232FF4F6" w14:textId="77777777" w:rsidR="00D12268" w:rsidRPr="003816D8" w:rsidRDefault="00D12268" w:rsidP="00556AB6">
            <w:pPr>
              <w:pStyle w:val="Tabletext1"/>
              <w:rPr>
                <w:snapToGrid w:val="0"/>
                <w:lang w:eastAsia="en-US"/>
              </w:rPr>
            </w:pPr>
          </w:p>
        </w:tc>
        <w:tc>
          <w:tcPr>
            <w:tcW w:w="843" w:type="pct"/>
            <w:vAlign w:val="center"/>
          </w:tcPr>
          <w:p w14:paraId="01D5373F" w14:textId="77777777" w:rsidR="00D12268" w:rsidRPr="003816D8" w:rsidRDefault="00D12268" w:rsidP="00BF261E">
            <w:pPr>
              <w:pStyle w:val="Tabletext1"/>
              <w:jc w:val="center"/>
              <w:rPr>
                <w:snapToGrid w:val="0"/>
                <w:lang w:eastAsia="en-US"/>
              </w:rPr>
            </w:pPr>
            <w:r w:rsidRPr="0039712C">
              <w:t>Nurse (x1)</w:t>
            </w:r>
          </w:p>
        </w:tc>
        <w:tc>
          <w:tcPr>
            <w:tcW w:w="716" w:type="pct"/>
            <w:vAlign w:val="center"/>
          </w:tcPr>
          <w:p w14:paraId="6BB51000" w14:textId="77777777" w:rsidR="00D12268" w:rsidRPr="003816D8" w:rsidRDefault="00D12268" w:rsidP="00BF261E">
            <w:pPr>
              <w:pStyle w:val="Tabletext1"/>
              <w:jc w:val="center"/>
            </w:pPr>
            <w:r w:rsidRPr="0039712C">
              <w:t>3</w:t>
            </w:r>
          </w:p>
        </w:tc>
        <w:tc>
          <w:tcPr>
            <w:tcW w:w="1182" w:type="pct"/>
            <w:vAlign w:val="center"/>
          </w:tcPr>
          <w:p w14:paraId="1C33BEF9" w14:textId="2D5B132C" w:rsidR="00D12268" w:rsidRPr="003816D8" w:rsidRDefault="00D12268" w:rsidP="00BF261E">
            <w:pPr>
              <w:pStyle w:val="Tabletext1"/>
              <w:jc w:val="center"/>
              <w:rPr>
                <w:rFonts w:cs="Calibri"/>
              </w:rPr>
            </w:pPr>
            <w:r w:rsidRPr="0039712C">
              <w:t>$1.85</w:t>
            </w:r>
          </w:p>
        </w:tc>
        <w:tc>
          <w:tcPr>
            <w:tcW w:w="830" w:type="pct"/>
            <w:vAlign w:val="center"/>
          </w:tcPr>
          <w:p w14:paraId="08322150" w14:textId="5701F110" w:rsidR="00D12268" w:rsidRPr="003816D8" w:rsidRDefault="00D12268" w:rsidP="00BF261E">
            <w:pPr>
              <w:pStyle w:val="Tabletext1"/>
              <w:jc w:val="center"/>
              <w:rPr>
                <w:rFonts w:cs="Calibri"/>
              </w:rPr>
            </w:pPr>
            <w:r w:rsidRPr="0039712C">
              <w:t>$1.85</w:t>
            </w:r>
          </w:p>
        </w:tc>
      </w:tr>
      <w:tr w:rsidR="00D12268" w:rsidRPr="00F77E8D" w14:paraId="1EFCE8EA" w14:textId="77777777" w:rsidTr="005007E2">
        <w:tc>
          <w:tcPr>
            <w:tcW w:w="1429" w:type="pct"/>
          </w:tcPr>
          <w:p w14:paraId="3095DA6A" w14:textId="77777777" w:rsidR="00D12268" w:rsidRPr="003816D8" w:rsidRDefault="00D12268" w:rsidP="00556AB6">
            <w:pPr>
              <w:pStyle w:val="Tabletext1"/>
              <w:rPr>
                <w:snapToGrid w:val="0"/>
                <w:lang w:eastAsia="en-US"/>
              </w:rPr>
            </w:pPr>
          </w:p>
        </w:tc>
        <w:tc>
          <w:tcPr>
            <w:tcW w:w="843" w:type="pct"/>
            <w:vAlign w:val="center"/>
          </w:tcPr>
          <w:p w14:paraId="7FE8E487" w14:textId="77777777" w:rsidR="00D12268" w:rsidRPr="003816D8" w:rsidRDefault="00D12268" w:rsidP="00BF261E">
            <w:pPr>
              <w:pStyle w:val="Tabletext1"/>
              <w:jc w:val="center"/>
              <w:rPr>
                <w:snapToGrid w:val="0"/>
                <w:lang w:eastAsia="en-US"/>
              </w:rPr>
            </w:pPr>
            <w:r w:rsidRPr="0039712C">
              <w:t>Dosimetrist (x1)</w:t>
            </w:r>
          </w:p>
        </w:tc>
        <w:tc>
          <w:tcPr>
            <w:tcW w:w="716" w:type="pct"/>
            <w:vAlign w:val="center"/>
          </w:tcPr>
          <w:p w14:paraId="24940EF3" w14:textId="77777777" w:rsidR="00D12268" w:rsidRPr="003816D8" w:rsidRDefault="00D12268" w:rsidP="00BF261E">
            <w:pPr>
              <w:pStyle w:val="Tabletext1"/>
              <w:jc w:val="center"/>
            </w:pPr>
            <w:r w:rsidRPr="0039712C">
              <w:t>3</w:t>
            </w:r>
          </w:p>
        </w:tc>
        <w:tc>
          <w:tcPr>
            <w:tcW w:w="1182" w:type="pct"/>
            <w:vAlign w:val="center"/>
          </w:tcPr>
          <w:p w14:paraId="5F0E3626" w14:textId="407D1FDA" w:rsidR="00D12268" w:rsidRPr="003816D8" w:rsidRDefault="00D12268" w:rsidP="00BF261E">
            <w:pPr>
              <w:pStyle w:val="Tabletext1"/>
              <w:jc w:val="center"/>
              <w:rPr>
                <w:rFonts w:cs="Calibri"/>
              </w:rPr>
            </w:pPr>
            <w:r w:rsidRPr="0039712C">
              <w:t>$3.11</w:t>
            </w:r>
          </w:p>
        </w:tc>
        <w:tc>
          <w:tcPr>
            <w:tcW w:w="830" w:type="pct"/>
            <w:vAlign w:val="center"/>
          </w:tcPr>
          <w:p w14:paraId="3F4040A6" w14:textId="5CDDDC47" w:rsidR="00D12268" w:rsidRPr="003816D8" w:rsidRDefault="00D12268" w:rsidP="00BF261E">
            <w:pPr>
              <w:pStyle w:val="Tabletext1"/>
              <w:jc w:val="center"/>
              <w:rPr>
                <w:rFonts w:cs="Calibri"/>
              </w:rPr>
            </w:pPr>
            <w:r w:rsidRPr="0039712C">
              <w:t>$3.11</w:t>
            </w:r>
          </w:p>
        </w:tc>
      </w:tr>
      <w:tr w:rsidR="00D12268" w:rsidRPr="00F77E8D" w14:paraId="1A59E256" w14:textId="77777777" w:rsidTr="005007E2">
        <w:tc>
          <w:tcPr>
            <w:tcW w:w="1429" w:type="pct"/>
          </w:tcPr>
          <w:p w14:paraId="67800CDB" w14:textId="77777777" w:rsidR="00D12268" w:rsidRPr="0093540F" w:rsidRDefault="00D12268" w:rsidP="00556AB6">
            <w:pPr>
              <w:pStyle w:val="Tabletext1"/>
              <w:rPr>
                <w:b/>
                <w:snapToGrid w:val="0"/>
                <w:lang w:eastAsia="en-US"/>
              </w:rPr>
            </w:pPr>
            <w:r w:rsidRPr="0093540F">
              <w:rPr>
                <w:b/>
              </w:rPr>
              <w:t>CT Simulation</w:t>
            </w:r>
          </w:p>
        </w:tc>
        <w:tc>
          <w:tcPr>
            <w:tcW w:w="843" w:type="pct"/>
            <w:vAlign w:val="center"/>
          </w:tcPr>
          <w:p w14:paraId="367A2213" w14:textId="77777777" w:rsidR="00D12268" w:rsidRPr="003816D8" w:rsidRDefault="00D12268" w:rsidP="00BF261E">
            <w:pPr>
              <w:pStyle w:val="Tabletext1"/>
              <w:jc w:val="center"/>
              <w:rPr>
                <w:snapToGrid w:val="0"/>
                <w:lang w:eastAsia="en-US"/>
              </w:rPr>
            </w:pPr>
          </w:p>
        </w:tc>
        <w:tc>
          <w:tcPr>
            <w:tcW w:w="716" w:type="pct"/>
            <w:vAlign w:val="center"/>
          </w:tcPr>
          <w:p w14:paraId="0679F7B1" w14:textId="77777777" w:rsidR="00D12268" w:rsidRPr="003816D8" w:rsidRDefault="00D12268" w:rsidP="00BF261E">
            <w:pPr>
              <w:pStyle w:val="Tabletext1"/>
              <w:jc w:val="center"/>
            </w:pPr>
          </w:p>
        </w:tc>
        <w:tc>
          <w:tcPr>
            <w:tcW w:w="1182" w:type="pct"/>
            <w:vAlign w:val="center"/>
          </w:tcPr>
          <w:p w14:paraId="101FEB0A" w14:textId="77777777" w:rsidR="00D12268" w:rsidRPr="003816D8" w:rsidRDefault="00D12268" w:rsidP="00BF261E">
            <w:pPr>
              <w:pStyle w:val="Tabletext1"/>
              <w:jc w:val="center"/>
              <w:rPr>
                <w:rFonts w:cs="Calibri"/>
              </w:rPr>
            </w:pPr>
          </w:p>
        </w:tc>
        <w:tc>
          <w:tcPr>
            <w:tcW w:w="830" w:type="pct"/>
            <w:vAlign w:val="center"/>
          </w:tcPr>
          <w:p w14:paraId="338898C7" w14:textId="77777777" w:rsidR="00D12268" w:rsidRPr="00AE37CD" w:rsidRDefault="00D12268" w:rsidP="00BF261E">
            <w:pPr>
              <w:pStyle w:val="Tabletext1"/>
              <w:jc w:val="center"/>
              <w:rPr>
                <w:rFonts w:cs="Calibri"/>
                <w:b/>
              </w:rPr>
            </w:pPr>
          </w:p>
        </w:tc>
      </w:tr>
      <w:tr w:rsidR="00D12268" w:rsidRPr="00F77E8D" w14:paraId="5BADEC02" w14:textId="77777777" w:rsidTr="005007E2">
        <w:tc>
          <w:tcPr>
            <w:tcW w:w="1429" w:type="pct"/>
          </w:tcPr>
          <w:p w14:paraId="054CC122" w14:textId="77777777" w:rsidR="00D12268" w:rsidRPr="0093540F" w:rsidRDefault="00D12268" w:rsidP="00556AB6">
            <w:pPr>
              <w:pStyle w:val="Tabletext1"/>
              <w:rPr>
                <w:i/>
                <w:snapToGrid w:val="0"/>
                <w:lang w:eastAsia="en-US"/>
              </w:rPr>
            </w:pPr>
            <w:r w:rsidRPr="0093540F">
              <w:rPr>
                <w:i/>
              </w:rPr>
              <w:t>Patient check-in</w:t>
            </w:r>
          </w:p>
        </w:tc>
        <w:tc>
          <w:tcPr>
            <w:tcW w:w="843" w:type="pct"/>
            <w:vAlign w:val="center"/>
          </w:tcPr>
          <w:p w14:paraId="6C99D831" w14:textId="77777777" w:rsidR="00D12268" w:rsidRPr="003816D8" w:rsidRDefault="00D12268" w:rsidP="00BF261E">
            <w:pPr>
              <w:pStyle w:val="Tabletext1"/>
              <w:jc w:val="center"/>
              <w:rPr>
                <w:snapToGrid w:val="0"/>
                <w:lang w:eastAsia="en-US"/>
              </w:rPr>
            </w:pPr>
            <w:r w:rsidRPr="0039712C">
              <w:t>Front Desk (x1)</w:t>
            </w:r>
          </w:p>
        </w:tc>
        <w:tc>
          <w:tcPr>
            <w:tcW w:w="716" w:type="pct"/>
            <w:vAlign w:val="center"/>
          </w:tcPr>
          <w:p w14:paraId="6507BB65" w14:textId="77777777" w:rsidR="00D12268" w:rsidRPr="003816D8" w:rsidRDefault="00D12268" w:rsidP="00BF261E">
            <w:pPr>
              <w:pStyle w:val="Tabletext1"/>
              <w:jc w:val="center"/>
            </w:pPr>
            <w:r w:rsidRPr="0039712C">
              <w:t>2</w:t>
            </w:r>
          </w:p>
        </w:tc>
        <w:tc>
          <w:tcPr>
            <w:tcW w:w="1182" w:type="pct"/>
            <w:vAlign w:val="center"/>
          </w:tcPr>
          <w:p w14:paraId="74AD0B99" w14:textId="4C431635" w:rsidR="00D12268" w:rsidRPr="003816D8" w:rsidRDefault="00D12268" w:rsidP="00BF261E">
            <w:pPr>
              <w:pStyle w:val="Tabletext1"/>
              <w:jc w:val="center"/>
              <w:rPr>
                <w:rFonts w:cs="Calibri"/>
              </w:rPr>
            </w:pPr>
            <w:r w:rsidRPr="0039712C">
              <w:t>$0.79</w:t>
            </w:r>
          </w:p>
        </w:tc>
        <w:tc>
          <w:tcPr>
            <w:tcW w:w="830" w:type="pct"/>
            <w:vAlign w:val="center"/>
          </w:tcPr>
          <w:p w14:paraId="2DA2DABA" w14:textId="5B931967" w:rsidR="00D12268" w:rsidRPr="003816D8" w:rsidRDefault="00D12268" w:rsidP="00BF261E">
            <w:pPr>
              <w:pStyle w:val="Tabletext1"/>
              <w:jc w:val="center"/>
              <w:rPr>
                <w:rFonts w:cs="Calibri"/>
              </w:rPr>
            </w:pPr>
            <w:r w:rsidRPr="0039712C">
              <w:t>$0.79</w:t>
            </w:r>
          </w:p>
        </w:tc>
      </w:tr>
      <w:tr w:rsidR="00D12268" w:rsidRPr="00F77E8D" w14:paraId="414756BC" w14:textId="77777777" w:rsidTr="005007E2">
        <w:tc>
          <w:tcPr>
            <w:tcW w:w="1429" w:type="pct"/>
          </w:tcPr>
          <w:p w14:paraId="3A43EBC8" w14:textId="77777777" w:rsidR="00D12268" w:rsidRPr="0093540F" w:rsidRDefault="00D12268" w:rsidP="00556AB6">
            <w:pPr>
              <w:pStyle w:val="Tabletext1"/>
              <w:rPr>
                <w:i/>
                <w:snapToGrid w:val="0"/>
                <w:lang w:eastAsia="en-US"/>
              </w:rPr>
            </w:pPr>
            <w:r w:rsidRPr="0093540F">
              <w:rPr>
                <w:i/>
              </w:rPr>
              <w:t>Place IV; complete patient education; perform initial clinical assessment</w:t>
            </w:r>
          </w:p>
        </w:tc>
        <w:tc>
          <w:tcPr>
            <w:tcW w:w="843" w:type="pct"/>
            <w:vAlign w:val="center"/>
          </w:tcPr>
          <w:p w14:paraId="5AB93670" w14:textId="77777777" w:rsidR="00D12268" w:rsidRPr="003816D8" w:rsidRDefault="00D12268" w:rsidP="00BF261E">
            <w:pPr>
              <w:pStyle w:val="Tabletext1"/>
              <w:jc w:val="center"/>
              <w:rPr>
                <w:snapToGrid w:val="0"/>
                <w:lang w:eastAsia="en-US"/>
              </w:rPr>
            </w:pPr>
            <w:r w:rsidRPr="0039712C">
              <w:t>Nurse (x1)</w:t>
            </w:r>
          </w:p>
        </w:tc>
        <w:tc>
          <w:tcPr>
            <w:tcW w:w="716" w:type="pct"/>
            <w:vAlign w:val="center"/>
          </w:tcPr>
          <w:p w14:paraId="0E6A5E47" w14:textId="77777777" w:rsidR="00D12268" w:rsidRPr="003816D8" w:rsidRDefault="00D12268" w:rsidP="00BF261E">
            <w:pPr>
              <w:pStyle w:val="Tabletext1"/>
              <w:jc w:val="center"/>
            </w:pPr>
            <w:r w:rsidRPr="0039712C">
              <w:t>30</w:t>
            </w:r>
          </w:p>
        </w:tc>
        <w:tc>
          <w:tcPr>
            <w:tcW w:w="1182" w:type="pct"/>
            <w:vAlign w:val="center"/>
          </w:tcPr>
          <w:p w14:paraId="21AF7960" w14:textId="52542B8A" w:rsidR="00D12268" w:rsidRPr="003816D8" w:rsidRDefault="00D12268" w:rsidP="00BF261E">
            <w:pPr>
              <w:pStyle w:val="Tabletext1"/>
              <w:jc w:val="center"/>
              <w:rPr>
                <w:rFonts w:cs="Calibri"/>
              </w:rPr>
            </w:pPr>
            <w:r w:rsidRPr="0039712C">
              <w:t>$18.50</w:t>
            </w:r>
          </w:p>
        </w:tc>
        <w:tc>
          <w:tcPr>
            <w:tcW w:w="830" w:type="pct"/>
            <w:vAlign w:val="center"/>
          </w:tcPr>
          <w:p w14:paraId="63D01876" w14:textId="4D672E51" w:rsidR="00D12268" w:rsidRPr="003816D8" w:rsidRDefault="00D12268" w:rsidP="00BF261E">
            <w:pPr>
              <w:pStyle w:val="Tabletext1"/>
              <w:jc w:val="center"/>
              <w:rPr>
                <w:rFonts w:cs="Calibri"/>
              </w:rPr>
            </w:pPr>
            <w:r w:rsidRPr="0039712C">
              <w:t>$18.50</w:t>
            </w:r>
          </w:p>
        </w:tc>
      </w:tr>
      <w:tr w:rsidR="00D12268" w:rsidRPr="00F77E8D" w14:paraId="24391755" w14:textId="77777777" w:rsidTr="005007E2">
        <w:tc>
          <w:tcPr>
            <w:tcW w:w="1429" w:type="pct"/>
          </w:tcPr>
          <w:p w14:paraId="68D74B67" w14:textId="77777777" w:rsidR="00D12268" w:rsidRPr="0093540F" w:rsidRDefault="00D12268" w:rsidP="00556AB6">
            <w:pPr>
              <w:pStyle w:val="Tabletext1"/>
              <w:rPr>
                <w:i/>
                <w:snapToGrid w:val="0"/>
                <w:lang w:eastAsia="en-US"/>
              </w:rPr>
            </w:pPr>
            <w:r w:rsidRPr="0093540F">
              <w:rPr>
                <w:i/>
              </w:rPr>
              <w:t>Verify patient and check 3 P's; obtain contact info; review setup and ma</w:t>
            </w:r>
            <w:r>
              <w:rPr>
                <w:i/>
              </w:rPr>
              <w:t>r</w:t>
            </w:r>
            <w:r w:rsidRPr="0093540F">
              <w:rPr>
                <w:i/>
              </w:rPr>
              <w:t>k devi</w:t>
            </w:r>
            <w:r>
              <w:rPr>
                <w:i/>
              </w:rPr>
              <w:t>c</w:t>
            </w:r>
            <w:r w:rsidRPr="0093540F">
              <w:rPr>
                <w:i/>
              </w:rPr>
              <w:t>e; give contrast and perform free-breathing scan</w:t>
            </w:r>
          </w:p>
        </w:tc>
        <w:tc>
          <w:tcPr>
            <w:tcW w:w="843" w:type="pct"/>
            <w:vAlign w:val="center"/>
          </w:tcPr>
          <w:p w14:paraId="267497D8" w14:textId="77777777" w:rsidR="00D12268" w:rsidRPr="003816D8" w:rsidRDefault="00D12268" w:rsidP="00BF261E">
            <w:pPr>
              <w:pStyle w:val="Tabletext1"/>
              <w:jc w:val="center"/>
              <w:rPr>
                <w:snapToGrid w:val="0"/>
                <w:lang w:eastAsia="en-US"/>
              </w:rPr>
            </w:pPr>
            <w:r w:rsidRPr="0039712C">
              <w:t>Radiation Therapist (x2)</w:t>
            </w:r>
          </w:p>
        </w:tc>
        <w:tc>
          <w:tcPr>
            <w:tcW w:w="716" w:type="pct"/>
            <w:vAlign w:val="center"/>
          </w:tcPr>
          <w:p w14:paraId="61F202BF" w14:textId="77777777" w:rsidR="00D12268" w:rsidRPr="003816D8" w:rsidRDefault="00D12268" w:rsidP="00BF261E">
            <w:pPr>
              <w:pStyle w:val="Tabletext1"/>
              <w:jc w:val="center"/>
            </w:pPr>
            <w:r w:rsidRPr="0039712C">
              <w:t>28</w:t>
            </w:r>
          </w:p>
        </w:tc>
        <w:tc>
          <w:tcPr>
            <w:tcW w:w="1182" w:type="pct"/>
            <w:vAlign w:val="center"/>
          </w:tcPr>
          <w:p w14:paraId="1C604BF4" w14:textId="707B004D" w:rsidR="00D12268" w:rsidRPr="003816D8" w:rsidRDefault="00D12268" w:rsidP="00BF261E">
            <w:pPr>
              <w:pStyle w:val="Tabletext1"/>
              <w:jc w:val="center"/>
              <w:rPr>
                <w:rFonts w:cs="Calibri"/>
              </w:rPr>
            </w:pPr>
            <w:r w:rsidRPr="0039712C">
              <w:t>$42.46</w:t>
            </w:r>
          </w:p>
        </w:tc>
        <w:tc>
          <w:tcPr>
            <w:tcW w:w="830" w:type="pct"/>
            <w:vAlign w:val="center"/>
          </w:tcPr>
          <w:p w14:paraId="354E9F11" w14:textId="37B08AA6" w:rsidR="00D12268" w:rsidRPr="003816D8" w:rsidRDefault="00D12268" w:rsidP="00BF261E">
            <w:pPr>
              <w:pStyle w:val="Tabletext1"/>
              <w:jc w:val="center"/>
              <w:rPr>
                <w:rFonts w:cs="Calibri"/>
              </w:rPr>
            </w:pPr>
            <w:r w:rsidRPr="0039712C">
              <w:t>$42.46</w:t>
            </w:r>
          </w:p>
        </w:tc>
      </w:tr>
      <w:tr w:rsidR="00D12268" w:rsidRPr="00F77E8D" w14:paraId="2EAE2530" w14:textId="77777777" w:rsidTr="005007E2">
        <w:tc>
          <w:tcPr>
            <w:tcW w:w="1429" w:type="pct"/>
          </w:tcPr>
          <w:p w14:paraId="3D40EEA5" w14:textId="77777777" w:rsidR="00D12268" w:rsidRPr="0093540F" w:rsidRDefault="00D12268" w:rsidP="00556AB6">
            <w:pPr>
              <w:pStyle w:val="Tabletext1"/>
              <w:rPr>
                <w:i/>
                <w:snapToGrid w:val="0"/>
                <w:lang w:eastAsia="en-US"/>
              </w:rPr>
            </w:pPr>
            <w:r w:rsidRPr="0093540F">
              <w:rPr>
                <w:i/>
              </w:rPr>
              <w:t>Provide DIBH instructions and perform DIBH scan</w:t>
            </w:r>
          </w:p>
        </w:tc>
        <w:tc>
          <w:tcPr>
            <w:tcW w:w="843" w:type="pct"/>
            <w:vAlign w:val="center"/>
          </w:tcPr>
          <w:p w14:paraId="7F1016D0" w14:textId="77777777" w:rsidR="00D12268" w:rsidRPr="003816D8" w:rsidRDefault="00D12268" w:rsidP="00BF261E">
            <w:pPr>
              <w:pStyle w:val="Tabletext1"/>
              <w:jc w:val="center"/>
              <w:rPr>
                <w:snapToGrid w:val="0"/>
                <w:lang w:eastAsia="en-US"/>
              </w:rPr>
            </w:pPr>
            <w:r w:rsidRPr="0039712C">
              <w:t>Radiation Therapist (x2)</w:t>
            </w:r>
          </w:p>
        </w:tc>
        <w:tc>
          <w:tcPr>
            <w:tcW w:w="716" w:type="pct"/>
            <w:vAlign w:val="center"/>
          </w:tcPr>
          <w:p w14:paraId="274838D4" w14:textId="77777777" w:rsidR="00D12268" w:rsidRPr="003816D8" w:rsidRDefault="00D12268" w:rsidP="00BF261E">
            <w:pPr>
              <w:pStyle w:val="Tabletext1"/>
              <w:jc w:val="center"/>
            </w:pPr>
            <w:r w:rsidRPr="0039712C">
              <w:t>6</w:t>
            </w:r>
          </w:p>
        </w:tc>
        <w:tc>
          <w:tcPr>
            <w:tcW w:w="1182" w:type="pct"/>
            <w:vAlign w:val="center"/>
          </w:tcPr>
          <w:p w14:paraId="18B8DBE2" w14:textId="161AF20A" w:rsidR="00D12268" w:rsidRPr="003816D8" w:rsidRDefault="00D12268" w:rsidP="00BF261E">
            <w:pPr>
              <w:pStyle w:val="Tabletext1"/>
              <w:jc w:val="center"/>
              <w:rPr>
                <w:rFonts w:cs="Calibri"/>
              </w:rPr>
            </w:pPr>
            <w:r w:rsidRPr="0039712C">
              <w:t>$9.10</w:t>
            </w:r>
          </w:p>
        </w:tc>
        <w:tc>
          <w:tcPr>
            <w:tcW w:w="830" w:type="pct"/>
            <w:vAlign w:val="center"/>
          </w:tcPr>
          <w:p w14:paraId="06D82FCB" w14:textId="5AEAD255" w:rsidR="00D12268" w:rsidRPr="003816D8" w:rsidRDefault="00D12268" w:rsidP="00BF261E">
            <w:pPr>
              <w:pStyle w:val="Tabletext1"/>
              <w:jc w:val="center"/>
              <w:rPr>
                <w:rFonts w:cs="Calibri"/>
              </w:rPr>
            </w:pPr>
            <w:r w:rsidRPr="0039712C">
              <w:t>-</w:t>
            </w:r>
          </w:p>
        </w:tc>
      </w:tr>
      <w:tr w:rsidR="00D12268" w:rsidRPr="00F77E8D" w14:paraId="1F26A4F0" w14:textId="77777777" w:rsidTr="005007E2">
        <w:tc>
          <w:tcPr>
            <w:tcW w:w="1429" w:type="pct"/>
          </w:tcPr>
          <w:p w14:paraId="69D55CE1" w14:textId="77777777" w:rsidR="00D12268" w:rsidRPr="0093540F" w:rsidRDefault="00D12268" w:rsidP="00556AB6">
            <w:pPr>
              <w:pStyle w:val="Tabletext1"/>
              <w:rPr>
                <w:b/>
                <w:snapToGrid w:val="0"/>
                <w:lang w:eastAsia="en-US"/>
              </w:rPr>
            </w:pPr>
            <w:r w:rsidRPr="0093540F">
              <w:rPr>
                <w:b/>
              </w:rPr>
              <w:t>Review of images</w:t>
            </w:r>
          </w:p>
        </w:tc>
        <w:tc>
          <w:tcPr>
            <w:tcW w:w="843" w:type="pct"/>
            <w:vAlign w:val="center"/>
          </w:tcPr>
          <w:p w14:paraId="395917A7" w14:textId="77777777" w:rsidR="00D12268" w:rsidRPr="003816D8" w:rsidRDefault="00D12268" w:rsidP="00BF261E">
            <w:pPr>
              <w:pStyle w:val="Tabletext1"/>
              <w:jc w:val="center"/>
              <w:rPr>
                <w:snapToGrid w:val="0"/>
                <w:lang w:eastAsia="en-US"/>
              </w:rPr>
            </w:pPr>
          </w:p>
        </w:tc>
        <w:tc>
          <w:tcPr>
            <w:tcW w:w="716" w:type="pct"/>
            <w:vAlign w:val="center"/>
          </w:tcPr>
          <w:p w14:paraId="29ED3B6F" w14:textId="77777777" w:rsidR="00D12268" w:rsidRPr="003816D8" w:rsidRDefault="00D12268" w:rsidP="00BF261E">
            <w:pPr>
              <w:pStyle w:val="Tabletext1"/>
              <w:jc w:val="center"/>
            </w:pPr>
          </w:p>
        </w:tc>
        <w:tc>
          <w:tcPr>
            <w:tcW w:w="1182" w:type="pct"/>
            <w:vAlign w:val="center"/>
          </w:tcPr>
          <w:p w14:paraId="0D0DDC08" w14:textId="77777777" w:rsidR="00D12268" w:rsidRPr="003816D8" w:rsidRDefault="00D12268" w:rsidP="00BF261E">
            <w:pPr>
              <w:pStyle w:val="Tabletext1"/>
              <w:jc w:val="center"/>
              <w:rPr>
                <w:rFonts w:cs="Calibri"/>
              </w:rPr>
            </w:pPr>
          </w:p>
        </w:tc>
        <w:tc>
          <w:tcPr>
            <w:tcW w:w="830" w:type="pct"/>
            <w:vAlign w:val="center"/>
          </w:tcPr>
          <w:p w14:paraId="67BED60D" w14:textId="77777777" w:rsidR="00D12268" w:rsidRPr="003816D8" w:rsidRDefault="00D12268" w:rsidP="00BF261E">
            <w:pPr>
              <w:pStyle w:val="Tabletext1"/>
              <w:jc w:val="center"/>
              <w:rPr>
                <w:rFonts w:cs="Calibri"/>
              </w:rPr>
            </w:pPr>
          </w:p>
        </w:tc>
      </w:tr>
      <w:tr w:rsidR="00D12268" w:rsidRPr="00F77E8D" w14:paraId="0083C6AE" w14:textId="77777777" w:rsidTr="005007E2">
        <w:tc>
          <w:tcPr>
            <w:tcW w:w="1429" w:type="pct"/>
          </w:tcPr>
          <w:p w14:paraId="28925A77" w14:textId="77777777" w:rsidR="00D12268" w:rsidRPr="0093540F" w:rsidRDefault="00D12268" w:rsidP="00556AB6">
            <w:pPr>
              <w:pStyle w:val="Tabletext1"/>
              <w:rPr>
                <w:b/>
                <w:i/>
                <w:snapToGrid w:val="0"/>
                <w:lang w:eastAsia="en-US"/>
              </w:rPr>
            </w:pPr>
            <w:r w:rsidRPr="0093540F">
              <w:rPr>
                <w:i/>
              </w:rPr>
              <w:t>Review images</w:t>
            </w:r>
          </w:p>
        </w:tc>
        <w:tc>
          <w:tcPr>
            <w:tcW w:w="843" w:type="pct"/>
            <w:vAlign w:val="center"/>
          </w:tcPr>
          <w:p w14:paraId="11A54174" w14:textId="77777777" w:rsidR="00D12268" w:rsidRPr="003816D8" w:rsidRDefault="00D12268" w:rsidP="00BF261E">
            <w:pPr>
              <w:pStyle w:val="Tabletext1"/>
              <w:jc w:val="center"/>
              <w:rPr>
                <w:snapToGrid w:val="0"/>
                <w:lang w:eastAsia="en-US"/>
              </w:rPr>
            </w:pPr>
            <w:r w:rsidRPr="0039712C">
              <w:t>Radiation Oncologist (x1)</w:t>
            </w:r>
          </w:p>
        </w:tc>
        <w:tc>
          <w:tcPr>
            <w:tcW w:w="716" w:type="pct"/>
            <w:vAlign w:val="center"/>
          </w:tcPr>
          <w:p w14:paraId="0BCCB7CA" w14:textId="77777777" w:rsidR="00D12268" w:rsidRPr="003816D8" w:rsidRDefault="00D12268" w:rsidP="00BF261E">
            <w:pPr>
              <w:pStyle w:val="Tabletext1"/>
              <w:jc w:val="center"/>
            </w:pPr>
            <w:r w:rsidRPr="0039712C">
              <w:t>3</w:t>
            </w:r>
          </w:p>
        </w:tc>
        <w:tc>
          <w:tcPr>
            <w:tcW w:w="1182" w:type="pct"/>
            <w:vAlign w:val="center"/>
          </w:tcPr>
          <w:p w14:paraId="47B38026" w14:textId="2CEFE6B7" w:rsidR="00D12268" w:rsidRPr="003816D8" w:rsidRDefault="00D12268" w:rsidP="00BF261E">
            <w:pPr>
              <w:pStyle w:val="Tabletext1"/>
              <w:jc w:val="center"/>
              <w:rPr>
                <w:rFonts w:cs="Calibri"/>
              </w:rPr>
            </w:pPr>
            <w:r w:rsidRPr="0039712C">
              <w:t>$5.35</w:t>
            </w:r>
          </w:p>
        </w:tc>
        <w:tc>
          <w:tcPr>
            <w:tcW w:w="830" w:type="pct"/>
            <w:vAlign w:val="center"/>
          </w:tcPr>
          <w:p w14:paraId="4C47FB62" w14:textId="7139EB9D" w:rsidR="00D12268" w:rsidRPr="00AE37CD" w:rsidRDefault="00D12268" w:rsidP="00BF261E">
            <w:pPr>
              <w:pStyle w:val="Tabletext1"/>
              <w:jc w:val="center"/>
              <w:rPr>
                <w:rFonts w:cs="Calibri"/>
                <w:b/>
              </w:rPr>
            </w:pPr>
            <w:r w:rsidRPr="0039712C">
              <w:t>$5.35</w:t>
            </w:r>
          </w:p>
        </w:tc>
      </w:tr>
      <w:tr w:rsidR="00D12268" w:rsidRPr="00F77E8D" w14:paraId="6F4367A6" w14:textId="77777777" w:rsidTr="005007E2">
        <w:tc>
          <w:tcPr>
            <w:tcW w:w="1429" w:type="pct"/>
          </w:tcPr>
          <w:p w14:paraId="5A69C026" w14:textId="77777777" w:rsidR="00D12268" w:rsidRPr="003816D8" w:rsidRDefault="00D12268" w:rsidP="00556AB6">
            <w:pPr>
              <w:pStyle w:val="Tabletext1"/>
              <w:rPr>
                <w:snapToGrid w:val="0"/>
                <w:lang w:eastAsia="en-US"/>
              </w:rPr>
            </w:pPr>
          </w:p>
        </w:tc>
        <w:tc>
          <w:tcPr>
            <w:tcW w:w="843" w:type="pct"/>
            <w:vAlign w:val="center"/>
          </w:tcPr>
          <w:p w14:paraId="25FD61D3" w14:textId="77777777" w:rsidR="00D12268" w:rsidRPr="003816D8" w:rsidRDefault="00D12268" w:rsidP="00BF261E">
            <w:pPr>
              <w:pStyle w:val="Tabletext1"/>
              <w:jc w:val="center"/>
              <w:rPr>
                <w:snapToGrid w:val="0"/>
                <w:lang w:eastAsia="en-US"/>
              </w:rPr>
            </w:pPr>
            <w:r w:rsidRPr="0039712C">
              <w:t>Dosimetrist (x1)</w:t>
            </w:r>
          </w:p>
        </w:tc>
        <w:tc>
          <w:tcPr>
            <w:tcW w:w="716" w:type="pct"/>
            <w:vAlign w:val="center"/>
          </w:tcPr>
          <w:p w14:paraId="049EAFCD" w14:textId="77777777" w:rsidR="00D12268" w:rsidRPr="003816D8" w:rsidRDefault="00D12268" w:rsidP="00BF261E">
            <w:pPr>
              <w:pStyle w:val="Tabletext1"/>
              <w:jc w:val="center"/>
            </w:pPr>
            <w:r w:rsidRPr="0039712C">
              <w:t>3</w:t>
            </w:r>
          </w:p>
        </w:tc>
        <w:tc>
          <w:tcPr>
            <w:tcW w:w="1182" w:type="pct"/>
            <w:vAlign w:val="center"/>
          </w:tcPr>
          <w:p w14:paraId="56CAFE46" w14:textId="61DBFE37" w:rsidR="00D12268" w:rsidRPr="003816D8" w:rsidRDefault="00D12268" w:rsidP="00BF261E">
            <w:pPr>
              <w:pStyle w:val="Tabletext1"/>
              <w:jc w:val="center"/>
              <w:rPr>
                <w:rFonts w:cs="Calibri"/>
              </w:rPr>
            </w:pPr>
            <w:r w:rsidRPr="0039712C">
              <w:t>$3.11</w:t>
            </w:r>
          </w:p>
        </w:tc>
        <w:tc>
          <w:tcPr>
            <w:tcW w:w="830" w:type="pct"/>
            <w:vAlign w:val="center"/>
          </w:tcPr>
          <w:p w14:paraId="4489A31D" w14:textId="580C959A" w:rsidR="00D12268" w:rsidRPr="003816D8" w:rsidRDefault="00D12268" w:rsidP="00BF261E">
            <w:pPr>
              <w:pStyle w:val="Tabletext1"/>
              <w:jc w:val="center"/>
              <w:rPr>
                <w:rFonts w:cs="Calibri"/>
              </w:rPr>
            </w:pPr>
            <w:r w:rsidRPr="0039712C">
              <w:t>$3.11</w:t>
            </w:r>
          </w:p>
        </w:tc>
      </w:tr>
      <w:tr w:rsidR="00D12268" w:rsidRPr="00F77E8D" w14:paraId="05A9E671" w14:textId="77777777" w:rsidTr="005007E2">
        <w:tc>
          <w:tcPr>
            <w:tcW w:w="1429" w:type="pct"/>
          </w:tcPr>
          <w:p w14:paraId="07EC3C86" w14:textId="77777777" w:rsidR="00D12268" w:rsidRPr="003816D8" w:rsidRDefault="00D12268" w:rsidP="00556AB6">
            <w:pPr>
              <w:pStyle w:val="Tabletext1"/>
              <w:rPr>
                <w:snapToGrid w:val="0"/>
                <w:lang w:eastAsia="en-US"/>
              </w:rPr>
            </w:pPr>
          </w:p>
        </w:tc>
        <w:tc>
          <w:tcPr>
            <w:tcW w:w="843" w:type="pct"/>
            <w:vAlign w:val="center"/>
          </w:tcPr>
          <w:p w14:paraId="0CDAA5D8" w14:textId="77777777" w:rsidR="00D12268" w:rsidRPr="003816D8" w:rsidRDefault="00D12268" w:rsidP="00BF261E">
            <w:pPr>
              <w:pStyle w:val="Tabletext1"/>
              <w:jc w:val="center"/>
              <w:rPr>
                <w:snapToGrid w:val="0"/>
                <w:lang w:eastAsia="en-US"/>
              </w:rPr>
            </w:pPr>
            <w:r w:rsidRPr="0039712C">
              <w:t>Radiation Therapist (x2)</w:t>
            </w:r>
          </w:p>
        </w:tc>
        <w:tc>
          <w:tcPr>
            <w:tcW w:w="716" w:type="pct"/>
            <w:vAlign w:val="center"/>
          </w:tcPr>
          <w:p w14:paraId="3B18F5AF" w14:textId="77777777" w:rsidR="00D12268" w:rsidRPr="003816D8" w:rsidRDefault="00D12268" w:rsidP="00BF261E">
            <w:pPr>
              <w:pStyle w:val="Tabletext1"/>
              <w:jc w:val="center"/>
            </w:pPr>
            <w:r w:rsidRPr="0039712C">
              <w:t>3</w:t>
            </w:r>
          </w:p>
        </w:tc>
        <w:tc>
          <w:tcPr>
            <w:tcW w:w="1182" w:type="pct"/>
            <w:vAlign w:val="center"/>
          </w:tcPr>
          <w:p w14:paraId="4796067A" w14:textId="66C03EBA" w:rsidR="00D12268" w:rsidRPr="003816D8" w:rsidRDefault="00D12268" w:rsidP="00BF261E">
            <w:pPr>
              <w:pStyle w:val="Tabletext1"/>
              <w:jc w:val="center"/>
              <w:rPr>
                <w:rFonts w:cs="Calibri"/>
              </w:rPr>
            </w:pPr>
            <w:r w:rsidRPr="0039712C">
              <w:t>$4.55</w:t>
            </w:r>
          </w:p>
        </w:tc>
        <w:tc>
          <w:tcPr>
            <w:tcW w:w="830" w:type="pct"/>
            <w:vAlign w:val="center"/>
          </w:tcPr>
          <w:p w14:paraId="6183503C" w14:textId="65A93C0D" w:rsidR="00D12268" w:rsidRPr="003816D8" w:rsidRDefault="00D12268" w:rsidP="00BF261E">
            <w:pPr>
              <w:pStyle w:val="Tabletext1"/>
              <w:jc w:val="center"/>
              <w:rPr>
                <w:rFonts w:cs="Calibri"/>
              </w:rPr>
            </w:pPr>
            <w:r w:rsidRPr="0039712C">
              <w:t>$4.55</w:t>
            </w:r>
          </w:p>
        </w:tc>
      </w:tr>
      <w:tr w:rsidR="00D12268" w:rsidRPr="00F77E8D" w14:paraId="500214B1" w14:textId="77777777" w:rsidTr="005007E2">
        <w:tc>
          <w:tcPr>
            <w:tcW w:w="1429" w:type="pct"/>
          </w:tcPr>
          <w:p w14:paraId="61FA2BF4" w14:textId="77777777" w:rsidR="00D12268" w:rsidRPr="0093540F" w:rsidRDefault="00D12268" w:rsidP="008B6FC0">
            <w:pPr>
              <w:pStyle w:val="Tabletext1"/>
              <w:keepNext/>
              <w:rPr>
                <w:b/>
                <w:snapToGrid w:val="0"/>
                <w:lang w:eastAsia="en-US"/>
              </w:rPr>
            </w:pPr>
            <w:r w:rsidRPr="0093540F">
              <w:rPr>
                <w:b/>
              </w:rPr>
              <w:lastRenderedPageBreak/>
              <w:t>After CT simulation</w:t>
            </w:r>
          </w:p>
        </w:tc>
        <w:tc>
          <w:tcPr>
            <w:tcW w:w="843" w:type="pct"/>
            <w:vAlign w:val="center"/>
          </w:tcPr>
          <w:p w14:paraId="5575249A" w14:textId="77777777" w:rsidR="00D12268" w:rsidRPr="003816D8" w:rsidRDefault="00D12268" w:rsidP="008B6FC0">
            <w:pPr>
              <w:pStyle w:val="Tabletext1"/>
              <w:keepNext/>
              <w:jc w:val="center"/>
              <w:rPr>
                <w:snapToGrid w:val="0"/>
                <w:lang w:eastAsia="en-US"/>
              </w:rPr>
            </w:pPr>
          </w:p>
        </w:tc>
        <w:tc>
          <w:tcPr>
            <w:tcW w:w="716" w:type="pct"/>
            <w:vAlign w:val="center"/>
          </w:tcPr>
          <w:p w14:paraId="0A0A168B" w14:textId="77777777" w:rsidR="00D12268" w:rsidRPr="003816D8" w:rsidRDefault="00D12268" w:rsidP="008B6FC0">
            <w:pPr>
              <w:pStyle w:val="Tabletext1"/>
              <w:keepNext/>
              <w:jc w:val="center"/>
            </w:pPr>
          </w:p>
        </w:tc>
        <w:tc>
          <w:tcPr>
            <w:tcW w:w="1182" w:type="pct"/>
            <w:vAlign w:val="center"/>
          </w:tcPr>
          <w:p w14:paraId="400F89DE" w14:textId="77777777" w:rsidR="00D12268" w:rsidRPr="003816D8" w:rsidRDefault="00D12268" w:rsidP="008B6FC0">
            <w:pPr>
              <w:pStyle w:val="Tabletext1"/>
              <w:keepNext/>
              <w:jc w:val="center"/>
              <w:rPr>
                <w:rFonts w:cs="Calibri"/>
              </w:rPr>
            </w:pPr>
          </w:p>
        </w:tc>
        <w:tc>
          <w:tcPr>
            <w:tcW w:w="830" w:type="pct"/>
            <w:vAlign w:val="center"/>
          </w:tcPr>
          <w:p w14:paraId="2F28EC68" w14:textId="77777777" w:rsidR="00D12268" w:rsidRPr="003816D8" w:rsidRDefault="00D12268" w:rsidP="008B6FC0">
            <w:pPr>
              <w:pStyle w:val="Tabletext1"/>
              <w:keepNext/>
              <w:jc w:val="center"/>
              <w:rPr>
                <w:rFonts w:cs="Calibri"/>
              </w:rPr>
            </w:pPr>
          </w:p>
        </w:tc>
      </w:tr>
      <w:tr w:rsidR="00D12268" w:rsidRPr="00F77E8D" w14:paraId="01941BB7" w14:textId="77777777" w:rsidTr="005007E2">
        <w:tc>
          <w:tcPr>
            <w:tcW w:w="1429" w:type="pct"/>
          </w:tcPr>
          <w:p w14:paraId="7AE0AC01" w14:textId="77777777" w:rsidR="00D12268" w:rsidRPr="003816D8" w:rsidRDefault="00D12268" w:rsidP="008B6FC0">
            <w:pPr>
              <w:pStyle w:val="Tabletext1"/>
              <w:keepNext/>
              <w:rPr>
                <w:snapToGrid w:val="0"/>
                <w:lang w:eastAsia="en-US"/>
              </w:rPr>
            </w:pPr>
            <w:r w:rsidRPr="0039712C">
              <w:t>Mark patient and device; answer questions; schedule treatment; complete documentation; clean equipment; finish reconstructing scan</w:t>
            </w:r>
          </w:p>
        </w:tc>
        <w:tc>
          <w:tcPr>
            <w:tcW w:w="843" w:type="pct"/>
            <w:vAlign w:val="center"/>
          </w:tcPr>
          <w:p w14:paraId="18339D2C" w14:textId="77777777" w:rsidR="00D12268" w:rsidRPr="003816D8" w:rsidRDefault="00D12268" w:rsidP="008B6FC0">
            <w:pPr>
              <w:pStyle w:val="Tabletext1"/>
              <w:keepNext/>
              <w:jc w:val="center"/>
              <w:rPr>
                <w:snapToGrid w:val="0"/>
                <w:lang w:eastAsia="en-US"/>
              </w:rPr>
            </w:pPr>
            <w:r w:rsidRPr="0039712C">
              <w:t>Radiation Therapist (x2)</w:t>
            </w:r>
          </w:p>
        </w:tc>
        <w:tc>
          <w:tcPr>
            <w:tcW w:w="716" w:type="pct"/>
            <w:vAlign w:val="center"/>
          </w:tcPr>
          <w:p w14:paraId="0F216FBD" w14:textId="77777777" w:rsidR="00D12268" w:rsidRPr="003816D8" w:rsidRDefault="00D12268" w:rsidP="008B6FC0">
            <w:pPr>
              <w:pStyle w:val="Tabletext1"/>
              <w:keepNext/>
              <w:jc w:val="center"/>
            </w:pPr>
            <w:r w:rsidRPr="0039712C">
              <w:t>13</w:t>
            </w:r>
          </w:p>
        </w:tc>
        <w:tc>
          <w:tcPr>
            <w:tcW w:w="1182" w:type="pct"/>
            <w:vAlign w:val="center"/>
          </w:tcPr>
          <w:p w14:paraId="10C85578" w14:textId="29E8131F" w:rsidR="00D12268" w:rsidRPr="003816D8" w:rsidRDefault="00D12268" w:rsidP="008B6FC0">
            <w:pPr>
              <w:pStyle w:val="Tabletext1"/>
              <w:keepNext/>
              <w:jc w:val="center"/>
              <w:rPr>
                <w:rFonts w:cs="Calibri"/>
              </w:rPr>
            </w:pPr>
            <w:r w:rsidRPr="0039712C">
              <w:t>$19.71</w:t>
            </w:r>
          </w:p>
        </w:tc>
        <w:tc>
          <w:tcPr>
            <w:tcW w:w="830" w:type="pct"/>
            <w:vAlign w:val="center"/>
          </w:tcPr>
          <w:p w14:paraId="70838BB9" w14:textId="73500771" w:rsidR="00D12268" w:rsidRPr="003816D8" w:rsidRDefault="00D12268" w:rsidP="008B6FC0">
            <w:pPr>
              <w:pStyle w:val="Tabletext1"/>
              <w:keepNext/>
              <w:jc w:val="center"/>
              <w:rPr>
                <w:rFonts w:cs="Calibri"/>
              </w:rPr>
            </w:pPr>
            <w:r w:rsidRPr="0039712C">
              <w:t>$19.71</w:t>
            </w:r>
          </w:p>
        </w:tc>
      </w:tr>
      <w:tr w:rsidR="00D12268" w:rsidRPr="00F77E8D" w14:paraId="51E57681" w14:textId="77777777" w:rsidTr="005007E2">
        <w:tc>
          <w:tcPr>
            <w:tcW w:w="1429" w:type="pct"/>
          </w:tcPr>
          <w:p w14:paraId="29F7F75A" w14:textId="77777777" w:rsidR="00D12268" w:rsidRPr="003816D8" w:rsidRDefault="00D12268" w:rsidP="008B6FC0">
            <w:pPr>
              <w:pStyle w:val="Tabletext1"/>
              <w:keepNext/>
              <w:rPr>
                <w:snapToGrid w:val="0"/>
                <w:lang w:eastAsia="en-US"/>
              </w:rPr>
            </w:pPr>
            <w:r w:rsidRPr="00897F52">
              <w:t>Remove IV from patient</w:t>
            </w:r>
          </w:p>
        </w:tc>
        <w:tc>
          <w:tcPr>
            <w:tcW w:w="843" w:type="pct"/>
            <w:vAlign w:val="center"/>
          </w:tcPr>
          <w:p w14:paraId="28D8F032" w14:textId="77777777" w:rsidR="00D12268" w:rsidRPr="003816D8" w:rsidRDefault="00D12268" w:rsidP="008B6FC0">
            <w:pPr>
              <w:pStyle w:val="Tabletext1"/>
              <w:keepNext/>
              <w:jc w:val="center"/>
              <w:rPr>
                <w:snapToGrid w:val="0"/>
                <w:lang w:eastAsia="en-US"/>
              </w:rPr>
            </w:pPr>
            <w:r w:rsidRPr="00897F52">
              <w:t>Nurse (x1)</w:t>
            </w:r>
          </w:p>
        </w:tc>
        <w:tc>
          <w:tcPr>
            <w:tcW w:w="716" w:type="pct"/>
            <w:vAlign w:val="center"/>
          </w:tcPr>
          <w:p w14:paraId="25836B7F" w14:textId="77777777" w:rsidR="00D12268" w:rsidRPr="003816D8" w:rsidRDefault="00D12268" w:rsidP="008B6FC0">
            <w:pPr>
              <w:pStyle w:val="Tabletext1"/>
              <w:keepNext/>
              <w:jc w:val="center"/>
            </w:pPr>
            <w:r w:rsidRPr="00897F52">
              <w:t>8</w:t>
            </w:r>
          </w:p>
        </w:tc>
        <w:tc>
          <w:tcPr>
            <w:tcW w:w="1182" w:type="pct"/>
            <w:vAlign w:val="center"/>
          </w:tcPr>
          <w:p w14:paraId="3DBFA13E" w14:textId="3DFDE689" w:rsidR="00D12268" w:rsidRPr="003816D8" w:rsidRDefault="00D12268" w:rsidP="008B6FC0">
            <w:pPr>
              <w:pStyle w:val="Tabletext1"/>
              <w:keepNext/>
              <w:jc w:val="center"/>
              <w:rPr>
                <w:rFonts w:cs="Calibri"/>
              </w:rPr>
            </w:pPr>
            <w:r w:rsidRPr="00897F52">
              <w:t>$4.93</w:t>
            </w:r>
          </w:p>
        </w:tc>
        <w:tc>
          <w:tcPr>
            <w:tcW w:w="830" w:type="pct"/>
            <w:vAlign w:val="center"/>
          </w:tcPr>
          <w:p w14:paraId="7B99AF42" w14:textId="20C148A7" w:rsidR="00D12268" w:rsidRPr="003816D8" w:rsidRDefault="00D12268" w:rsidP="008B6FC0">
            <w:pPr>
              <w:pStyle w:val="Tabletext1"/>
              <w:keepNext/>
              <w:jc w:val="center"/>
              <w:rPr>
                <w:rFonts w:cs="Calibri"/>
              </w:rPr>
            </w:pPr>
            <w:r w:rsidRPr="00897F52">
              <w:t>$4.93</w:t>
            </w:r>
          </w:p>
        </w:tc>
      </w:tr>
      <w:tr w:rsidR="00D12268" w:rsidRPr="00F77E8D" w14:paraId="60E7DA74" w14:textId="77777777" w:rsidTr="005007E2">
        <w:tc>
          <w:tcPr>
            <w:tcW w:w="1429" w:type="pct"/>
          </w:tcPr>
          <w:p w14:paraId="6B0012B2" w14:textId="77777777" w:rsidR="00D12268" w:rsidRPr="003B67C8" w:rsidRDefault="00D12268" w:rsidP="00556AB6">
            <w:pPr>
              <w:pStyle w:val="Tabletext1"/>
              <w:rPr>
                <w:b/>
                <w:snapToGrid w:val="0"/>
                <w:lang w:eastAsia="en-US"/>
              </w:rPr>
            </w:pPr>
            <w:r w:rsidRPr="003B67C8">
              <w:rPr>
                <w:b/>
              </w:rPr>
              <w:t>Total</w:t>
            </w:r>
          </w:p>
        </w:tc>
        <w:tc>
          <w:tcPr>
            <w:tcW w:w="843" w:type="pct"/>
            <w:vAlign w:val="center"/>
          </w:tcPr>
          <w:p w14:paraId="7CDA1CB7" w14:textId="77777777" w:rsidR="00D12268" w:rsidRPr="003B67C8" w:rsidRDefault="00D12268" w:rsidP="00BF261E">
            <w:pPr>
              <w:pStyle w:val="Tabletext1"/>
              <w:jc w:val="center"/>
              <w:rPr>
                <w:b/>
                <w:snapToGrid w:val="0"/>
                <w:lang w:eastAsia="en-US"/>
              </w:rPr>
            </w:pPr>
          </w:p>
        </w:tc>
        <w:tc>
          <w:tcPr>
            <w:tcW w:w="716" w:type="pct"/>
            <w:vAlign w:val="center"/>
          </w:tcPr>
          <w:p w14:paraId="568C819B" w14:textId="77777777" w:rsidR="00D12268" w:rsidRPr="003B67C8" w:rsidRDefault="00D12268" w:rsidP="00BF261E">
            <w:pPr>
              <w:pStyle w:val="Tabletext1"/>
              <w:jc w:val="center"/>
              <w:rPr>
                <w:b/>
              </w:rPr>
            </w:pPr>
          </w:p>
        </w:tc>
        <w:tc>
          <w:tcPr>
            <w:tcW w:w="1182" w:type="pct"/>
            <w:vAlign w:val="center"/>
          </w:tcPr>
          <w:p w14:paraId="6754EB27" w14:textId="351B424B" w:rsidR="00D12268" w:rsidRPr="003B67C8" w:rsidRDefault="00D12268" w:rsidP="00BF261E">
            <w:pPr>
              <w:pStyle w:val="Tabletext1"/>
              <w:jc w:val="center"/>
              <w:rPr>
                <w:rFonts w:cs="Calibri"/>
                <w:b/>
              </w:rPr>
            </w:pPr>
            <w:r w:rsidRPr="003B67C8">
              <w:rPr>
                <w:b/>
              </w:rPr>
              <w:t>$124.83</w:t>
            </w:r>
          </w:p>
        </w:tc>
        <w:tc>
          <w:tcPr>
            <w:tcW w:w="830" w:type="pct"/>
            <w:vAlign w:val="center"/>
          </w:tcPr>
          <w:p w14:paraId="3FCE1AD3" w14:textId="1497FEF9" w:rsidR="00D12268" w:rsidRPr="003B67C8" w:rsidRDefault="00D12268" w:rsidP="00BF261E">
            <w:pPr>
              <w:pStyle w:val="Tabletext1"/>
              <w:jc w:val="center"/>
              <w:rPr>
                <w:rFonts w:cs="Calibri"/>
                <w:b/>
              </w:rPr>
            </w:pPr>
            <w:r w:rsidRPr="003B67C8">
              <w:rPr>
                <w:b/>
              </w:rPr>
              <w:t>$115.73</w:t>
            </w:r>
          </w:p>
        </w:tc>
      </w:tr>
      <w:tr w:rsidR="00D12268" w:rsidRPr="00F77E8D" w14:paraId="1049E36E" w14:textId="77777777" w:rsidTr="005007E2">
        <w:tc>
          <w:tcPr>
            <w:tcW w:w="1429" w:type="pct"/>
          </w:tcPr>
          <w:p w14:paraId="0C38BE33" w14:textId="77777777" w:rsidR="00D12268" w:rsidRPr="003816D8" w:rsidRDefault="00D12268" w:rsidP="00556AB6">
            <w:pPr>
              <w:pStyle w:val="Tabletext1"/>
              <w:rPr>
                <w:snapToGrid w:val="0"/>
                <w:lang w:eastAsia="en-US"/>
              </w:rPr>
            </w:pPr>
            <w:r>
              <w:rPr>
                <w:b/>
                <w:snapToGrid w:val="0"/>
                <w:lang w:eastAsia="en-US"/>
              </w:rPr>
              <w:t xml:space="preserve">Step - </w:t>
            </w:r>
            <w:r w:rsidRPr="005726B2">
              <w:rPr>
                <w:b/>
                <w:snapToGrid w:val="0"/>
                <w:lang w:eastAsia="en-US"/>
              </w:rPr>
              <w:t>Process map reflecting simulation</w:t>
            </w:r>
            <w:r>
              <w:rPr>
                <w:b/>
                <w:snapToGrid w:val="0"/>
                <w:lang w:eastAsia="en-US"/>
              </w:rPr>
              <w:t xml:space="preserve"> (specific to MR-guided SBRT)</w:t>
            </w:r>
          </w:p>
        </w:tc>
        <w:tc>
          <w:tcPr>
            <w:tcW w:w="843" w:type="pct"/>
            <w:vAlign w:val="center"/>
          </w:tcPr>
          <w:p w14:paraId="77E574EE" w14:textId="77777777" w:rsidR="00D12268" w:rsidRPr="003816D8" w:rsidRDefault="00D12268" w:rsidP="00BF261E">
            <w:pPr>
              <w:pStyle w:val="Tabletext1"/>
              <w:jc w:val="center"/>
              <w:rPr>
                <w:snapToGrid w:val="0"/>
                <w:lang w:eastAsia="en-US"/>
              </w:rPr>
            </w:pPr>
          </w:p>
        </w:tc>
        <w:tc>
          <w:tcPr>
            <w:tcW w:w="716" w:type="pct"/>
            <w:vAlign w:val="center"/>
          </w:tcPr>
          <w:p w14:paraId="38C3B676" w14:textId="77777777" w:rsidR="00D12268" w:rsidRPr="003816D8" w:rsidRDefault="00D12268" w:rsidP="00BF261E">
            <w:pPr>
              <w:pStyle w:val="Tabletext1"/>
              <w:jc w:val="center"/>
            </w:pPr>
          </w:p>
        </w:tc>
        <w:tc>
          <w:tcPr>
            <w:tcW w:w="1182" w:type="pct"/>
            <w:vAlign w:val="center"/>
          </w:tcPr>
          <w:p w14:paraId="473BAB34" w14:textId="77777777" w:rsidR="00D12268" w:rsidRPr="003816D8" w:rsidRDefault="00D12268" w:rsidP="00BF261E">
            <w:pPr>
              <w:pStyle w:val="Tabletext1"/>
              <w:jc w:val="center"/>
              <w:rPr>
                <w:rFonts w:cs="Calibri"/>
              </w:rPr>
            </w:pPr>
          </w:p>
        </w:tc>
        <w:tc>
          <w:tcPr>
            <w:tcW w:w="830" w:type="pct"/>
            <w:vAlign w:val="center"/>
          </w:tcPr>
          <w:p w14:paraId="5723B7AA" w14:textId="77777777" w:rsidR="00D12268" w:rsidRPr="003816D8" w:rsidRDefault="00D12268" w:rsidP="00BF261E">
            <w:pPr>
              <w:pStyle w:val="Tabletext1"/>
              <w:jc w:val="center"/>
              <w:rPr>
                <w:rFonts w:cs="Calibri"/>
              </w:rPr>
            </w:pPr>
          </w:p>
        </w:tc>
      </w:tr>
      <w:tr w:rsidR="00D12268" w:rsidRPr="00F77E8D" w14:paraId="167CEA39" w14:textId="77777777" w:rsidTr="005007E2">
        <w:tc>
          <w:tcPr>
            <w:tcW w:w="1429" w:type="pct"/>
          </w:tcPr>
          <w:p w14:paraId="7DA6B14C" w14:textId="77777777" w:rsidR="00D12268" w:rsidRPr="003639FC" w:rsidRDefault="00D12268" w:rsidP="00556AB6">
            <w:pPr>
              <w:pStyle w:val="Tabletext1"/>
              <w:rPr>
                <w:b/>
                <w:snapToGrid w:val="0"/>
                <w:lang w:eastAsia="en-US"/>
              </w:rPr>
            </w:pPr>
            <w:r w:rsidRPr="003639FC">
              <w:rPr>
                <w:b/>
              </w:rPr>
              <w:t>Transfer patient from CT; review MR simulation orders and set up instructions</w:t>
            </w:r>
          </w:p>
        </w:tc>
        <w:tc>
          <w:tcPr>
            <w:tcW w:w="843" w:type="pct"/>
            <w:vAlign w:val="center"/>
          </w:tcPr>
          <w:p w14:paraId="7EECB59B" w14:textId="77777777" w:rsidR="00D12268" w:rsidRPr="003816D8" w:rsidRDefault="00D12268" w:rsidP="00BF261E">
            <w:pPr>
              <w:pStyle w:val="Tabletext1"/>
              <w:jc w:val="center"/>
              <w:rPr>
                <w:snapToGrid w:val="0"/>
                <w:lang w:eastAsia="en-US"/>
              </w:rPr>
            </w:pPr>
            <w:r w:rsidRPr="00F33562">
              <w:t>Radiation Therapist (x2)</w:t>
            </w:r>
          </w:p>
        </w:tc>
        <w:tc>
          <w:tcPr>
            <w:tcW w:w="716" w:type="pct"/>
            <w:vAlign w:val="center"/>
          </w:tcPr>
          <w:p w14:paraId="59FFE508" w14:textId="77777777" w:rsidR="00D12268" w:rsidRPr="003816D8" w:rsidRDefault="00D12268" w:rsidP="00BF261E">
            <w:pPr>
              <w:pStyle w:val="Tabletext1"/>
              <w:jc w:val="center"/>
            </w:pPr>
            <w:r w:rsidRPr="00F33562">
              <w:t>5</w:t>
            </w:r>
          </w:p>
        </w:tc>
        <w:tc>
          <w:tcPr>
            <w:tcW w:w="1182" w:type="pct"/>
            <w:vAlign w:val="center"/>
          </w:tcPr>
          <w:p w14:paraId="49024922" w14:textId="250417FD" w:rsidR="00D12268" w:rsidRPr="003816D8" w:rsidRDefault="00D12268" w:rsidP="00BF261E">
            <w:pPr>
              <w:pStyle w:val="Tabletext1"/>
              <w:jc w:val="center"/>
              <w:rPr>
                <w:rFonts w:cs="Calibri"/>
              </w:rPr>
            </w:pPr>
            <w:r w:rsidRPr="00F33562">
              <w:t>$7.58</w:t>
            </w:r>
          </w:p>
        </w:tc>
        <w:tc>
          <w:tcPr>
            <w:tcW w:w="830" w:type="pct"/>
            <w:vAlign w:val="center"/>
          </w:tcPr>
          <w:p w14:paraId="77BC8666" w14:textId="77777777" w:rsidR="00D12268" w:rsidRPr="003816D8" w:rsidRDefault="00D12268" w:rsidP="00BF261E">
            <w:pPr>
              <w:pStyle w:val="Tabletext1"/>
              <w:jc w:val="center"/>
              <w:rPr>
                <w:rFonts w:cs="Calibri"/>
              </w:rPr>
            </w:pPr>
            <w:r>
              <w:rPr>
                <w:rFonts w:cs="Calibri"/>
              </w:rPr>
              <w:t>-</w:t>
            </w:r>
          </w:p>
        </w:tc>
      </w:tr>
      <w:tr w:rsidR="00D12268" w:rsidRPr="00F77E8D" w14:paraId="1488358B" w14:textId="77777777" w:rsidTr="005007E2">
        <w:tc>
          <w:tcPr>
            <w:tcW w:w="1429" w:type="pct"/>
          </w:tcPr>
          <w:p w14:paraId="5132473A" w14:textId="77777777" w:rsidR="00D12268" w:rsidRPr="003639FC" w:rsidRDefault="00D12268" w:rsidP="00556AB6">
            <w:pPr>
              <w:pStyle w:val="Tabletext1"/>
              <w:rPr>
                <w:b/>
                <w:snapToGrid w:val="0"/>
                <w:lang w:eastAsia="en-US"/>
              </w:rPr>
            </w:pPr>
            <w:r w:rsidRPr="003639FC">
              <w:rPr>
                <w:b/>
              </w:rPr>
              <w:t>Perform MR clearance; administer Eovist; position patient; coach patient on DIBH</w:t>
            </w:r>
          </w:p>
        </w:tc>
        <w:tc>
          <w:tcPr>
            <w:tcW w:w="843" w:type="pct"/>
            <w:vAlign w:val="center"/>
          </w:tcPr>
          <w:p w14:paraId="10E35098" w14:textId="77777777" w:rsidR="00D12268" w:rsidRPr="003816D8" w:rsidRDefault="00D12268" w:rsidP="00BF261E">
            <w:pPr>
              <w:pStyle w:val="Tabletext1"/>
              <w:jc w:val="center"/>
              <w:rPr>
                <w:snapToGrid w:val="0"/>
                <w:lang w:eastAsia="en-US"/>
              </w:rPr>
            </w:pPr>
            <w:r w:rsidRPr="00F33562">
              <w:t>Radiation Therapist (x2)</w:t>
            </w:r>
          </w:p>
        </w:tc>
        <w:tc>
          <w:tcPr>
            <w:tcW w:w="716" w:type="pct"/>
            <w:vAlign w:val="center"/>
          </w:tcPr>
          <w:p w14:paraId="7B97867F" w14:textId="77777777" w:rsidR="00D12268" w:rsidRPr="003816D8" w:rsidRDefault="00D12268" w:rsidP="00BF261E">
            <w:pPr>
              <w:pStyle w:val="Tabletext1"/>
              <w:jc w:val="center"/>
            </w:pPr>
            <w:r w:rsidRPr="00F33562">
              <w:t>18</w:t>
            </w:r>
          </w:p>
        </w:tc>
        <w:tc>
          <w:tcPr>
            <w:tcW w:w="1182" w:type="pct"/>
            <w:vAlign w:val="center"/>
          </w:tcPr>
          <w:p w14:paraId="7F0FA793" w14:textId="409B8181" w:rsidR="00D12268" w:rsidRPr="003816D8" w:rsidRDefault="00D12268" w:rsidP="00BF261E">
            <w:pPr>
              <w:pStyle w:val="Tabletext1"/>
              <w:jc w:val="center"/>
              <w:rPr>
                <w:rFonts w:cs="Calibri"/>
              </w:rPr>
            </w:pPr>
            <w:r w:rsidRPr="00F33562">
              <w:t>$27.29</w:t>
            </w:r>
          </w:p>
        </w:tc>
        <w:tc>
          <w:tcPr>
            <w:tcW w:w="830" w:type="pct"/>
            <w:vAlign w:val="center"/>
          </w:tcPr>
          <w:p w14:paraId="169CB2E8" w14:textId="77777777" w:rsidR="00D12268" w:rsidRPr="003816D8" w:rsidRDefault="00D12268" w:rsidP="00BF261E">
            <w:pPr>
              <w:pStyle w:val="Tabletext1"/>
              <w:jc w:val="center"/>
              <w:rPr>
                <w:rFonts w:cs="Calibri"/>
              </w:rPr>
            </w:pPr>
            <w:r>
              <w:rPr>
                <w:rFonts w:cs="Calibri"/>
              </w:rPr>
              <w:t>-</w:t>
            </w:r>
          </w:p>
        </w:tc>
      </w:tr>
      <w:tr w:rsidR="00D12268" w:rsidRPr="00F77E8D" w14:paraId="57BC1CF7" w14:textId="77777777" w:rsidTr="00556AB6">
        <w:tc>
          <w:tcPr>
            <w:tcW w:w="1429" w:type="pct"/>
          </w:tcPr>
          <w:p w14:paraId="487ABF02" w14:textId="77777777" w:rsidR="00D12268" w:rsidRPr="003639FC" w:rsidRDefault="00D12268" w:rsidP="00556AB6">
            <w:pPr>
              <w:pStyle w:val="Tabletext1"/>
              <w:rPr>
                <w:b/>
                <w:snapToGrid w:val="0"/>
                <w:lang w:eastAsia="en-US"/>
              </w:rPr>
            </w:pPr>
            <w:r w:rsidRPr="003639FC">
              <w:rPr>
                <w:b/>
              </w:rPr>
              <w:t>MR simulation/ review</w:t>
            </w:r>
          </w:p>
        </w:tc>
        <w:tc>
          <w:tcPr>
            <w:tcW w:w="843" w:type="pct"/>
          </w:tcPr>
          <w:p w14:paraId="27FE7B55" w14:textId="77777777" w:rsidR="00D12268" w:rsidRPr="003816D8" w:rsidRDefault="00D12268" w:rsidP="00BF261E">
            <w:pPr>
              <w:pStyle w:val="Tabletext1"/>
              <w:jc w:val="center"/>
              <w:rPr>
                <w:snapToGrid w:val="0"/>
                <w:lang w:eastAsia="en-US"/>
              </w:rPr>
            </w:pPr>
          </w:p>
        </w:tc>
        <w:tc>
          <w:tcPr>
            <w:tcW w:w="716" w:type="pct"/>
          </w:tcPr>
          <w:p w14:paraId="68CE29EB" w14:textId="77777777" w:rsidR="00D12268" w:rsidRPr="003816D8" w:rsidRDefault="00D12268" w:rsidP="00BF261E">
            <w:pPr>
              <w:pStyle w:val="Tabletext1"/>
              <w:jc w:val="center"/>
            </w:pPr>
          </w:p>
        </w:tc>
        <w:tc>
          <w:tcPr>
            <w:tcW w:w="1182" w:type="pct"/>
          </w:tcPr>
          <w:p w14:paraId="482B057F" w14:textId="77777777" w:rsidR="00D12268" w:rsidRPr="003816D8" w:rsidRDefault="00D12268" w:rsidP="00BF261E">
            <w:pPr>
              <w:pStyle w:val="Tabletext1"/>
              <w:jc w:val="center"/>
              <w:rPr>
                <w:rFonts w:cs="Calibri"/>
              </w:rPr>
            </w:pPr>
          </w:p>
        </w:tc>
        <w:tc>
          <w:tcPr>
            <w:tcW w:w="830" w:type="pct"/>
          </w:tcPr>
          <w:p w14:paraId="357EACE8" w14:textId="77777777" w:rsidR="00D12268" w:rsidRPr="003816D8" w:rsidRDefault="00D12268" w:rsidP="00BF261E">
            <w:pPr>
              <w:pStyle w:val="Tabletext1"/>
              <w:jc w:val="center"/>
              <w:rPr>
                <w:rFonts w:cs="Calibri"/>
              </w:rPr>
            </w:pPr>
          </w:p>
        </w:tc>
      </w:tr>
      <w:tr w:rsidR="00D12268" w:rsidRPr="00F77E8D" w14:paraId="1D9D2B04" w14:textId="77777777" w:rsidTr="005007E2">
        <w:tc>
          <w:tcPr>
            <w:tcW w:w="1429" w:type="pct"/>
          </w:tcPr>
          <w:p w14:paraId="66B02404" w14:textId="77777777" w:rsidR="00D12268" w:rsidRPr="003639FC" w:rsidRDefault="00D12268" w:rsidP="00556AB6">
            <w:pPr>
              <w:pStyle w:val="Tabletext1"/>
              <w:rPr>
                <w:i/>
                <w:snapToGrid w:val="0"/>
                <w:lang w:eastAsia="en-US"/>
              </w:rPr>
            </w:pPr>
            <w:r w:rsidRPr="003639FC">
              <w:rPr>
                <w:i/>
              </w:rPr>
              <w:t>Perform MR simulation; page MD and physicist</w:t>
            </w:r>
          </w:p>
        </w:tc>
        <w:tc>
          <w:tcPr>
            <w:tcW w:w="843" w:type="pct"/>
            <w:vAlign w:val="center"/>
          </w:tcPr>
          <w:p w14:paraId="0E62AA10" w14:textId="77777777" w:rsidR="00D12268" w:rsidRPr="003816D8" w:rsidRDefault="00D12268" w:rsidP="00BF261E">
            <w:pPr>
              <w:pStyle w:val="Tabletext1"/>
              <w:jc w:val="center"/>
              <w:rPr>
                <w:snapToGrid w:val="0"/>
                <w:lang w:eastAsia="en-US"/>
              </w:rPr>
            </w:pPr>
            <w:r w:rsidRPr="00F33562">
              <w:t>Radiation Therapist (x2)</w:t>
            </w:r>
          </w:p>
        </w:tc>
        <w:tc>
          <w:tcPr>
            <w:tcW w:w="716" w:type="pct"/>
            <w:vAlign w:val="center"/>
          </w:tcPr>
          <w:p w14:paraId="7A22DDE8" w14:textId="77777777" w:rsidR="00D12268" w:rsidRPr="003816D8" w:rsidRDefault="00D12268" w:rsidP="00BF261E">
            <w:pPr>
              <w:pStyle w:val="Tabletext1"/>
              <w:jc w:val="center"/>
            </w:pPr>
            <w:r w:rsidRPr="00F33562">
              <w:t>15</w:t>
            </w:r>
          </w:p>
        </w:tc>
        <w:tc>
          <w:tcPr>
            <w:tcW w:w="1182" w:type="pct"/>
            <w:vAlign w:val="center"/>
          </w:tcPr>
          <w:p w14:paraId="26A81308" w14:textId="561BD73B" w:rsidR="00D12268" w:rsidRPr="003816D8" w:rsidRDefault="00D12268" w:rsidP="00BF261E">
            <w:pPr>
              <w:pStyle w:val="Tabletext1"/>
              <w:jc w:val="center"/>
              <w:rPr>
                <w:rFonts w:cs="Calibri"/>
              </w:rPr>
            </w:pPr>
            <w:r w:rsidRPr="00F33562">
              <w:t>$22.75</w:t>
            </w:r>
          </w:p>
        </w:tc>
        <w:tc>
          <w:tcPr>
            <w:tcW w:w="830" w:type="pct"/>
            <w:vAlign w:val="center"/>
          </w:tcPr>
          <w:p w14:paraId="18EED63A" w14:textId="77777777" w:rsidR="00D12268" w:rsidRPr="003816D8" w:rsidRDefault="00D12268" w:rsidP="00BF261E">
            <w:pPr>
              <w:pStyle w:val="Tabletext1"/>
              <w:jc w:val="center"/>
              <w:rPr>
                <w:rFonts w:cs="Calibri"/>
              </w:rPr>
            </w:pPr>
            <w:r>
              <w:rPr>
                <w:rFonts w:cs="Calibri"/>
              </w:rPr>
              <w:t>-</w:t>
            </w:r>
          </w:p>
        </w:tc>
      </w:tr>
      <w:tr w:rsidR="00D12268" w:rsidRPr="00F77E8D" w14:paraId="1321F960" w14:textId="77777777" w:rsidTr="005007E2">
        <w:tc>
          <w:tcPr>
            <w:tcW w:w="1429" w:type="pct"/>
          </w:tcPr>
          <w:p w14:paraId="3187F7EB" w14:textId="77777777" w:rsidR="00D12268" w:rsidRPr="003639FC" w:rsidRDefault="00D12268" w:rsidP="00556AB6">
            <w:pPr>
              <w:pStyle w:val="Tabletext1"/>
              <w:rPr>
                <w:i/>
                <w:snapToGrid w:val="0"/>
                <w:lang w:eastAsia="en-US"/>
              </w:rPr>
            </w:pPr>
            <w:r w:rsidRPr="003639FC">
              <w:rPr>
                <w:i/>
              </w:rPr>
              <w:t>Review imaging and localize tumor</w:t>
            </w:r>
          </w:p>
        </w:tc>
        <w:tc>
          <w:tcPr>
            <w:tcW w:w="843" w:type="pct"/>
            <w:vAlign w:val="center"/>
          </w:tcPr>
          <w:p w14:paraId="483EC671" w14:textId="77777777" w:rsidR="00D12268" w:rsidRPr="003816D8" w:rsidRDefault="00D12268" w:rsidP="00BF261E">
            <w:pPr>
              <w:pStyle w:val="Tabletext1"/>
              <w:jc w:val="center"/>
              <w:rPr>
                <w:snapToGrid w:val="0"/>
                <w:lang w:eastAsia="en-US"/>
              </w:rPr>
            </w:pPr>
            <w:r w:rsidRPr="00F33562">
              <w:t>Radiation Oncologist (x1)</w:t>
            </w:r>
          </w:p>
        </w:tc>
        <w:tc>
          <w:tcPr>
            <w:tcW w:w="716" w:type="pct"/>
            <w:vAlign w:val="center"/>
          </w:tcPr>
          <w:p w14:paraId="2B4FAF40" w14:textId="77777777" w:rsidR="00D12268" w:rsidRPr="003816D8" w:rsidRDefault="00D12268" w:rsidP="00BF261E">
            <w:pPr>
              <w:pStyle w:val="Tabletext1"/>
              <w:jc w:val="center"/>
            </w:pPr>
            <w:r w:rsidRPr="00F33562">
              <w:t>3</w:t>
            </w:r>
          </w:p>
        </w:tc>
        <w:tc>
          <w:tcPr>
            <w:tcW w:w="1182" w:type="pct"/>
            <w:vAlign w:val="center"/>
          </w:tcPr>
          <w:p w14:paraId="2B02E7B1" w14:textId="3BEF7573" w:rsidR="00D12268" w:rsidRPr="003816D8" w:rsidRDefault="00D12268" w:rsidP="00BF261E">
            <w:pPr>
              <w:pStyle w:val="Tabletext1"/>
              <w:jc w:val="center"/>
              <w:rPr>
                <w:rFonts w:cs="Calibri"/>
              </w:rPr>
            </w:pPr>
            <w:r w:rsidRPr="00F33562">
              <w:t>$5.35</w:t>
            </w:r>
          </w:p>
        </w:tc>
        <w:tc>
          <w:tcPr>
            <w:tcW w:w="830" w:type="pct"/>
            <w:vAlign w:val="center"/>
          </w:tcPr>
          <w:p w14:paraId="297F490B" w14:textId="77777777" w:rsidR="00D12268" w:rsidRPr="00E94125" w:rsidRDefault="00D12268" w:rsidP="00BF261E">
            <w:pPr>
              <w:pStyle w:val="Tabletext1"/>
              <w:jc w:val="center"/>
              <w:rPr>
                <w:rFonts w:cs="Calibri"/>
                <w:b/>
              </w:rPr>
            </w:pPr>
            <w:r>
              <w:rPr>
                <w:rFonts w:cs="Calibri"/>
                <w:b/>
              </w:rPr>
              <w:t>-</w:t>
            </w:r>
          </w:p>
        </w:tc>
      </w:tr>
      <w:tr w:rsidR="00D12268" w:rsidRPr="00F77E8D" w14:paraId="29DA8984" w14:textId="77777777" w:rsidTr="005007E2">
        <w:tc>
          <w:tcPr>
            <w:tcW w:w="1429" w:type="pct"/>
          </w:tcPr>
          <w:p w14:paraId="19688B34" w14:textId="77777777" w:rsidR="00D12268" w:rsidRPr="003639FC" w:rsidRDefault="00D12268" w:rsidP="00556AB6">
            <w:pPr>
              <w:pStyle w:val="Tabletext1"/>
              <w:rPr>
                <w:b/>
                <w:i/>
                <w:snapToGrid w:val="0"/>
                <w:lang w:eastAsia="en-US"/>
              </w:rPr>
            </w:pPr>
            <w:r w:rsidRPr="003639FC">
              <w:rPr>
                <w:i/>
              </w:rPr>
              <w:t>Provide guidance on scan limits and protocol</w:t>
            </w:r>
          </w:p>
        </w:tc>
        <w:tc>
          <w:tcPr>
            <w:tcW w:w="843" w:type="pct"/>
            <w:vAlign w:val="center"/>
          </w:tcPr>
          <w:p w14:paraId="5AB10DA0" w14:textId="77777777" w:rsidR="00D12268" w:rsidRPr="003816D8" w:rsidRDefault="00D12268" w:rsidP="00BF261E">
            <w:pPr>
              <w:pStyle w:val="Tabletext1"/>
              <w:jc w:val="center"/>
              <w:rPr>
                <w:snapToGrid w:val="0"/>
                <w:lang w:eastAsia="en-US"/>
              </w:rPr>
            </w:pPr>
            <w:r w:rsidRPr="00F33562">
              <w:t>Medical Physicist (x1)</w:t>
            </w:r>
          </w:p>
        </w:tc>
        <w:tc>
          <w:tcPr>
            <w:tcW w:w="716" w:type="pct"/>
            <w:vAlign w:val="center"/>
          </w:tcPr>
          <w:p w14:paraId="556494C1" w14:textId="77777777" w:rsidR="00D12268" w:rsidRPr="003816D8" w:rsidRDefault="00D12268" w:rsidP="00BF261E">
            <w:pPr>
              <w:pStyle w:val="Tabletext1"/>
              <w:jc w:val="center"/>
            </w:pPr>
            <w:r w:rsidRPr="00F33562">
              <w:t>8</w:t>
            </w:r>
          </w:p>
        </w:tc>
        <w:tc>
          <w:tcPr>
            <w:tcW w:w="1182" w:type="pct"/>
            <w:vAlign w:val="center"/>
          </w:tcPr>
          <w:p w14:paraId="0EABA3F5" w14:textId="0D2CD8C0" w:rsidR="00D12268" w:rsidRPr="003816D8" w:rsidRDefault="00D12268" w:rsidP="00BF261E">
            <w:pPr>
              <w:pStyle w:val="Tabletext1"/>
              <w:jc w:val="center"/>
              <w:rPr>
                <w:rFonts w:cs="Calibri"/>
              </w:rPr>
            </w:pPr>
            <w:r w:rsidRPr="00F33562">
              <w:t>$5.47</w:t>
            </w:r>
          </w:p>
        </w:tc>
        <w:tc>
          <w:tcPr>
            <w:tcW w:w="830" w:type="pct"/>
            <w:vAlign w:val="center"/>
          </w:tcPr>
          <w:p w14:paraId="69BD9A6F" w14:textId="77777777" w:rsidR="00D12268" w:rsidRPr="00DE2C76" w:rsidRDefault="00D12268" w:rsidP="00BF261E">
            <w:pPr>
              <w:pStyle w:val="Tabletext1"/>
              <w:jc w:val="center"/>
              <w:rPr>
                <w:rFonts w:cs="Calibri"/>
                <w:b/>
              </w:rPr>
            </w:pPr>
            <w:r>
              <w:rPr>
                <w:rFonts w:cs="Calibri"/>
                <w:b/>
              </w:rPr>
              <w:t>-</w:t>
            </w:r>
          </w:p>
        </w:tc>
      </w:tr>
      <w:tr w:rsidR="00D12268" w:rsidRPr="00F77E8D" w14:paraId="6C11E2CC" w14:textId="77777777" w:rsidTr="005007E2">
        <w:tc>
          <w:tcPr>
            <w:tcW w:w="1429" w:type="pct"/>
          </w:tcPr>
          <w:p w14:paraId="3FDA43BA" w14:textId="77777777" w:rsidR="00D12268" w:rsidRPr="003639FC" w:rsidRDefault="00D12268" w:rsidP="00556AB6">
            <w:pPr>
              <w:pStyle w:val="Tabletext1"/>
              <w:rPr>
                <w:b/>
                <w:snapToGrid w:val="0"/>
                <w:lang w:eastAsia="en-US"/>
              </w:rPr>
            </w:pPr>
            <w:r w:rsidRPr="003639FC">
              <w:rPr>
                <w:b/>
              </w:rPr>
              <w:t>After MR simulation</w:t>
            </w:r>
          </w:p>
        </w:tc>
        <w:tc>
          <w:tcPr>
            <w:tcW w:w="843" w:type="pct"/>
            <w:vAlign w:val="center"/>
          </w:tcPr>
          <w:p w14:paraId="336507F2" w14:textId="77777777" w:rsidR="00D12268" w:rsidRPr="003816D8" w:rsidRDefault="00D12268" w:rsidP="00BF261E">
            <w:pPr>
              <w:pStyle w:val="Tabletext1"/>
              <w:jc w:val="center"/>
              <w:rPr>
                <w:snapToGrid w:val="0"/>
                <w:lang w:eastAsia="en-US"/>
              </w:rPr>
            </w:pPr>
          </w:p>
        </w:tc>
        <w:tc>
          <w:tcPr>
            <w:tcW w:w="716" w:type="pct"/>
            <w:vAlign w:val="center"/>
          </w:tcPr>
          <w:p w14:paraId="45EE8C6E" w14:textId="77777777" w:rsidR="00D12268" w:rsidRPr="003816D8" w:rsidRDefault="00D12268" w:rsidP="00BF261E">
            <w:pPr>
              <w:pStyle w:val="Tabletext1"/>
              <w:jc w:val="center"/>
            </w:pPr>
          </w:p>
        </w:tc>
        <w:tc>
          <w:tcPr>
            <w:tcW w:w="1182" w:type="pct"/>
            <w:vAlign w:val="center"/>
          </w:tcPr>
          <w:p w14:paraId="6B8E36AB" w14:textId="77777777" w:rsidR="00D12268" w:rsidRPr="003816D8" w:rsidRDefault="00D12268" w:rsidP="00BF261E">
            <w:pPr>
              <w:pStyle w:val="Tabletext1"/>
              <w:jc w:val="center"/>
              <w:rPr>
                <w:rFonts w:cs="Calibri"/>
              </w:rPr>
            </w:pPr>
          </w:p>
        </w:tc>
        <w:tc>
          <w:tcPr>
            <w:tcW w:w="830" w:type="pct"/>
            <w:vAlign w:val="center"/>
          </w:tcPr>
          <w:p w14:paraId="49D42EBD" w14:textId="77777777" w:rsidR="00D12268" w:rsidRPr="003816D8" w:rsidRDefault="00D12268" w:rsidP="00BF261E">
            <w:pPr>
              <w:pStyle w:val="Tabletext1"/>
              <w:jc w:val="center"/>
              <w:rPr>
                <w:rFonts w:cs="Calibri"/>
              </w:rPr>
            </w:pPr>
          </w:p>
        </w:tc>
      </w:tr>
      <w:tr w:rsidR="00D12268" w:rsidRPr="00F77E8D" w14:paraId="67AED619" w14:textId="77777777" w:rsidTr="005007E2">
        <w:tc>
          <w:tcPr>
            <w:tcW w:w="1429" w:type="pct"/>
          </w:tcPr>
          <w:p w14:paraId="053699A9" w14:textId="77777777" w:rsidR="00D12268" w:rsidRPr="003639FC" w:rsidRDefault="00D12268" w:rsidP="00556AB6">
            <w:pPr>
              <w:pStyle w:val="Tabletext1"/>
              <w:rPr>
                <w:i/>
                <w:snapToGrid w:val="0"/>
                <w:lang w:eastAsia="en-US"/>
              </w:rPr>
            </w:pPr>
            <w:r w:rsidRPr="003639FC">
              <w:rPr>
                <w:i/>
              </w:rPr>
              <w:t>Mark patient, answer questions, clean equipment, complete documentation</w:t>
            </w:r>
          </w:p>
        </w:tc>
        <w:tc>
          <w:tcPr>
            <w:tcW w:w="843" w:type="pct"/>
            <w:vAlign w:val="center"/>
          </w:tcPr>
          <w:p w14:paraId="1AB18B17" w14:textId="77777777" w:rsidR="00D12268" w:rsidRPr="003816D8" w:rsidRDefault="00D12268" w:rsidP="00BF261E">
            <w:pPr>
              <w:pStyle w:val="Tabletext1"/>
              <w:jc w:val="center"/>
              <w:rPr>
                <w:snapToGrid w:val="0"/>
                <w:lang w:eastAsia="en-US"/>
              </w:rPr>
            </w:pPr>
            <w:r w:rsidRPr="00F33562">
              <w:t>Radiation Therapist (x2)</w:t>
            </w:r>
          </w:p>
        </w:tc>
        <w:tc>
          <w:tcPr>
            <w:tcW w:w="716" w:type="pct"/>
            <w:vAlign w:val="center"/>
          </w:tcPr>
          <w:p w14:paraId="2831A8A8" w14:textId="77777777" w:rsidR="00D12268" w:rsidRPr="003816D8" w:rsidRDefault="00D12268" w:rsidP="00BF261E">
            <w:pPr>
              <w:pStyle w:val="Tabletext1"/>
              <w:jc w:val="center"/>
            </w:pPr>
            <w:r w:rsidRPr="00F33562">
              <w:t>13</w:t>
            </w:r>
          </w:p>
        </w:tc>
        <w:tc>
          <w:tcPr>
            <w:tcW w:w="1182" w:type="pct"/>
            <w:vAlign w:val="center"/>
          </w:tcPr>
          <w:p w14:paraId="141FEA75" w14:textId="3CA7914B" w:rsidR="00D12268" w:rsidRPr="003816D8" w:rsidRDefault="00D12268" w:rsidP="00BF261E">
            <w:pPr>
              <w:pStyle w:val="Tabletext1"/>
              <w:jc w:val="center"/>
              <w:rPr>
                <w:rFonts w:cs="Calibri"/>
              </w:rPr>
            </w:pPr>
            <w:r w:rsidRPr="00F33562">
              <w:t>$19.71</w:t>
            </w:r>
          </w:p>
        </w:tc>
        <w:tc>
          <w:tcPr>
            <w:tcW w:w="830" w:type="pct"/>
            <w:vAlign w:val="center"/>
          </w:tcPr>
          <w:p w14:paraId="2772518A" w14:textId="77777777" w:rsidR="00D12268" w:rsidRPr="003816D8" w:rsidRDefault="00D12268" w:rsidP="00BF261E">
            <w:pPr>
              <w:pStyle w:val="Tabletext1"/>
              <w:jc w:val="center"/>
              <w:rPr>
                <w:rFonts w:cs="Calibri"/>
              </w:rPr>
            </w:pPr>
            <w:r>
              <w:rPr>
                <w:rFonts w:cs="Calibri"/>
              </w:rPr>
              <w:t>-</w:t>
            </w:r>
          </w:p>
        </w:tc>
      </w:tr>
      <w:tr w:rsidR="00D12268" w:rsidRPr="00F77E8D" w14:paraId="0EEB0514" w14:textId="77777777" w:rsidTr="005007E2">
        <w:tc>
          <w:tcPr>
            <w:tcW w:w="1429" w:type="pct"/>
          </w:tcPr>
          <w:p w14:paraId="39587B69" w14:textId="77777777" w:rsidR="00D12268" w:rsidRPr="003639FC" w:rsidRDefault="00D12268" w:rsidP="00556AB6">
            <w:pPr>
              <w:pStyle w:val="Tabletext1"/>
              <w:rPr>
                <w:b/>
                <w:snapToGrid w:val="0"/>
                <w:lang w:eastAsia="en-US"/>
              </w:rPr>
            </w:pPr>
            <w:r w:rsidRPr="003639FC">
              <w:rPr>
                <w:b/>
              </w:rPr>
              <w:t>Total</w:t>
            </w:r>
          </w:p>
        </w:tc>
        <w:tc>
          <w:tcPr>
            <w:tcW w:w="843" w:type="pct"/>
            <w:vAlign w:val="center"/>
          </w:tcPr>
          <w:p w14:paraId="12834E6D" w14:textId="77777777" w:rsidR="00D12268" w:rsidRPr="003816D8" w:rsidRDefault="00D12268" w:rsidP="00BF261E">
            <w:pPr>
              <w:pStyle w:val="Tabletext1"/>
              <w:jc w:val="center"/>
              <w:rPr>
                <w:snapToGrid w:val="0"/>
                <w:lang w:eastAsia="en-US"/>
              </w:rPr>
            </w:pPr>
          </w:p>
        </w:tc>
        <w:tc>
          <w:tcPr>
            <w:tcW w:w="716" w:type="pct"/>
            <w:vAlign w:val="center"/>
          </w:tcPr>
          <w:p w14:paraId="526478EC" w14:textId="77777777" w:rsidR="00D12268" w:rsidRPr="003816D8" w:rsidRDefault="00D12268" w:rsidP="00BF261E">
            <w:pPr>
              <w:pStyle w:val="Tabletext1"/>
              <w:jc w:val="center"/>
            </w:pPr>
          </w:p>
        </w:tc>
        <w:tc>
          <w:tcPr>
            <w:tcW w:w="1182" w:type="pct"/>
            <w:vAlign w:val="center"/>
          </w:tcPr>
          <w:p w14:paraId="737FE0F4" w14:textId="0C707F4E" w:rsidR="00D12268" w:rsidRPr="003639FC" w:rsidRDefault="00D12268" w:rsidP="00BF261E">
            <w:pPr>
              <w:pStyle w:val="Tabletext1"/>
              <w:jc w:val="center"/>
              <w:rPr>
                <w:rFonts w:cs="Calibri"/>
                <w:b/>
              </w:rPr>
            </w:pPr>
            <w:r w:rsidRPr="003639FC">
              <w:rPr>
                <w:b/>
              </w:rPr>
              <w:t>$88.16</w:t>
            </w:r>
          </w:p>
        </w:tc>
        <w:tc>
          <w:tcPr>
            <w:tcW w:w="830" w:type="pct"/>
            <w:vAlign w:val="center"/>
          </w:tcPr>
          <w:p w14:paraId="0BE5EE13" w14:textId="77777777" w:rsidR="00D12268" w:rsidRPr="003816D8" w:rsidRDefault="00D12268" w:rsidP="00BF261E">
            <w:pPr>
              <w:pStyle w:val="Tabletext1"/>
              <w:jc w:val="center"/>
              <w:rPr>
                <w:rFonts w:cs="Calibri"/>
              </w:rPr>
            </w:pPr>
            <w:r>
              <w:rPr>
                <w:rFonts w:cs="Calibri"/>
              </w:rPr>
              <w:t>-</w:t>
            </w:r>
          </w:p>
        </w:tc>
      </w:tr>
      <w:tr w:rsidR="00D12268" w:rsidRPr="00F77E8D" w14:paraId="2164E3CC" w14:textId="77777777" w:rsidTr="005007E2">
        <w:trPr>
          <w:trHeight w:val="251"/>
        </w:trPr>
        <w:tc>
          <w:tcPr>
            <w:tcW w:w="1429" w:type="pct"/>
          </w:tcPr>
          <w:p w14:paraId="60A79F98" w14:textId="77777777" w:rsidR="00D12268" w:rsidRPr="00A32008" w:rsidRDefault="00D12268" w:rsidP="00556AB6">
            <w:pPr>
              <w:pStyle w:val="Tabletext1"/>
              <w:rPr>
                <w:b/>
                <w:snapToGrid w:val="0"/>
                <w:lang w:eastAsia="en-US"/>
              </w:rPr>
            </w:pPr>
            <w:r>
              <w:rPr>
                <w:b/>
                <w:snapToGrid w:val="0"/>
                <w:lang w:eastAsia="en-US"/>
              </w:rPr>
              <w:t xml:space="preserve">Step - </w:t>
            </w:r>
            <w:r w:rsidRPr="00A32008">
              <w:rPr>
                <w:b/>
                <w:snapToGrid w:val="0"/>
                <w:lang w:eastAsia="en-US"/>
              </w:rPr>
              <w:t>Process map reflecting treatment planning</w:t>
            </w:r>
          </w:p>
        </w:tc>
        <w:tc>
          <w:tcPr>
            <w:tcW w:w="843" w:type="pct"/>
            <w:vAlign w:val="center"/>
          </w:tcPr>
          <w:p w14:paraId="19A26C27" w14:textId="77777777" w:rsidR="00D12268" w:rsidRPr="003816D8" w:rsidRDefault="00D12268" w:rsidP="00BF261E">
            <w:pPr>
              <w:pStyle w:val="Tabletext1"/>
              <w:jc w:val="center"/>
              <w:rPr>
                <w:snapToGrid w:val="0"/>
                <w:lang w:eastAsia="en-US"/>
              </w:rPr>
            </w:pPr>
          </w:p>
        </w:tc>
        <w:tc>
          <w:tcPr>
            <w:tcW w:w="716" w:type="pct"/>
            <w:vAlign w:val="center"/>
          </w:tcPr>
          <w:p w14:paraId="071BD728" w14:textId="77777777" w:rsidR="00D12268" w:rsidRPr="003816D8" w:rsidRDefault="00D12268" w:rsidP="00BF261E">
            <w:pPr>
              <w:pStyle w:val="Tabletext1"/>
              <w:jc w:val="center"/>
            </w:pPr>
          </w:p>
        </w:tc>
        <w:tc>
          <w:tcPr>
            <w:tcW w:w="1182" w:type="pct"/>
            <w:vAlign w:val="center"/>
          </w:tcPr>
          <w:p w14:paraId="5219DBD8" w14:textId="77777777" w:rsidR="00D12268" w:rsidRPr="003816D8" w:rsidRDefault="00D12268" w:rsidP="00BF261E">
            <w:pPr>
              <w:pStyle w:val="Tabletext1"/>
              <w:jc w:val="center"/>
              <w:rPr>
                <w:rFonts w:cs="Calibri"/>
              </w:rPr>
            </w:pPr>
          </w:p>
        </w:tc>
        <w:tc>
          <w:tcPr>
            <w:tcW w:w="830" w:type="pct"/>
            <w:vAlign w:val="center"/>
          </w:tcPr>
          <w:p w14:paraId="4513BDCB" w14:textId="77777777" w:rsidR="00D12268" w:rsidRPr="003816D8" w:rsidRDefault="00D12268" w:rsidP="00BF261E">
            <w:pPr>
              <w:pStyle w:val="Tabletext1"/>
              <w:jc w:val="center"/>
              <w:rPr>
                <w:rFonts w:cs="Calibri"/>
              </w:rPr>
            </w:pPr>
          </w:p>
        </w:tc>
      </w:tr>
      <w:tr w:rsidR="00D12268" w:rsidRPr="00F77E8D" w14:paraId="30CA1ECE" w14:textId="77777777" w:rsidTr="005007E2">
        <w:tc>
          <w:tcPr>
            <w:tcW w:w="1429" w:type="pct"/>
          </w:tcPr>
          <w:p w14:paraId="3683D4CA" w14:textId="77777777" w:rsidR="00D12268" w:rsidRPr="002E2A2C" w:rsidRDefault="00D12268" w:rsidP="00556AB6">
            <w:pPr>
              <w:pStyle w:val="Tabletext1"/>
              <w:rPr>
                <w:b/>
                <w:snapToGrid w:val="0"/>
                <w:lang w:eastAsia="en-US"/>
              </w:rPr>
            </w:pPr>
            <w:r w:rsidRPr="002E2A2C">
              <w:rPr>
                <w:b/>
              </w:rPr>
              <w:t>Contour structures</w:t>
            </w:r>
          </w:p>
        </w:tc>
        <w:tc>
          <w:tcPr>
            <w:tcW w:w="843" w:type="pct"/>
            <w:vAlign w:val="center"/>
          </w:tcPr>
          <w:p w14:paraId="7A870E63" w14:textId="77777777" w:rsidR="00D12268" w:rsidRPr="003816D8" w:rsidRDefault="00D12268" w:rsidP="00BF261E">
            <w:pPr>
              <w:pStyle w:val="Tabletext1"/>
              <w:jc w:val="center"/>
              <w:rPr>
                <w:snapToGrid w:val="0"/>
                <w:lang w:eastAsia="en-US"/>
              </w:rPr>
            </w:pPr>
          </w:p>
        </w:tc>
        <w:tc>
          <w:tcPr>
            <w:tcW w:w="716" w:type="pct"/>
            <w:vAlign w:val="center"/>
          </w:tcPr>
          <w:p w14:paraId="2A3FF755" w14:textId="77777777" w:rsidR="00D12268" w:rsidRPr="003816D8" w:rsidRDefault="00D12268" w:rsidP="00BF261E">
            <w:pPr>
              <w:pStyle w:val="Tabletext1"/>
              <w:jc w:val="center"/>
            </w:pPr>
          </w:p>
        </w:tc>
        <w:tc>
          <w:tcPr>
            <w:tcW w:w="1182" w:type="pct"/>
            <w:vAlign w:val="center"/>
          </w:tcPr>
          <w:p w14:paraId="73004C05" w14:textId="77777777" w:rsidR="00D12268" w:rsidRPr="003816D8" w:rsidRDefault="00D12268" w:rsidP="00BF261E">
            <w:pPr>
              <w:pStyle w:val="Tabletext1"/>
              <w:jc w:val="center"/>
              <w:rPr>
                <w:rFonts w:cs="Calibri"/>
              </w:rPr>
            </w:pPr>
          </w:p>
        </w:tc>
        <w:tc>
          <w:tcPr>
            <w:tcW w:w="830" w:type="pct"/>
            <w:vAlign w:val="center"/>
          </w:tcPr>
          <w:p w14:paraId="6D715B58" w14:textId="77777777" w:rsidR="00D12268" w:rsidRPr="00DE2C76" w:rsidRDefault="00D12268" w:rsidP="00BF261E">
            <w:pPr>
              <w:pStyle w:val="Tabletext1"/>
              <w:jc w:val="center"/>
              <w:rPr>
                <w:rFonts w:cs="Calibri"/>
                <w:b/>
              </w:rPr>
            </w:pPr>
          </w:p>
        </w:tc>
      </w:tr>
      <w:tr w:rsidR="00D12268" w:rsidRPr="00F77E8D" w14:paraId="3A24F3B9" w14:textId="77777777" w:rsidTr="005007E2">
        <w:tc>
          <w:tcPr>
            <w:tcW w:w="1429" w:type="pct"/>
          </w:tcPr>
          <w:p w14:paraId="550C8499" w14:textId="77777777" w:rsidR="00D12268" w:rsidRPr="003816D8" w:rsidRDefault="00D12268" w:rsidP="00556AB6">
            <w:pPr>
              <w:pStyle w:val="Tabletext1"/>
              <w:rPr>
                <w:snapToGrid w:val="0"/>
                <w:lang w:eastAsia="en-US"/>
              </w:rPr>
            </w:pPr>
            <w:r w:rsidRPr="005E6A54">
              <w:t>Fuse CT simulation to other diagnostic imaging</w:t>
            </w:r>
          </w:p>
        </w:tc>
        <w:tc>
          <w:tcPr>
            <w:tcW w:w="843" w:type="pct"/>
            <w:vAlign w:val="center"/>
          </w:tcPr>
          <w:p w14:paraId="5C47D186" w14:textId="77777777" w:rsidR="00D12268" w:rsidRPr="003816D8" w:rsidRDefault="00D12268" w:rsidP="00BF261E">
            <w:pPr>
              <w:pStyle w:val="Tabletext1"/>
              <w:jc w:val="center"/>
              <w:rPr>
                <w:snapToGrid w:val="0"/>
                <w:lang w:eastAsia="en-US"/>
              </w:rPr>
            </w:pPr>
            <w:r w:rsidRPr="005E6A54">
              <w:t>Dosimetrist (x1) (probability 0.85)</w:t>
            </w:r>
          </w:p>
        </w:tc>
        <w:tc>
          <w:tcPr>
            <w:tcW w:w="716" w:type="pct"/>
            <w:vAlign w:val="center"/>
          </w:tcPr>
          <w:p w14:paraId="4A3DE9C1" w14:textId="77777777" w:rsidR="00D12268" w:rsidRPr="003816D8" w:rsidRDefault="00D12268" w:rsidP="00BF261E">
            <w:pPr>
              <w:pStyle w:val="Tabletext1"/>
              <w:jc w:val="center"/>
            </w:pPr>
            <w:r w:rsidRPr="005E6A54">
              <w:t>13</w:t>
            </w:r>
          </w:p>
        </w:tc>
        <w:tc>
          <w:tcPr>
            <w:tcW w:w="1182" w:type="pct"/>
            <w:vAlign w:val="center"/>
          </w:tcPr>
          <w:p w14:paraId="443D766B" w14:textId="2349BCD3" w:rsidR="00D12268" w:rsidRPr="003816D8" w:rsidRDefault="00D12268" w:rsidP="00BF261E">
            <w:pPr>
              <w:pStyle w:val="Tabletext1"/>
              <w:jc w:val="center"/>
              <w:rPr>
                <w:rFonts w:cs="Calibri"/>
              </w:rPr>
            </w:pPr>
            <w:r w:rsidRPr="005E6A54">
              <w:t>$11.45</w:t>
            </w:r>
          </w:p>
        </w:tc>
        <w:tc>
          <w:tcPr>
            <w:tcW w:w="830" w:type="pct"/>
            <w:vAlign w:val="center"/>
          </w:tcPr>
          <w:p w14:paraId="04F4B088" w14:textId="7A77C215" w:rsidR="00D12268" w:rsidRPr="003816D8" w:rsidRDefault="00D12268" w:rsidP="00BF261E">
            <w:pPr>
              <w:pStyle w:val="Tabletext1"/>
              <w:jc w:val="center"/>
              <w:rPr>
                <w:rFonts w:cs="Calibri"/>
              </w:rPr>
            </w:pPr>
            <w:r w:rsidRPr="005E6A54">
              <w:t>$11.45</w:t>
            </w:r>
          </w:p>
        </w:tc>
      </w:tr>
      <w:tr w:rsidR="00D12268" w:rsidRPr="00F77E8D" w14:paraId="75423EF1" w14:textId="77777777" w:rsidTr="005007E2">
        <w:tc>
          <w:tcPr>
            <w:tcW w:w="1429" w:type="pct"/>
          </w:tcPr>
          <w:p w14:paraId="36A6E164" w14:textId="77777777" w:rsidR="00D12268" w:rsidRPr="003816D8" w:rsidRDefault="00D12268" w:rsidP="00556AB6">
            <w:pPr>
              <w:pStyle w:val="Tabletext1"/>
              <w:rPr>
                <w:snapToGrid w:val="0"/>
                <w:lang w:eastAsia="en-US"/>
              </w:rPr>
            </w:pPr>
            <w:r w:rsidRPr="005E6A54">
              <w:t>Review fusion</w:t>
            </w:r>
          </w:p>
        </w:tc>
        <w:tc>
          <w:tcPr>
            <w:tcW w:w="843" w:type="pct"/>
            <w:vAlign w:val="center"/>
          </w:tcPr>
          <w:p w14:paraId="3B21835C" w14:textId="77777777" w:rsidR="00D12268" w:rsidRPr="003816D8" w:rsidRDefault="00D12268" w:rsidP="00BF261E">
            <w:pPr>
              <w:pStyle w:val="Tabletext1"/>
              <w:jc w:val="center"/>
              <w:rPr>
                <w:snapToGrid w:val="0"/>
                <w:lang w:eastAsia="en-US"/>
              </w:rPr>
            </w:pPr>
            <w:r w:rsidRPr="005E6A54">
              <w:t>Medical Physicist (x1) (probability 0.85)</w:t>
            </w:r>
          </w:p>
        </w:tc>
        <w:tc>
          <w:tcPr>
            <w:tcW w:w="716" w:type="pct"/>
            <w:vAlign w:val="center"/>
          </w:tcPr>
          <w:p w14:paraId="0FB92595" w14:textId="77777777" w:rsidR="00D12268" w:rsidRPr="003816D8" w:rsidRDefault="00D12268" w:rsidP="00BF261E">
            <w:pPr>
              <w:pStyle w:val="Tabletext1"/>
              <w:jc w:val="center"/>
            </w:pPr>
            <w:r w:rsidRPr="005E6A54">
              <w:t>8</w:t>
            </w:r>
          </w:p>
        </w:tc>
        <w:tc>
          <w:tcPr>
            <w:tcW w:w="1182" w:type="pct"/>
            <w:vAlign w:val="center"/>
          </w:tcPr>
          <w:p w14:paraId="4CE391B5" w14:textId="2675F85E" w:rsidR="00D12268" w:rsidRPr="003816D8" w:rsidRDefault="00D12268" w:rsidP="00BF261E">
            <w:pPr>
              <w:pStyle w:val="Tabletext1"/>
              <w:jc w:val="center"/>
              <w:rPr>
                <w:rFonts w:cs="Calibri"/>
              </w:rPr>
            </w:pPr>
            <w:r w:rsidRPr="005E6A54">
              <w:t>$4.65</w:t>
            </w:r>
          </w:p>
        </w:tc>
        <w:tc>
          <w:tcPr>
            <w:tcW w:w="830" w:type="pct"/>
            <w:vAlign w:val="center"/>
          </w:tcPr>
          <w:p w14:paraId="515998A8" w14:textId="4497F8D1" w:rsidR="00D12268" w:rsidRPr="003816D8" w:rsidRDefault="00D12268" w:rsidP="00BF261E">
            <w:pPr>
              <w:pStyle w:val="Tabletext1"/>
              <w:jc w:val="center"/>
              <w:rPr>
                <w:rFonts w:cs="Calibri"/>
              </w:rPr>
            </w:pPr>
            <w:r w:rsidRPr="005E6A54">
              <w:t>$4.65</w:t>
            </w:r>
          </w:p>
        </w:tc>
      </w:tr>
      <w:tr w:rsidR="00D12268" w:rsidRPr="00F77E8D" w14:paraId="53AA2FB2" w14:textId="77777777" w:rsidTr="005007E2">
        <w:tc>
          <w:tcPr>
            <w:tcW w:w="1429" w:type="pct"/>
          </w:tcPr>
          <w:p w14:paraId="0975A28F" w14:textId="77777777" w:rsidR="00D12268" w:rsidRPr="003816D8" w:rsidRDefault="00D12268" w:rsidP="00556AB6">
            <w:pPr>
              <w:pStyle w:val="Tabletext1"/>
              <w:rPr>
                <w:snapToGrid w:val="0"/>
                <w:lang w:eastAsia="en-US"/>
              </w:rPr>
            </w:pPr>
            <w:r w:rsidRPr="005E6A54">
              <w:t>Contour OARs</w:t>
            </w:r>
          </w:p>
        </w:tc>
        <w:tc>
          <w:tcPr>
            <w:tcW w:w="843" w:type="pct"/>
            <w:vAlign w:val="center"/>
          </w:tcPr>
          <w:p w14:paraId="00E9F6EF" w14:textId="77777777" w:rsidR="00D12268" w:rsidRPr="003816D8" w:rsidRDefault="00D12268" w:rsidP="00BF261E">
            <w:pPr>
              <w:pStyle w:val="Tabletext1"/>
              <w:jc w:val="center"/>
              <w:rPr>
                <w:snapToGrid w:val="0"/>
                <w:lang w:eastAsia="en-US"/>
              </w:rPr>
            </w:pPr>
            <w:r w:rsidRPr="005E6A54">
              <w:t>Dosimetrist (x1)</w:t>
            </w:r>
          </w:p>
        </w:tc>
        <w:tc>
          <w:tcPr>
            <w:tcW w:w="716" w:type="pct"/>
            <w:vAlign w:val="center"/>
          </w:tcPr>
          <w:p w14:paraId="2AB2DE08" w14:textId="77777777" w:rsidR="00D12268" w:rsidRPr="003816D8" w:rsidRDefault="00D12268" w:rsidP="00BF261E">
            <w:pPr>
              <w:pStyle w:val="Tabletext1"/>
              <w:jc w:val="center"/>
            </w:pPr>
            <w:r w:rsidRPr="005E6A54">
              <w:t>45-60</w:t>
            </w:r>
          </w:p>
        </w:tc>
        <w:tc>
          <w:tcPr>
            <w:tcW w:w="1182" w:type="pct"/>
            <w:vAlign w:val="center"/>
          </w:tcPr>
          <w:p w14:paraId="2AFC9D05" w14:textId="1EC7DEF4" w:rsidR="00D12268" w:rsidRPr="003816D8" w:rsidRDefault="00D12268" w:rsidP="00BF261E">
            <w:pPr>
              <w:pStyle w:val="Tabletext1"/>
              <w:jc w:val="center"/>
              <w:rPr>
                <w:rFonts w:cs="Calibri"/>
              </w:rPr>
            </w:pPr>
            <w:r w:rsidRPr="005E6A54">
              <w:t>$62.18</w:t>
            </w:r>
          </w:p>
        </w:tc>
        <w:tc>
          <w:tcPr>
            <w:tcW w:w="830" w:type="pct"/>
            <w:vAlign w:val="center"/>
          </w:tcPr>
          <w:p w14:paraId="38208C11" w14:textId="2B324C6C" w:rsidR="00D12268" w:rsidRPr="003816D8" w:rsidRDefault="00D12268" w:rsidP="00BF261E">
            <w:pPr>
              <w:pStyle w:val="Tabletext1"/>
              <w:jc w:val="center"/>
              <w:rPr>
                <w:rFonts w:cs="Calibri"/>
              </w:rPr>
            </w:pPr>
            <w:r w:rsidRPr="005E6A54">
              <w:t>$46.64</w:t>
            </w:r>
          </w:p>
        </w:tc>
      </w:tr>
      <w:tr w:rsidR="00D12268" w:rsidRPr="00F77E8D" w14:paraId="400C5653" w14:textId="77777777" w:rsidTr="005007E2">
        <w:tc>
          <w:tcPr>
            <w:tcW w:w="1429" w:type="pct"/>
          </w:tcPr>
          <w:p w14:paraId="42F494C8" w14:textId="77777777" w:rsidR="00D12268" w:rsidRPr="003816D8" w:rsidRDefault="00D12268" w:rsidP="00556AB6">
            <w:pPr>
              <w:pStyle w:val="Tabletext1"/>
              <w:rPr>
                <w:snapToGrid w:val="0"/>
                <w:lang w:eastAsia="en-US"/>
              </w:rPr>
            </w:pPr>
            <w:r w:rsidRPr="005E6A54">
              <w:t>Check fusion/OARs and contour target structures</w:t>
            </w:r>
          </w:p>
        </w:tc>
        <w:tc>
          <w:tcPr>
            <w:tcW w:w="843" w:type="pct"/>
            <w:vAlign w:val="center"/>
          </w:tcPr>
          <w:p w14:paraId="3BFCA3AF" w14:textId="77777777" w:rsidR="00D12268" w:rsidRPr="003816D8" w:rsidRDefault="00D12268" w:rsidP="00BF261E">
            <w:pPr>
              <w:pStyle w:val="Tabletext1"/>
              <w:jc w:val="center"/>
              <w:rPr>
                <w:snapToGrid w:val="0"/>
                <w:lang w:eastAsia="en-US"/>
              </w:rPr>
            </w:pPr>
            <w:r w:rsidRPr="005E6A54">
              <w:t>Radiation Oncologist (x1)</w:t>
            </w:r>
          </w:p>
        </w:tc>
        <w:tc>
          <w:tcPr>
            <w:tcW w:w="716" w:type="pct"/>
            <w:vAlign w:val="center"/>
          </w:tcPr>
          <w:p w14:paraId="6620410C" w14:textId="77777777" w:rsidR="00D12268" w:rsidRPr="003816D8" w:rsidRDefault="00D12268" w:rsidP="00BF261E">
            <w:pPr>
              <w:pStyle w:val="Tabletext1"/>
              <w:jc w:val="center"/>
            </w:pPr>
            <w:r w:rsidRPr="005E6A54">
              <w:t>30</w:t>
            </w:r>
          </w:p>
        </w:tc>
        <w:tc>
          <w:tcPr>
            <w:tcW w:w="1182" w:type="pct"/>
            <w:vAlign w:val="center"/>
          </w:tcPr>
          <w:p w14:paraId="7E6C4658" w14:textId="008689E1" w:rsidR="00D12268" w:rsidRPr="003816D8" w:rsidRDefault="00D12268" w:rsidP="00BF261E">
            <w:pPr>
              <w:pStyle w:val="Tabletext1"/>
              <w:jc w:val="center"/>
              <w:rPr>
                <w:rFonts w:cs="Calibri"/>
              </w:rPr>
            </w:pPr>
            <w:r w:rsidRPr="005E6A54">
              <w:t>$53.53</w:t>
            </w:r>
          </w:p>
        </w:tc>
        <w:tc>
          <w:tcPr>
            <w:tcW w:w="830" w:type="pct"/>
            <w:vAlign w:val="center"/>
          </w:tcPr>
          <w:p w14:paraId="1AD387C5" w14:textId="4F6A2462" w:rsidR="00D12268" w:rsidRPr="003816D8" w:rsidRDefault="00D12268" w:rsidP="00BF261E">
            <w:pPr>
              <w:pStyle w:val="Tabletext1"/>
              <w:jc w:val="center"/>
              <w:rPr>
                <w:rFonts w:cs="Calibri"/>
              </w:rPr>
            </w:pPr>
            <w:r w:rsidRPr="005E6A54">
              <w:t>$53.53</w:t>
            </w:r>
          </w:p>
        </w:tc>
      </w:tr>
      <w:tr w:rsidR="00D12268" w:rsidRPr="00F77E8D" w14:paraId="51CCC302" w14:textId="77777777" w:rsidTr="005007E2">
        <w:tc>
          <w:tcPr>
            <w:tcW w:w="1429" w:type="pct"/>
          </w:tcPr>
          <w:p w14:paraId="34588C1D" w14:textId="77777777" w:rsidR="00D12268" w:rsidRPr="002E2A2C" w:rsidRDefault="00D12268" w:rsidP="008B6FC0">
            <w:pPr>
              <w:pStyle w:val="Tabletext1"/>
              <w:keepNext/>
              <w:rPr>
                <w:b/>
                <w:snapToGrid w:val="0"/>
                <w:lang w:eastAsia="en-US"/>
              </w:rPr>
            </w:pPr>
            <w:r w:rsidRPr="002E2A2C">
              <w:rPr>
                <w:b/>
              </w:rPr>
              <w:t>Create Treatment Plan</w:t>
            </w:r>
          </w:p>
        </w:tc>
        <w:tc>
          <w:tcPr>
            <w:tcW w:w="843" w:type="pct"/>
            <w:vAlign w:val="center"/>
          </w:tcPr>
          <w:p w14:paraId="440405D5" w14:textId="77777777" w:rsidR="00D12268" w:rsidRPr="003816D8" w:rsidRDefault="00D12268" w:rsidP="008B6FC0">
            <w:pPr>
              <w:pStyle w:val="Tabletext1"/>
              <w:keepNext/>
              <w:jc w:val="center"/>
              <w:rPr>
                <w:snapToGrid w:val="0"/>
                <w:lang w:eastAsia="en-US"/>
              </w:rPr>
            </w:pPr>
          </w:p>
        </w:tc>
        <w:tc>
          <w:tcPr>
            <w:tcW w:w="716" w:type="pct"/>
            <w:vAlign w:val="center"/>
          </w:tcPr>
          <w:p w14:paraId="6960994A" w14:textId="77777777" w:rsidR="00D12268" w:rsidRPr="003816D8" w:rsidRDefault="00D12268" w:rsidP="008B6FC0">
            <w:pPr>
              <w:pStyle w:val="Tabletext1"/>
              <w:keepNext/>
              <w:jc w:val="center"/>
            </w:pPr>
          </w:p>
        </w:tc>
        <w:tc>
          <w:tcPr>
            <w:tcW w:w="1182" w:type="pct"/>
            <w:vAlign w:val="center"/>
          </w:tcPr>
          <w:p w14:paraId="39E58EB7" w14:textId="77777777" w:rsidR="00D12268" w:rsidRPr="003816D8" w:rsidRDefault="00D12268" w:rsidP="008B6FC0">
            <w:pPr>
              <w:pStyle w:val="Tabletext1"/>
              <w:keepNext/>
              <w:jc w:val="center"/>
              <w:rPr>
                <w:rFonts w:cs="Calibri"/>
              </w:rPr>
            </w:pPr>
          </w:p>
        </w:tc>
        <w:tc>
          <w:tcPr>
            <w:tcW w:w="830" w:type="pct"/>
            <w:vAlign w:val="center"/>
          </w:tcPr>
          <w:p w14:paraId="36A0CC5C" w14:textId="77777777" w:rsidR="00D12268" w:rsidRPr="003816D8" w:rsidRDefault="00D12268" w:rsidP="008B6FC0">
            <w:pPr>
              <w:pStyle w:val="Tabletext1"/>
              <w:keepNext/>
              <w:jc w:val="center"/>
              <w:rPr>
                <w:rFonts w:cs="Calibri"/>
              </w:rPr>
            </w:pPr>
          </w:p>
        </w:tc>
      </w:tr>
      <w:tr w:rsidR="00D12268" w:rsidRPr="00F77E8D" w14:paraId="5014AD83" w14:textId="77777777" w:rsidTr="005007E2">
        <w:tc>
          <w:tcPr>
            <w:tcW w:w="1429" w:type="pct"/>
          </w:tcPr>
          <w:p w14:paraId="3761F88C" w14:textId="77777777" w:rsidR="00D12268" w:rsidRPr="002E2A2C" w:rsidRDefault="00D12268" w:rsidP="008B6FC0">
            <w:pPr>
              <w:pStyle w:val="Tabletext1"/>
              <w:keepNext/>
              <w:rPr>
                <w:i/>
                <w:snapToGrid w:val="0"/>
                <w:lang w:eastAsia="en-US"/>
              </w:rPr>
            </w:pPr>
            <w:r w:rsidRPr="002E2A2C">
              <w:rPr>
                <w:i/>
              </w:rPr>
              <w:t>Prescribe dose, provide guidance on dose constraints</w:t>
            </w:r>
          </w:p>
        </w:tc>
        <w:tc>
          <w:tcPr>
            <w:tcW w:w="843" w:type="pct"/>
            <w:vAlign w:val="center"/>
          </w:tcPr>
          <w:p w14:paraId="4488DE03" w14:textId="77777777" w:rsidR="00D12268" w:rsidRPr="003816D8" w:rsidRDefault="00D12268" w:rsidP="008B6FC0">
            <w:pPr>
              <w:pStyle w:val="Tabletext1"/>
              <w:keepNext/>
              <w:jc w:val="center"/>
              <w:rPr>
                <w:snapToGrid w:val="0"/>
                <w:lang w:eastAsia="en-US"/>
              </w:rPr>
            </w:pPr>
            <w:r w:rsidRPr="005E6A54">
              <w:t>Radiation Oncologist (x1)</w:t>
            </w:r>
          </w:p>
        </w:tc>
        <w:tc>
          <w:tcPr>
            <w:tcW w:w="716" w:type="pct"/>
            <w:vAlign w:val="center"/>
          </w:tcPr>
          <w:p w14:paraId="51B9FA0C" w14:textId="77777777" w:rsidR="00D12268" w:rsidRPr="003816D8" w:rsidRDefault="00D12268" w:rsidP="008B6FC0">
            <w:pPr>
              <w:pStyle w:val="Tabletext1"/>
              <w:keepNext/>
              <w:jc w:val="center"/>
            </w:pPr>
            <w:r w:rsidRPr="005E6A54">
              <w:t>5</w:t>
            </w:r>
          </w:p>
        </w:tc>
        <w:tc>
          <w:tcPr>
            <w:tcW w:w="1182" w:type="pct"/>
            <w:vAlign w:val="center"/>
          </w:tcPr>
          <w:p w14:paraId="66BA79D8" w14:textId="1C30F74E" w:rsidR="00D12268" w:rsidRPr="003816D8" w:rsidRDefault="00D12268" w:rsidP="008B6FC0">
            <w:pPr>
              <w:pStyle w:val="Tabletext1"/>
              <w:keepNext/>
              <w:jc w:val="center"/>
              <w:rPr>
                <w:rFonts w:cs="Calibri"/>
              </w:rPr>
            </w:pPr>
            <w:r w:rsidRPr="005E6A54">
              <w:t>$8.92</w:t>
            </w:r>
          </w:p>
        </w:tc>
        <w:tc>
          <w:tcPr>
            <w:tcW w:w="830" w:type="pct"/>
            <w:vAlign w:val="center"/>
          </w:tcPr>
          <w:p w14:paraId="1AE14B5B" w14:textId="2510B185" w:rsidR="00D12268" w:rsidRPr="00DC2A15" w:rsidRDefault="00D12268" w:rsidP="008B6FC0">
            <w:pPr>
              <w:pStyle w:val="Tabletext1"/>
              <w:keepNext/>
              <w:jc w:val="center"/>
              <w:rPr>
                <w:rFonts w:cs="Calibri"/>
                <w:b/>
              </w:rPr>
            </w:pPr>
            <w:r w:rsidRPr="005E6A54">
              <w:t>$8.92</w:t>
            </w:r>
          </w:p>
        </w:tc>
      </w:tr>
      <w:tr w:rsidR="00D12268" w:rsidRPr="00F77E8D" w14:paraId="6D72240C" w14:textId="77777777" w:rsidTr="005007E2">
        <w:tc>
          <w:tcPr>
            <w:tcW w:w="1429" w:type="pct"/>
          </w:tcPr>
          <w:p w14:paraId="4451510F" w14:textId="77777777" w:rsidR="00D12268" w:rsidRPr="002E2A2C" w:rsidRDefault="00D12268" w:rsidP="00556AB6">
            <w:pPr>
              <w:pStyle w:val="Tabletext1"/>
              <w:rPr>
                <w:b/>
                <w:i/>
                <w:snapToGrid w:val="0"/>
                <w:lang w:eastAsia="en-US"/>
              </w:rPr>
            </w:pPr>
            <w:r w:rsidRPr="002E2A2C">
              <w:rPr>
                <w:i/>
              </w:rPr>
              <w:t>Create treatment plan</w:t>
            </w:r>
          </w:p>
        </w:tc>
        <w:tc>
          <w:tcPr>
            <w:tcW w:w="843" w:type="pct"/>
            <w:vAlign w:val="center"/>
          </w:tcPr>
          <w:p w14:paraId="7E9F7773" w14:textId="77777777" w:rsidR="00D12268" w:rsidRPr="003816D8" w:rsidRDefault="00D12268" w:rsidP="00BF261E">
            <w:pPr>
              <w:pStyle w:val="Tabletext1"/>
              <w:jc w:val="center"/>
              <w:rPr>
                <w:snapToGrid w:val="0"/>
                <w:lang w:eastAsia="en-US"/>
              </w:rPr>
            </w:pPr>
            <w:r w:rsidRPr="005E6A54">
              <w:t>Dosimetrist (x1)</w:t>
            </w:r>
          </w:p>
        </w:tc>
        <w:tc>
          <w:tcPr>
            <w:tcW w:w="716" w:type="pct"/>
            <w:vAlign w:val="center"/>
          </w:tcPr>
          <w:p w14:paraId="46B67029" w14:textId="77777777" w:rsidR="00D12268" w:rsidRPr="003816D8" w:rsidRDefault="00D12268" w:rsidP="00BF261E">
            <w:pPr>
              <w:pStyle w:val="Tabletext1"/>
              <w:jc w:val="center"/>
            </w:pPr>
            <w:r w:rsidRPr="005E6A54">
              <w:t>180</w:t>
            </w:r>
          </w:p>
        </w:tc>
        <w:tc>
          <w:tcPr>
            <w:tcW w:w="1182" w:type="pct"/>
            <w:vAlign w:val="center"/>
          </w:tcPr>
          <w:p w14:paraId="5FF9B89F" w14:textId="4B434171" w:rsidR="00D12268" w:rsidRPr="003816D8" w:rsidRDefault="00D12268" w:rsidP="00BF261E">
            <w:pPr>
              <w:pStyle w:val="Tabletext1"/>
              <w:jc w:val="center"/>
              <w:rPr>
                <w:rFonts w:cs="Calibri"/>
              </w:rPr>
            </w:pPr>
            <w:r w:rsidRPr="005E6A54">
              <w:t>$186.54</w:t>
            </w:r>
          </w:p>
        </w:tc>
        <w:tc>
          <w:tcPr>
            <w:tcW w:w="830" w:type="pct"/>
            <w:vAlign w:val="center"/>
          </w:tcPr>
          <w:p w14:paraId="0A2CA2E7" w14:textId="1ECF09C0" w:rsidR="00D12268" w:rsidRPr="00DC2A15" w:rsidRDefault="00D12268" w:rsidP="00BF261E">
            <w:pPr>
              <w:pStyle w:val="Tabletext1"/>
              <w:jc w:val="center"/>
              <w:rPr>
                <w:rFonts w:cs="Calibri"/>
                <w:b/>
              </w:rPr>
            </w:pPr>
            <w:r w:rsidRPr="005E6A54">
              <w:t>$186.54</w:t>
            </w:r>
          </w:p>
        </w:tc>
      </w:tr>
      <w:tr w:rsidR="00D12268" w:rsidRPr="00F77E8D" w14:paraId="08C2C5FA" w14:textId="77777777" w:rsidTr="005007E2">
        <w:tc>
          <w:tcPr>
            <w:tcW w:w="1429" w:type="pct"/>
          </w:tcPr>
          <w:p w14:paraId="4EDDE009" w14:textId="77777777" w:rsidR="00D12268" w:rsidRPr="002E2A2C" w:rsidRDefault="00D12268" w:rsidP="00556AB6">
            <w:pPr>
              <w:pStyle w:val="Tabletext1"/>
              <w:rPr>
                <w:i/>
                <w:snapToGrid w:val="0"/>
                <w:lang w:eastAsia="en-US"/>
              </w:rPr>
            </w:pPr>
            <w:r w:rsidRPr="002E2A2C">
              <w:rPr>
                <w:i/>
              </w:rPr>
              <w:lastRenderedPageBreak/>
              <w:t>Review treatment plan</w:t>
            </w:r>
          </w:p>
        </w:tc>
        <w:tc>
          <w:tcPr>
            <w:tcW w:w="843" w:type="pct"/>
            <w:vAlign w:val="center"/>
          </w:tcPr>
          <w:p w14:paraId="30E8A6E4" w14:textId="77777777" w:rsidR="00D12268" w:rsidRPr="003816D8" w:rsidRDefault="00D12268" w:rsidP="00BF261E">
            <w:pPr>
              <w:pStyle w:val="Tabletext1"/>
              <w:jc w:val="center"/>
              <w:rPr>
                <w:snapToGrid w:val="0"/>
                <w:lang w:eastAsia="en-US"/>
              </w:rPr>
            </w:pPr>
            <w:r w:rsidRPr="005E6A54">
              <w:t>Medical Physicist (x1)</w:t>
            </w:r>
          </w:p>
        </w:tc>
        <w:tc>
          <w:tcPr>
            <w:tcW w:w="716" w:type="pct"/>
            <w:vAlign w:val="center"/>
          </w:tcPr>
          <w:p w14:paraId="685748B3" w14:textId="77777777" w:rsidR="00D12268" w:rsidRPr="003816D8" w:rsidRDefault="00D12268" w:rsidP="00BF261E">
            <w:pPr>
              <w:pStyle w:val="Tabletext1"/>
              <w:jc w:val="center"/>
            </w:pPr>
            <w:r w:rsidRPr="005E6A54">
              <w:t>15-20</w:t>
            </w:r>
          </w:p>
        </w:tc>
        <w:tc>
          <w:tcPr>
            <w:tcW w:w="1182" w:type="pct"/>
            <w:vAlign w:val="center"/>
          </w:tcPr>
          <w:p w14:paraId="778CECFD" w14:textId="67574ECD" w:rsidR="00D12268" w:rsidRPr="003816D8" w:rsidRDefault="00D12268" w:rsidP="00BF261E">
            <w:pPr>
              <w:pStyle w:val="Tabletext1"/>
              <w:jc w:val="center"/>
              <w:rPr>
                <w:rFonts w:cs="Calibri"/>
              </w:rPr>
            </w:pPr>
            <w:r w:rsidRPr="005E6A54">
              <w:t>$13.68</w:t>
            </w:r>
          </w:p>
        </w:tc>
        <w:tc>
          <w:tcPr>
            <w:tcW w:w="830" w:type="pct"/>
            <w:vAlign w:val="center"/>
          </w:tcPr>
          <w:p w14:paraId="746CB0AD" w14:textId="40B19D93" w:rsidR="00D12268" w:rsidRPr="003816D8" w:rsidRDefault="00D12268" w:rsidP="00BF261E">
            <w:pPr>
              <w:pStyle w:val="Tabletext1"/>
              <w:jc w:val="center"/>
              <w:rPr>
                <w:rFonts w:cs="Calibri"/>
                <w:b/>
              </w:rPr>
            </w:pPr>
            <w:r w:rsidRPr="005E6A54">
              <w:t>$10.26</w:t>
            </w:r>
          </w:p>
        </w:tc>
      </w:tr>
      <w:tr w:rsidR="00D12268" w:rsidRPr="00F77E8D" w14:paraId="41A558DA" w14:textId="77777777" w:rsidTr="005007E2">
        <w:tc>
          <w:tcPr>
            <w:tcW w:w="1429" w:type="pct"/>
          </w:tcPr>
          <w:p w14:paraId="3331B54E" w14:textId="77777777" w:rsidR="00D12268" w:rsidRPr="002E2A2C" w:rsidRDefault="00D12268" w:rsidP="00556AB6">
            <w:pPr>
              <w:pStyle w:val="Tabletext1"/>
              <w:rPr>
                <w:b/>
                <w:i/>
                <w:snapToGrid w:val="0"/>
                <w:lang w:eastAsia="en-US"/>
              </w:rPr>
            </w:pPr>
            <w:r w:rsidRPr="002E2A2C">
              <w:rPr>
                <w:i/>
              </w:rPr>
              <w:t>Review treatment plan and approve documents</w:t>
            </w:r>
          </w:p>
        </w:tc>
        <w:tc>
          <w:tcPr>
            <w:tcW w:w="843" w:type="pct"/>
            <w:vAlign w:val="center"/>
          </w:tcPr>
          <w:p w14:paraId="15052EA1" w14:textId="77777777" w:rsidR="00D12268" w:rsidRPr="003816D8" w:rsidRDefault="00D12268" w:rsidP="00BF261E">
            <w:pPr>
              <w:pStyle w:val="Tabletext1"/>
              <w:jc w:val="center"/>
              <w:rPr>
                <w:snapToGrid w:val="0"/>
                <w:lang w:eastAsia="en-US"/>
              </w:rPr>
            </w:pPr>
            <w:r w:rsidRPr="005E6A54">
              <w:t>Radiation Oncologist (x1)</w:t>
            </w:r>
          </w:p>
        </w:tc>
        <w:tc>
          <w:tcPr>
            <w:tcW w:w="716" w:type="pct"/>
            <w:vAlign w:val="center"/>
          </w:tcPr>
          <w:p w14:paraId="02DAA04C" w14:textId="77777777" w:rsidR="00D12268" w:rsidRPr="003816D8" w:rsidRDefault="00D12268" w:rsidP="00BF261E">
            <w:pPr>
              <w:pStyle w:val="Tabletext1"/>
              <w:jc w:val="center"/>
            </w:pPr>
            <w:r w:rsidRPr="005E6A54">
              <w:t>15</w:t>
            </w:r>
          </w:p>
        </w:tc>
        <w:tc>
          <w:tcPr>
            <w:tcW w:w="1182" w:type="pct"/>
            <w:vAlign w:val="center"/>
          </w:tcPr>
          <w:p w14:paraId="184433DE" w14:textId="30B0BEC9" w:rsidR="00D12268" w:rsidRPr="003816D8" w:rsidRDefault="00D12268" w:rsidP="00BF261E">
            <w:pPr>
              <w:pStyle w:val="Tabletext1"/>
              <w:jc w:val="center"/>
              <w:rPr>
                <w:rFonts w:cs="Calibri"/>
              </w:rPr>
            </w:pPr>
            <w:r w:rsidRPr="005E6A54">
              <w:t>$26.76</w:t>
            </w:r>
          </w:p>
        </w:tc>
        <w:tc>
          <w:tcPr>
            <w:tcW w:w="830" w:type="pct"/>
            <w:vAlign w:val="center"/>
          </w:tcPr>
          <w:p w14:paraId="0B867E3B" w14:textId="54010B74" w:rsidR="00D12268" w:rsidRPr="003816D8" w:rsidRDefault="00D12268" w:rsidP="00BF261E">
            <w:pPr>
              <w:pStyle w:val="Tabletext1"/>
              <w:jc w:val="center"/>
              <w:rPr>
                <w:rFonts w:cs="Calibri"/>
                <w:b/>
              </w:rPr>
            </w:pPr>
            <w:r w:rsidRPr="005E6A54">
              <w:t>$26.76</w:t>
            </w:r>
          </w:p>
        </w:tc>
      </w:tr>
      <w:tr w:rsidR="00D12268" w:rsidRPr="00F77E8D" w14:paraId="175DEBCA" w14:textId="77777777" w:rsidTr="005007E2">
        <w:tc>
          <w:tcPr>
            <w:tcW w:w="1429" w:type="pct"/>
          </w:tcPr>
          <w:p w14:paraId="7F4E7E9B" w14:textId="77777777" w:rsidR="00D12268" w:rsidRPr="002E2A2C" w:rsidRDefault="00D12268" w:rsidP="00556AB6">
            <w:pPr>
              <w:pStyle w:val="Tabletext1"/>
              <w:rPr>
                <w:b/>
                <w:i/>
                <w:snapToGrid w:val="0"/>
                <w:lang w:eastAsia="en-US"/>
              </w:rPr>
            </w:pPr>
            <w:r w:rsidRPr="002E2A2C">
              <w:rPr>
                <w:i/>
              </w:rPr>
              <w:t>Deliver plan to phantom</w:t>
            </w:r>
          </w:p>
        </w:tc>
        <w:tc>
          <w:tcPr>
            <w:tcW w:w="843" w:type="pct"/>
            <w:vAlign w:val="center"/>
          </w:tcPr>
          <w:p w14:paraId="015BF13B" w14:textId="77777777" w:rsidR="00D12268" w:rsidRPr="003816D8" w:rsidRDefault="00D12268" w:rsidP="00BF261E">
            <w:pPr>
              <w:pStyle w:val="Tabletext1"/>
              <w:jc w:val="center"/>
              <w:rPr>
                <w:snapToGrid w:val="0"/>
                <w:lang w:eastAsia="en-US"/>
              </w:rPr>
            </w:pPr>
            <w:r w:rsidRPr="005E6A54">
              <w:t>Technician (x1)</w:t>
            </w:r>
          </w:p>
        </w:tc>
        <w:tc>
          <w:tcPr>
            <w:tcW w:w="716" w:type="pct"/>
            <w:vAlign w:val="center"/>
          </w:tcPr>
          <w:p w14:paraId="3F420DB8" w14:textId="77777777" w:rsidR="00D12268" w:rsidRPr="003816D8" w:rsidRDefault="00D12268" w:rsidP="00BF261E">
            <w:pPr>
              <w:pStyle w:val="Tabletext1"/>
              <w:jc w:val="center"/>
            </w:pPr>
            <w:r w:rsidRPr="005E6A54">
              <w:t>30</w:t>
            </w:r>
          </w:p>
        </w:tc>
        <w:tc>
          <w:tcPr>
            <w:tcW w:w="1182" w:type="pct"/>
            <w:vAlign w:val="center"/>
          </w:tcPr>
          <w:p w14:paraId="641528E7" w14:textId="640B1C62" w:rsidR="00D12268" w:rsidRPr="003816D8" w:rsidRDefault="00D12268" w:rsidP="00BF261E">
            <w:pPr>
              <w:pStyle w:val="Tabletext1"/>
              <w:jc w:val="center"/>
              <w:rPr>
                <w:rFonts w:cs="Calibri"/>
              </w:rPr>
            </w:pPr>
            <w:r w:rsidRPr="005E6A54">
              <w:t>$22.76</w:t>
            </w:r>
          </w:p>
        </w:tc>
        <w:tc>
          <w:tcPr>
            <w:tcW w:w="830" w:type="pct"/>
            <w:vAlign w:val="center"/>
          </w:tcPr>
          <w:p w14:paraId="1ACF2227" w14:textId="32D8D3AF" w:rsidR="00D12268" w:rsidRPr="003816D8" w:rsidRDefault="00D12268" w:rsidP="00BF261E">
            <w:pPr>
              <w:pStyle w:val="Tabletext1"/>
              <w:jc w:val="center"/>
              <w:rPr>
                <w:rFonts w:cs="Calibri"/>
                <w:b/>
              </w:rPr>
            </w:pPr>
            <w:r w:rsidRPr="005E6A54">
              <w:t>$19.83</w:t>
            </w:r>
          </w:p>
        </w:tc>
      </w:tr>
      <w:tr w:rsidR="00D12268" w:rsidRPr="00F77E8D" w14:paraId="75F31205" w14:textId="77777777" w:rsidTr="005007E2">
        <w:tc>
          <w:tcPr>
            <w:tcW w:w="1429" w:type="pct"/>
          </w:tcPr>
          <w:p w14:paraId="092B7203" w14:textId="77777777" w:rsidR="00D12268" w:rsidRPr="002E2A2C" w:rsidRDefault="00D12268" w:rsidP="00556AB6">
            <w:pPr>
              <w:pStyle w:val="Tabletext1"/>
              <w:rPr>
                <w:b/>
                <w:i/>
                <w:snapToGrid w:val="0"/>
                <w:lang w:eastAsia="en-US"/>
              </w:rPr>
            </w:pPr>
            <w:r w:rsidRPr="002E2A2C">
              <w:rPr>
                <w:i/>
              </w:rPr>
              <w:t>Analyse results</w:t>
            </w:r>
          </w:p>
        </w:tc>
        <w:tc>
          <w:tcPr>
            <w:tcW w:w="843" w:type="pct"/>
            <w:vAlign w:val="center"/>
          </w:tcPr>
          <w:p w14:paraId="62C19775" w14:textId="77777777" w:rsidR="00D12268" w:rsidRPr="003816D8" w:rsidRDefault="00D12268" w:rsidP="00BF261E">
            <w:pPr>
              <w:pStyle w:val="Tabletext1"/>
              <w:jc w:val="center"/>
              <w:rPr>
                <w:snapToGrid w:val="0"/>
                <w:lang w:eastAsia="en-US"/>
              </w:rPr>
            </w:pPr>
            <w:r w:rsidRPr="005E6A54">
              <w:t>Dosimetrist (x1)</w:t>
            </w:r>
          </w:p>
        </w:tc>
        <w:tc>
          <w:tcPr>
            <w:tcW w:w="716" w:type="pct"/>
            <w:vAlign w:val="center"/>
          </w:tcPr>
          <w:p w14:paraId="37DC5073" w14:textId="77777777" w:rsidR="00D12268" w:rsidRPr="003816D8" w:rsidRDefault="00D12268" w:rsidP="00BF261E">
            <w:pPr>
              <w:pStyle w:val="Tabletext1"/>
              <w:jc w:val="center"/>
            </w:pPr>
            <w:r w:rsidRPr="005E6A54">
              <w:t>15</w:t>
            </w:r>
          </w:p>
        </w:tc>
        <w:tc>
          <w:tcPr>
            <w:tcW w:w="1182" w:type="pct"/>
            <w:vAlign w:val="center"/>
          </w:tcPr>
          <w:p w14:paraId="1A0729AA" w14:textId="30AF96FE" w:rsidR="00D12268" w:rsidRPr="003816D8" w:rsidRDefault="00D12268" w:rsidP="00BF261E">
            <w:pPr>
              <w:pStyle w:val="Tabletext1"/>
              <w:jc w:val="center"/>
              <w:rPr>
                <w:rFonts w:cs="Calibri"/>
              </w:rPr>
            </w:pPr>
            <w:r w:rsidRPr="005E6A54">
              <w:t>$15.55</w:t>
            </w:r>
          </w:p>
        </w:tc>
        <w:tc>
          <w:tcPr>
            <w:tcW w:w="830" w:type="pct"/>
            <w:vAlign w:val="center"/>
          </w:tcPr>
          <w:p w14:paraId="1FD62917" w14:textId="50A1F54F" w:rsidR="00D12268" w:rsidRPr="003816D8" w:rsidRDefault="00D12268" w:rsidP="00BF261E">
            <w:pPr>
              <w:pStyle w:val="Tabletext1"/>
              <w:jc w:val="center"/>
              <w:rPr>
                <w:rFonts w:cs="Calibri"/>
                <w:b/>
              </w:rPr>
            </w:pPr>
            <w:r w:rsidRPr="005E6A54">
              <w:t>$15.55</w:t>
            </w:r>
          </w:p>
        </w:tc>
      </w:tr>
      <w:tr w:rsidR="00D12268" w:rsidRPr="00F77E8D" w14:paraId="179BB865" w14:textId="77777777" w:rsidTr="005007E2">
        <w:tc>
          <w:tcPr>
            <w:tcW w:w="1429" w:type="pct"/>
          </w:tcPr>
          <w:p w14:paraId="090752A4" w14:textId="77777777" w:rsidR="00D12268" w:rsidRPr="002E2A2C" w:rsidRDefault="00D12268" w:rsidP="00556AB6">
            <w:pPr>
              <w:pStyle w:val="Tabletext1"/>
              <w:rPr>
                <w:b/>
                <w:i/>
                <w:snapToGrid w:val="0"/>
                <w:lang w:eastAsia="en-US"/>
              </w:rPr>
            </w:pPr>
            <w:r w:rsidRPr="002E2A2C">
              <w:rPr>
                <w:i/>
              </w:rPr>
              <w:t xml:space="preserve">Create documentation for treatment plan </w:t>
            </w:r>
          </w:p>
        </w:tc>
        <w:tc>
          <w:tcPr>
            <w:tcW w:w="843" w:type="pct"/>
            <w:vAlign w:val="center"/>
          </w:tcPr>
          <w:p w14:paraId="78FA04C3" w14:textId="77777777" w:rsidR="00D12268" w:rsidRPr="003816D8" w:rsidRDefault="00D12268" w:rsidP="00BF261E">
            <w:pPr>
              <w:pStyle w:val="Tabletext1"/>
              <w:jc w:val="center"/>
              <w:rPr>
                <w:snapToGrid w:val="0"/>
                <w:lang w:eastAsia="en-US"/>
              </w:rPr>
            </w:pPr>
            <w:r w:rsidRPr="005E6A54">
              <w:t>Dosimetrist (x1)</w:t>
            </w:r>
          </w:p>
        </w:tc>
        <w:tc>
          <w:tcPr>
            <w:tcW w:w="716" w:type="pct"/>
            <w:vAlign w:val="center"/>
          </w:tcPr>
          <w:p w14:paraId="2A95ACF8" w14:textId="77777777" w:rsidR="00D12268" w:rsidRPr="003816D8" w:rsidRDefault="00D12268" w:rsidP="00BF261E">
            <w:pPr>
              <w:pStyle w:val="Tabletext1"/>
              <w:jc w:val="center"/>
            </w:pPr>
            <w:r w:rsidRPr="005E6A54">
              <w:t>45</w:t>
            </w:r>
          </w:p>
        </w:tc>
        <w:tc>
          <w:tcPr>
            <w:tcW w:w="1182" w:type="pct"/>
            <w:vAlign w:val="center"/>
          </w:tcPr>
          <w:p w14:paraId="4B1970F2" w14:textId="4C85674D" w:rsidR="00D12268" w:rsidRPr="003816D8" w:rsidRDefault="00D12268" w:rsidP="00BF261E">
            <w:pPr>
              <w:pStyle w:val="Tabletext1"/>
              <w:jc w:val="center"/>
              <w:rPr>
                <w:rFonts w:cs="Calibri"/>
              </w:rPr>
            </w:pPr>
            <w:r w:rsidRPr="005E6A54">
              <w:t>$46.64</w:t>
            </w:r>
          </w:p>
        </w:tc>
        <w:tc>
          <w:tcPr>
            <w:tcW w:w="830" w:type="pct"/>
            <w:vAlign w:val="center"/>
          </w:tcPr>
          <w:p w14:paraId="2A0EDF5D" w14:textId="7B915E18" w:rsidR="00D12268" w:rsidRPr="003816D8" w:rsidRDefault="00D12268" w:rsidP="00BF261E">
            <w:pPr>
              <w:pStyle w:val="Tabletext1"/>
              <w:jc w:val="center"/>
              <w:rPr>
                <w:rFonts w:cs="Calibri"/>
                <w:b/>
              </w:rPr>
            </w:pPr>
            <w:r w:rsidRPr="005E6A54">
              <w:t>$46.64</w:t>
            </w:r>
          </w:p>
        </w:tc>
      </w:tr>
      <w:tr w:rsidR="00D12268" w:rsidRPr="00F77E8D" w14:paraId="0F895A2C" w14:textId="77777777" w:rsidTr="005007E2">
        <w:tc>
          <w:tcPr>
            <w:tcW w:w="1429" w:type="pct"/>
          </w:tcPr>
          <w:p w14:paraId="4BFDCAB7" w14:textId="77777777" w:rsidR="00D12268" w:rsidRPr="002E2A2C" w:rsidRDefault="00D12268" w:rsidP="00556AB6">
            <w:pPr>
              <w:pStyle w:val="Tabletext1"/>
              <w:rPr>
                <w:b/>
                <w:i/>
                <w:snapToGrid w:val="0"/>
                <w:lang w:eastAsia="en-US"/>
              </w:rPr>
            </w:pPr>
            <w:r w:rsidRPr="002E2A2C">
              <w:rPr>
                <w:i/>
              </w:rPr>
              <w:t>Perform "second check" and review documentation</w:t>
            </w:r>
          </w:p>
        </w:tc>
        <w:tc>
          <w:tcPr>
            <w:tcW w:w="843" w:type="pct"/>
            <w:vAlign w:val="center"/>
          </w:tcPr>
          <w:p w14:paraId="6256A805" w14:textId="77777777" w:rsidR="00D12268" w:rsidRPr="003816D8" w:rsidRDefault="00D12268" w:rsidP="00BF261E">
            <w:pPr>
              <w:pStyle w:val="Tabletext1"/>
              <w:jc w:val="center"/>
              <w:rPr>
                <w:snapToGrid w:val="0"/>
                <w:lang w:eastAsia="en-US"/>
              </w:rPr>
            </w:pPr>
            <w:r w:rsidRPr="005E6A54">
              <w:t>Medical Physicist (x1)</w:t>
            </w:r>
          </w:p>
        </w:tc>
        <w:tc>
          <w:tcPr>
            <w:tcW w:w="716" w:type="pct"/>
            <w:vAlign w:val="center"/>
          </w:tcPr>
          <w:p w14:paraId="3178A3FB" w14:textId="77777777" w:rsidR="00D12268" w:rsidRPr="003816D8" w:rsidRDefault="00D12268" w:rsidP="00BF261E">
            <w:pPr>
              <w:pStyle w:val="Tabletext1"/>
              <w:jc w:val="center"/>
            </w:pPr>
            <w:r w:rsidRPr="005E6A54">
              <w:t>30</w:t>
            </w:r>
          </w:p>
        </w:tc>
        <w:tc>
          <w:tcPr>
            <w:tcW w:w="1182" w:type="pct"/>
            <w:vAlign w:val="center"/>
          </w:tcPr>
          <w:p w14:paraId="7C3797B1" w14:textId="606174B4" w:rsidR="00D12268" w:rsidRPr="003816D8" w:rsidRDefault="00D12268" w:rsidP="00BF261E">
            <w:pPr>
              <w:pStyle w:val="Tabletext1"/>
              <w:jc w:val="center"/>
              <w:rPr>
                <w:rFonts w:cs="Calibri"/>
              </w:rPr>
            </w:pPr>
            <w:r w:rsidRPr="005E6A54">
              <w:t>$20.52</w:t>
            </w:r>
          </w:p>
        </w:tc>
        <w:tc>
          <w:tcPr>
            <w:tcW w:w="830" w:type="pct"/>
            <w:vAlign w:val="center"/>
          </w:tcPr>
          <w:p w14:paraId="7BC35463" w14:textId="100CA152" w:rsidR="00D12268" w:rsidRPr="003816D8" w:rsidRDefault="00D12268" w:rsidP="00BF261E">
            <w:pPr>
              <w:pStyle w:val="Tabletext1"/>
              <w:jc w:val="center"/>
              <w:rPr>
                <w:rFonts w:cs="Calibri"/>
                <w:b/>
              </w:rPr>
            </w:pPr>
            <w:r w:rsidRPr="005E6A54">
              <w:t>$20.52</w:t>
            </w:r>
          </w:p>
        </w:tc>
      </w:tr>
      <w:tr w:rsidR="00D12268" w:rsidRPr="00F77E8D" w14:paraId="2E3D096D" w14:textId="77777777" w:rsidTr="005007E2">
        <w:tc>
          <w:tcPr>
            <w:tcW w:w="1429" w:type="pct"/>
          </w:tcPr>
          <w:p w14:paraId="2354F55F" w14:textId="77777777" w:rsidR="00D12268" w:rsidRPr="002E2A2C" w:rsidRDefault="00D12268" w:rsidP="00556AB6">
            <w:pPr>
              <w:pStyle w:val="Tabletext1"/>
              <w:rPr>
                <w:b/>
                <w:snapToGrid w:val="0"/>
                <w:lang w:eastAsia="en-US"/>
              </w:rPr>
            </w:pPr>
            <w:r w:rsidRPr="002E2A2C">
              <w:rPr>
                <w:b/>
              </w:rPr>
              <w:t>Chart Rounds</w:t>
            </w:r>
          </w:p>
        </w:tc>
        <w:tc>
          <w:tcPr>
            <w:tcW w:w="843" w:type="pct"/>
            <w:vAlign w:val="center"/>
          </w:tcPr>
          <w:p w14:paraId="0D55F782" w14:textId="77777777" w:rsidR="00D12268" w:rsidRPr="003816D8" w:rsidRDefault="00D12268" w:rsidP="00BF261E">
            <w:pPr>
              <w:pStyle w:val="Tabletext1"/>
              <w:jc w:val="center"/>
              <w:rPr>
                <w:snapToGrid w:val="0"/>
                <w:lang w:eastAsia="en-US"/>
              </w:rPr>
            </w:pPr>
          </w:p>
        </w:tc>
        <w:tc>
          <w:tcPr>
            <w:tcW w:w="716" w:type="pct"/>
            <w:vAlign w:val="center"/>
          </w:tcPr>
          <w:p w14:paraId="36050055" w14:textId="77777777" w:rsidR="00D12268" w:rsidRPr="003816D8" w:rsidRDefault="00D12268" w:rsidP="00BF261E">
            <w:pPr>
              <w:pStyle w:val="Tabletext1"/>
              <w:jc w:val="center"/>
            </w:pPr>
          </w:p>
        </w:tc>
        <w:tc>
          <w:tcPr>
            <w:tcW w:w="1182" w:type="pct"/>
            <w:vAlign w:val="center"/>
          </w:tcPr>
          <w:p w14:paraId="78EA8901" w14:textId="77777777" w:rsidR="00D12268" w:rsidRPr="003816D8" w:rsidRDefault="00D12268" w:rsidP="00BF261E">
            <w:pPr>
              <w:pStyle w:val="Tabletext1"/>
              <w:jc w:val="center"/>
              <w:rPr>
                <w:rFonts w:cs="Calibri"/>
              </w:rPr>
            </w:pPr>
          </w:p>
        </w:tc>
        <w:tc>
          <w:tcPr>
            <w:tcW w:w="830" w:type="pct"/>
            <w:vAlign w:val="center"/>
          </w:tcPr>
          <w:p w14:paraId="5896DA2E" w14:textId="77777777" w:rsidR="00D12268" w:rsidRPr="003816D8" w:rsidRDefault="00D12268" w:rsidP="00BF261E">
            <w:pPr>
              <w:pStyle w:val="Tabletext1"/>
              <w:jc w:val="center"/>
              <w:rPr>
                <w:rFonts w:cs="Calibri"/>
                <w:b/>
              </w:rPr>
            </w:pPr>
          </w:p>
        </w:tc>
      </w:tr>
      <w:tr w:rsidR="00D12268" w:rsidRPr="00F77E8D" w14:paraId="2AAFA500" w14:textId="77777777" w:rsidTr="005007E2">
        <w:tc>
          <w:tcPr>
            <w:tcW w:w="1429" w:type="pct"/>
          </w:tcPr>
          <w:p w14:paraId="769F77F5" w14:textId="77777777" w:rsidR="00D12268" w:rsidRPr="002E2A2C" w:rsidRDefault="00D12268" w:rsidP="00556AB6">
            <w:pPr>
              <w:pStyle w:val="Tabletext1"/>
              <w:rPr>
                <w:b/>
                <w:i/>
                <w:snapToGrid w:val="0"/>
                <w:lang w:eastAsia="en-US"/>
              </w:rPr>
            </w:pPr>
            <w:r w:rsidRPr="002E2A2C">
              <w:rPr>
                <w:i/>
              </w:rPr>
              <w:t>Present for chart rounds</w:t>
            </w:r>
          </w:p>
        </w:tc>
        <w:tc>
          <w:tcPr>
            <w:tcW w:w="843" w:type="pct"/>
            <w:vAlign w:val="center"/>
          </w:tcPr>
          <w:p w14:paraId="5EC9D848" w14:textId="77777777" w:rsidR="00D12268" w:rsidRPr="003816D8" w:rsidRDefault="00D12268" w:rsidP="00BF261E">
            <w:pPr>
              <w:pStyle w:val="Tabletext1"/>
              <w:jc w:val="center"/>
              <w:rPr>
                <w:snapToGrid w:val="0"/>
                <w:lang w:eastAsia="en-US"/>
              </w:rPr>
            </w:pPr>
            <w:r w:rsidRPr="005E6A54">
              <w:t>Dosimetrist (x1)</w:t>
            </w:r>
          </w:p>
        </w:tc>
        <w:tc>
          <w:tcPr>
            <w:tcW w:w="716" w:type="pct"/>
            <w:vAlign w:val="center"/>
          </w:tcPr>
          <w:p w14:paraId="007B19C0" w14:textId="77777777" w:rsidR="00D12268" w:rsidRPr="003816D8" w:rsidRDefault="00D12268" w:rsidP="00BF261E">
            <w:pPr>
              <w:pStyle w:val="Tabletext1"/>
              <w:jc w:val="center"/>
            </w:pPr>
            <w:r w:rsidRPr="005E6A54">
              <w:t>3</w:t>
            </w:r>
          </w:p>
        </w:tc>
        <w:tc>
          <w:tcPr>
            <w:tcW w:w="1182" w:type="pct"/>
            <w:vAlign w:val="center"/>
          </w:tcPr>
          <w:p w14:paraId="0D979B31" w14:textId="35076E4C" w:rsidR="00D12268" w:rsidRPr="003816D8" w:rsidRDefault="00D12268" w:rsidP="00BF261E">
            <w:pPr>
              <w:pStyle w:val="Tabletext1"/>
              <w:jc w:val="center"/>
              <w:rPr>
                <w:rFonts w:cs="Calibri"/>
              </w:rPr>
            </w:pPr>
            <w:r w:rsidRPr="005E6A54">
              <w:t>$3.11</w:t>
            </w:r>
          </w:p>
        </w:tc>
        <w:tc>
          <w:tcPr>
            <w:tcW w:w="830" w:type="pct"/>
            <w:vAlign w:val="center"/>
          </w:tcPr>
          <w:p w14:paraId="0C296260" w14:textId="3CAC7875" w:rsidR="00D12268" w:rsidRPr="003816D8" w:rsidRDefault="00D12268" w:rsidP="00BF261E">
            <w:pPr>
              <w:pStyle w:val="Tabletext1"/>
              <w:jc w:val="center"/>
              <w:rPr>
                <w:rFonts w:cs="Calibri"/>
                <w:b/>
              </w:rPr>
            </w:pPr>
            <w:r w:rsidRPr="005E6A54">
              <w:t>$3.11</w:t>
            </w:r>
          </w:p>
        </w:tc>
      </w:tr>
      <w:tr w:rsidR="00D12268" w:rsidRPr="00F77E8D" w14:paraId="163D39B4" w14:textId="77777777" w:rsidTr="005007E2">
        <w:tc>
          <w:tcPr>
            <w:tcW w:w="1429" w:type="pct"/>
          </w:tcPr>
          <w:p w14:paraId="2F59C1F6" w14:textId="77777777" w:rsidR="00D12268" w:rsidRPr="003816D8" w:rsidRDefault="00D12268" w:rsidP="00556AB6">
            <w:pPr>
              <w:pStyle w:val="Tabletext1"/>
              <w:rPr>
                <w:b/>
                <w:snapToGrid w:val="0"/>
                <w:lang w:eastAsia="en-US"/>
              </w:rPr>
            </w:pPr>
          </w:p>
        </w:tc>
        <w:tc>
          <w:tcPr>
            <w:tcW w:w="843" w:type="pct"/>
            <w:vAlign w:val="center"/>
          </w:tcPr>
          <w:p w14:paraId="2172CB1B" w14:textId="77777777" w:rsidR="00D12268" w:rsidRPr="003816D8" w:rsidRDefault="00D12268" w:rsidP="00BF261E">
            <w:pPr>
              <w:pStyle w:val="Tabletext1"/>
              <w:jc w:val="center"/>
              <w:rPr>
                <w:snapToGrid w:val="0"/>
                <w:lang w:eastAsia="en-US"/>
              </w:rPr>
            </w:pPr>
            <w:r w:rsidRPr="005E6A54">
              <w:t>Medical Physicist (x1)</w:t>
            </w:r>
          </w:p>
        </w:tc>
        <w:tc>
          <w:tcPr>
            <w:tcW w:w="716" w:type="pct"/>
            <w:vAlign w:val="center"/>
          </w:tcPr>
          <w:p w14:paraId="4BE686A3" w14:textId="77777777" w:rsidR="00D12268" w:rsidRPr="003816D8" w:rsidRDefault="00D12268" w:rsidP="00BF261E">
            <w:pPr>
              <w:pStyle w:val="Tabletext1"/>
              <w:jc w:val="center"/>
            </w:pPr>
            <w:r w:rsidRPr="005E6A54">
              <w:t>3</w:t>
            </w:r>
          </w:p>
        </w:tc>
        <w:tc>
          <w:tcPr>
            <w:tcW w:w="1182" w:type="pct"/>
            <w:vAlign w:val="center"/>
          </w:tcPr>
          <w:p w14:paraId="65C809C5" w14:textId="79893E6E" w:rsidR="00D12268" w:rsidRPr="003816D8" w:rsidRDefault="00D12268" w:rsidP="00BF261E">
            <w:pPr>
              <w:pStyle w:val="Tabletext1"/>
              <w:jc w:val="center"/>
              <w:rPr>
                <w:rFonts w:cs="Calibri"/>
              </w:rPr>
            </w:pPr>
            <w:r w:rsidRPr="005E6A54">
              <w:t>$2.05</w:t>
            </w:r>
          </w:p>
        </w:tc>
        <w:tc>
          <w:tcPr>
            <w:tcW w:w="830" w:type="pct"/>
            <w:vAlign w:val="center"/>
          </w:tcPr>
          <w:p w14:paraId="462BB7F6" w14:textId="531B40A6" w:rsidR="00D12268" w:rsidRPr="003816D8" w:rsidRDefault="00D12268" w:rsidP="00BF261E">
            <w:pPr>
              <w:pStyle w:val="Tabletext1"/>
              <w:jc w:val="center"/>
              <w:rPr>
                <w:rFonts w:cs="Calibri"/>
                <w:b/>
              </w:rPr>
            </w:pPr>
            <w:r w:rsidRPr="005E6A54">
              <w:t>$2.05</w:t>
            </w:r>
          </w:p>
        </w:tc>
      </w:tr>
      <w:tr w:rsidR="00D12268" w:rsidRPr="00F77E8D" w14:paraId="763C0EDD" w14:textId="77777777" w:rsidTr="005007E2">
        <w:tc>
          <w:tcPr>
            <w:tcW w:w="1429" w:type="pct"/>
          </w:tcPr>
          <w:p w14:paraId="45DB5FFE" w14:textId="77777777" w:rsidR="00D12268" w:rsidRPr="003816D8" w:rsidRDefault="00D12268" w:rsidP="00556AB6">
            <w:pPr>
              <w:pStyle w:val="Tabletext1"/>
              <w:rPr>
                <w:b/>
                <w:snapToGrid w:val="0"/>
                <w:lang w:eastAsia="en-US"/>
              </w:rPr>
            </w:pPr>
          </w:p>
        </w:tc>
        <w:tc>
          <w:tcPr>
            <w:tcW w:w="843" w:type="pct"/>
            <w:vAlign w:val="center"/>
          </w:tcPr>
          <w:p w14:paraId="0BFE768F" w14:textId="77777777" w:rsidR="00D12268" w:rsidRPr="003816D8" w:rsidRDefault="00D12268" w:rsidP="00BF261E">
            <w:pPr>
              <w:pStyle w:val="Tabletext1"/>
              <w:jc w:val="center"/>
              <w:rPr>
                <w:snapToGrid w:val="0"/>
                <w:lang w:eastAsia="en-US"/>
              </w:rPr>
            </w:pPr>
            <w:r w:rsidRPr="005E6A54">
              <w:t>Radiation Oncologist (x1)</w:t>
            </w:r>
          </w:p>
        </w:tc>
        <w:tc>
          <w:tcPr>
            <w:tcW w:w="716" w:type="pct"/>
            <w:vAlign w:val="center"/>
          </w:tcPr>
          <w:p w14:paraId="3C16F2EA" w14:textId="77777777" w:rsidR="00D12268" w:rsidRPr="003816D8" w:rsidRDefault="00D12268" w:rsidP="00BF261E">
            <w:pPr>
              <w:pStyle w:val="Tabletext1"/>
              <w:jc w:val="center"/>
            </w:pPr>
            <w:r w:rsidRPr="005E6A54">
              <w:t>3</w:t>
            </w:r>
          </w:p>
        </w:tc>
        <w:tc>
          <w:tcPr>
            <w:tcW w:w="1182" w:type="pct"/>
            <w:vAlign w:val="center"/>
          </w:tcPr>
          <w:p w14:paraId="5771BFDE" w14:textId="78848E3A" w:rsidR="00D12268" w:rsidRPr="003816D8" w:rsidRDefault="00D12268" w:rsidP="00BF261E">
            <w:pPr>
              <w:pStyle w:val="Tabletext1"/>
              <w:jc w:val="center"/>
              <w:rPr>
                <w:rFonts w:cs="Calibri"/>
              </w:rPr>
            </w:pPr>
            <w:r w:rsidRPr="005E6A54">
              <w:t>$5.35</w:t>
            </w:r>
          </w:p>
        </w:tc>
        <w:tc>
          <w:tcPr>
            <w:tcW w:w="830" w:type="pct"/>
            <w:vAlign w:val="center"/>
          </w:tcPr>
          <w:p w14:paraId="41DA7EB7" w14:textId="1A0E0FD5" w:rsidR="00D12268" w:rsidRPr="003816D8" w:rsidRDefault="00D12268" w:rsidP="00BF261E">
            <w:pPr>
              <w:pStyle w:val="Tabletext1"/>
              <w:jc w:val="center"/>
              <w:rPr>
                <w:rFonts w:cs="Calibri"/>
                <w:b/>
              </w:rPr>
            </w:pPr>
            <w:r w:rsidRPr="005E6A54">
              <w:t>$5.35</w:t>
            </w:r>
          </w:p>
        </w:tc>
      </w:tr>
      <w:tr w:rsidR="00D12268" w:rsidRPr="00F77E8D" w14:paraId="0AA3FB79" w14:textId="77777777" w:rsidTr="005007E2">
        <w:tc>
          <w:tcPr>
            <w:tcW w:w="1429" w:type="pct"/>
          </w:tcPr>
          <w:p w14:paraId="79133310" w14:textId="77777777" w:rsidR="00D12268" w:rsidRPr="00A32008" w:rsidRDefault="00D12268" w:rsidP="00556AB6">
            <w:pPr>
              <w:pStyle w:val="Tabletext1"/>
              <w:rPr>
                <w:b/>
                <w:snapToGrid w:val="0"/>
                <w:lang w:eastAsia="en-US"/>
              </w:rPr>
            </w:pPr>
            <w:r w:rsidRPr="00A32008">
              <w:rPr>
                <w:b/>
              </w:rPr>
              <w:t>Total</w:t>
            </w:r>
          </w:p>
        </w:tc>
        <w:tc>
          <w:tcPr>
            <w:tcW w:w="843" w:type="pct"/>
            <w:vAlign w:val="center"/>
          </w:tcPr>
          <w:p w14:paraId="709AD389" w14:textId="77777777" w:rsidR="00D12268" w:rsidRPr="00A32008" w:rsidRDefault="00D12268" w:rsidP="00BF261E">
            <w:pPr>
              <w:pStyle w:val="Tabletext1"/>
              <w:jc w:val="center"/>
              <w:rPr>
                <w:b/>
                <w:snapToGrid w:val="0"/>
                <w:lang w:eastAsia="en-US"/>
              </w:rPr>
            </w:pPr>
          </w:p>
        </w:tc>
        <w:tc>
          <w:tcPr>
            <w:tcW w:w="716" w:type="pct"/>
            <w:vAlign w:val="center"/>
          </w:tcPr>
          <w:p w14:paraId="7EB2302B" w14:textId="77777777" w:rsidR="00D12268" w:rsidRPr="00A32008" w:rsidRDefault="00D12268" w:rsidP="00BF261E">
            <w:pPr>
              <w:pStyle w:val="Tabletext1"/>
              <w:jc w:val="center"/>
              <w:rPr>
                <w:b/>
              </w:rPr>
            </w:pPr>
          </w:p>
        </w:tc>
        <w:tc>
          <w:tcPr>
            <w:tcW w:w="1182" w:type="pct"/>
            <w:vAlign w:val="center"/>
          </w:tcPr>
          <w:p w14:paraId="14EED623" w14:textId="2443CA15" w:rsidR="00D12268" w:rsidRPr="00A32008" w:rsidRDefault="00D12268" w:rsidP="00BF261E">
            <w:pPr>
              <w:pStyle w:val="Tabletext1"/>
              <w:jc w:val="center"/>
              <w:rPr>
                <w:rFonts w:cs="Calibri"/>
                <w:b/>
              </w:rPr>
            </w:pPr>
            <w:r w:rsidRPr="00A32008">
              <w:rPr>
                <w:b/>
              </w:rPr>
              <w:t>$483.67</w:t>
            </w:r>
          </w:p>
        </w:tc>
        <w:tc>
          <w:tcPr>
            <w:tcW w:w="830" w:type="pct"/>
            <w:vAlign w:val="center"/>
          </w:tcPr>
          <w:p w14:paraId="2999C193" w14:textId="071C18B3" w:rsidR="00D12268" w:rsidRPr="00A32008" w:rsidRDefault="00D12268" w:rsidP="00BF261E">
            <w:pPr>
              <w:pStyle w:val="Tabletext1"/>
              <w:jc w:val="center"/>
              <w:rPr>
                <w:rFonts w:cs="Calibri"/>
                <w:b/>
              </w:rPr>
            </w:pPr>
            <w:r w:rsidRPr="00A32008">
              <w:rPr>
                <w:b/>
              </w:rPr>
              <w:t>$461.78</w:t>
            </w:r>
          </w:p>
        </w:tc>
      </w:tr>
      <w:tr w:rsidR="00D12268" w:rsidRPr="00F77E8D" w14:paraId="0B43112F" w14:textId="77777777" w:rsidTr="005007E2">
        <w:tc>
          <w:tcPr>
            <w:tcW w:w="1429" w:type="pct"/>
          </w:tcPr>
          <w:p w14:paraId="08952C57" w14:textId="77777777" w:rsidR="00D12268" w:rsidRPr="003816D8" w:rsidRDefault="00D12268" w:rsidP="00556AB6">
            <w:pPr>
              <w:pStyle w:val="Tabletext1"/>
              <w:rPr>
                <w:b/>
                <w:snapToGrid w:val="0"/>
                <w:lang w:eastAsia="en-US"/>
              </w:rPr>
            </w:pPr>
            <w:r>
              <w:rPr>
                <w:b/>
                <w:snapToGrid w:val="0"/>
                <w:lang w:eastAsia="en-US"/>
              </w:rPr>
              <w:t xml:space="preserve">Step - </w:t>
            </w:r>
            <w:r w:rsidRPr="00B610CE">
              <w:rPr>
                <w:b/>
                <w:snapToGrid w:val="0"/>
                <w:lang w:eastAsia="en-US"/>
              </w:rPr>
              <w:t>Process map reflecting steps prior treatment</w:t>
            </w:r>
          </w:p>
        </w:tc>
        <w:tc>
          <w:tcPr>
            <w:tcW w:w="843" w:type="pct"/>
            <w:vAlign w:val="center"/>
          </w:tcPr>
          <w:p w14:paraId="5DD2C2E5" w14:textId="77777777" w:rsidR="00D12268" w:rsidRPr="003816D8" w:rsidRDefault="00D12268" w:rsidP="00BF261E">
            <w:pPr>
              <w:pStyle w:val="Tabletext1"/>
              <w:jc w:val="center"/>
              <w:rPr>
                <w:snapToGrid w:val="0"/>
                <w:lang w:eastAsia="en-US"/>
              </w:rPr>
            </w:pPr>
          </w:p>
        </w:tc>
        <w:tc>
          <w:tcPr>
            <w:tcW w:w="716" w:type="pct"/>
            <w:vAlign w:val="center"/>
          </w:tcPr>
          <w:p w14:paraId="798BBB5B" w14:textId="77777777" w:rsidR="00D12268" w:rsidRPr="003816D8" w:rsidRDefault="00D12268" w:rsidP="00BF261E">
            <w:pPr>
              <w:pStyle w:val="Tabletext1"/>
              <w:jc w:val="center"/>
            </w:pPr>
          </w:p>
        </w:tc>
        <w:tc>
          <w:tcPr>
            <w:tcW w:w="1182" w:type="pct"/>
            <w:vAlign w:val="center"/>
          </w:tcPr>
          <w:p w14:paraId="009F8F0B" w14:textId="77777777" w:rsidR="00D12268" w:rsidRPr="003816D8" w:rsidRDefault="00D12268" w:rsidP="00BF261E">
            <w:pPr>
              <w:pStyle w:val="Tabletext1"/>
              <w:jc w:val="center"/>
              <w:rPr>
                <w:rFonts w:cs="Calibri"/>
              </w:rPr>
            </w:pPr>
          </w:p>
        </w:tc>
        <w:tc>
          <w:tcPr>
            <w:tcW w:w="830" w:type="pct"/>
            <w:vAlign w:val="center"/>
          </w:tcPr>
          <w:p w14:paraId="043F4B94" w14:textId="77777777" w:rsidR="00D12268" w:rsidRPr="003816D8" w:rsidRDefault="00D12268" w:rsidP="00BF261E">
            <w:pPr>
              <w:pStyle w:val="Tabletext1"/>
              <w:jc w:val="center"/>
              <w:rPr>
                <w:rFonts w:cs="Calibri"/>
                <w:b/>
              </w:rPr>
            </w:pPr>
          </w:p>
        </w:tc>
      </w:tr>
      <w:tr w:rsidR="00D12268" w:rsidRPr="00F77E8D" w14:paraId="17163E74" w14:textId="77777777" w:rsidTr="005007E2">
        <w:tc>
          <w:tcPr>
            <w:tcW w:w="1429" w:type="pct"/>
          </w:tcPr>
          <w:p w14:paraId="26F701B0" w14:textId="77777777" w:rsidR="00D12268" w:rsidRPr="00B610CE" w:rsidRDefault="00D12268" w:rsidP="00556AB6">
            <w:pPr>
              <w:pStyle w:val="Tabletext1"/>
              <w:rPr>
                <w:b/>
                <w:snapToGrid w:val="0"/>
                <w:lang w:eastAsia="en-US"/>
              </w:rPr>
            </w:pPr>
            <w:r w:rsidRPr="00B610CE">
              <w:rPr>
                <w:b/>
              </w:rPr>
              <w:t>Prior to first treatment</w:t>
            </w:r>
          </w:p>
        </w:tc>
        <w:tc>
          <w:tcPr>
            <w:tcW w:w="843" w:type="pct"/>
            <w:vAlign w:val="center"/>
          </w:tcPr>
          <w:p w14:paraId="6D088DB0" w14:textId="77777777" w:rsidR="00D12268" w:rsidRPr="003816D8" w:rsidRDefault="00D12268" w:rsidP="00BF261E">
            <w:pPr>
              <w:pStyle w:val="Tabletext1"/>
              <w:jc w:val="center"/>
              <w:rPr>
                <w:snapToGrid w:val="0"/>
                <w:lang w:eastAsia="en-US"/>
              </w:rPr>
            </w:pPr>
          </w:p>
        </w:tc>
        <w:tc>
          <w:tcPr>
            <w:tcW w:w="716" w:type="pct"/>
            <w:vAlign w:val="center"/>
          </w:tcPr>
          <w:p w14:paraId="7C3099A9" w14:textId="77777777" w:rsidR="00D12268" w:rsidRPr="003816D8" w:rsidRDefault="00D12268" w:rsidP="00BF261E">
            <w:pPr>
              <w:pStyle w:val="Tabletext1"/>
              <w:jc w:val="center"/>
            </w:pPr>
          </w:p>
        </w:tc>
        <w:tc>
          <w:tcPr>
            <w:tcW w:w="1182" w:type="pct"/>
            <w:vAlign w:val="center"/>
          </w:tcPr>
          <w:p w14:paraId="6F83EAFE" w14:textId="77777777" w:rsidR="00D12268" w:rsidRPr="003816D8" w:rsidRDefault="00D12268" w:rsidP="00BF261E">
            <w:pPr>
              <w:pStyle w:val="Tabletext1"/>
              <w:jc w:val="center"/>
              <w:rPr>
                <w:rFonts w:cs="Calibri"/>
              </w:rPr>
            </w:pPr>
          </w:p>
        </w:tc>
        <w:tc>
          <w:tcPr>
            <w:tcW w:w="830" w:type="pct"/>
            <w:vAlign w:val="center"/>
          </w:tcPr>
          <w:p w14:paraId="32DB0331" w14:textId="77777777" w:rsidR="00D12268" w:rsidRPr="003816D8" w:rsidRDefault="00D12268" w:rsidP="00BF261E">
            <w:pPr>
              <w:pStyle w:val="Tabletext1"/>
              <w:jc w:val="center"/>
              <w:rPr>
                <w:rFonts w:cs="Calibri"/>
                <w:b/>
              </w:rPr>
            </w:pPr>
          </w:p>
        </w:tc>
      </w:tr>
      <w:tr w:rsidR="00D12268" w:rsidRPr="00F77E8D" w14:paraId="123356C2" w14:textId="77777777" w:rsidTr="005007E2">
        <w:tc>
          <w:tcPr>
            <w:tcW w:w="1429" w:type="pct"/>
          </w:tcPr>
          <w:p w14:paraId="4B669ED7" w14:textId="77777777" w:rsidR="00D12268" w:rsidRPr="00B610CE" w:rsidRDefault="00D12268" w:rsidP="00556AB6">
            <w:pPr>
              <w:pStyle w:val="Tabletext1"/>
              <w:rPr>
                <w:b/>
                <w:i/>
                <w:snapToGrid w:val="0"/>
                <w:lang w:eastAsia="en-US"/>
              </w:rPr>
            </w:pPr>
            <w:r w:rsidRPr="00B610CE">
              <w:rPr>
                <w:i/>
              </w:rPr>
              <w:t>Obtain vitals and weight</w:t>
            </w:r>
          </w:p>
        </w:tc>
        <w:tc>
          <w:tcPr>
            <w:tcW w:w="843" w:type="pct"/>
            <w:vAlign w:val="center"/>
          </w:tcPr>
          <w:p w14:paraId="3AE86883" w14:textId="77777777" w:rsidR="00D12268" w:rsidRPr="003816D8" w:rsidRDefault="00D12268" w:rsidP="00BF261E">
            <w:pPr>
              <w:pStyle w:val="Tabletext1"/>
              <w:jc w:val="center"/>
              <w:rPr>
                <w:snapToGrid w:val="0"/>
                <w:lang w:eastAsia="en-US"/>
              </w:rPr>
            </w:pPr>
            <w:r w:rsidRPr="00447323">
              <w:t>Medical Assistant (x1)</w:t>
            </w:r>
          </w:p>
        </w:tc>
        <w:tc>
          <w:tcPr>
            <w:tcW w:w="716" w:type="pct"/>
            <w:vAlign w:val="center"/>
          </w:tcPr>
          <w:p w14:paraId="00FE2B3B" w14:textId="77777777" w:rsidR="00D12268" w:rsidRPr="003816D8" w:rsidRDefault="00D12268" w:rsidP="00BF261E">
            <w:pPr>
              <w:pStyle w:val="Tabletext1"/>
              <w:jc w:val="center"/>
            </w:pPr>
            <w:r w:rsidRPr="00447323">
              <w:t>4</w:t>
            </w:r>
          </w:p>
        </w:tc>
        <w:tc>
          <w:tcPr>
            <w:tcW w:w="1182" w:type="pct"/>
            <w:vAlign w:val="center"/>
          </w:tcPr>
          <w:p w14:paraId="31CD2E68" w14:textId="0E946A27" w:rsidR="00D12268" w:rsidRPr="003816D8" w:rsidRDefault="00D12268" w:rsidP="00BF261E">
            <w:pPr>
              <w:pStyle w:val="Tabletext1"/>
              <w:jc w:val="center"/>
              <w:rPr>
                <w:rFonts w:cs="Calibri"/>
              </w:rPr>
            </w:pPr>
            <w:r w:rsidRPr="00447323">
              <w:t>$1.64</w:t>
            </w:r>
          </w:p>
        </w:tc>
        <w:tc>
          <w:tcPr>
            <w:tcW w:w="830" w:type="pct"/>
            <w:vAlign w:val="center"/>
          </w:tcPr>
          <w:p w14:paraId="277A198F" w14:textId="4FAE7DAF" w:rsidR="00D12268" w:rsidRPr="003816D8" w:rsidRDefault="00D12268" w:rsidP="00BF261E">
            <w:pPr>
              <w:pStyle w:val="Tabletext1"/>
              <w:jc w:val="center"/>
              <w:rPr>
                <w:rFonts w:cs="Calibri"/>
                <w:b/>
              </w:rPr>
            </w:pPr>
            <w:r w:rsidRPr="00447323">
              <w:t>$1.64</w:t>
            </w:r>
          </w:p>
        </w:tc>
      </w:tr>
      <w:tr w:rsidR="00D12268" w:rsidRPr="00F77E8D" w14:paraId="68CFD395" w14:textId="77777777" w:rsidTr="005007E2">
        <w:tc>
          <w:tcPr>
            <w:tcW w:w="1429" w:type="pct"/>
          </w:tcPr>
          <w:p w14:paraId="56941D77" w14:textId="77777777" w:rsidR="00D12268" w:rsidRPr="00B610CE" w:rsidRDefault="00D12268" w:rsidP="00556AB6">
            <w:pPr>
              <w:pStyle w:val="Tabletext1"/>
              <w:rPr>
                <w:b/>
                <w:i/>
                <w:snapToGrid w:val="0"/>
                <w:lang w:eastAsia="en-US"/>
              </w:rPr>
            </w:pPr>
            <w:r w:rsidRPr="00B610CE">
              <w:rPr>
                <w:i/>
              </w:rPr>
              <w:t>Perform medication and reconciliation</w:t>
            </w:r>
          </w:p>
        </w:tc>
        <w:tc>
          <w:tcPr>
            <w:tcW w:w="843" w:type="pct"/>
            <w:vAlign w:val="center"/>
          </w:tcPr>
          <w:p w14:paraId="0B3B3D48" w14:textId="77777777" w:rsidR="00D12268" w:rsidRPr="003816D8" w:rsidRDefault="00D12268" w:rsidP="00BF261E">
            <w:pPr>
              <w:pStyle w:val="Tabletext1"/>
              <w:jc w:val="center"/>
              <w:rPr>
                <w:snapToGrid w:val="0"/>
                <w:lang w:eastAsia="en-US"/>
              </w:rPr>
            </w:pPr>
            <w:r w:rsidRPr="00447323">
              <w:t>Medical Assistant (x1)</w:t>
            </w:r>
          </w:p>
        </w:tc>
        <w:tc>
          <w:tcPr>
            <w:tcW w:w="716" w:type="pct"/>
            <w:vAlign w:val="center"/>
          </w:tcPr>
          <w:p w14:paraId="7AAAA342" w14:textId="77777777" w:rsidR="00D12268" w:rsidRPr="003816D8" w:rsidRDefault="00D12268" w:rsidP="00BF261E">
            <w:pPr>
              <w:pStyle w:val="Tabletext1"/>
              <w:jc w:val="center"/>
            </w:pPr>
            <w:r w:rsidRPr="00447323">
              <w:t>6</w:t>
            </w:r>
          </w:p>
        </w:tc>
        <w:tc>
          <w:tcPr>
            <w:tcW w:w="1182" w:type="pct"/>
            <w:vAlign w:val="center"/>
          </w:tcPr>
          <w:p w14:paraId="7F460C57" w14:textId="6E2F94B9" w:rsidR="00D12268" w:rsidRPr="003816D8" w:rsidRDefault="00D12268" w:rsidP="00BF261E">
            <w:pPr>
              <w:pStyle w:val="Tabletext1"/>
              <w:jc w:val="center"/>
              <w:rPr>
                <w:rFonts w:cs="Calibri"/>
              </w:rPr>
            </w:pPr>
            <w:r w:rsidRPr="00447323">
              <w:t>$2.46</w:t>
            </w:r>
          </w:p>
        </w:tc>
        <w:tc>
          <w:tcPr>
            <w:tcW w:w="830" w:type="pct"/>
            <w:vAlign w:val="center"/>
          </w:tcPr>
          <w:p w14:paraId="3D545F11" w14:textId="13677D9F" w:rsidR="00D12268" w:rsidRPr="003816D8" w:rsidRDefault="00D12268" w:rsidP="00BF261E">
            <w:pPr>
              <w:pStyle w:val="Tabletext1"/>
              <w:jc w:val="center"/>
              <w:rPr>
                <w:rFonts w:cs="Calibri"/>
                <w:b/>
              </w:rPr>
            </w:pPr>
            <w:r w:rsidRPr="00447323">
              <w:t>$2.46</w:t>
            </w:r>
          </w:p>
        </w:tc>
      </w:tr>
      <w:tr w:rsidR="00D12268" w:rsidRPr="00F77E8D" w14:paraId="13595D77" w14:textId="77777777" w:rsidTr="005007E2">
        <w:tc>
          <w:tcPr>
            <w:tcW w:w="1429" w:type="pct"/>
          </w:tcPr>
          <w:p w14:paraId="07F4F51E" w14:textId="77777777" w:rsidR="00D12268" w:rsidRPr="00B610CE" w:rsidRDefault="00D12268" w:rsidP="00556AB6">
            <w:pPr>
              <w:pStyle w:val="Tabletext1"/>
              <w:rPr>
                <w:b/>
                <w:i/>
                <w:snapToGrid w:val="0"/>
                <w:lang w:eastAsia="en-US"/>
              </w:rPr>
            </w:pPr>
            <w:r w:rsidRPr="00B610CE">
              <w:rPr>
                <w:i/>
              </w:rPr>
              <w:t>Manage symptoms; address patient concerns</w:t>
            </w:r>
          </w:p>
        </w:tc>
        <w:tc>
          <w:tcPr>
            <w:tcW w:w="843" w:type="pct"/>
            <w:vAlign w:val="center"/>
          </w:tcPr>
          <w:p w14:paraId="5B6C2849" w14:textId="77777777" w:rsidR="00D12268" w:rsidRPr="003816D8" w:rsidRDefault="00D12268" w:rsidP="00BF261E">
            <w:pPr>
              <w:pStyle w:val="Tabletext1"/>
              <w:jc w:val="center"/>
              <w:rPr>
                <w:snapToGrid w:val="0"/>
                <w:lang w:eastAsia="en-US"/>
              </w:rPr>
            </w:pPr>
            <w:r w:rsidRPr="00447323">
              <w:t>Nurse (x1) (probability 0.50)</w:t>
            </w:r>
          </w:p>
        </w:tc>
        <w:tc>
          <w:tcPr>
            <w:tcW w:w="716" w:type="pct"/>
            <w:vAlign w:val="center"/>
          </w:tcPr>
          <w:p w14:paraId="5F524EAF" w14:textId="77777777" w:rsidR="00D12268" w:rsidRPr="003816D8" w:rsidRDefault="00D12268" w:rsidP="00BF261E">
            <w:pPr>
              <w:pStyle w:val="Tabletext1"/>
              <w:jc w:val="center"/>
            </w:pPr>
            <w:r w:rsidRPr="00447323">
              <w:t>8</w:t>
            </w:r>
          </w:p>
        </w:tc>
        <w:tc>
          <w:tcPr>
            <w:tcW w:w="1182" w:type="pct"/>
            <w:vAlign w:val="center"/>
          </w:tcPr>
          <w:p w14:paraId="73A18B6E" w14:textId="4887D5FF" w:rsidR="00D12268" w:rsidRPr="003816D8" w:rsidRDefault="00D12268" w:rsidP="00BF261E">
            <w:pPr>
              <w:pStyle w:val="Tabletext1"/>
              <w:jc w:val="center"/>
              <w:rPr>
                <w:rFonts w:cs="Calibri"/>
              </w:rPr>
            </w:pPr>
            <w:r w:rsidRPr="00447323">
              <w:t>$2.47</w:t>
            </w:r>
          </w:p>
        </w:tc>
        <w:tc>
          <w:tcPr>
            <w:tcW w:w="830" w:type="pct"/>
            <w:vAlign w:val="center"/>
          </w:tcPr>
          <w:p w14:paraId="176EDE78" w14:textId="39576B72" w:rsidR="00D12268" w:rsidRPr="003816D8" w:rsidRDefault="00D12268" w:rsidP="00BF261E">
            <w:pPr>
              <w:pStyle w:val="Tabletext1"/>
              <w:jc w:val="center"/>
              <w:rPr>
                <w:rFonts w:cs="Calibri"/>
                <w:b/>
              </w:rPr>
            </w:pPr>
            <w:r w:rsidRPr="00447323">
              <w:t>$2.47</w:t>
            </w:r>
          </w:p>
        </w:tc>
      </w:tr>
      <w:tr w:rsidR="00D12268" w:rsidRPr="00F77E8D" w14:paraId="0819084E" w14:textId="77777777" w:rsidTr="005007E2">
        <w:tc>
          <w:tcPr>
            <w:tcW w:w="1429" w:type="pct"/>
          </w:tcPr>
          <w:p w14:paraId="666356B9" w14:textId="77777777" w:rsidR="00D12268" w:rsidRPr="00B610CE" w:rsidRDefault="00D12268" w:rsidP="00556AB6">
            <w:pPr>
              <w:pStyle w:val="Tabletext1"/>
              <w:rPr>
                <w:b/>
                <w:i/>
                <w:snapToGrid w:val="0"/>
                <w:lang w:eastAsia="en-US"/>
              </w:rPr>
            </w:pPr>
            <w:r w:rsidRPr="00B610CE">
              <w:rPr>
                <w:i/>
              </w:rPr>
              <w:t>Meet patient prior to initial SBRT treatment; complete OTV note</w:t>
            </w:r>
          </w:p>
        </w:tc>
        <w:tc>
          <w:tcPr>
            <w:tcW w:w="843" w:type="pct"/>
            <w:vAlign w:val="center"/>
          </w:tcPr>
          <w:p w14:paraId="0C02F5C4" w14:textId="77777777" w:rsidR="00D12268" w:rsidRPr="003816D8" w:rsidRDefault="00D12268" w:rsidP="00BF261E">
            <w:pPr>
              <w:pStyle w:val="Tabletext1"/>
              <w:jc w:val="center"/>
              <w:rPr>
                <w:snapToGrid w:val="0"/>
                <w:lang w:eastAsia="en-US"/>
              </w:rPr>
            </w:pPr>
            <w:r w:rsidRPr="00447323">
              <w:t>Radiation Oncologist (x1)</w:t>
            </w:r>
          </w:p>
        </w:tc>
        <w:tc>
          <w:tcPr>
            <w:tcW w:w="716" w:type="pct"/>
            <w:vAlign w:val="center"/>
          </w:tcPr>
          <w:p w14:paraId="689B0BA9" w14:textId="77777777" w:rsidR="00D12268" w:rsidRPr="003816D8" w:rsidRDefault="00D12268" w:rsidP="00BF261E">
            <w:pPr>
              <w:pStyle w:val="Tabletext1"/>
              <w:jc w:val="center"/>
            </w:pPr>
            <w:r w:rsidRPr="00447323">
              <w:t>8</w:t>
            </w:r>
          </w:p>
        </w:tc>
        <w:tc>
          <w:tcPr>
            <w:tcW w:w="1182" w:type="pct"/>
            <w:vAlign w:val="center"/>
          </w:tcPr>
          <w:p w14:paraId="1F1B39B9" w14:textId="4BB07E2C" w:rsidR="00D12268" w:rsidRPr="003816D8" w:rsidRDefault="00D12268" w:rsidP="00BF261E">
            <w:pPr>
              <w:pStyle w:val="Tabletext1"/>
              <w:jc w:val="center"/>
              <w:rPr>
                <w:rFonts w:cs="Calibri"/>
              </w:rPr>
            </w:pPr>
            <w:r w:rsidRPr="00447323">
              <w:t>$14.27</w:t>
            </w:r>
          </w:p>
        </w:tc>
        <w:tc>
          <w:tcPr>
            <w:tcW w:w="830" w:type="pct"/>
            <w:vAlign w:val="center"/>
          </w:tcPr>
          <w:p w14:paraId="72823430" w14:textId="11114606" w:rsidR="00D12268" w:rsidRPr="003816D8" w:rsidRDefault="00D12268" w:rsidP="00BF261E">
            <w:pPr>
              <w:pStyle w:val="Tabletext1"/>
              <w:jc w:val="center"/>
              <w:rPr>
                <w:rFonts w:cs="Calibri"/>
                <w:b/>
              </w:rPr>
            </w:pPr>
            <w:r w:rsidRPr="00447323">
              <w:t>$14.27</w:t>
            </w:r>
          </w:p>
        </w:tc>
      </w:tr>
      <w:tr w:rsidR="00D12268" w:rsidRPr="00F77E8D" w14:paraId="7A080CAC" w14:textId="77777777" w:rsidTr="005007E2">
        <w:tc>
          <w:tcPr>
            <w:tcW w:w="1429" w:type="pct"/>
          </w:tcPr>
          <w:p w14:paraId="43605D58" w14:textId="77777777" w:rsidR="00D12268" w:rsidRPr="00A569B2" w:rsidRDefault="00D12268" w:rsidP="00556AB6">
            <w:pPr>
              <w:pStyle w:val="Tabletext1"/>
              <w:rPr>
                <w:b/>
                <w:snapToGrid w:val="0"/>
                <w:lang w:eastAsia="en-US"/>
              </w:rPr>
            </w:pPr>
            <w:r w:rsidRPr="00A569B2">
              <w:rPr>
                <w:b/>
              </w:rPr>
              <w:t>After last treatment complete</w:t>
            </w:r>
          </w:p>
        </w:tc>
        <w:tc>
          <w:tcPr>
            <w:tcW w:w="843" w:type="pct"/>
            <w:vAlign w:val="center"/>
          </w:tcPr>
          <w:p w14:paraId="62E9DDF8" w14:textId="77777777" w:rsidR="00D12268" w:rsidRPr="003816D8" w:rsidRDefault="00D12268" w:rsidP="00BF261E">
            <w:pPr>
              <w:pStyle w:val="Tabletext1"/>
              <w:jc w:val="center"/>
              <w:rPr>
                <w:snapToGrid w:val="0"/>
                <w:lang w:eastAsia="en-US"/>
              </w:rPr>
            </w:pPr>
          </w:p>
        </w:tc>
        <w:tc>
          <w:tcPr>
            <w:tcW w:w="716" w:type="pct"/>
            <w:vAlign w:val="center"/>
          </w:tcPr>
          <w:p w14:paraId="40F56D9A" w14:textId="77777777" w:rsidR="00D12268" w:rsidRPr="003816D8" w:rsidRDefault="00D12268" w:rsidP="00BF261E">
            <w:pPr>
              <w:pStyle w:val="Tabletext1"/>
              <w:jc w:val="center"/>
            </w:pPr>
          </w:p>
        </w:tc>
        <w:tc>
          <w:tcPr>
            <w:tcW w:w="1182" w:type="pct"/>
            <w:vAlign w:val="center"/>
          </w:tcPr>
          <w:p w14:paraId="227A861D" w14:textId="77777777" w:rsidR="00D12268" w:rsidRPr="003816D8" w:rsidRDefault="00D12268" w:rsidP="00BF261E">
            <w:pPr>
              <w:pStyle w:val="Tabletext1"/>
              <w:jc w:val="center"/>
              <w:rPr>
                <w:rFonts w:cs="Calibri"/>
              </w:rPr>
            </w:pPr>
          </w:p>
        </w:tc>
        <w:tc>
          <w:tcPr>
            <w:tcW w:w="830" w:type="pct"/>
            <w:vAlign w:val="center"/>
          </w:tcPr>
          <w:p w14:paraId="5177BFDB" w14:textId="77777777" w:rsidR="00D12268" w:rsidRPr="003816D8" w:rsidRDefault="00D12268" w:rsidP="00BF261E">
            <w:pPr>
              <w:pStyle w:val="Tabletext1"/>
              <w:jc w:val="center"/>
              <w:rPr>
                <w:rFonts w:cs="Calibri"/>
                <w:b/>
              </w:rPr>
            </w:pPr>
          </w:p>
        </w:tc>
      </w:tr>
      <w:tr w:rsidR="00D12268" w:rsidRPr="00F77E8D" w14:paraId="399DB7CE" w14:textId="77777777" w:rsidTr="005007E2">
        <w:tc>
          <w:tcPr>
            <w:tcW w:w="1429" w:type="pct"/>
          </w:tcPr>
          <w:p w14:paraId="21DB13B4" w14:textId="77777777" w:rsidR="00D12268" w:rsidRPr="003816D8" w:rsidRDefault="00D12268" w:rsidP="00556AB6">
            <w:pPr>
              <w:pStyle w:val="Tabletext1"/>
              <w:rPr>
                <w:b/>
                <w:snapToGrid w:val="0"/>
                <w:lang w:eastAsia="en-US"/>
              </w:rPr>
            </w:pPr>
            <w:r w:rsidRPr="00447323">
              <w:t>Print post-visit summary</w:t>
            </w:r>
          </w:p>
        </w:tc>
        <w:tc>
          <w:tcPr>
            <w:tcW w:w="843" w:type="pct"/>
            <w:vAlign w:val="center"/>
          </w:tcPr>
          <w:p w14:paraId="6C8FA58C" w14:textId="77777777" w:rsidR="00D12268" w:rsidRPr="003816D8" w:rsidRDefault="00D12268" w:rsidP="00BF261E">
            <w:pPr>
              <w:pStyle w:val="Tabletext1"/>
              <w:jc w:val="center"/>
              <w:rPr>
                <w:snapToGrid w:val="0"/>
                <w:lang w:eastAsia="en-US"/>
              </w:rPr>
            </w:pPr>
            <w:r w:rsidRPr="00447323">
              <w:t>Nurse (x1)</w:t>
            </w:r>
          </w:p>
        </w:tc>
        <w:tc>
          <w:tcPr>
            <w:tcW w:w="716" w:type="pct"/>
            <w:vAlign w:val="center"/>
          </w:tcPr>
          <w:p w14:paraId="5DCEDECC" w14:textId="77777777" w:rsidR="00D12268" w:rsidRPr="003816D8" w:rsidRDefault="00D12268" w:rsidP="00BF261E">
            <w:pPr>
              <w:pStyle w:val="Tabletext1"/>
              <w:jc w:val="center"/>
            </w:pPr>
            <w:r w:rsidRPr="00447323">
              <w:t>2</w:t>
            </w:r>
          </w:p>
        </w:tc>
        <w:tc>
          <w:tcPr>
            <w:tcW w:w="1182" w:type="pct"/>
            <w:vAlign w:val="center"/>
          </w:tcPr>
          <w:p w14:paraId="64462A86" w14:textId="58660309" w:rsidR="00D12268" w:rsidRPr="003816D8" w:rsidRDefault="00D12268" w:rsidP="00BF261E">
            <w:pPr>
              <w:pStyle w:val="Tabletext1"/>
              <w:jc w:val="center"/>
              <w:rPr>
                <w:rFonts w:cs="Calibri"/>
              </w:rPr>
            </w:pPr>
            <w:r w:rsidRPr="00447323">
              <w:t>$1.23</w:t>
            </w:r>
          </w:p>
        </w:tc>
        <w:tc>
          <w:tcPr>
            <w:tcW w:w="830" w:type="pct"/>
            <w:vAlign w:val="center"/>
          </w:tcPr>
          <w:p w14:paraId="72DA3E87" w14:textId="7F5A4E81" w:rsidR="00D12268" w:rsidRPr="003816D8" w:rsidRDefault="00D12268" w:rsidP="00BF261E">
            <w:pPr>
              <w:pStyle w:val="Tabletext1"/>
              <w:jc w:val="center"/>
              <w:rPr>
                <w:rFonts w:cs="Calibri"/>
                <w:b/>
              </w:rPr>
            </w:pPr>
            <w:r w:rsidRPr="00447323">
              <w:t>$1.23</w:t>
            </w:r>
          </w:p>
        </w:tc>
      </w:tr>
      <w:tr w:rsidR="00D12268" w:rsidRPr="00F77E8D" w14:paraId="4728C6D8" w14:textId="77777777" w:rsidTr="005007E2">
        <w:tc>
          <w:tcPr>
            <w:tcW w:w="1429" w:type="pct"/>
          </w:tcPr>
          <w:p w14:paraId="72A12FED" w14:textId="77777777" w:rsidR="00D12268" w:rsidRPr="00A569B2" w:rsidRDefault="00D12268" w:rsidP="00556AB6">
            <w:pPr>
              <w:pStyle w:val="Tabletext1"/>
              <w:rPr>
                <w:b/>
                <w:i/>
                <w:snapToGrid w:val="0"/>
                <w:lang w:eastAsia="en-US"/>
              </w:rPr>
            </w:pPr>
            <w:r w:rsidRPr="00A569B2">
              <w:rPr>
                <w:i/>
              </w:rPr>
              <w:t>Check-out patient and schedule follow-up visit and next imaging</w:t>
            </w:r>
          </w:p>
        </w:tc>
        <w:tc>
          <w:tcPr>
            <w:tcW w:w="843" w:type="pct"/>
            <w:vAlign w:val="center"/>
          </w:tcPr>
          <w:p w14:paraId="2CB88BFD" w14:textId="77777777" w:rsidR="00D12268" w:rsidRPr="003816D8" w:rsidRDefault="00D12268" w:rsidP="00BF261E">
            <w:pPr>
              <w:pStyle w:val="Tabletext1"/>
              <w:jc w:val="center"/>
              <w:rPr>
                <w:snapToGrid w:val="0"/>
                <w:lang w:eastAsia="en-US"/>
              </w:rPr>
            </w:pPr>
            <w:r w:rsidRPr="00447323">
              <w:t>Front desk (x1)</w:t>
            </w:r>
          </w:p>
        </w:tc>
        <w:tc>
          <w:tcPr>
            <w:tcW w:w="716" w:type="pct"/>
            <w:vAlign w:val="center"/>
          </w:tcPr>
          <w:p w14:paraId="3EDF2A2C" w14:textId="77777777" w:rsidR="00D12268" w:rsidRPr="003816D8" w:rsidRDefault="00D12268" w:rsidP="00BF261E">
            <w:pPr>
              <w:pStyle w:val="Tabletext1"/>
              <w:jc w:val="center"/>
            </w:pPr>
            <w:r w:rsidRPr="00447323">
              <w:t>5</w:t>
            </w:r>
          </w:p>
        </w:tc>
        <w:tc>
          <w:tcPr>
            <w:tcW w:w="1182" w:type="pct"/>
            <w:vAlign w:val="center"/>
          </w:tcPr>
          <w:p w14:paraId="1261BBD8" w14:textId="1EFA90B7" w:rsidR="00D12268" w:rsidRPr="003816D8" w:rsidRDefault="00D12268" w:rsidP="00BF261E">
            <w:pPr>
              <w:pStyle w:val="Tabletext1"/>
              <w:jc w:val="center"/>
              <w:rPr>
                <w:rFonts w:cs="Calibri"/>
              </w:rPr>
            </w:pPr>
            <w:r w:rsidRPr="00447323">
              <w:t>$1.97</w:t>
            </w:r>
          </w:p>
        </w:tc>
        <w:tc>
          <w:tcPr>
            <w:tcW w:w="830" w:type="pct"/>
            <w:vAlign w:val="center"/>
          </w:tcPr>
          <w:p w14:paraId="4A70097C" w14:textId="2D4171FA" w:rsidR="00D12268" w:rsidRPr="003816D8" w:rsidRDefault="00D12268" w:rsidP="00BF261E">
            <w:pPr>
              <w:pStyle w:val="Tabletext1"/>
              <w:jc w:val="center"/>
              <w:rPr>
                <w:rFonts w:cs="Calibri"/>
                <w:b/>
              </w:rPr>
            </w:pPr>
            <w:r w:rsidRPr="00447323">
              <w:t>$1.97</w:t>
            </w:r>
          </w:p>
        </w:tc>
      </w:tr>
      <w:tr w:rsidR="00D12268" w:rsidRPr="00F77E8D" w14:paraId="6BD6ECEC" w14:textId="77777777" w:rsidTr="005007E2">
        <w:tc>
          <w:tcPr>
            <w:tcW w:w="1429" w:type="pct"/>
          </w:tcPr>
          <w:p w14:paraId="02611C6C" w14:textId="77777777" w:rsidR="00D12268" w:rsidRPr="00A569B2" w:rsidRDefault="00D12268" w:rsidP="00556AB6">
            <w:pPr>
              <w:pStyle w:val="Tabletext1"/>
              <w:rPr>
                <w:b/>
                <w:i/>
                <w:snapToGrid w:val="0"/>
                <w:lang w:eastAsia="en-US"/>
              </w:rPr>
            </w:pPr>
            <w:r w:rsidRPr="00A569B2">
              <w:rPr>
                <w:i/>
              </w:rPr>
              <w:t>Complete radiation treatment summary</w:t>
            </w:r>
          </w:p>
        </w:tc>
        <w:tc>
          <w:tcPr>
            <w:tcW w:w="843" w:type="pct"/>
            <w:vAlign w:val="center"/>
          </w:tcPr>
          <w:p w14:paraId="628C0771" w14:textId="77777777" w:rsidR="00D12268" w:rsidRPr="003816D8" w:rsidRDefault="00D12268" w:rsidP="00BF261E">
            <w:pPr>
              <w:pStyle w:val="Tabletext1"/>
              <w:jc w:val="center"/>
              <w:rPr>
                <w:snapToGrid w:val="0"/>
                <w:lang w:eastAsia="en-US"/>
              </w:rPr>
            </w:pPr>
            <w:r w:rsidRPr="00447323">
              <w:t>Radiation Oncologist (x1)</w:t>
            </w:r>
          </w:p>
        </w:tc>
        <w:tc>
          <w:tcPr>
            <w:tcW w:w="716" w:type="pct"/>
            <w:vAlign w:val="center"/>
          </w:tcPr>
          <w:p w14:paraId="31065A56" w14:textId="77777777" w:rsidR="00D12268" w:rsidRPr="003816D8" w:rsidRDefault="00D12268" w:rsidP="00BF261E">
            <w:pPr>
              <w:pStyle w:val="Tabletext1"/>
              <w:jc w:val="center"/>
            </w:pPr>
            <w:r w:rsidRPr="00447323">
              <w:t>10</w:t>
            </w:r>
          </w:p>
        </w:tc>
        <w:tc>
          <w:tcPr>
            <w:tcW w:w="1182" w:type="pct"/>
            <w:vAlign w:val="center"/>
          </w:tcPr>
          <w:p w14:paraId="5BC46F61" w14:textId="1BB75298" w:rsidR="00D12268" w:rsidRPr="003816D8" w:rsidRDefault="00D12268" w:rsidP="00BF261E">
            <w:pPr>
              <w:pStyle w:val="Tabletext1"/>
              <w:jc w:val="center"/>
              <w:rPr>
                <w:rFonts w:cs="Calibri"/>
              </w:rPr>
            </w:pPr>
            <w:r w:rsidRPr="00447323">
              <w:t>$17.84</w:t>
            </w:r>
          </w:p>
        </w:tc>
        <w:tc>
          <w:tcPr>
            <w:tcW w:w="830" w:type="pct"/>
            <w:vAlign w:val="center"/>
          </w:tcPr>
          <w:p w14:paraId="19F1C9C9" w14:textId="07ED20CF" w:rsidR="00D12268" w:rsidRPr="003816D8" w:rsidRDefault="00D12268" w:rsidP="00BF261E">
            <w:pPr>
              <w:pStyle w:val="Tabletext1"/>
              <w:jc w:val="center"/>
              <w:rPr>
                <w:rFonts w:cs="Calibri"/>
                <w:b/>
              </w:rPr>
            </w:pPr>
            <w:r w:rsidRPr="00447323">
              <w:t>$17.84</w:t>
            </w:r>
          </w:p>
        </w:tc>
      </w:tr>
      <w:tr w:rsidR="00D12268" w:rsidRPr="00F77E8D" w14:paraId="6D0EEFD2" w14:textId="77777777" w:rsidTr="005007E2">
        <w:tc>
          <w:tcPr>
            <w:tcW w:w="1429" w:type="pct"/>
          </w:tcPr>
          <w:p w14:paraId="2F4C0FD3" w14:textId="77777777" w:rsidR="00D12268" w:rsidRPr="00A569B2" w:rsidRDefault="00D12268" w:rsidP="00556AB6">
            <w:pPr>
              <w:pStyle w:val="Tabletext1"/>
              <w:rPr>
                <w:b/>
                <w:snapToGrid w:val="0"/>
                <w:lang w:eastAsia="en-US"/>
              </w:rPr>
            </w:pPr>
            <w:r w:rsidRPr="00A569B2">
              <w:rPr>
                <w:b/>
              </w:rPr>
              <w:t>Total</w:t>
            </w:r>
          </w:p>
        </w:tc>
        <w:tc>
          <w:tcPr>
            <w:tcW w:w="843" w:type="pct"/>
            <w:vAlign w:val="center"/>
          </w:tcPr>
          <w:p w14:paraId="1407CF52" w14:textId="77777777" w:rsidR="00D12268" w:rsidRPr="00A569B2" w:rsidRDefault="00D12268" w:rsidP="00BF261E">
            <w:pPr>
              <w:pStyle w:val="Tabletext1"/>
              <w:jc w:val="center"/>
              <w:rPr>
                <w:b/>
                <w:snapToGrid w:val="0"/>
                <w:lang w:eastAsia="en-US"/>
              </w:rPr>
            </w:pPr>
          </w:p>
        </w:tc>
        <w:tc>
          <w:tcPr>
            <w:tcW w:w="716" w:type="pct"/>
            <w:vAlign w:val="center"/>
          </w:tcPr>
          <w:p w14:paraId="0AA94313" w14:textId="77777777" w:rsidR="00D12268" w:rsidRPr="00A569B2" w:rsidRDefault="00D12268" w:rsidP="00BF261E">
            <w:pPr>
              <w:pStyle w:val="Tabletext1"/>
              <w:jc w:val="center"/>
              <w:rPr>
                <w:b/>
              </w:rPr>
            </w:pPr>
          </w:p>
        </w:tc>
        <w:tc>
          <w:tcPr>
            <w:tcW w:w="1182" w:type="pct"/>
            <w:vAlign w:val="center"/>
          </w:tcPr>
          <w:p w14:paraId="1A7EF1EB" w14:textId="2043A0BD" w:rsidR="00D12268" w:rsidRPr="00A569B2" w:rsidRDefault="00D12268" w:rsidP="00BF261E">
            <w:pPr>
              <w:pStyle w:val="Tabletext1"/>
              <w:jc w:val="center"/>
              <w:rPr>
                <w:rFonts w:cs="Calibri"/>
                <w:b/>
              </w:rPr>
            </w:pPr>
            <w:r w:rsidRPr="00A569B2">
              <w:rPr>
                <w:b/>
              </w:rPr>
              <w:t>$41.88</w:t>
            </w:r>
          </w:p>
        </w:tc>
        <w:tc>
          <w:tcPr>
            <w:tcW w:w="830" w:type="pct"/>
            <w:vAlign w:val="center"/>
          </w:tcPr>
          <w:p w14:paraId="131378D3" w14:textId="34D05EF6" w:rsidR="00D12268" w:rsidRPr="00A569B2" w:rsidRDefault="00D12268" w:rsidP="00BF261E">
            <w:pPr>
              <w:pStyle w:val="Tabletext1"/>
              <w:jc w:val="center"/>
              <w:rPr>
                <w:rFonts w:cs="Calibri"/>
                <w:b/>
              </w:rPr>
            </w:pPr>
            <w:r w:rsidRPr="00A569B2">
              <w:rPr>
                <w:b/>
              </w:rPr>
              <w:t>$41.88</w:t>
            </w:r>
          </w:p>
        </w:tc>
      </w:tr>
      <w:tr w:rsidR="00D12268" w:rsidRPr="00F77E8D" w14:paraId="474FC85B" w14:textId="77777777" w:rsidTr="005007E2">
        <w:tc>
          <w:tcPr>
            <w:tcW w:w="1429" w:type="pct"/>
          </w:tcPr>
          <w:p w14:paraId="1FFE4474" w14:textId="77777777" w:rsidR="00D12268" w:rsidRPr="003816D8" w:rsidRDefault="00D12268" w:rsidP="00556AB6">
            <w:pPr>
              <w:pStyle w:val="Tabletext1"/>
              <w:rPr>
                <w:b/>
                <w:snapToGrid w:val="0"/>
                <w:lang w:eastAsia="en-US"/>
              </w:rPr>
            </w:pPr>
            <w:r>
              <w:rPr>
                <w:b/>
                <w:snapToGrid w:val="0"/>
                <w:lang w:eastAsia="en-US"/>
              </w:rPr>
              <w:t xml:space="preserve">Step - </w:t>
            </w:r>
            <w:r w:rsidRPr="00A569B2">
              <w:rPr>
                <w:b/>
                <w:snapToGrid w:val="0"/>
                <w:lang w:eastAsia="en-US"/>
              </w:rPr>
              <w:t>Process map reflecting treatment</w:t>
            </w:r>
            <w:r>
              <w:rPr>
                <w:b/>
                <w:snapToGrid w:val="0"/>
                <w:lang w:eastAsia="en-US"/>
              </w:rPr>
              <w:t xml:space="preserve"> (specific to CBCT-guided SBRT)</w:t>
            </w:r>
          </w:p>
        </w:tc>
        <w:tc>
          <w:tcPr>
            <w:tcW w:w="843" w:type="pct"/>
            <w:vAlign w:val="center"/>
          </w:tcPr>
          <w:p w14:paraId="7894D71A" w14:textId="77777777" w:rsidR="00D12268" w:rsidRPr="003816D8" w:rsidRDefault="00D12268" w:rsidP="00BF261E">
            <w:pPr>
              <w:pStyle w:val="Tabletext1"/>
              <w:jc w:val="center"/>
              <w:rPr>
                <w:snapToGrid w:val="0"/>
                <w:lang w:eastAsia="en-US"/>
              </w:rPr>
            </w:pPr>
          </w:p>
        </w:tc>
        <w:tc>
          <w:tcPr>
            <w:tcW w:w="716" w:type="pct"/>
            <w:vAlign w:val="center"/>
          </w:tcPr>
          <w:p w14:paraId="010CECCC" w14:textId="77777777" w:rsidR="00D12268" w:rsidRPr="003816D8" w:rsidRDefault="00D12268" w:rsidP="00BF261E">
            <w:pPr>
              <w:pStyle w:val="Tabletext1"/>
              <w:jc w:val="center"/>
            </w:pPr>
          </w:p>
        </w:tc>
        <w:tc>
          <w:tcPr>
            <w:tcW w:w="1182" w:type="pct"/>
            <w:vAlign w:val="center"/>
          </w:tcPr>
          <w:p w14:paraId="67E4F465" w14:textId="77777777" w:rsidR="00D12268" w:rsidRPr="003816D8" w:rsidRDefault="00D12268" w:rsidP="00BF261E">
            <w:pPr>
              <w:pStyle w:val="Tabletext1"/>
              <w:jc w:val="center"/>
              <w:rPr>
                <w:rFonts w:cs="Calibri"/>
              </w:rPr>
            </w:pPr>
          </w:p>
        </w:tc>
        <w:tc>
          <w:tcPr>
            <w:tcW w:w="830" w:type="pct"/>
            <w:vAlign w:val="center"/>
          </w:tcPr>
          <w:p w14:paraId="5580BFED" w14:textId="77777777" w:rsidR="00D12268" w:rsidRPr="003816D8" w:rsidRDefault="00D12268" w:rsidP="00BF261E">
            <w:pPr>
              <w:pStyle w:val="Tabletext1"/>
              <w:jc w:val="center"/>
              <w:rPr>
                <w:rFonts w:cs="Calibri"/>
                <w:b/>
              </w:rPr>
            </w:pPr>
          </w:p>
        </w:tc>
      </w:tr>
      <w:tr w:rsidR="00D12268" w:rsidRPr="00F77E8D" w14:paraId="735C98DD" w14:textId="77777777" w:rsidTr="005007E2">
        <w:tc>
          <w:tcPr>
            <w:tcW w:w="1429" w:type="pct"/>
          </w:tcPr>
          <w:p w14:paraId="5AC61C0E" w14:textId="77777777" w:rsidR="00D12268" w:rsidRPr="00A569B2" w:rsidRDefault="00D12268" w:rsidP="00556AB6">
            <w:pPr>
              <w:pStyle w:val="Tabletext1"/>
              <w:rPr>
                <w:b/>
                <w:snapToGrid w:val="0"/>
                <w:lang w:eastAsia="en-US"/>
              </w:rPr>
            </w:pPr>
            <w:r w:rsidRPr="00A569B2">
              <w:rPr>
                <w:b/>
              </w:rPr>
              <w:t>Treatment Setup</w:t>
            </w:r>
          </w:p>
        </w:tc>
        <w:tc>
          <w:tcPr>
            <w:tcW w:w="843" w:type="pct"/>
            <w:vAlign w:val="center"/>
          </w:tcPr>
          <w:p w14:paraId="7D2F2C7C" w14:textId="77777777" w:rsidR="00D12268" w:rsidRPr="003816D8" w:rsidRDefault="00D12268" w:rsidP="00BF261E">
            <w:pPr>
              <w:pStyle w:val="Tabletext1"/>
              <w:jc w:val="center"/>
              <w:rPr>
                <w:snapToGrid w:val="0"/>
                <w:lang w:eastAsia="en-US"/>
              </w:rPr>
            </w:pPr>
          </w:p>
        </w:tc>
        <w:tc>
          <w:tcPr>
            <w:tcW w:w="716" w:type="pct"/>
            <w:vAlign w:val="center"/>
          </w:tcPr>
          <w:p w14:paraId="15CA845D" w14:textId="77777777" w:rsidR="00D12268" w:rsidRPr="003816D8" w:rsidRDefault="00D12268" w:rsidP="00BF261E">
            <w:pPr>
              <w:pStyle w:val="Tabletext1"/>
              <w:jc w:val="center"/>
            </w:pPr>
          </w:p>
        </w:tc>
        <w:tc>
          <w:tcPr>
            <w:tcW w:w="1182" w:type="pct"/>
            <w:vAlign w:val="center"/>
          </w:tcPr>
          <w:p w14:paraId="1544AC3E" w14:textId="77777777" w:rsidR="00D12268" w:rsidRPr="003816D8" w:rsidRDefault="00D12268" w:rsidP="00BF261E">
            <w:pPr>
              <w:pStyle w:val="Tabletext1"/>
              <w:jc w:val="center"/>
              <w:rPr>
                <w:rFonts w:cs="Calibri"/>
              </w:rPr>
            </w:pPr>
          </w:p>
        </w:tc>
        <w:tc>
          <w:tcPr>
            <w:tcW w:w="830" w:type="pct"/>
            <w:vAlign w:val="center"/>
          </w:tcPr>
          <w:p w14:paraId="069092CE" w14:textId="77777777" w:rsidR="00D12268" w:rsidRPr="003816D8" w:rsidRDefault="00D12268" w:rsidP="00BF261E">
            <w:pPr>
              <w:pStyle w:val="Tabletext1"/>
              <w:jc w:val="center"/>
              <w:rPr>
                <w:rFonts w:cs="Calibri"/>
                <w:b/>
              </w:rPr>
            </w:pPr>
          </w:p>
        </w:tc>
      </w:tr>
      <w:tr w:rsidR="00D12268" w:rsidRPr="00F77E8D" w14:paraId="06B7A4D4" w14:textId="77777777" w:rsidTr="005007E2">
        <w:tc>
          <w:tcPr>
            <w:tcW w:w="1429" w:type="pct"/>
          </w:tcPr>
          <w:p w14:paraId="426140AF" w14:textId="77777777" w:rsidR="00D12268" w:rsidRPr="00DA6B09" w:rsidRDefault="00D12268" w:rsidP="00556AB6">
            <w:pPr>
              <w:pStyle w:val="Tabletext1"/>
              <w:rPr>
                <w:b/>
                <w:i/>
                <w:snapToGrid w:val="0"/>
                <w:lang w:eastAsia="en-US"/>
              </w:rPr>
            </w:pPr>
            <w:r w:rsidRPr="00DA6B09">
              <w:rPr>
                <w:i/>
              </w:rPr>
              <w:t>Position patient and take CBCT</w:t>
            </w:r>
          </w:p>
        </w:tc>
        <w:tc>
          <w:tcPr>
            <w:tcW w:w="843" w:type="pct"/>
            <w:vAlign w:val="center"/>
          </w:tcPr>
          <w:p w14:paraId="27FB50B8" w14:textId="77777777" w:rsidR="00D12268" w:rsidRPr="003816D8" w:rsidRDefault="00D12268" w:rsidP="00BF261E">
            <w:pPr>
              <w:pStyle w:val="Tabletext1"/>
              <w:jc w:val="center"/>
              <w:rPr>
                <w:snapToGrid w:val="0"/>
                <w:lang w:eastAsia="en-US"/>
              </w:rPr>
            </w:pPr>
            <w:r w:rsidRPr="00C703F7">
              <w:t>Radiation Therapist (x2)</w:t>
            </w:r>
          </w:p>
        </w:tc>
        <w:tc>
          <w:tcPr>
            <w:tcW w:w="716" w:type="pct"/>
            <w:vAlign w:val="center"/>
          </w:tcPr>
          <w:p w14:paraId="6F545FD5" w14:textId="77777777" w:rsidR="00D12268" w:rsidRPr="003816D8" w:rsidRDefault="00D12268" w:rsidP="00BF261E">
            <w:pPr>
              <w:pStyle w:val="Tabletext1"/>
              <w:jc w:val="center"/>
            </w:pPr>
            <w:r w:rsidRPr="00C703F7">
              <w:t>12</w:t>
            </w:r>
          </w:p>
        </w:tc>
        <w:tc>
          <w:tcPr>
            <w:tcW w:w="1182" w:type="pct"/>
            <w:vAlign w:val="center"/>
          </w:tcPr>
          <w:p w14:paraId="12ED690A" w14:textId="77777777" w:rsidR="00D12268" w:rsidRPr="003816D8" w:rsidRDefault="00D12268" w:rsidP="00BF261E">
            <w:pPr>
              <w:pStyle w:val="Tabletext1"/>
              <w:jc w:val="center"/>
              <w:rPr>
                <w:rFonts w:cs="Calibri"/>
              </w:rPr>
            </w:pPr>
            <w:r w:rsidRPr="00C703F7">
              <w:t>-</w:t>
            </w:r>
          </w:p>
        </w:tc>
        <w:tc>
          <w:tcPr>
            <w:tcW w:w="830" w:type="pct"/>
            <w:vAlign w:val="center"/>
          </w:tcPr>
          <w:p w14:paraId="38E36572" w14:textId="4BA4738E" w:rsidR="00D12268" w:rsidRPr="003816D8" w:rsidRDefault="00D12268" w:rsidP="00BF261E">
            <w:pPr>
              <w:pStyle w:val="Tabletext1"/>
              <w:jc w:val="center"/>
              <w:rPr>
                <w:rFonts w:cs="Calibri"/>
                <w:b/>
              </w:rPr>
            </w:pPr>
            <w:r w:rsidRPr="00C703F7">
              <w:t>$18.20</w:t>
            </w:r>
          </w:p>
        </w:tc>
      </w:tr>
      <w:tr w:rsidR="00D12268" w:rsidRPr="00F77E8D" w14:paraId="67AD4803" w14:textId="77777777" w:rsidTr="005007E2">
        <w:tc>
          <w:tcPr>
            <w:tcW w:w="1429" w:type="pct"/>
          </w:tcPr>
          <w:p w14:paraId="4E3B0765" w14:textId="77777777" w:rsidR="00D12268" w:rsidRPr="00DA6B09" w:rsidRDefault="00D12268" w:rsidP="00556AB6">
            <w:pPr>
              <w:pStyle w:val="Tabletext1"/>
              <w:rPr>
                <w:b/>
                <w:i/>
                <w:snapToGrid w:val="0"/>
                <w:lang w:eastAsia="en-US"/>
              </w:rPr>
            </w:pPr>
            <w:r w:rsidRPr="00DA6B09">
              <w:rPr>
                <w:i/>
              </w:rPr>
              <w:t>Make adjustments and page MD/ Physicist</w:t>
            </w:r>
          </w:p>
        </w:tc>
        <w:tc>
          <w:tcPr>
            <w:tcW w:w="843" w:type="pct"/>
            <w:vAlign w:val="center"/>
          </w:tcPr>
          <w:p w14:paraId="4997983D" w14:textId="77777777" w:rsidR="00D12268" w:rsidRPr="003816D8" w:rsidRDefault="00D12268" w:rsidP="00BF261E">
            <w:pPr>
              <w:pStyle w:val="Tabletext1"/>
              <w:jc w:val="center"/>
              <w:rPr>
                <w:snapToGrid w:val="0"/>
                <w:lang w:eastAsia="en-US"/>
              </w:rPr>
            </w:pPr>
            <w:r w:rsidRPr="00C703F7">
              <w:t>Radiation Therapist (x2)</w:t>
            </w:r>
          </w:p>
        </w:tc>
        <w:tc>
          <w:tcPr>
            <w:tcW w:w="716" w:type="pct"/>
            <w:vAlign w:val="center"/>
          </w:tcPr>
          <w:p w14:paraId="57B8413D" w14:textId="77777777" w:rsidR="00D12268" w:rsidRPr="003816D8" w:rsidRDefault="00D12268" w:rsidP="00BF261E">
            <w:pPr>
              <w:pStyle w:val="Tabletext1"/>
              <w:jc w:val="center"/>
            </w:pPr>
            <w:r w:rsidRPr="00C703F7">
              <w:t>4</w:t>
            </w:r>
          </w:p>
        </w:tc>
        <w:tc>
          <w:tcPr>
            <w:tcW w:w="1182" w:type="pct"/>
            <w:vAlign w:val="center"/>
          </w:tcPr>
          <w:p w14:paraId="52AB9C46" w14:textId="77777777" w:rsidR="00D12268" w:rsidRPr="003816D8" w:rsidRDefault="00D12268" w:rsidP="00BF261E">
            <w:pPr>
              <w:pStyle w:val="Tabletext1"/>
              <w:jc w:val="center"/>
              <w:rPr>
                <w:rFonts w:cs="Calibri"/>
              </w:rPr>
            </w:pPr>
            <w:r w:rsidRPr="00C703F7">
              <w:t>-</w:t>
            </w:r>
          </w:p>
        </w:tc>
        <w:tc>
          <w:tcPr>
            <w:tcW w:w="830" w:type="pct"/>
            <w:vAlign w:val="center"/>
          </w:tcPr>
          <w:p w14:paraId="1C96FE7A" w14:textId="234E79AD" w:rsidR="00D12268" w:rsidRPr="003816D8" w:rsidRDefault="00D12268" w:rsidP="00BF261E">
            <w:pPr>
              <w:pStyle w:val="Tabletext1"/>
              <w:jc w:val="center"/>
              <w:rPr>
                <w:rFonts w:cs="Calibri"/>
                <w:b/>
              </w:rPr>
            </w:pPr>
            <w:r w:rsidRPr="00C703F7">
              <w:t>$6.07</w:t>
            </w:r>
          </w:p>
        </w:tc>
      </w:tr>
      <w:tr w:rsidR="00D12268" w:rsidRPr="00F77E8D" w14:paraId="2630EBE1" w14:textId="77777777" w:rsidTr="005007E2">
        <w:tc>
          <w:tcPr>
            <w:tcW w:w="1429" w:type="pct"/>
          </w:tcPr>
          <w:p w14:paraId="7DB0960B" w14:textId="77777777" w:rsidR="00D12268" w:rsidRPr="00A569B2" w:rsidRDefault="00D12268" w:rsidP="00556AB6">
            <w:pPr>
              <w:pStyle w:val="Tabletext1"/>
              <w:rPr>
                <w:b/>
                <w:snapToGrid w:val="0"/>
                <w:lang w:eastAsia="en-US"/>
              </w:rPr>
            </w:pPr>
            <w:r w:rsidRPr="00A569B2">
              <w:rPr>
                <w:b/>
              </w:rPr>
              <w:lastRenderedPageBreak/>
              <w:t>Image verification</w:t>
            </w:r>
          </w:p>
        </w:tc>
        <w:tc>
          <w:tcPr>
            <w:tcW w:w="843" w:type="pct"/>
            <w:vAlign w:val="center"/>
          </w:tcPr>
          <w:p w14:paraId="7A7926F8" w14:textId="77777777" w:rsidR="00D12268" w:rsidRPr="003816D8" w:rsidRDefault="00D12268" w:rsidP="00BF261E">
            <w:pPr>
              <w:pStyle w:val="Tabletext1"/>
              <w:jc w:val="center"/>
              <w:rPr>
                <w:snapToGrid w:val="0"/>
                <w:lang w:eastAsia="en-US"/>
              </w:rPr>
            </w:pPr>
          </w:p>
        </w:tc>
        <w:tc>
          <w:tcPr>
            <w:tcW w:w="716" w:type="pct"/>
            <w:vAlign w:val="center"/>
          </w:tcPr>
          <w:p w14:paraId="14D8E56B" w14:textId="77777777" w:rsidR="00D12268" w:rsidRPr="003816D8" w:rsidRDefault="00D12268" w:rsidP="00BF261E">
            <w:pPr>
              <w:pStyle w:val="Tabletext1"/>
              <w:jc w:val="center"/>
            </w:pPr>
          </w:p>
        </w:tc>
        <w:tc>
          <w:tcPr>
            <w:tcW w:w="1182" w:type="pct"/>
            <w:vAlign w:val="center"/>
          </w:tcPr>
          <w:p w14:paraId="5FE5EDF2" w14:textId="77777777" w:rsidR="00D12268" w:rsidRPr="003816D8" w:rsidRDefault="00D12268" w:rsidP="00BF261E">
            <w:pPr>
              <w:pStyle w:val="Tabletext1"/>
              <w:jc w:val="center"/>
              <w:rPr>
                <w:rFonts w:cs="Calibri"/>
              </w:rPr>
            </w:pPr>
            <w:r w:rsidRPr="00C703F7">
              <w:t>-</w:t>
            </w:r>
          </w:p>
        </w:tc>
        <w:tc>
          <w:tcPr>
            <w:tcW w:w="830" w:type="pct"/>
            <w:vAlign w:val="center"/>
          </w:tcPr>
          <w:p w14:paraId="12E63FF9" w14:textId="77777777" w:rsidR="00D12268" w:rsidRPr="003816D8" w:rsidRDefault="00D12268" w:rsidP="00BF261E">
            <w:pPr>
              <w:pStyle w:val="Tabletext1"/>
              <w:jc w:val="center"/>
              <w:rPr>
                <w:rFonts w:cs="Calibri"/>
                <w:b/>
              </w:rPr>
            </w:pPr>
          </w:p>
        </w:tc>
      </w:tr>
      <w:tr w:rsidR="00D12268" w:rsidRPr="00F77E8D" w14:paraId="4BC04FC7" w14:textId="77777777" w:rsidTr="005007E2">
        <w:tc>
          <w:tcPr>
            <w:tcW w:w="1429" w:type="pct"/>
          </w:tcPr>
          <w:p w14:paraId="3DD5E7F6" w14:textId="77777777" w:rsidR="00D12268" w:rsidRPr="00DA6B09" w:rsidRDefault="00D12268" w:rsidP="00556AB6">
            <w:pPr>
              <w:pStyle w:val="Tabletext1"/>
              <w:rPr>
                <w:b/>
                <w:i/>
                <w:snapToGrid w:val="0"/>
                <w:lang w:eastAsia="en-US"/>
              </w:rPr>
            </w:pPr>
            <w:r w:rsidRPr="00DA6B09">
              <w:rPr>
                <w:i/>
              </w:rPr>
              <w:t>Review images</w:t>
            </w:r>
          </w:p>
        </w:tc>
        <w:tc>
          <w:tcPr>
            <w:tcW w:w="843" w:type="pct"/>
            <w:vAlign w:val="center"/>
          </w:tcPr>
          <w:p w14:paraId="52309E4F" w14:textId="77777777" w:rsidR="00D12268" w:rsidRPr="003816D8" w:rsidRDefault="00D12268" w:rsidP="00BF261E">
            <w:pPr>
              <w:pStyle w:val="Tabletext1"/>
              <w:jc w:val="center"/>
              <w:rPr>
                <w:snapToGrid w:val="0"/>
                <w:lang w:eastAsia="en-US"/>
              </w:rPr>
            </w:pPr>
            <w:r w:rsidRPr="00C703F7">
              <w:t>Medical Physicist (x1) (probability 0.20)</w:t>
            </w:r>
          </w:p>
        </w:tc>
        <w:tc>
          <w:tcPr>
            <w:tcW w:w="716" w:type="pct"/>
            <w:vAlign w:val="center"/>
          </w:tcPr>
          <w:p w14:paraId="2E3623A7" w14:textId="77777777" w:rsidR="00D12268" w:rsidRPr="003816D8" w:rsidRDefault="00D12268" w:rsidP="00BF261E">
            <w:pPr>
              <w:pStyle w:val="Tabletext1"/>
              <w:jc w:val="center"/>
            </w:pPr>
            <w:r w:rsidRPr="00C703F7">
              <w:t>8</w:t>
            </w:r>
          </w:p>
        </w:tc>
        <w:tc>
          <w:tcPr>
            <w:tcW w:w="1182" w:type="pct"/>
            <w:vAlign w:val="center"/>
          </w:tcPr>
          <w:p w14:paraId="6E02872C" w14:textId="77777777" w:rsidR="00D12268" w:rsidRPr="003816D8" w:rsidRDefault="00D12268" w:rsidP="00BF261E">
            <w:pPr>
              <w:pStyle w:val="Tabletext1"/>
              <w:jc w:val="center"/>
              <w:rPr>
                <w:rFonts w:cs="Calibri"/>
              </w:rPr>
            </w:pPr>
            <w:r w:rsidRPr="00C703F7">
              <w:t>-</w:t>
            </w:r>
          </w:p>
        </w:tc>
        <w:tc>
          <w:tcPr>
            <w:tcW w:w="830" w:type="pct"/>
            <w:vAlign w:val="center"/>
          </w:tcPr>
          <w:p w14:paraId="72088417" w14:textId="231E1F77" w:rsidR="00D12268" w:rsidRPr="003816D8" w:rsidRDefault="00D12268" w:rsidP="00BF261E">
            <w:pPr>
              <w:pStyle w:val="Tabletext1"/>
              <w:jc w:val="center"/>
              <w:rPr>
                <w:rFonts w:cs="Calibri"/>
                <w:b/>
              </w:rPr>
            </w:pPr>
            <w:r w:rsidRPr="00C703F7">
              <w:t>$1.09</w:t>
            </w:r>
          </w:p>
        </w:tc>
      </w:tr>
      <w:tr w:rsidR="00D12268" w:rsidRPr="00F77E8D" w14:paraId="40FE502A" w14:textId="77777777" w:rsidTr="005007E2">
        <w:tc>
          <w:tcPr>
            <w:tcW w:w="1429" w:type="pct"/>
          </w:tcPr>
          <w:p w14:paraId="2BC17503" w14:textId="77777777" w:rsidR="00D12268" w:rsidRPr="00DA6B09" w:rsidRDefault="00D12268" w:rsidP="00556AB6">
            <w:pPr>
              <w:pStyle w:val="Tabletext1"/>
              <w:rPr>
                <w:b/>
                <w:i/>
                <w:snapToGrid w:val="0"/>
                <w:lang w:eastAsia="en-US"/>
              </w:rPr>
            </w:pPr>
            <w:r w:rsidRPr="00DA6B09">
              <w:rPr>
                <w:i/>
              </w:rPr>
              <w:t>Approve images</w:t>
            </w:r>
          </w:p>
        </w:tc>
        <w:tc>
          <w:tcPr>
            <w:tcW w:w="843" w:type="pct"/>
            <w:vAlign w:val="center"/>
          </w:tcPr>
          <w:p w14:paraId="37B2C743" w14:textId="77777777" w:rsidR="00D12268" w:rsidRPr="003816D8" w:rsidRDefault="00D12268" w:rsidP="00BF261E">
            <w:pPr>
              <w:pStyle w:val="Tabletext1"/>
              <w:jc w:val="center"/>
              <w:rPr>
                <w:snapToGrid w:val="0"/>
                <w:lang w:eastAsia="en-US"/>
              </w:rPr>
            </w:pPr>
            <w:r w:rsidRPr="00C703F7">
              <w:t>Radiation Oncologist (x1)</w:t>
            </w:r>
          </w:p>
        </w:tc>
        <w:tc>
          <w:tcPr>
            <w:tcW w:w="716" w:type="pct"/>
            <w:vAlign w:val="center"/>
          </w:tcPr>
          <w:p w14:paraId="609320A4" w14:textId="77777777" w:rsidR="00D12268" w:rsidRPr="003816D8" w:rsidRDefault="00D12268" w:rsidP="00BF261E">
            <w:pPr>
              <w:pStyle w:val="Tabletext1"/>
              <w:jc w:val="center"/>
            </w:pPr>
            <w:r w:rsidRPr="00C703F7">
              <w:t>5</w:t>
            </w:r>
          </w:p>
        </w:tc>
        <w:tc>
          <w:tcPr>
            <w:tcW w:w="1182" w:type="pct"/>
            <w:vAlign w:val="center"/>
          </w:tcPr>
          <w:p w14:paraId="0758227A" w14:textId="77777777" w:rsidR="00D12268" w:rsidRPr="003816D8" w:rsidRDefault="00D12268" w:rsidP="00BF261E">
            <w:pPr>
              <w:pStyle w:val="Tabletext1"/>
              <w:jc w:val="center"/>
              <w:rPr>
                <w:rFonts w:cs="Calibri"/>
              </w:rPr>
            </w:pPr>
            <w:r w:rsidRPr="00C703F7">
              <w:t>-</w:t>
            </w:r>
          </w:p>
        </w:tc>
        <w:tc>
          <w:tcPr>
            <w:tcW w:w="830" w:type="pct"/>
            <w:vAlign w:val="center"/>
          </w:tcPr>
          <w:p w14:paraId="5B2F4F33" w14:textId="6F18237E" w:rsidR="00D12268" w:rsidRPr="003816D8" w:rsidRDefault="00D12268" w:rsidP="00BF261E">
            <w:pPr>
              <w:pStyle w:val="Tabletext1"/>
              <w:jc w:val="center"/>
              <w:rPr>
                <w:rFonts w:cs="Calibri"/>
                <w:b/>
              </w:rPr>
            </w:pPr>
            <w:r w:rsidRPr="00C703F7">
              <w:t>$8.92</w:t>
            </w:r>
          </w:p>
        </w:tc>
      </w:tr>
      <w:tr w:rsidR="00D12268" w:rsidRPr="00F77E8D" w14:paraId="34E8B9E8" w14:textId="77777777" w:rsidTr="005007E2">
        <w:tc>
          <w:tcPr>
            <w:tcW w:w="1429" w:type="pct"/>
          </w:tcPr>
          <w:p w14:paraId="77561FAA" w14:textId="77777777" w:rsidR="00D12268" w:rsidRPr="00DA6B09" w:rsidRDefault="00D12268" w:rsidP="00556AB6">
            <w:pPr>
              <w:pStyle w:val="Tabletext1"/>
              <w:rPr>
                <w:b/>
                <w:i/>
                <w:snapToGrid w:val="0"/>
                <w:lang w:eastAsia="en-US"/>
              </w:rPr>
            </w:pPr>
            <w:r w:rsidRPr="00DA6B09">
              <w:rPr>
                <w:i/>
              </w:rPr>
              <w:t>Therapists present and apply shifts if necessary</w:t>
            </w:r>
          </w:p>
        </w:tc>
        <w:tc>
          <w:tcPr>
            <w:tcW w:w="843" w:type="pct"/>
            <w:vAlign w:val="center"/>
          </w:tcPr>
          <w:p w14:paraId="3E09B6BE" w14:textId="77777777" w:rsidR="00D12268" w:rsidRPr="003816D8" w:rsidRDefault="00D12268" w:rsidP="00BF261E">
            <w:pPr>
              <w:pStyle w:val="Tabletext1"/>
              <w:jc w:val="center"/>
              <w:rPr>
                <w:snapToGrid w:val="0"/>
                <w:lang w:eastAsia="en-US"/>
              </w:rPr>
            </w:pPr>
            <w:r w:rsidRPr="00C703F7">
              <w:t>Radiation Therapist (x2)</w:t>
            </w:r>
          </w:p>
        </w:tc>
        <w:tc>
          <w:tcPr>
            <w:tcW w:w="716" w:type="pct"/>
            <w:vAlign w:val="center"/>
          </w:tcPr>
          <w:p w14:paraId="15B465C7" w14:textId="77777777" w:rsidR="00D12268" w:rsidRPr="003816D8" w:rsidRDefault="00D12268" w:rsidP="00BF261E">
            <w:pPr>
              <w:pStyle w:val="Tabletext1"/>
              <w:jc w:val="center"/>
            </w:pPr>
            <w:r w:rsidRPr="00C703F7">
              <w:t>8</w:t>
            </w:r>
          </w:p>
        </w:tc>
        <w:tc>
          <w:tcPr>
            <w:tcW w:w="1182" w:type="pct"/>
            <w:vAlign w:val="center"/>
          </w:tcPr>
          <w:p w14:paraId="44B13319" w14:textId="77777777" w:rsidR="00D12268" w:rsidRPr="003816D8" w:rsidRDefault="00D12268" w:rsidP="00BF261E">
            <w:pPr>
              <w:pStyle w:val="Tabletext1"/>
              <w:jc w:val="center"/>
              <w:rPr>
                <w:rFonts w:cs="Calibri"/>
              </w:rPr>
            </w:pPr>
            <w:r w:rsidRPr="00C703F7">
              <w:t>-</w:t>
            </w:r>
          </w:p>
        </w:tc>
        <w:tc>
          <w:tcPr>
            <w:tcW w:w="830" w:type="pct"/>
            <w:vAlign w:val="center"/>
          </w:tcPr>
          <w:p w14:paraId="5D021B93" w14:textId="55A1F27C" w:rsidR="00D12268" w:rsidRPr="003816D8" w:rsidRDefault="00D12268" w:rsidP="00BF261E">
            <w:pPr>
              <w:pStyle w:val="Tabletext1"/>
              <w:jc w:val="center"/>
              <w:rPr>
                <w:rFonts w:cs="Calibri"/>
                <w:b/>
              </w:rPr>
            </w:pPr>
            <w:r w:rsidRPr="00C703F7">
              <w:t>$12.13</w:t>
            </w:r>
          </w:p>
        </w:tc>
      </w:tr>
      <w:tr w:rsidR="00D12268" w:rsidRPr="00F77E8D" w14:paraId="51B2BBFC" w14:textId="77777777" w:rsidTr="005007E2">
        <w:tc>
          <w:tcPr>
            <w:tcW w:w="1429" w:type="pct"/>
          </w:tcPr>
          <w:p w14:paraId="5F30DB83" w14:textId="77777777" w:rsidR="00D12268" w:rsidRPr="00A569B2" w:rsidRDefault="00D12268" w:rsidP="00556AB6">
            <w:pPr>
              <w:pStyle w:val="Tabletext1"/>
              <w:rPr>
                <w:b/>
                <w:snapToGrid w:val="0"/>
                <w:lang w:eastAsia="en-US"/>
              </w:rPr>
            </w:pPr>
            <w:r w:rsidRPr="00A569B2">
              <w:rPr>
                <w:b/>
              </w:rPr>
              <w:t>Treatment</w:t>
            </w:r>
          </w:p>
        </w:tc>
        <w:tc>
          <w:tcPr>
            <w:tcW w:w="843" w:type="pct"/>
            <w:vAlign w:val="center"/>
          </w:tcPr>
          <w:p w14:paraId="70620F72" w14:textId="77777777" w:rsidR="00D12268" w:rsidRPr="003816D8" w:rsidRDefault="00D12268" w:rsidP="00BF261E">
            <w:pPr>
              <w:pStyle w:val="Tabletext1"/>
              <w:jc w:val="center"/>
              <w:rPr>
                <w:snapToGrid w:val="0"/>
                <w:lang w:eastAsia="en-US"/>
              </w:rPr>
            </w:pPr>
          </w:p>
        </w:tc>
        <w:tc>
          <w:tcPr>
            <w:tcW w:w="716" w:type="pct"/>
            <w:vAlign w:val="center"/>
          </w:tcPr>
          <w:p w14:paraId="7CF786F7" w14:textId="77777777" w:rsidR="00D12268" w:rsidRPr="003816D8" w:rsidRDefault="00D12268" w:rsidP="00BF261E">
            <w:pPr>
              <w:pStyle w:val="Tabletext1"/>
              <w:jc w:val="center"/>
            </w:pPr>
          </w:p>
        </w:tc>
        <w:tc>
          <w:tcPr>
            <w:tcW w:w="1182" w:type="pct"/>
            <w:vAlign w:val="center"/>
          </w:tcPr>
          <w:p w14:paraId="3F01A9FE" w14:textId="77777777" w:rsidR="00D12268" w:rsidRPr="003816D8" w:rsidRDefault="00D12268" w:rsidP="00BF261E">
            <w:pPr>
              <w:pStyle w:val="Tabletext1"/>
              <w:jc w:val="center"/>
              <w:rPr>
                <w:rFonts w:cs="Calibri"/>
              </w:rPr>
            </w:pPr>
            <w:r w:rsidRPr="00C703F7">
              <w:t>-</w:t>
            </w:r>
          </w:p>
        </w:tc>
        <w:tc>
          <w:tcPr>
            <w:tcW w:w="830" w:type="pct"/>
            <w:vAlign w:val="center"/>
          </w:tcPr>
          <w:p w14:paraId="3DE33D48" w14:textId="77777777" w:rsidR="00D12268" w:rsidRPr="003816D8" w:rsidRDefault="00D12268" w:rsidP="00BF261E">
            <w:pPr>
              <w:pStyle w:val="Tabletext1"/>
              <w:jc w:val="center"/>
              <w:rPr>
                <w:rFonts w:cs="Calibri"/>
                <w:b/>
              </w:rPr>
            </w:pPr>
          </w:p>
        </w:tc>
      </w:tr>
      <w:tr w:rsidR="00D12268" w:rsidRPr="00F77E8D" w14:paraId="7DECDA15" w14:textId="77777777" w:rsidTr="005007E2">
        <w:tc>
          <w:tcPr>
            <w:tcW w:w="1429" w:type="pct"/>
          </w:tcPr>
          <w:p w14:paraId="50E2A1AA" w14:textId="77777777" w:rsidR="00D12268" w:rsidRPr="00DA6B09" w:rsidRDefault="00D12268" w:rsidP="00556AB6">
            <w:pPr>
              <w:pStyle w:val="Tabletext1"/>
              <w:rPr>
                <w:b/>
                <w:i/>
                <w:snapToGrid w:val="0"/>
                <w:lang w:eastAsia="en-US"/>
              </w:rPr>
            </w:pPr>
            <w:r w:rsidRPr="00DA6B09">
              <w:rPr>
                <w:i/>
              </w:rPr>
              <w:t>Treatment of all arcs</w:t>
            </w:r>
          </w:p>
        </w:tc>
        <w:tc>
          <w:tcPr>
            <w:tcW w:w="843" w:type="pct"/>
            <w:vAlign w:val="center"/>
          </w:tcPr>
          <w:p w14:paraId="2160DEE9" w14:textId="77777777" w:rsidR="00D12268" w:rsidRPr="003816D8" w:rsidRDefault="00D12268" w:rsidP="00BF261E">
            <w:pPr>
              <w:pStyle w:val="Tabletext1"/>
              <w:jc w:val="center"/>
              <w:rPr>
                <w:snapToGrid w:val="0"/>
                <w:lang w:eastAsia="en-US"/>
              </w:rPr>
            </w:pPr>
            <w:r w:rsidRPr="00C703F7">
              <w:t>Radiation Therapist (x2)</w:t>
            </w:r>
          </w:p>
        </w:tc>
        <w:tc>
          <w:tcPr>
            <w:tcW w:w="716" w:type="pct"/>
            <w:vAlign w:val="center"/>
          </w:tcPr>
          <w:p w14:paraId="1C54568E" w14:textId="77777777" w:rsidR="00D12268" w:rsidRPr="003816D8" w:rsidRDefault="00D12268" w:rsidP="00BF261E">
            <w:pPr>
              <w:pStyle w:val="Tabletext1"/>
              <w:jc w:val="center"/>
            </w:pPr>
            <w:r w:rsidRPr="00C703F7">
              <w:t>8</w:t>
            </w:r>
          </w:p>
        </w:tc>
        <w:tc>
          <w:tcPr>
            <w:tcW w:w="1182" w:type="pct"/>
            <w:vAlign w:val="center"/>
          </w:tcPr>
          <w:p w14:paraId="6A894B1E" w14:textId="77777777" w:rsidR="00D12268" w:rsidRPr="003816D8" w:rsidRDefault="00D12268" w:rsidP="00BF261E">
            <w:pPr>
              <w:pStyle w:val="Tabletext1"/>
              <w:jc w:val="center"/>
              <w:rPr>
                <w:rFonts w:cs="Calibri"/>
              </w:rPr>
            </w:pPr>
            <w:r w:rsidRPr="00C703F7">
              <w:t>-</w:t>
            </w:r>
          </w:p>
        </w:tc>
        <w:tc>
          <w:tcPr>
            <w:tcW w:w="830" w:type="pct"/>
            <w:vAlign w:val="center"/>
          </w:tcPr>
          <w:p w14:paraId="3013AD51" w14:textId="7D65041A" w:rsidR="00D12268" w:rsidRPr="003816D8" w:rsidRDefault="00D12268" w:rsidP="00BF261E">
            <w:pPr>
              <w:pStyle w:val="Tabletext1"/>
              <w:jc w:val="center"/>
              <w:rPr>
                <w:rFonts w:cs="Calibri"/>
                <w:b/>
              </w:rPr>
            </w:pPr>
            <w:r w:rsidRPr="00C703F7">
              <w:t>$12.13</w:t>
            </w:r>
          </w:p>
        </w:tc>
      </w:tr>
      <w:tr w:rsidR="00D12268" w:rsidRPr="00F77E8D" w14:paraId="31935091" w14:textId="77777777" w:rsidTr="005007E2">
        <w:tc>
          <w:tcPr>
            <w:tcW w:w="1429" w:type="pct"/>
          </w:tcPr>
          <w:p w14:paraId="027759C9" w14:textId="77777777" w:rsidR="00D12268" w:rsidRPr="00DA6B09" w:rsidRDefault="00D12268" w:rsidP="00556AB6">
            <w:pPr>
              <w:pStyle w:val="Tabletext1"/>
              <w:rPr>
                <w:b/>
                <w:i/>
                <w:snapToGrid w:val="0"/>
                <w:lang w:eastAsia="en-US"/>
              </w:rPr>
            </w:pPr>
            <w:r w:rsidRPr="00DA6B09">
              <w:rPr>
                <w:i/>
              </w:rPr>
              <w:t>Help patient off machine; clean equipment; finish documentation</w:t>
            </w:r>
          </w:p>
        </w:tc>
        <w:tc>
          <w:tcPr>
            <w:tcW w:w="843" w:type="pct"/>
            <w:vAlign w:val="center"/>
          </w:tcPr>
          <w:p w14:paraId="37BC14C4" w14:textId="77777777" w:rsidR="00D12268" w:rsidRPr="003816D8" w:rsidRDefault="00D12268" w:rsidP="00BF261E">
            <w:pPr>
              <w:pStyle w:val="Tabletext1"/>
              <w:jc w:val="center"/>
              <w:rPr>
                <w:snapToGrid w:val="0"/>
                <w:lang w:eastAsia="en-US"/>
              </w:rPr>
            </w:pPr>
            <w:r w:rsidRPr="00C703F7">
              <w:t>Radiation Therapist (x2)</w:t>
            </w:r>
          </w:p>
        </w:tc>
        <w:tc>
          <w:tcPr>
            <w:tcW w:w="716" w:type="pct"/>
            <w:vAlign w:val="center"/>
          </w:tcPr>
          <w:p w14:paraId="45756524" w14:textId="77777777" w:rsidR="00D12268" w:rsidRPr="003816D8" w:rsidRDefault="00D12268" w:rsidP="00BF261E">
            <w:pPr>
              <w:pStyle w:val="Tabletext1"/>
              <w:jc w:val="center"/>
            </w:pPr>
            <w:r w:rsidRPr="00C703F7">
              <w:t>3</w:t>
            </w:r>
          </w:p>
        </w:tc>
        <w:tc>
          <w:tcPr>
            <w:tcW w:w="1182" w:type="pct"/>
            <w:vAlign w:val="center"/>
          </w:tcPr>
          <w:p w14:paraId="43B600ED" w14:textId="77777777" w:rsidR="00D12268" w:rsidRPr="003816D8" w:rsidRDefault="00D12268" w:rsidP="00BF261E">
            <w:pPr>
              <w:pStyle w:val="Tabletext1"/>
              <w:jc w:val="center"/>
              <w:rPr>
                <w:rFonts w:cs="Calibri"/>
              </w:rPr>
            </w:pPr>
            <w:r w:rsidRPr="00C703F7">
              <w:t>-</w:t>
            </w:r>
          </w:p>
        </w:tc>
        <w:tc>
          <w:tcPr>
            <w:tcW w:w="830" w:type="pct"/>
            <w:vAlign w:val="center"/>
          </w:tcPr>
          <w:p w14:paraId="384E5EB0" w14:textId="651FA6CE" w:rsidR="00D12268" w:rsidRPr="003816D8" w:rsidRDefault="00D12268" w:rsidP="00BF261E">
            <w:pPr>
              <w:pStyle w:val="Tabletext1"/>
              <w:jc w:val="center"/>
              <w:rPr>
                <w:rFonts w:cs="Calibri"/>
                <w:b/>
              </w:rPr>
            </w:pPr>
            <w:r w:rsidRPr="00C703F7">
              <w:t>$4.55</w:t>
            </w:r>
          </w:p>
        </w:tc>
      </w:tr>
      <w:tr w:rsidR="00D12268" w:rsidRPr="00F77E8D" w14:paraId="72D6BD9E" w14:textId="77777777" w:rsidTr="005007E2">
        <w:tc>
          <w:tcPr>
            <w:tcW w:w="1429" w:type="pct"/>
          </w:tcPr>
          <w:p w14:paraId="7B86A137" w14:textId="77777777" w:rsidR="00D12268" w:rsidRPr="00A569B2" w:rsidRDefault="00D12268" w:rsidP="00556AB6">
            <w:pPr>
              <w:pStyle w:val="Tabletext1"/>
              <w:rPr>
                <w:b/>
                <w:snapToGrid w:val="0"/>
                <w:lang w:eastAsia="en-US"/>
              </w:rPr>
            </w:pPr>
            <w:r w:rsidRPr="00A569B2">
              <w:rPr>
                <w:b/>
              </w:rPr>
              <w:t>Total</w:t>
            </w:r>
          </w:p>
        </w:tc>
        <w:tc>
          <w:tcPr>
            <w:tcW w:w="843" w:type="pct"/>
            <w:vAlign w:val="center"/>
          </w:tcPr>
          <w:p w14:paraId="76E3B350" w14:textId="77777777" w:rsidR="00D12268" w:rsidRPr="00A569B2" w:rsidRDefault="00D12268" w:rsidP="00BF261E">
            <w:pPr>
              <w:pStyle w:val="Tabletext1"/>
              <w:jc w:val="center"/>
              <w:rPr>
                <w:b/>
                <w:snapToGrid w:val="0"/>
                <w:lang w:eastAsia="en-US"/>
              </w:rPr>
            </w:pPr>
          </w:p>
        </w:tc>
        <w:tc>
          <w:tcPr>
            <w:tcW w:w="716" w:type="pct"/>
            <w:vAlign w:val="center"/>
          </w:tcPr>
          <w:p w14:paraId="1862F97A" w14:textId="77777777" w:rsidR="00D12268" w:rsidRPr="00A569B2" w:rsidRDefault="00D12268" w:rsidP="00BF261E">
            <w:pPr>
              <w:pStyle w:val="Tabletext1"/>
              <w:jc w:val="center"/>
              <w:rPr>
                <w:b/>
              </w:rPr>
            </w:pPr>
          </w:p>
        </w:tc>
        <w:tc>
          <w:tcPr>
            <w:tcW w:w="1182" w:type="pct"/>
            <w:vAlign w:val="center"/>
          </w:tcPr>
          <w:p w14:paraId="28098913" w14:textId="77777777" w:rsidR="00D12268" w:rsidRPr="00A569B2" w:rsidRDefault="00D12268" w:rsidP="00BF261E">
            <w:pPr>
              <w:pStyle w:val="Tabletext1"/>
              <w:jc w:val="center"/>
              <w:rPr>
                <w:rFonts w:cs="Calibri"/>
                <w:b/>
              </w:rPr>
            </w:pPr>
          </w:p>
        </w:tc>
        <w:tc>
          <w:tcPr>
            <w:tcW w:w="830" w:type="pct"/>
            <w:vAlign w:val="center"/>
          </w:tcPr>
          <w:p w14:paraId="10DC69E2" w14:textId="180A26A1" w:rsidR="00D12268" w:rsidRPr="00A569B2" w:rsidRDefault="00D12268" w:rsidP="00BF261E">
            <w:pPr>
              <w:pStyle w:val="Tabletext1"/>
              <w:jc w:val="center"/>
              <w:rPr>
                <w:rFonts w:cs="Calibri"/>
                <w:b/>
              </w:rPr>
            </w:pPr>
            <w:r w:rsidRPr="00A569B2">
              <w:rPr>
                <w:b/>
              </w:rPr>
              <w:t>$63.09</w:t>
            </w:r>
          </w:p>
        </w:tc>
      </w:tr>
      <w:tr w:rsidR="00D12268" w:rsidRPr="00F77E8D" w14:paraId="22E48502" w14:textId="77777777" w:rsidTr="005007E2">
        <w:tc>
          <w:tcPr>
            <w:tcW w:w="1429" w:type="pct"/>
          </w:tcPr>
          <w:p w14:paraId="03ECBC36" w14:textId="77777777" w:rsidR="00D12268" w:rsidRPr="003816D8" w:rsidRDefault="00D12268" w:rsidP="00556AB6">
            <w:pPr>
              <w:pStyle w:val="Tabletext1"/>
              <w:rPr>
                <w:b/>
                <w:snapToGrid w:val="0"/>
                <w:lang w:eastAsia="en-US"/>
              </w:rPr>
            </w:pPr>
            <w:r>
              <w:rPr>
                <w:b/>
                <w:snapToGrid w:val="0"/>
                <w:lang w:eastAsia="en-US"/>
              </w:rPr>
              <w:t xml:space="preserve">Step - </w:t>
            </w:r>
            <w:r w:rsidRPr="00DA6B09">
              <w:rPr>
                <w:b/>
                <w:snapToGrid w:val="0"/>
                <w:lang w:eastAsia="en-US"/>
              </w:rPr>
              <w:t>Process map reflecting treatment</w:t>
            </w:r>
            <w:r>
              <w:rPr>
                <w:b/>
                <w:snapToGrid w:val="0"/>
                <w:lang w:eastAsia="en-US"/>
              </w:rPr>
              <w:t xml:space="preserve"> (Specific for MRI-guided SBRT)</w:t>
            </w:r>
          </w:p>
        </w:tc>
        <w:tc>
          <w:tcPr>
            <w:tcW w:w="843" w:type="pct"/>
            <w:vAlign w:val="center"/>
          </w:tcPr>
          <w:p w14:paraId="2BFD28B4" w14:textId="77777777" w:rsidR="00D12268" w:rsidRPr="003816D8" w:rsidRDefault="00D12268" w:rsidP="00BF261E">
            <w:pPr>
              <w:pStyle w:val="Tabletext1"/>
              <w:jc w:val="center"/>
              <w:rPr>
                <w:snapToGrid w:val="0"/>
                <w:lang w:eastAsia="en-US"/>
              </w:rPr>
            </w:pPr>
          </w:p>
        </w:tc>
        <w:tc>
          <w:tcPr>
            <w:tcW w:w="716" w:type="pct"/>
            <w:vAlign w:val="center"/>
          </w:tcPr>
          <w:p w14:paraId="2A0F4700" w14:textId="77777777" w:rsidR="00D12268" w:rsidRPr="003816D8" w:rsidRDefault="00D12268" w:rsidP="00BF261E">
            <w:pPr>
              <w:pStyle w:val="Tabletext1"/>
              <w:jc w:val="center"/>
            </w:pPr>
          </w:p>
        </w:tc>
        <w:tc>
          <w:tcPr>
            <w:tcW w:w="1182" w:type="pct"/>
            <w:vAlign w:val="center"/>
          </w:tcPr>
          <w:p w14:paraId="27239B06" w14:textId="77777777" w:rsidR="00D12268" w:rsidRPr="003816D8" w:rsidRDefault="00D12268" w:rsidP="00BF261E">
            <w:pPr>
              <w:pStyle w:val="Tabletext1"/>
              <w:jc w:val="center"/>
              <w:rPr>
                <w:rFonts w:cs="Calibri"/>
              </w:rPr>
            </w:pPr>
          </w:p>
        </w:tc>
        <w:tc>
          <w:tcPr>
            <w:tcW w:w="830" w:type="pct"/>
            <w:vAlign w:val="center"/>
          </w:tcPr>
          <w:p w14:paraId="1BFF0EB9" w14:textId="77777777" w:rsidR="00D12268" w:rsidRPr="003816D8" w:rsidRDefault="00D12268" w:rsidP="00BF261E">
            <w:pPr>
              <w:pStyle w:val="Tabletext1"/>
              <w:jc w:val="center"/>
              <w:rPr>
                <w:rFonts w:cs="Calibri"/>
                <w:b/>
              </w:rPr>
            </w:pPr>
          </w:p>
        </w:tc>
      </w:tr>
      <w:tr w:rsidR="00D12268" w:rsidRPr="00F77E8D" w14:paraId="7EC04032" w14:textId="77777777" w:rsidTr="005007E2">
        <w:tc>
          <w:tcPr>
            <w:tcW w:w="1429" w:type="pct"/>
          </w:tcPr>
          <w:p w14:paraId="33CF613D" w14:textId="77777777" w:rsidR="00D12268" w:rsidRPr="00DA6B09" w:rsidRDefault="00D12268" w:rsidP="00556AB6">
            <w:pPr>
              <w:pStyle w:val="Tabletext1"/>
              <w:rPr>
                <w:b/>
                <w:snapToGrid w:val="0"/>
                <w:lang w:eastAsia="en-US"/>
              </w:rPr>
            </w:pPr>
            <w:r w:rsidRPr="00DA6B09">
              <w:rPr>
                <w:b/>
              </w:rPr>
              <w:t>Treatment Setup</w:t>
            </w:r>
          </w:p>
        </w:tc>
        <w:tc>
          <w:tcPr>
            <w:tcW w:w="843" w:type="pct"/>
            <w:vAlign w:val="center"/>
          </w:tcPr>
          <w:p w14:paraId="35D22DE3" w14:textId="77777777" w:rsidR="00D12268" w:rsidRPr="003816D8" w:rsidRDefault="00D12268" w:rsidP="00BF261E">
            <w:pPr>
              <w:pStyle w:val="Tabletext1"/>
              <w:jc w:val="center"/>
              <w:rPr>
                <w:snapToGrid w:val="0"/>
                <w:lang w:eastAsia="en-US"/>
              </w:rPr>
            </w:pPr>
          </w:p>
        </w:tc>
        <w:tc>
          <w:tcPr>
            <w:tcW w:w="716" w:type="pct"/>
            <w:vAlign w:val="center"/>
          </w:tcPr>
          <w:p w14:paraId="5B37374D" w14:textId="77777777" w:rsidR="00D12268" w:rsidRPr="003816D8" w:rsidRDefault="00D12268" w:rsidP="00BF261E">
            <w:pPr>
              <w:pStyle w:val="Tabletext1"/>
              <w:jc w:val="center"/>
            </w:pPr>
          </w:p>
        </w:tc>
        <w:tc>
          <w:tcPr>
            <w:tcW w:w="1182" w:type="pct"/>
            <w:vAlign w:val="center"/>
          </w:tcPr>
          <w:p w14:paraId="70517D01" w14:textId="77777777" w:rsidR="00D12268" w:rsidRPr="003816D8" w:rsidRDefault="00D12268" w:rsidP="00BF261E">
            <w:pPr>
              <w:pStyle w:val="Tabletext1"/>
              <w:jc w:val="center"/>
              <w:rPr>
                <w:rFonts w:cs="Calibri"/>
              </w:rPr>
            </w:pPr>
          </w:p>
        </w:tc>
        <w:tc>
          <w:tcPr>
            <w:tcW w:w="830" w:type="pct"/>
            <w:vAlign w:val="center"/>
          </w:tcPr>
          <w:p w14:paraId="01358F1F" w14:textId="77777777" w:rsidR="00D12268" w:rsidRPr="003816D8" w:rsidRDefault="00D12268" w:rsidP="00BF261E">
            <w:pPr>
              <w:pStyle w:val="Tabletext1"/>
              <w:jc w:val="center"/>
              <w:rPr>
                <w:rFonts w:cs="Calibri"/>
                <w:b/>
              </w:rPr>
            </w:pPr>
          </w:p>
        </w:tc>
      </w:tr>
      <w:tr w:rsidR="00D12268" w:rsidRPr="00F77E8D" w14:paraId="319AF4BE" w14:textId="77777777" w:rsidTr="005007E2">
        <w:tc>
          <w:tcPr>
            <w:tcW w:w="1429" w:type="pct"/>
          </w:tcPr>
          <w:p w14:paraId="306BB740" w14:textId="77777777" w:rsidR="00D12268" w:rsidRPr="00DA6B09" w:rsidRDefault="00D12268" w:rsidP="00556AB6">
            <w:pPr>
              <w:pStyle w:val="Tabletext1"/>
              <w:rPr>
                <w:b/>
                <w:i/>
                <w:snapToGrid w:val="0"/>
                <w:lang w:eastAsia="en-US"/>
              </w:rPr>
            </w:pPr>
            <w:r w:rsidRPr="00DA6B09">
              <w:rPr>
                <w:i/>
              </w:rPr>
              <w:t>Check-in patient</w:t>
            </w:r>
          </w:p>
        </w:tc>
        <w:tc>
          <w:tcPr>
            <w:tcW w:w="843" w:type="pct"/>
            <w:vAlign w:val="center"/>
          </w:tcPr>
          <w:p w14:paraId="2F61E5A6" w14:textId="77777777" w:rsidR="00D12268" w:rsidRPr="003816D8" w:rsidRDefault="00D12268" w:rsidP="00BF261E">
            <w:pPr>
              <w:pStyle w:val="Tabletext1"/>
              <w:jc w:val="center"/>
              <w:rPr>
                <w:snapToGrid w:val="0"/>
                <w:lang w:eastAsia="en-US"/>
              </w:rPr>
            </w:pPr>
            <w:r w:rsidRPr="0039050F">
              <w:t>Front desk (x1)</w:t>
            </w:r>
          </w:p>
        </w:tc>
        <w:tc>
          <w:tcPr>
            <w:tcW w:w="716" w:type="pct"/>
            <w:vAlign w:val="center"/>
          </w:tcPr>
          <w:p w14:paraId="59B3CB26" w14:textId="77777777" w:rsidR="00D12268" w:rsidRPr="003816D8" w:rsidRDefault="00D12268" w:rsidP="00BF261E">
            <w:pPr>
              <w:pStyle w:val="Tabletext1"/>
              <w:jc w:val="center"/>
            </w:pPr>
            <w:r w:rsidRPr="0039050F">
              <w:t>2</w:t>
            </w:r>
          </w:p>
        </w:tc>
        <w:tc>
          <w:tcPr>
            <w:tcW w:w="1182" w:type="pct"/>
            <w:vAlign w:val="center"/>
          </w:tcPr>
          <w:p w14:paraId="61855355" w14:textId="29DE5064" w:rsidR="00D12268" w:rsidRPr="003816D8" w:rsidRDefault="00D12268" w:rsidP="00BF261E">
            <w:pPr>
              <w:pStyle w:val="Tabletext1"/>
              <w:jc w:val="center"/>
              <w:rPr>
                <w:rFonts w:cs="Calibri"/>
              </w:rPr>
            </w:pPr>
            <w:r w:rsidRPr="0039050F">
              <w:t>$0.79</w:t>
            </w:r>
          </w:p>
        </w:tc>
        <w:tc>
          <w:tcPr>
            <w:tcW w:w="830" w:type="pct"/>
            <w:vAlign w:val="center"/>
          </w:tcPr>
          <w:p w14:paraId="52DADE9C" w14:textId="77777777" w:rsidR="00D12268" w:rsidRPr="003816D8" w:rsidRDefault="00D12268" w:rsidP="00BF261E">
            <w:pPr>
              <w:pStyle w:val="Tabletext1"/>
              <w:jc w:val="center"/>
              <w:rPr>
                <w:rFonts w:cs="Calibri"/>
                <w:b/>
              </w:rPr>
            </w:pPr>
            <w:r w:rsidRPr="0039050F">
              <w:t>-</w:t>
            </w:r>
          </w:p>
        </w:tc>
      </w:tr>
      <w:tr w:rsidR="00D12268" w:rsidRPr="00F77E8D" w14:paraId="0EDEC266" w14:textId="77777777" w:rsidTr="005007E2">
        <w:tc>
          <w:tcPr>
            <w:tcW w:w="1429" w:type="pct"/>
          </w:tcPr>
          <w:p w14:paraId="20ABF059" w14:textId="77777777" w:rsidR="00D12268" w:rsidRPr="00DA6B09" w:rsidRDefault="00D12268" w:rsidP="00556AB6">
            <w:pPr>
              <w:pStyle w:val="Tabletext1"/>
              <w:rPr>
                <w:b/>
                <w:i/>
                <w:snapToGrid w:val="0"/>
                <w:lang w:eastAsia="en-US"/>
              </w:rPr>
            </w:pPr>
            <w:r w:rsidRPr="00DA6B09">
              <w:rPr>
                <w:i/>
              </w:rPr>
              <w:t xml:space="preserve">Place IV </w:t>
            </w:r>
          </w:p>
        </w:tc>
        <w:tc>
          <w:tcPr>
            <w:tcW w:w="843" w:type="pct"/>
            <w:vAlign w:val="center"/>
          </w:tcPr>
          <w:p w14:paraId="7F303934" w14:textId="77777777" w:rsidR="00D12268" w:rsidRPr="003816D8" w:rsidRDefault="00D12268" w:rsidP="00BF261E">
            <w:pPr>
              <w:pStyle w:val="Tabletext1"/>
              <w:jc w:val="center"/>
              <w:rPr>
                <w:snapToGrid w:val="0"/>
                <w:lang w:eastAsia="en-US"/>
              </w:rPr>
            </w:pPr>
            <w:r w:rsidRPr="0039050F">
              <w:t>Nurse (x1)</w:t>
            </w:r>
          </w:p>
        </w:tc>
        <w:tc>
          <w:tcPr>
            <w:tcW w:w="716" w:type="pct"/>
            <w:vAlign w:val="center"/>
          </w:tcPr>
          <w:p w14:paraId="780F8CE7" w14:textId="77777777" w:rsidR="00D12268" w:rsidRPr="003816D8" w:rsidRDefault="00D12268" w:rsidP="00BF261E">
            <w:pPr>
              <w:pStyle w:val="Tabletext1"/>
              <w:jc w:val="center"/>
            </w:pPr>
            <w:r w:rsidRPr="0039050F">
              <w:t>8</w:t>
            </w:r>
          </w:p>
        </w:tc>
        <w:tc>
          <w:tcPr>
            <w:tcW w:w="1182" w:type="pct"/>
            <w:vAlign w:val="center"/>
          </w:tcPr>
          <w:p w14:paraId="079D746E" w14:textId="450CC2C0" w:rsidR="00D12268" w:rsidRPr="003816D8" w:rsidRDefault="00D12268" w:rsidP="00BF261E">
            <w:pPr>
              <w:pStyle w:val="Tabletext1"/>
              <w:jc w:val="center"/>
              <w:rPr>
                <w:rFonts w:cs="Calibri"/>
              </w:rPr>
            </w:pPr>
            <w:r w:rsidRPr="0039050F">
              <w:t>$4.93</w:t>
            </w:r>
          </w:p>
        </w:tc>
        <w:tc>
          <w:tcPr>
            <w:tcW w:w="830" w:type="pct"/>
            <w:vAlign w:val="center"/>
          </w:tcPr>
          <w:p w14:paraId="3E8852D6" w14:textId="77777777" w:rsidR="00D12268" w:rsidRPr="003816D8" w:rsidRDefault="00D12268" w:rsidP="00BF261E">
            <w:pPr>
              <w:pStyle w:val="Tabletext1"/>
              <w:jc w:val="center"/>
              <w:rPr>
                <w:rFonts w:cs="Calibri"/>
                <w:b/>
              </w:rPr>
            </w:pPr>
            <w:r w:rsidRPr="0039050F">
              <w:t>-</w:t>
            </w:r>
          </w:p>
        </w:tc>
      </w:tr>
      <w:tr w:rsidR="00D12268" w:rsidRPr="00F77E8D" w14:paraId="4AAA77F8" w14:textId="77777777" w:rsidTr="005007E2">
        <w:tc>
          <w:tcPr>
            <w:tcW w:w="1429" w:type="pct"/>
          </w:tcPr>
          <w:p w14:paraId="12D470B0" w14:textId="77777777" w:rsidR="00D12268" w:rsidRPr="00DA6B09" w:rsidRDefault="00D12268" w:rsidP="00556AB6">
            <w:pPr>
              <w:pStyle w:val="Tabletext1"/>
              <w:rPr>
                <w:b/>
                <w:i/>
                <w:snapToGrid w:val="0"/>
                <w:lang w:eastAsia="en-US"/>
              </w:rPr>
            </w:pPr>
            <w:r w:rsidRPr="00DA6B09">
              <w:rPr>
                <w:i/>
              </w:rPr>
              <w:t>Perform metal detector screen; give Eovist; position patient; coach through DIBH; take targeted MR images; adjust gating</w:t>
            </w:r>
          </w:p>
        </w:tc>
        <w:tc>
          <w:tcPr>
            <w:tcW w:w="843" w:type="pct"/>
            <w:vAlign w:val="center"/>
          </w:tcPr>
          <w:p w14:paraId="7AF3DB2A" w14:textId="77777777" w:rsidR="00D12268" w:rsidRPr="003816D8" w:rsidRDefault="00D12268" w:rsidP="00BF261E">
            <w:pPr>
              <w:pStyle w:val="Tabletext1"/>
              <w:jc w:val="center"/>
              <w:rPr>
                <w:snapToGrid w:val="0"/>
                <w:lang w:eastAsia="en-US"/>
              </w:rPr>
            </w:pPr>
            <w:r w:rsidRPr="0039050F">
              <w:t>Radiation Therapist (x2)</w:t>
            </w:r>
          </w:p>
        </w:tc>
        <w:tc>
          <w:tcPr>
            <w:tcW w:w="716" w:type="pct"/>
            <w:vAlign w:val="center"/>
          </w:tcPr>
          <w:p w14:paraId="782BC22E" w14:textId="77777777" w:rsidR="00D12268" w:rsidRPr="003816D8" w:rsidRDefault="00D12268" w:rsidP="00BF261E">
            <w:pPr>
              <w:pStyle w:val="Tabletext1"/>
              <w:jc w:val="center"/>
            </w:pPr>
            <w:r w:rsidRPr="0039050F">
              <w:t>15</w:t>
            </w:r>
          </w:p>
        </w:tc>
        <w:tc>
          <w:tcPr>
            <w:tcW w:w="1182" w:type="pct"/>
            <w:vAlign w:val="center"/>
          </w:tcPr>
          <w:p w14:paraId="41C55C84" w14:textId="09EC0712" w:rsidR="00D12268" w:rsidRPr="003816D8" w:rsidRDefault="00D12268" w:rsidP="00BF261E">
            <w:pPr>
              <w:pStyle w:val="Tabletext1"/>
              <w:jc w:val="center"/>
              <w:rPr>
                <w:rFonts w:cs="Calibri"/>
              </w:rPr>
            </w:pPr>
            <w:r w:rsidRPr="0039050F">
              <w:t>$22.75</w:t>
            </w:r>
          </w:p>
        </w:tc>
        <w:tc>
          <w:tcPr>
            <w:tcW w:w="830" w:type="pct"/>
            <w:vAlign w:val="center"/>
          </w:tcPr>
          <w:p w14:paraId="4B7B0CE5" w14:textId="77777777" w:rsidR="00D12268" w:rsidRPr="003816D8" w:rsidRDefault="00D12268" w:rsidP="00BF261E">
            <w:pPr>
              <w:pStyle w:val="Tabletext1"/>
              <w:jc w:val="center"/>
              <w:rPr>
                <w:rFonts w:cs="Calibri"/>
                <w:b/>
              </w:rPr>
            </w:pPr>
            <w:r w:rsidRPr="0039050F">
              <w:t>-</w:t>
            </w:r>
          </w:p>
        </w:tc>
      </w:tr>
      <w:tr w:rsidR="00D12268" w:rsidRPr="00F77E8D" w14:paraId="680DD8FB" w14:textId="77777777" w:rsidTr="005007E2">
        <w:tc>
          <w:tcPr>
            <w:tcW w:w="1429" w:type="pct"/>
          </w:tcPr>
          <w:p w14:paraId="08C94994" w14:textId="77777777" w:rsidR="00D12268" w:rsidRPr="00DA6B09" w:rsidRDefault="00D12268" w:rsidP="00556AB6">
            <w:pPr>
              <w:pStyle w:val="Tabletext1"/>
              <w:rPr>
                <w:b/>
                <w:i/>
                <w:snapToGrid w:val="0"/>
                <w:lang w:eastAsia="en-US"/>
              </w:rPr>
            </w:pPr>
            <w:r w:rsidRPr="00DA6B09">
              <w:rPr>
                <w:i/>
              </w:rPr>
              <w:t>Make adjustments and page MD/Physicists</w:t>
            </w:r>
          </w:p>
        </w:tc>
        <w:tc>
          <w:tcPr>
            <w:tcW w:w="843" w:type="pct"/>
            <w:vAlign w:val="center"/>
          </w:tcPr>
          <w:p w14:paraId="2D185622" w14:textId="77777777" w:rsidR="00D12268" w:rsidRPr="003816D8" w:rsidRDefault="00D12268" w:rsidP="00BF261E">
            <w:pPr>
              <w:pStyle w:val="Tabletext1"/>
              <w:jc w:val="center"/>
              <w:rPr>
                <w:snapToGrid w:val="0"/>
                <w:lang w:eastAsia="en-US"/>
              </w:rPr>
            </w:pPr>
            <w:r w:rsidRPr="0039050F">
              <w:t>Radiation Therapist (x2)</w:t>
            </w:r>
          </w:p>
        </w:tc>
        <w:tc>
          <w:tcPr>
            <w:tcW w:w="716" w:type="pct"/>
            <w:vAlign w:val="center"/>
          </w:tcPr>
          <w:p w14:paraId="19AD2601" w14:textId="77777777" w:rsidR="00D12268" w:rsidRPr="003816D8" w:rsidRDefault="00D12268" w:rsidP="00BF261E">
            <w:pPr>
              <w:pStyle w:val="Tabletext1"/>
              <w:jc w:val="center"/>
            </w:pPr>
            <w:r w:rsidRPr="0039050F">
              <w:t>4</w:t>
            </w:r>
          </w:p>
        </w:tc>
        <w:tc>
          <w:tcPr>
            <w:tcW w:w="1182" w:type="pct"/>
            <w:vAlign w:val="center"/>
          </w:tcPr>
          <w:p w14:paraId="2297AB10" w14:textId="7D6B5671" w:rsidR="00D12268" w:rsidRPr="003816D8" w:rsidRDefault="00D12268" w:rsidP="00BF261E">
            <w:pPr>
              <w:pStyle w:val="Tabletext1"/>
              <w:jc w:val="center"/>
              <w:rPr>
                <w:rFonts w:cs="Calibri"/>
              </w:rPr>
            </w:pPr>
            <w:r w:rsidRPr="0039050F">
              <w:t>$6.07</w:t>
            </w:r>
          </w:p>
        </w:tc>
        <w:tc>
          <w:tcPr>
            <w:tcW w:w="830" w:type="pct"/>
            <w:vAlign w:val="center"/>
          </w:tcPr>
          <w:p w14:paraId="2F8A4F38" w14:textId="77777777" w:rsidR="00D12268" w:rsidRPr="003816D8" w:rsidRDefault="00D12268" w:rsidP="00BF261E">
            <w:pPr>
              <w:pStyle w:val="Tabletext1"/>
              <w:jc w:val="center"/>
              <w:rPr>
                <w:rFonts w:cs="Calibri"/>
                <w:b/>
              </w:rPr>
            </w:pPr>
            <w:r w:rsidRPr="0039050F">
              <w:t>-</w:t>
            </w:r>
          </w:p>
        </w:tc>
      </w:tr>
      <w:tr w:rsidR="00D12268" w:rsidRPr="00F77E8D" w14:paraId="25FAF46E" w14:textId="77777777" w:rsidTr="005007E2">
        <w:tc>
          <w:tcPr>
            <w:tcW w:w="1429" w:type="pct"/>
          </w:tcPr>
          <w:p w14:paraId="7649F384" w14:textId="77777777" w:rsidR="00D12268" w:rsidRPr="00DA6B09" w:rsidRDefault="00D12268" w:rsidP="00556AB6">
            <w:pPr>
              <w:pStyle w:val="Tabletext1"/>
              <w:rPr>
                <w:b/>
                <w:snapToGrid w:val="0"/>
                <w:lang w:eastAsia="en-US"/>
              </w:rPr>
            </w:pPr>
            <w:r w:rsidRPr="00DA6B09">
              <w:rPr>
                <w:b/>
              </w:rPr>
              <w:t>Image verification</w:t>
            </w:r>
          </w:p>
        </w:tc>
        <w:tc>
          <w:tcPr>
            <w:tcW w:w="843" w:type="pct"/>
            <w:vAlign w:val="center"/>
          </w:tcPr>
          <w:p w14:paraId="0E100318" w14:textId="77777777" w:rsidR="00D12268" w:rsidRPr="003816D8" w:rsidRDefault="00D12268" w:rsidP="00BF261E">
            <w:pPr>
              <w:pStyle w:val="Tabletext1"/>
              <w:jc w:val="center"/>
              <w:rPr>
                <w:snapToGrid w:val="0"/>
                <w:lang w:eastAsia="en-US"/>
              </w:rPr>
            </w:pPr>
          </w:p>
        </w:tc>
        <w:tc>
          <w:tcPr>
            <w:tcW w:w="716" w:type="pct"/>
            <w:vAlign w:val="center"/>
          </w:tcPr>
          <w:p w14:paraId="1753782D" w14:textId="77777777" w:rsidR="00D12268" w:rsidRPr="003816D8" w:rsidRDefault="00D12268" w:rsidP="00BF261E">
            <w:pPr>
              <w:pStyle w:val="Tabletext1"/>
              <w:jc w:val="center"/>
            </w:pPr>
          </w:p>
        </w:tc>
        <w:tc>
          <w:tcPr>
            <w:tcW w:w="1182" w:type="pct"/>
            <w:vAlign w:val="center"/>
          </w:tcPr>
          <w:p w14:paraId="7836229F" w14:textId="77777777" w:rsidR="00D12268" w:rsidRPr="003816D8" w:rsidRDefault="00D12268" w:rsidP="00BF261E">
            <w:pPr>
              <w:pStyle w:val="Tabletext1"/>
              <w:jc w:val="center"/>
              <w:rPr>
                <w:rFonts w:cs="Calibri"/>
              </w:rPr>
            </w:pPr>
          </w:p>
        </w:tc>
        <w:tc>
          <w:tcPr>
            <w:tcW w:w="830" w:type="pct"/>
            <w:vAlign w:val="center"/>
          </w:tcPr>
          <w:p w14:paraId="4FDB2A84" w14:textId="77777777" w:rsidR="00D12268" w:rsidRPr="003816D8" w:rsidRDefault="00D12268" w:rsidP="00BF261E">
            <w:pPr>
              <w:pStyle w:val="Tabletext1"/>
              <w:jc w:val="center"/>
              <w:rPr>
                <w:rFonts w:cs="Calibri"/>
                <w:b/>
              </w:rPr>
            </w:pPr>
            <w:r w:rsidRPr="0039050F">
              <w:t>-</w:t>
            </w:r>
          </w:p>
        </w:tc>
      </w:tr>
      <w:tr w:rsidR="00D12268" w:rsidRPr="00F77E8D" w14:paraId="6F6AAD23" w14:textId="77777777" w:rsidTr="005007E2">
        <w:tc>
          <w:tcPr>
            <w:tcW w:w="1429" w:type="pct"/>
          </w:tcPr>
          <w:p w14:paraId="277FD7B6" w14:textId="77777777" w:rsidR="00D12268" w:rsidRPr="003816D8" w:rsidRDefault="00D12268" w:rsidP="00556AB6">
            <w:pPr>
              <w:pStyle w:val="Tabletext1"/>
              <w:rPr>
                <w:b/>
                <w:snapToGrid w:val="0"/>
                <w:lang w:eastAsia="en-US"/>
              </w:rPr>
            </w:pPr>
            <w:r w:rsidRPr="0039050F">
              <w:t>Review images</w:t>
            </w:r>
          </w:p>
        </w:tc>
        <w:tc>
          <w:tcPr>
            <w:tcW w:w="843" w:type="pct"/>
            <w:vAlign w:val="center"/>
          </w:tcPr>
          <w:p w14:paraId="6E8319FC" w14:textId="77777777" w:rsidR="00D12268" w:rsidRPr="003816D8" w:rsidRDefault="00D12268" w:rsidP="00BF261E">
            <w:pPr>
              <w:pStyle w:val="Tabletext1"/>
              <w:jc w:val="center"/>
              <w:rPr>
                <w:snapToGrid w:val="0"/>
                <w:lang w:eastAsia="en-US"/>
              </w:rPr>
            </w:pPr>
            <w:r w:rsidRPr="0039050F">
              <w:t>Medical Physicist (x1) (probability 0.20)</w:t>
            </w:r>
          </w:p>
        </w:tc>
        <w:tc>
          <w:tcPr>
            <w:tcW w:w="716" w:type="pct"/>
            <w:vAlign w:val="center"/>
          </w:tcPr>
          <w:p w14:paraId="3688D394" w14:textId="77777777" w:rsidR="00D12268" w:rsidRPr="003816D8" w:rsidRDefault="00D12268" w:rsidP="00BF261E">
            <w:pPr>
              <w:pStyle w:val="Tabletext1"/>
              <w:jc w:val="center"/>
            </w:pPr>
            <w:r w:rsidRPr="0039050F">
              <w:t>8</w:t>
            </w:r>
          </w:p>
        </w:tc>
        <w:tc>
          <w:tcPr>
            <w:tcW w:w="1182" w:type="pct"/>
            <w:vAlign w:val="center"/>
          </w:tcPr>
          <w:p w14:paraId="3A29B87F" w14:textId="45DC2377" w:rsidR="00D12268" w:rsidRPr="003816D8" w:rsidRDefault="00D12268" w:rsidP="00BF261E">
            <w:pPr>
              <w:pStyle w:val="Tabletext1"/>
              <w:jc w:val="center"/>
              <w:rPr>
                <w:rFonts w:cs="Calibri"/>
              </w:rPr>
            </w:pPr>
            <w:r w:rsidRPr="0039050F">
              <w:t>$1.09</w:t>
            </w:r>
          </w:p>
        </w:tc>
        <w:tc>
          <w:tcPr>
            <w:tcW w:w="830" w:type="pct"/>
            <w:vAlign w:val="center"/>
          </w:tcPr>
          <w:p w14:paraId="6D97B0E8" w14:textId="77777777" w:rsidR="00D12268" w:rsidRPr="003816D8" w:rsidRDefault="00D12268" w:rsidP="00BF261E">
            <w:pPr>
              <w:pStyle w:val="Tabletext1"/>
              <w:jc w:val="center"/>
              <w:rPr>
                <w:rFonts w:cs="Calibri"/>
                <w:b/>
              </w:rPr>
            </w:pPr>
            <w:r w:rsidRPr="0039050F">
              <w:t>-</w:t>
            </w:r>
          </w:p>
        </w:tc>
      </w:tr>
      <w:tr w:rsidR="00D12268" w:rsidRPr="00F77E8D" w14:paraId="0564F37F" w14:textId="77777777" w:rsidTr="005007E2">
        <w:tc>
          <w:tcPr>
            <w:tcW w:w="1429" w:type="pct"/>
          </w:tcPr>
          <w:p w14:paraId="6A811777" w14:textId="77777777" w:rsidR="00D12268" w:rsidRPr="003816D8" w:rsidRDefault="00D12268" w:rsidP="00556AB6">
            <w:pPr>
              <w:pStyle w:val="Tabletext1"/>
              <w:rPr>
                <w:b/>
                <w:snapToGrid w:val="0"/>
                <w:lang w:eastAsia="en-US"/>
              </w:rPr>
            </w:pPr>
            <w:r w:rsidRPr="0039050F">
              <w:t xml:space="preserve">Approve images </w:t>
            </w:r>
          </w:p>
        </w:tc>
        <w:tc>
          <w:tcPr>
            <w:tcW w:w="843" w:type="pct"/>
            <w:vAlign w:val="center"/>
          </w:tcPr>
          <w:p w14:paraId="756E24E4" w14:textId="77777777" w:rsidR="00D12268" w:rsidRPr="003816D8" w:rsidRDefault="00D12268" w:rsidP="00BF261E">
            <w:pPr>
              <w:pStyle w:val="Tabletext1"/>
              <w:jc w:val="center"/>
              <w:rPr>
                <w:snapToGrid w:val="0"/>
                <w:lang w:eastAsia="en-US"/>
              </w:rPr>
            </w:pPr>
            <w:r w:rsidRPr="0039050F">
              <w:t>Radiation Oncologist (x1)</w:t>
            </w:r>
          </w:p>
        </w:tc>
        <w:tc>
          <w:tcPr>
            <w:tcW w:w="716" w:type="pct"/>
            <w:vAlign w:val="center"/>
          </w:tcPr>
          <w:p w14:paraId="1D8A37EA" w14:textId="77777777" w:rsidR="00D12268" w:rsidRPr="003816D8" w:rsidRDefault="00D12268" w:rsidP="00BF261E">
            <w:pPr>
              <w:pStyle w:val="Tabletext1"/>
              <w:jc w:val="center"/>
            </w:pPr>
            <w:r w:rsidRPr="0039050F">
              <w:t>8</w:t>
            </w:r>
          </w:p>
        </w:tc>
        <w:tc>
          <w:tcPr>
            <w:tcW w:w="1182" w:type="pct"/>
            <w:vAlign w:val="center"/>
          </w:tcPr>
          <w:p w14:paraId="5A8FD3DD" w14:textId="7EBB3F45" w:rsidR="00D12268" w:rsidRPr="003816D8" w:rsidRDefault="00D12268" w:rsidP="00BF261E">
            <w:pPr>
              <w:pStyle w:val="Tabletext1"/>
              <w:jc w:val="center"/>
              <w:rPr>
                <w:rFonts w:cs="Calibri"/>
              </w:rPr>
            </w:pPr>
            <w:r w:rsidRPr="0039050F">
              <w:t>$14.27</w:t>
            </w:r>
          </w:p>
        </w:tc>
        <w:tc>
          <w:tcPr>
            <w:tcW w:w="830" w:type="pct"/>
            <w:vAlign w:val="center"/>
          </w:tcPr>
          <w:p w14:paraId="5ABFA68A" w14:textId="77777777" w:rsidR="00D12268" w:rsidRPr="003816D8" w:rsidRDefault="00D12268" w:rsidP="00BF261E">
            <w:pPr>
              <w:pStyle w:val="Tabletext1"/>
              <w:jc w:val="center"/>
              <w:rPr>
                <w:rFonts w:cs="Calibri"/>
                <w:b/>
              </w:rPr>
            </w:pPr>
            <w:r w:rsidRPr="0039050F">
              <w:t>-</w:t>
            </w:r>
          </w:p>
        </w:tc>
      </w:tr>
      <w:tr w:rsidR="00D12268" w:rsidRPr="00F77E8D" w14:paraId="24D2FA6C" w14:textId="77777777" w:rsidTr="005007E2">
        <w:tc>
          <w:tcPr>
            <w:tcW w:w="1429" w:type="pct"/>
          </w:tcPr>
          <w:p w14:paraId="0CDE102E" w14:textId="77777777" w:rsidR="00D12268" w:rsidRPr="003816D8" w:rsidRDefault="00D12268" w:rsidP="00556AB6">
            <w:pPr>
              <w:pStyle w:val="Tabletext1"/>
              <w:rPr>
                <w:b/>
                <w:snapToGrid w:val="0"/>
                <w:lang w:eastAsia="en-US"/>
              </w:rPr>
            </w:pPr>
            <w:r w:rsidRPr="0039050F">
              <w:t>Therapists present and apply shifts if necessary</w:t>
            </w:r>
          </w:p>
        </w:tc>
        <w:tc>
          <w:tcPr>
            <w:tcW w:w="843" w:type="pct"/>
            <w:vAlign w:val="center"/>
          </w:tcPr>
          <w:p w14:paraId="3E1F5B4D" w14:textId="77777777" w:rsidR="00D12268" w:rsidRPr="003816D8" w:rsidRDefault="00D12268" w:rsidP="00BF261E">
            <w:pPr>
              <w:pStyle w:val="Tabletext1"/>
              <w:jc w:val="center"/>
              <w:rPr>
                <w:snapToGrid w:val="0"/>
                <w:lang w:eastAsia="en-US"/>
              </w:rPr>
            </w:pPr>
            <w:r w:rsidRPr="0039050F">
              <w:t>Radiation Therapist (x2)</w:t>
            </w:r>
          </w:p>
        </w:tc>
        <w:tc>
          <w:tcPr>
            <w:tcW w:w="716" w:type="pct"/>
            <w:vAlign w:val="center"/>
          </w:tcPr>
          <w:p w14:paraId="53FE615A" w14:textId="77777777" w:rsidR="00D12268" w:rsidRPr="003816D8" w:rsidRDefault="00D12268" w:rsidP="00BF261E">
            <w:pPr>
              <w:pStyle w:val="Tabletext1"/>
              <w:jc w:val="center"/>
            </w:pPr>
            <w:r w:rsidRPr="0039050F">
              <w:t>8</w:t>
            </w:r>
          </w:p>
        </w:tc>
        <w:tc>
          <w:tcPr>
            <w:tcW w:w="1182" w:type="pct"/>
            <w:vAlign w:val="center"/>
          </w:tcPr>
          <w:p w14:paraId="60E9A55E" w14:textId="2814A579" w:rsidR="00D12268" w:rsidRPr="003816D8" w:rsidRDefault="00D12268" w:rsidP="00BF261E">
            <w:pPr>
              <w:pStyle w:val="Tabletext1"/>
              <w:jc w:val="center"/>
              <w:rPr>
                <w:rFonts w:cs="Calibri"/>
              </w:rPr>
            </w:pPr>
            <w:r w:rsidRPr="0039050F">
              <w:t>$12.13</w:t>
            </w:r>
          </w:p>
        </w:tc>
        <w:tc>
          <w:tcPr>
            <w:tcW w:w="830" w:type="pct"/>
            <w:vAlign w:val="center"/>
          </w:tcPr>
          <w:p w14:paraId="7E79E1A9" w14:textId="77777777" w:rsidR="00D12268" w:rsidRPr="003816D8" w:rsidRDefault="00D12268" w:rsidP="00BF261E">
            <w:pPr>
              <w:pStyle w:val="Tabletext1"/>
              <w:jc w:val="center"/>
              <w:rPr>
                <w:rFonts w:cs="Calibri"/>
                <w:b/>
              </w:rPr>
            </w:pPr>
            <w:r w:rsidRPr="0039050F">
              <w:t>-</w:t>
            </w:r>
          </w:p>
        </w:tc>
      </w:tr>
      <w:tr w:rsidR="00D12268" w:rsidRPr="00F77E8D" w14:paraId="341A5623" w14:textId="77777777" w:rsidTr="005007E2">
        <w:tc>
          <w:tcPr>
            <w:tcW w:w="1429" w:type="pct"/>
          </w:tcPr>
          <w:p w14:paraId="4CDDB59C" w14:textId="77777777" w:rsidR="00D12268" w:rsidRPr="00DA6B09" w:rsidRDefault="00D12268" w:rsidP="00556AB6">
            <w:pPr>
              <w:pStyle w:val="Tabletext1"/>
              <w:rPr>
                <w:b/>
                <w:snapToGrid w:val="0"/>
                <w:lang w:eastAsia="en-US"/>
              </w:rPr>
            </w:pPr>
            <w:r w:rsidRPr="00DA6B09">
              <w:rPr>
                <w:b/>
              </w:rPr>
              <w:t>Treatment</w:t>
            </w:r>
          </w:p>
        </w:tc>
        <w:tc>
          <w:tcPr>
            <w:tcW w:w="843" w:type="pct"/>
            <w:vAlign w:val="center"/>
          </w:tcPr>
          <w:p w14:paraId="708CFA3C" w14:textId="77777777" w:rsidR="00D12268" w:rsidRPr="003816D8" w:rsidRDefault="00D12268" w:rsidP="00BF261E">
            <w:pPr>
              <w:pStyle w:val="Tabletext1"/>
              <w:jc w:val="center"/>
              <w:rPr>
                <w:snapToGrid w:val="0"/>
                <w:lang w:eastAsia="en-US"/>
              </w:rPr>
            </w:pPr>
          </w:p>
        </w:tc>
        <w:tc>
          <w:tcPr>
            <w:tcW w:w="716" w:type="pct"/>
            <w:vAlign w:val="center"/>
          </w:tcPr>
          <w:p w14:paraId="6B68C475" w14:textId="77777777" w:rsidR="00D12268" w:rsidRPr="003816D8" w:rsidRDefault="00D12268" w:rsidP="00BF261E">
            <w:pPr>
              <w:pStyle w:val="Tabletext1"/>
              <w:jc w:val="center"/>
            </w:pPr>
          </w:p>
        </w:tc>
        <w:tc>
          <w:tcPr>
            <w:tcW w:w="1182" w:type="pct"/>
            <w:vAlign w:val="center"/>
          </w:tcPr>
          <w:p w14:paraId="2D45B5AA" w14:textId="77777777" w:rsidR="00D12268" w:rsidRPr="003816D8" w:rsidRDefault="00D12268" w:rsidP="00BF261E">
            <w:pPr>
              <w:pStyle w:val="Tabletext1"/>
              <w:jc w:val="center"/>
              <w:rPr>
                <w:rFonts w:cs="Calibri"/>
              </w:rPr>
            </w:pPr>
          </w:p>
        </w:tc>
        <w:tc>
          <w:tcPr>
            <w:tcW w:w="830" w:type="pct"/>
            <w:vAlign w:val="center"/>
          </w:tcPr>
          <w:p w14:paraId="665709A8" w14:textId="77777777" w:rsidR="00D12268" w:rsidRPr="003816D8" w:rsidRDefault="00D12268" w:rsidP="00BF261E">
            <w:pPr>
              <w:pStyle w:val="Tabletext1"/>
              <w:jc w:val="center"/>
              <w:rPr>
                <w:rFonts w:cs="Calibri"/>
                <w:b/>
              </w:rPr>
            </w:pPr>
            <w:r w:rsidRPr="0039050F">
              <w:t>-</w:t>
            </w:r>
          </w:p>
        </w:tc>
      </w:tr>
      <w:tr w:rsidR="00D12268" w:rsidRPr="00F77E8D" w14:paraId="23981697" w14:textId="77777777" w:rsidTr="005007E2">
        <w:tc>
          <w:tcPr>
            <w:tcW w:w="1429" w:type="pct"/>
          </w:tcPr>
          <w:p w14:paraId="716749F7" w14:textId="77777777" w:rsidR="00D12268" w:rsidRPr="003816D8" w:rsidRDefault="00D12268" w:rsidP="00556AB6">
            <w:pPr>
              <w:pStyle w:val="Tabletext1"/>
              <w:rPr>
                <w:b/>
                <w:snapToGrid w:val="0"/>
                <w:lang w:eastAsia="en-US"/>
              </w:rPr>
            </w:pPr>
            <w:r w:rsidRPr="0039050F">
              <w:t>Treatment of all fields</w:t>
            </w:r>
          </w:p>
        </w:tc>
        <w:tc>
          <w:tcPr>
            <w:tcW w:w="843" w:type="pct"/>
            <w:vAlign w:val="center"/>
          </w:tcPr>
          <w:p w14:paraId="228D6CFD" w14:textId="77777777" w:rsidR="00D12268" w:rsidRPr="003816D8" w:rsidRDefault="00D12268" w:rsidP="00BF261E">
            <w:pPr>
              <w:pStyle w:val="Tabletext1"/>
              <w:jc w:val="center"/>
              <w:rPr>
                <w:snapToGrid w:val="0"/>
                <w:lang w:eastAsia="en-US"/>
              </w:rPr>
            </w:pPr>
            <w:r w:rsidRPr="0039050F">
              <w:t>Radiation Therapist (x2)</w:t>
            </w:r>
          </w:p>
        </w:tc>
        <w:tc>
          <w:tcPr>
            <w:tcW w:w="716" w:type="pct"/>
            <w:vAlign w:val="center"/>
          </w:tcPr>
          <w:p w14:paraId="269ADAE3" w14:textId="77777777" w:rsidR="00D12268" w:rsidRPr="003816D8" w:rsidRDefault="00D12268" w:rsidP="00BF261E">
            <w:pPr>
              <w:pStyle w:val="Tabletext1"/>
              <w:jc w:val="center"/>
            </w:pPr>
            <w:r w:rsidRPr="0039050F">
              <w:t>14</w:t>
            </w:r>
          </w:p>
        </w:tc>
        <w:tc>
          <w:tcPr>
            <w:tcW w:w="1182" w:type="pct"/>
            <w:vAlign w:val="center"/>
          </w:tcPr>
          <w:p w14:paraId="1DCBFA0D" w14:textId="5F2B25FD" w:rsidR="00D12268" w:rsidRPr="003816D8" w:rsidRDefault="00D12268" w:rsidP="00BF261E">
            <w:pPr>
              <w:pStyle w:val="Tabletext1"/>
              <w:jc w:val="center"/>
              <w:rPr>
                <w:rFonts w:cs="Calibri"/>
              </w:rPr>
            </w:pPr>
            <w:r w:rsidRPr="0039050F">
              <w:t>$21.23</w:t>
            </w:r>
          </w:p>
        </w:tc>
        <w:tc>
          <w:tcPr>
            <w:tcW w:w="830" w:type="pct"/>
            <w:vAlign w:val="center"/>
          </w:tcPr>
          <w:p w14:paraId="3544986B" w14:textId="77777777" w:rsidR="00D12268" w:rsidRPr="003816D8" w:rsidRDefault="00D12268" w:rsidP="00BF261E">
            <w:pPr>
              <w:pStyle w:val="Tabletext1"/>
              <w:jc w:val="center"/>
              <w:rPr>
                <w:rFonts w:cs="Calibri"/>
                <w:b/>
              </w:rPr>
            </w:pPr>
            <w:r w:rsidRPr="0039050F">
              <w:t>-</w:t>
            </w:r>
          </w:p>
        </w:tc>
      </w:tr>
      <w:tr w:rsidR="00D12268" w:rsidRPr="00F77E8D" w14:paraId="327A3B86" w14:textId="77777777" w:rsidTr="005007E2">
        <w:tc>
          <w:tcPr>
            <w:tcW w:w="1429" w:type="pct"/>
          </w:tcPr>
          <w:p w14:paraId="1CA770E8" w14:textId="77777777" w:rsidR="00D12268" w:rsidRPr="003816D8" w:rsidRDefault="00D12268" w:rsidP="00556AB6">
            <w:pPr>
              <w:pStyle w:val="Tabletext1"/>
              <w:rPr>
                <w:b/>
                <w:snapToGrid w:val="0"/>
                <w:lang w:eastAsia="en-US"/>
              </w:rPr>
            </w:pPr>
            <w:r w:rsidRPr="0039050F">
              <w:t>Help patient off machine; clean equipment; finish documentation</w:t>
            </w:r>
          </w:p>
        </w:tc>
        <w:tc>
          <w:tcPr>
            <w:tcW w:w="843" w:type="pct"/>
            <w:vAlign w:val="center"/>
          </w:tcPr>
          <w:p w14:paraId="5EA323C9" w14:textId="77777777" w:rsidR="00D12268" w:rsidRPr="003816D8" w:rsidRDefault="00D12268" w:rsidP="00BF261E">
            <w:pPr>
              <w:pStyle w:val="Tabletext1"/>
              <w:jc w:val="center"/>
              <w:rPr>
                <w:snapToGrid w:val="0"/>
                <w:lang w:eastAsia="en-US"/>
              </w:rPr>
            </w:pPr>
            <w:r w:rsidRPr="0039050F">
              <w:t>Radiation Therapist (x2)</w:t>
            </w:r>
          </w:p>
        </w:tc>
        <w:tc>
          <w:tcPr>
            <w:tcW w:w="716" w:type="pct"/>
            <w:vAlign w:val="center"/>
          </w:tcPr>
          <w:p w14:paraId="33A0B601" w14:textId="77777777" w:rsidR="00D12268" w:rsidRPr="003816D8" w:rsidRDefault="00D12268" w:rsidP="00BF261E">
            <w:pPr>
              <w:pStyle w:val="Tabletext1"/>
              <w:jc w:val="center"/>
            </w:pPr>
            <w:r w:rsidRPr="0039050F">
              <w:t>3</w:t>
            </w:r>
          </w:p>
        </w:tc>
        <w:tc>
          <w:tcPr>
            <w:tcW w:w="1182" w:type="pct"/>
            <w:vAlign w:val="center"/>
          </w:tcPr>
          <w:p w14:paraId="377311FD" w14:textId="349231DA" w:rsidR="00D12268" w:rsidRPr="003816D8" w:rsidRDefault="00D12268" w:rsidP="00BF261E">
            <w:pPr>
              <w:pStyle w:val="Tabletext1"/>
              <w:jc w:val="center"/>
              <w:rPr>
                <w:rFonts w:cs="Calibri"/>
              </w:rPr>
            </w:pPr>
            <w:r w:rsidRPr="0039050F">
              <w:t>$4.55</w:t>
            </w:r>
          </w:p>
        </w:tc>
        <w:tc>
          <w:tcPr>
            <w:tcW w:w="830" w:type="pct"/>
            <w:vAlign w:val="center"/>
          </w:tcPr>
          <w:p w14:paraId="5485F7A4" w14:textId="77777777" w:rsidR="00D12268" w:rsidRPr="003816D8" w:rsidRDefault="00D12268" w:rsidP="00BF261E">
            <w:pPr>
              <w:pStyle w:val="Tabletext1"/>
              <w:jc w:val="center"/>
              <w:rPr>
                <w:rFonts w:cs="Calibri"/>
                <w:b/>
              </w:rPr>
            </w:pPr>
            <w:r w:rsidRPr="0039050F">
              <w:t>-</w:t>
            </w:r>
          </w:p>
        </w:tc>
      </w:tr>
      <w:tr w:rsidR="00D12268" w:rsidRPr="00F77E8D" w14:paraId="37DA5215" w14:textId="77777777" w:rsidTr="005007E2">
        <w:tc>
          <w:tcPr>
            <w:tcW w:w="1429" w:type="pct"/>
          </w:tcPr>
          <w:p w14:paraId="164A6191" w14:textId="77777777" w:rsidR="00D12268" w:rsidRPr="003816D8" w:rsidRDefault="00D12268" w:rsidP="00556AB6">
            <w:pPr>
              <w:pStyle w:val="Tabletext1"/>
              <w:rPr>
                <w:b/>
                <w:snapToGrid w:val="0"/>
                <w:lang w:eastAsia="en-US"/>
              </w:rPr>
            </w:pPr>
            <w:r w:rsidRPr="0039050F">
              <w:t>Remove IV from patient</w:t>
            </w:r>
          </w:p>
        </w:tc>
        <w:tc>
          <w:tcPr>
            <w:tcW w:w="843" w:type="pct"/>
            <w:vAlign w:val="center"/>
          </w:tcPr>
          <w:p w14:paraId="3E8DC201" w14:textId="77777777" w:rsidR="00D12268" w:rsidRPr="003816D8" w:rsidRDefault="00D12268" w:rsidP="00BF261E">
            <w:pPr>
              <w:pStyle w:val="Tabletext1"/>
              <w:jc w:val="center"/>
              <w:rPr>
                <w:snapToGrid w:val="0"/>
                <w:lang w:eastAsia="en-US"/>
              </w:rPr>
            </w:pPr>
            <w:r w:rsidRPr="0039050F">
              <w:t>Nurse (x1)</w:t>
            </w:r>
          </w:p>
        </w:tc>
        <w:tc>
          <w:tcPr>
            <w:tcW w:w="716" w:type="pct"/>
            <w:vAlign w:val="center"/>
          </w:tcPr>
          <w:p w14:paraId="5F588165" w14:textId="77777777" w:rsidR="00D12268" w:rsidRPr="003816D8" w:rsidRDefault="00D12268" w:rsidP="00BF261E">
            <w:pPr>
              <w:pStyle w:val="Tabletext1"/>
              <w:jc w:val="center"/>
            </w:pPr>
            <w:r w:rsidRPr="0039050F">
              <w:t>4</w:t>
            </w:r>
          </w:p>
        </w:tc>
        <w:tc>
          <w:tcPr>
            <w:tcW w:w="1182" w:type="pct"/>
            <w:vAlign w:val="center"/>
          </w:tcPr>
          <w:p w14:paraId="6168E225" w14:textId="0084725C" w:rsidR="00D12268" w:rsidRPr="003816D8" w:rsidRDefault="00D12268" w:rsidP="00BF261E">
            <w:pPr>
              <w:pStyle w:val="Tabletext1"/>
              <w:jc w:val="center"/>
              <w:rPr>
                <w:rFonts w:cs="Calibri"/>
              </w:rPr>
            </w:pPr>
            <w:r w:rsidRPr="0039050F">
              <w:t>$2.47</w:t>
            </w:r>
          </w:p>
        </w:tc>
        <w:tc>
          <w:tcPr>
            <w:tcW w:w="830" w:type="pct"/>
            <w:vAlign w:val="center"/>
          </w:tcPr>
          <w:p w14:paraId="0FB89935" w14:textId="77777777" w:rsidR="00D12268" w:rsidRPr="003816D8" w:rsidRDefault="00D12268" w:rsidP="00BF261E">
            <w:pPr>
              <w:pStyle w:val="Tabletext1"/>
              <w:jc w:val="center"/>
              <w:rPr>
                <w:rFonts w:cs="Calibri"/>
                <w:b/>
              </w:rPr>
            </w:pPr>
            <w:r w:rsidRPr="0039050F">
              <w:t>-</w:t>
            </w:r>
          </w:p>
        </w:tc>
      </w:tr>
      <w:tr w:rsidR="00D12268" w:rsidRPr="00F77E8D" w14:paraId="32898DB5" w14:textId="77777777" w:rsidTr="005007E2">
        <w:tc>
          <w:tcPr>
            <w:tcW w:w="1429" w:type="pct"/>
          </w:tcPr>
          <w:p w14:paraId="4D8BC293" w14:textId="77777777" w:rsidR="00D12268" w:rsidRPr="00DA6B09" w:rsidRDefault="00D12268" w:rsidP="00556AB6">
            <w:pPr>
              <w:pStyle w:val="Tabletext1"/>
              <w:rPr>
                <w:b/>
                <w:snapToGrid w:val="0"/>
                <w:lang w:eastAsia="en-US"/>
              </w:rPr>
            </w:pPr>
            <w:r w:rsidRPr="00DA6B09">
              <w:rPr>
                <w:b/>
              </w:rPr>
              <w:t>Total</w:t>
            </w:r>
          </w:p>
        </w:tc>
        <w:tc>
          <w:tcPr>
            <w:tcW w:w="843" w:type="pct"/>
            <w:vAlign w:val="center"/>
          </w:tcPr>
          <w:p w14:paraId="05B45E2B" w14:textId="77777777" w:rsidR="00D12268" w:rsidRPr="00DA6B09" w:rsidRDefault="00D12268" w:rsidP="00BF261E">
            <w:pPr>
              <w:pStyle w:val="Tabletext1"/>
              <w:jc w:val="center"/>
              <w:rPr>
                <w:b/>
                <w:snapToGrid w:val="0"/>
                <w:lang w:eastAsia="en-US"/>
              </w:rPr>
            </w:pPr>
          </w:p>
        </w:tc>
        <w:tc>
          <w:tcPr>
            <w:tcW w:w="716" w:type="pct"/>
            <w:vAlign w:val="center"/>
          </w:tcPr>
          <w:p w14:paraId="738D4626" w14:textId="77777777" w:rsidR="00D12268" w:rsidRPr="00DA6B09" w:rsidRDefault="00D12268" w:rsidP="00BF261E">
            <w:pPr>
              <w:pStyle w:val="Tabletext1"/>
              <w:jc w:val="center"/>
              <w:rPr>
                <w:b/>
              </w:rPr>
            </w:pPr>
          </w:p>
        </w:tc>
        <w:tc>
          <w:tcPr>
            <w:tcW w:w="1182" w:type="pct"/>
            <w:vAlign w:val="center"/>
          </w:tcPr>
          <w:p w14:paraId="0DC9184B" w14:textId="1F7221D6" w:rsidR="00D12268" w:rsidRPr="00DA6B09" w:rsidRDefault="00D12268" w:rsidP="00BF261E">
            <w:pPr>
              <w:pStyle w:val="Tabletext1"/>
              <w:jc w:val="center"/>
              <w:rPr>
                <w:rFonts w:cs="Calibri"/>
                <w:b/>
              </w:rPr>
            </w:pPr>
            <w:r w:rsidRPr="00DA6B09">
              <w:rPr>
                <w:b/>
              </w:rPr>
              <w:t>$90.27</w:t>
            </w:r>
          </w:p>
        </w:tc>
        <w:tc>
          <w:tcPr>
            <w:tcW w:w="830" w:type="pct"/>
            <w:vAlign w:val="center"/>
          </w:tcPr>
          <w:p w14:paraId="76B5ABB7" w14:textId="77777777" w:rsidR="00D12268" w:rsidRPr="003816D8" w:rsidRDefault="00D12268" w:rsidP="00BF261E">
            <w:pPr>
              <w:pStyle w:val="Tabletext1"/>
              <w:jc w:val="center"/>
              <w:rPr>
                <w:rFonts w:cs="Calibri"/>
                <w:b/>
              </w:rPr>
            </w:pPr>
          </w:p>
        </w:tc>
      </w:tr>
      <w:tr w:rsidR="00D12268" w:rsidRPr="00F77E8D" w14:paraId="036C3533" w14:textId="77777777" w:rsidTr="005007E2">
        <w:tc>
          <w:tcPr>
            <w:tcW w:w="1429" w:type="pct"/>
          </w:tcPr>
          <w:p w14:paraId="30A460FF" w14:textId="77777777" w:rsidR="00D12268" w:rsidRPr="003816D8" w:rsidRDefault="00D12268" w:rsidP="00556AB6">
            <w:pPr>
              <w:pStyle w:val="Tabletext1"/>
              <w:rPr>
                <w:b/>
                <w:snapToGrid w:val="0"/>
                <w:lang w:eastAsia="en-US"/>
              </w:rPr>
            </w:pPr>
            <w:r>
              <w:rPr>
                <w:b/>
                <w:snapToGrid w:val="0"/>
                <w:lang w:eastAsia="en-US"/>
              </w:rPr>
              <w:lastRenderedPageBreak/>
              <w:t xml:space="preserve">Step - </w:t>
            </w:r>
            <w:r w:rsidRPr="00D130F3">
              <w:rPr>
                <w:b/>
                <w:snapToGrid w:val="0"/>
                <w:lang w:eastAsia="en-US"/>
              </w:rPr>
              <w:t>Process map reflecting follow-up visit</w:t>
            </w:r>
          </w:p>
        </w:tc>
        <w:tc>
          <w:tcPr>
            <w:tcW w:w="843" w:type="pct"/>
            <w:vAlign w:val="center"/>
          </w:tcPr>
          <w:p w14:paraId="2D29DBF2" w14:textId="77777777" w:rsidR="00D12268" w:rsidRPr="003816D8" w:rsidRDefault="00D12268" w:rsidP="00BF261E">
            <w:pPr>
              <w:pStyle w:val="Tabletext1"/>
              <w:jc w:val="center"/>
              <w:rPr>
                <w:snapToGrid w:val="0"/>
                <w:lang w:eastAsia="en-US"/>
              </w:rPr>
            </w:pPr>
          </w:p>
        </w:tc>
        <w:tc>
          <w:tcPr>
            <w:tcW w:w="716" w:type="pct"/>
            <w:vAlign w:val="center"/>
          </w:tcPr>
          <w:p w14:paraId="39E7AD6E" w14:textId="77777777" w:rsidR="00D12268" w:rsidRPr="003816D8" w:rsidRDefault="00D12268" w:rsidP="00BF261E">
            <w:pPr>
              <w:pStyle w:val="Tabletext1"/>
              <w:jc w:val="center"/>
            </w:pPr>
          </w:p>
        </w:tc>
        <w:tc>
          <w:tcPr>
            <w:tcW w:w="1182" w:type="pct"/>
            <w:vAlign w:val="center"/>
          </w:tcPr>
          <w:p w14:paraId="07F518A0" w14:textId="77777777" w:rsidR="00D12268" w:rsidRPr="003816D8" w:rsidRDefault="00D12268" w:rsidP="00BF261E">
            <w:pPr>
              <w:pStyle w:val="Tabletext1"/>
              <w:jc w:val="center"/>
              <w:rPr>
                <w:rFonts w:cs="Calibri"/>
              </w:rPr>
            </w:pPr>
          </w:p>
        </w:tc>
        <w:tc>
          <w:tcPr>
            <w:tcW w:w="830" w:type="pct"/>
            <w:vAlign w:val="center"/>
          </w:tcPr>
          <w:p w14:paraId="60BE666C" w14:textId="77777777" w:rsidR="00D12268" w:rsidRPr="003816D8" w:rsidRDefault="00D12268" w:rsidP="00BF261E">
            <w:pPr>
              <w:pStyle w:val="Tabletext1"/>
              <w:jc w:val="center"/>
              <w:rPr>
                <w:rFonts w:cs="Calibri"/>
                <w:b/>
              </w:rPr>
            </w:pPr>
          </w:p>
        </w:tc>
      </w:tr>
      <w:tr w:rsidR="00D12268" w:rsidRPr="00F77E8D" w14:paraId="3B985710" w14:textId="77777777" w:rsidTr="005007E2">
        <w:tc>
          <w:tcPr>
            <w:tcW w:w="1429" w:type="pct"/>
          </w:tcPr>
          <w:p w14:paraId="69419195" w14:textId="77777777" w:rsidR="00D12268" w:rsidRPr="003816D8" w:rsidRDefault="00D12268" w:rsidP="00556AB6">
            <w:pPr>
              <w:pStyle w:val="Tabletext1"/>
              <w:rPr>
                <w:b/>
                <w:snapToGrid w:val="0"/>
                <w:lang w:eastAsia="en-US"/>
              </w:rPr>
            </w:pPr>
            <w:r w:rsidRPr="0094738E">
              <w:t>Check-in-patient</w:t>
            </w:r>
          </w:p>
        </w:tc>
        <w:tc>
          <w:tcPr>
            <w:tcW w:w="843" w:type="pct"/>
            <w:vAlign w:val="center"/>
          </w:tcPr>
          <w:p w14:paraId="137AF9D7" w14:textId="77777777" w:rsidR="00D12268" w:rsidRPr="003816D8" w:rsidRDefault="00D12268" w:rsidP="00BF261E">
            <w:pPr>
              <w:pStyle w:val="Tabletext1"/>
              <w:jc w:val="center"/>
              <w:rPr>
                <w:snapToGrid w:val="0"/>
                <w:lang w:eastAsia="en-US"/>
              </w:rPr>
            </w:pPr>
            <w:r w:rsidRPr="0094738E">
              <w:t>Front desk (x1)</w:t>
            </w:r>
          </w:p>
        </w:tc>
        <w:tc>
          <w:tcPr>
            <w:tcW w:w="716" w:type="pct"/>
            <w:vAlign w:val="center"/>
          </w:tcPr>
          <w:p w14:paraId="6FCF787B" w14:textId="77777777" w:rsidR="00D12268" w:rsidRPr="003816D8" w:rsidRDefault="00D12268" w:rsidP="00BF261E">
            <w:pPr>
              <w:pStyle w:val="Tabletext1"/>
              <w:jc w:val="center"/>
            </w:pPr>
            <w:r w:rsidRPr="0094738E">
              <w:t>3</w:t>
            </w:r>
          </w:p>
        </w:tc>
        <w:tc>
          <w:tcPr>
            <w:tcW w:w="1182" w:type="pct"/>
            <w:vAlign w:val="center"/>
          </w:tcPr>
          <w:p w14:paraId="054DFC8D" w14:textId="321F698D" w:rsidR="00D12268" w:rsidRPr="003816D8" w:rsidRDefault="00D12268" w:rsidP="00BF261E">
            <w:pPr>
              <w:pStyle w:val="Tabletext1"/>
              <w:jc w:val="center"/>
              <w:rPr>
                <w:rFonts w:cs="Calibri"/>
              </w:rPr>
            </w:pPr>
            <w:r w:rsidRPr="0094738E">
              <w:t>$1.18</w:t>
            </w:r>
          </w:p>
        </w:tc>
        <w:tc>
          <w:tcPr>
            <w:tcW w:w="830" w:type="pct"/>
            <w:vAlign w:val="center"/>
          </w:tcPr>
          <w:p w14:paraId="1BDE5610" w14:textId="61A470D5" w:rsidR="00D12268" w:rsidRPr="003816D8" w:rsidRDefault="00D12268" w:rsidP="00BF261E">
            <w:pPr>
              <w:pStyle w:val="Tabletext1"/>
              <w:jc w:val="center"/>
              <w:rPr>
                <w:rFonts w:cs="Calibri"/>
                <w:b/>
              </w:rPr>
            </w:pPr>
            <w:r w:rsidRPr="0094738E">
              <w:t>$1.18</w:t>
            </w:r>
          </w:p>
        </w:tc>
      </w:tr>
      <w:tr w:rsidR="00D12268" w:rsidRPr="00F77E8D" w14:paraId="24D36E16" w14:textId="77777777" w:rsidTr="005007E2">
        <w:tc>
          <w:tcPr>
            <w:tcW w:w="1429" w:type="pct"/>
          </w:tcPr>
          <w:p w14:paraId="5E50E3F1" w14:textId="77777777" w:rsidR="00D12268" w:rsidRPr="003816D8" w:rsidRDefault="00D12268" w:rsidP="00556AB6">
            <w:pPr>
              <w:pStyle w:val="Tabletext1"/>
              <w:rPr>
                <w:b/>
                <w:snapToGrid w:val="0"/>
                <w:lang w:eastAsia="en-US"/>
              </w:rPr>
            </w:pPr>
            <w:r w:rsidRPr="0094738E">
              <w:t>Take vitals; perform medication reconciliation; update medical history in EMR</w:t>
            </w:r>
          </w:p>
        </w:tc>
        <w:tc>
          <w:tcPr>
            <w:tcW w:w="843" w:type="pct"/>
            <w:vAlign w:val="center"/>
          </w:tcPr>
          <w:p w14:paraId="60457A4D" w14:textId="77777777" w:rsidR="00D12268" w:rsidRPr="003816D8" w:rsidRDefault="00D12268" w:rsidP="00BF261E">
            <w:pPr>
              <w:pStyle w:val="Tabletext1"/>
              <w:jc w:val="center"/>
              <w:rPr>
                <w:snapToGrid w:val="0"/>
                <w:lang w:eastAsia="en-US"/>
              </w:rPr>
            </w:pPr>
            <w:r w:rsidRPr="0094738E">
              <w:t>Medical Assistant (x1)</w:t>
            </w:r>
          </w:p>
        </w:tc>
        <w:tc>
          <w:tcPr>
            <w:tcW w:w="716" w:type="pct"/>
            <w:vAlign w:val="center"/>
          </w:tcPr>
          <w:p w14:paraId="6471CF6F" w14:textId="77777777" w:rsidR="00D12268" w:rsidRPr="003816D8" w:rsidRDefault="00D12268" w:rsidP="00BF261E">
            <w:pPr>
              <w:pStyle w:val="Tabletext1"/>
              <w:jc w:val="center"/>
            </w:pPr>
            <w:r w:rsidRPr="0094738E">
              <w:t>4</w:t>
            </w:r>
          </w:p>
        </w:tc>
        <w:tc>
          <w:tcPr>
            <w:tcW w:w="1182" w:type="pct"/>
            <w:vAlign w:val="center"/>
          </w:tcPr>
          <w:p w14:paraId="7D2FD200" w14:textId="40A7B3E9" w:rsidR="00D12268" w:rsidRPr="003816D8" w:rsidRDefault="00D12268" w:rsidP="00BF261E">
            <w:pPr>
              <w:pStyle w:val="Tabletext1"/>
              <w:jc w:val="center"/>
              <w:rPr>
                <w:rFonts w:cs="Calibri"/>
              </w:rPr>
            </w:pPr>
            <w:r w:rsidRPr="0094738E">
              <w:t>$1.64</w:t>
            </w:r>
          </w:p>
        </w:tc>
        <w:tc>
          <w:tcPr>
            <w:tcW w:w="830" w:type="pct"/>
            <w:vAlign w:val="center"/>
          </w:tcPr>
          <w:p w14:paraId="2E9853CB" w14:textId="34C58A4D" w:rsidR="00D12268" w:rsidRPr="003816D8" w:rsidRDefault="00D12268" w:rsidP="00BF261E">
            <w:pPr>
              <w:pStyle w:val="Tabletext1"/>
              <w:jc w:val="center"/>
              <w:rPr>
                <w:rFonts w:cs="Calibri"/>
                <w:b/>
              </w:rPr>
            </w:pPr>
            <w:r w:rsidRPr="0094738E">
              <w:t>$1.64</w:t>
            </w:r>
          </w:p>
        </w:tc>
      </w:tr>
      <w:tr w:rsidR="00D12268" w:rsidRPr="00F77E8D" w14:paraId="1C3F85FC" w14:textId="77777777" w:rsidTr="005007E2">
        <w:tc>
          <w:tcPr>
            <w:tcW w:w="1429" w:type="pct"/>
          </w:tcPr>
          <w:p w14:paraId="5E330593" w14:textId="77777777" w:rsidR="00D12268" w:rsidRPr="003816D8" w:rsidRDefault="00D12268" w:rsidP="00556AB6">
            <w:pPr>
              <w:pStyle w:val="Tabletext1"/>
              <w:rPr>
                <w:b/>
                <w:snapToGrid w:val="0"/>
                <w:lang w:eastAsia="en-US"/>
              </w:rPr>
            </w:pPr>
            <w:r w:rsidRPr="0094738E">
              <w:t>Meet and examine patient; place imaging orders for next visit</w:t>
            </w:r>
          </w:p>
        </w:tc>
        <w:tc>
          <w:tcPr>
            <w:tcW w:w="843" w:type="pct"/>
            <w:vAlign w:val="center"/>
          </w:tcPr>
          <w:p w14:paraId="6669D275" w14:textId="77777777" w:rsidR="00D12268" w:rsidRPr="003816D8" w:rsidRDefault="00D12268" w:rsidP="00BF261E">
            <w:pPr>
              <w:pStyle w:val="Tabletext1"/>
              <w:jc w:val="center"/>
              <w:rPr>
                <w:snapToGrid w:val="0"/>
                <w:lang w:eastAsia="en-US"/>
              </w:rPr>
            </w:pPr>
            <w:r w:rsidRPr="0094738E">
              <w:t>Radiation Oncologist (x1)</w:t>
            </w:r>
          </w:p>
        </w:tc>
        <w:tc>
          <w:tcPr>
            <w:tcW w:w="716" w:type="pct"/>
            <w:vAlign w:val="center"/>
          </w:tcPr>
          <w:p w14:paraId="04BBCE97" w14:textId="77777777" w:rsidR="00D12268" w:rsidRPr="003816D8" w:rsidRDefault="00D12268" w:rsidP="00BF261E">
            <w:pPr>
              <w:pStyle w:val="Tabletext1"/>
              <w:jc w:val="center"/>
            </w:pPr>
            <w:r w:rsidRPr="0094738E">
              <w:t>15</w:t>
            </w:r>
          </w:p>
        </w:tc>
        <w:tc>
          <w:tcPr>
            <w:tcW w:w="1182" w:type="pct"/>
            <w:vAlign w:val="center"/>
          </w:tcPr>
          <w:p w14:paraId="33F1228A" w14:textId="4EF73FC0" w:rsidR="00D12268" w:rsidRPr="003816D8" w:rsidRDefault="00D12268" w:rsidP="00BF261E">
            <w:pPr>
              <w:pStyle w:val="Tabletext1"/>
              <w:jc w:val="center"/>
              <w:rPr>
                <w:rFonts w:cs="Calibri"/>
              </w:rPr>
            </w:pPr>
            <w:r w:rsidRPr="0094738E">
              <w:t>$26.76</w:t>
            </w:r>
          </w:p>
        </w:tc>
        <w:tc>
          <w:tcPr>
            <w:tcW w:w="830" w:type="pct"/>
            <w:vAlign w:val="center"/>
          </w:tcPr>
          <w:p w14:paraId="44C6DE00" w14:textId="31406F60" w:rsidR="00D12268" w:rsidRPr="003816D8" w:rsidRDefault="00D12268" w:rsidP="00BF261E">
            <w:pPr>
              <w:pStyle w:val="Tabletext1"/>
              <w:jc w:val="center"/>
              <w:rPr>
                <w:rFonts w:cs="Calibri"/>
                <w:b/>
              </w:rPr>
            </w:pPr>
            <w:r w:rsidRPr="0094738E">
              <w:t>$26.76</w:t>
            </w:r>
          </w:p>
        </w:tc>
      </w:tr>
      <w:tr w:rsidR="00D12268" w:rsidRPr="00F77E8D" w14:paraId="3140A0C7" w14:textId="77777777" w:rsidTr="005007E2">
        <w:tc>
          <w:tcPr>
            <w:tcW w:w="1429" w:type="pct"/>
          </w:tcPr>
          <w:p w14:paraId="4C03E22C" w14:textId="77777777" w:rsidR="00D12268" w:rsidRPr="003816D8" w:rsidRDefault="00D12268" w:rsidP="00556AB6">
            <w:pPr>
              <w:pStyle w:val="Tabletext1"/>
              <w:rPr>
                <w:b/>
                <w:snapToGrid w:val="0"/>
                <w:lang w:eastAsia="en-US"/>
              </w:rPr>
            </w:pPr>
            <w:r w:rsidRPr="0094738E">
              <w:t>Print post-visit summary</w:t>
            </w:r>
          </w:p>
        </w:tc>
        <w:tc>
          <w:tcPr>
            <w:tcW w:w="843" w:type="pct"/>
            <w:vAlign w:val="center"/>
          </w:tcPr>
          <w:p w14:paraId="4C0892B7" w14:textId="77777777" w:rsidR="00D12268" w:rsidRPr="003816D8" w:rsidRDefault="00D12268" w:rsidP="00BF261E">
            <w:pPr>
              <w:pStyle w:val="Tabletext1"/>
              <w:jc w:val="center"/>
              <w:rPr>
                <w:snapToGrid w:val="0"/>
                <w:lang w:eastAsia="en-US"/>
              </w:rPr>
            </w:pPr>
            <w:r w:rsidRPr="0094738E">
              <w:t>Nurse (x1)</w:t>
            </w:r>
          </w:p>
        </w:tc>
        <w:tc>
          <w:tcPr>
            <w:tcW w:w="716" w:type="pct"/>
            <w:vAlign w:val="center"/>
          </w:tcPr>
          <w:p w14:paraId="7FF1636C" w14:textId="77777777" w:rsidR="00D12268" w:rsidRPr="003816D8" w:rsidRDefault="00D12268" w:rsidP="00BF261E">
            <w:pPr>
              <w:pStyle w:val="Tabletext1"/>
              <w:jc w:val="center"/>
            </w:pPr>
            <w:r w:rsidRPr="0094738E">
              <w:t>2</w:t>
            </w:r>
          </w:p>
        </w:tc>
        <w:tc>
          <w:tcPr>
            <w:tcW w:w="1182" w:type="pct"/>
            <w:vAlign w:val="center"/>
          </w:tcPr>
          <w:p w14:paraId="6A802A7B" w14:textId="09C4DC18" w:rsidR="00D12268" w:rsidRPr="003816D8" w:rsidRDefault="00D12268" w:rsidP="00BF261E">
            <w:pPr>
              <w:pStyle w:val="Tabletext1"/>
              <w:jc w:val="center"/>
              <w:rPr>
                <w:rFonts w:cs="Calibri"/>
              </w:rPr>
            </w:pPr>
            <w:r w:rsidRPr="0094738E">
              <w:t>$1.23</w:t>
            </w:r>
          </w:p>
        </w:tc>
        <w:tc>
          <w:tcPr>
            <w:tcW w:w="830" w:type="pct"/>
            <w:vAlign w:val="center"/>
          </w:tcPr>
          <w:p w14:paraId="51EAA173" w14:textId="7F44FEDA" w:rsidR="00D12268" w:rsidRPr="003816D8" w:rsidRDefault="00D12268" w:rsidP="00BF261E">
            <w:pPr>
              <w:pStyle w:val="Tabletext1"/>
              <w:jc w:val="center"/>
              <w:rPr>
                <w:rFonts w:cs="Calibri"/>
                <w:b/>
              </w:rPr>
            </w:pPr>
            <w:r w:rsidRPr="0094738E">
              <w:t>$1.23</w:t>
            </w:r>
          </w:p>
        </w:tc>
      </w:tr>
      <w:tr w:rsidR="00D12268" w:rsidRPr="00F77E8D" w14:paraId="64A996DE" w14:textId="77777777" w:rsidTr="005007E2">
        <w:tc>
          <w:tcPr>
            <w:tcW w:w="1429" w:type="pct"/>
          </w:tcPr>
          <w:p w14:paraId="1764D0A1" w14:textId="77777777" w:rsidR="00D12268" w:rsidRPr="003816D8" w:rsidRDefault="00D12268" w:rsidP="00556AB6">
            <w:pPr>
              <w:pStyle w:val="Tabletext1"/>
              <w:rPr>
                <w:b/>
                <w:snapToGrid w:val="0"/>
                <w:lang w:eastAsia="en-US"/>
              </w:rPr>
            </w:pPr>
            <w:r w:rsidRPr="0094738E">
              <w:t>Check-out patient and schedule next follow-up visit/ imaging</w:t>
            </w:r>
          </w:p>
        </w:tc>
        <w:tc>
          <w:tcPr>
            <w:tcW w:w="843" w:type="pct"/>
            <w:vAlign w:val="center"/>
          </w:tcPr>
          <w:p w14:paraId="11A47E44" w14:textId="77777777" w:rsidR="00D12268" w:rsidRPr="003816D8" w:rsidRDefault="00D12268" w:rsidP="00BF261E">
            <w:pPr>
              <w:pStyle w:val="Tabletext1"/>
              <w:jc w:val="center"/>
              <w:rPr>
                <w:snapToGrid w:val="0"/>
                <w:lang w:eastAsia="en-US"/>
              </w:rPr>
            </w:pPr>
            <w:r w:rsidRPr="0094738E">
              <w:t>Front desk (x1)</w:t>
            </w:r>
          </w:p>
        </w:tc>
        <w:tc>
          <w:tcPr>
            <w:tcW w:w="716" w:type="pct"/>
            <w:vAlign w:val="center"/>
          </w:tcPr>
          <w:p w14:paraId="6E8CBF02" w14:textId="77777777" w:rsidR="00D12268" w:rsidRPr="003816D8" w:rsidRDefault="00D12268" w:rsidP="00BF261E">
            <w:pPr>
              <w:pStyle w:val="Tabletext1"/>
              <w:jc w:val="center"/>
            </w:pPr>
            <w:r w:rsidRPr="0094738E">
              <w:t>5</w:t>
            </w:r>
          </w:p>
        </w:tc>
        <w:tc>
          <w:tcPr>
            <w:tcW w:w="1182" w:type="pct"/>
            <w:vAlign w:val="center"/>
          </w:tcPr>
          <w:p w14:paraId="2888946F" w14:textId="2F15625B" w:rsidR="00D12268" w:rsidRPr="003816D8" w:rsidRDefault="00D12268" w:rsidP="00BF261E">
            <w:pPr>
              <w:pStyle w:val="Tabletext1"/>
              <w:jc w:val="center"/>
              <w:rPr>
                <w:rFonts w:cs="Calibri"/>
              </w:rPr>
            </w:pPr>
            <w:r w:rsidRPr="0094738E">
              <w:t>$1.97</w:t>
            </w:r>
          </w:p>
        </w:tc>
        <w:tc>
          <w:tcPr>
            <w:tcW w:w="830" w:type="pct"/>
            <w:vAlign w:val="center"/>
          </w:tcPr>
          <w:p w14:paraId="1AB31E99" w14:textId="401295F8" w:rsidR="00D12268" w:rsidRPr="003816D8" w:rsidRDefault="00D12268" w:rsidP="00BF261E">
            <w:pPr>
              <w:pStyle w:val="Tabletext1"/>
              <w:jc w:val="center"/>
              <w:rPr>
                <w:rFonts w:cs="Calibri"/>
                <w:b/>
              </w:rPr>
            </w:pPr>
            <w:r w:rsidRPr="0094738E">
              <w:t>$1.97</w:t>
            </w:r>
          </w:p>
        </w:tc>
      </w:tr>
      <w:tr w:rsidR="00D12268" w:rsidRPr="00F77E8D" w14:paraId="3D4C1310" w14:textId="77777777" w:rsidTr="005007E2">
        <w:tc>
          <w:tcPr>
            <w:tcW w:w="1429" w:type="pct"/>
          </w:tcPr>
          <w:p w14:paraId="590DA0D5" w14:textId="77777777" w:rsidR="00D12268" w:rsidRPr="003816D8" w:rsidRDefault="00D12268" w:rsidP="00556AB6">
            <w:pPr>
              <w:pStyle w:val="Tabletext1"/>
              <w:rPr>
                <w:b/>
                <w:snapToGrid w:val="0"/>
                <w:lang w:eastAsia="en-US"/>
              </w:rPr>
            </w:pPr>
            <w:r w:rsidRPr="0094738E">
              <w:t>Complete follow-up visit note</w:t>
            </w:r>
          </w:p>
        </w:tc>
        <w:tc>
          <w:tcPr>
            <w:tcW w:w="843" w:type="pct"/>
            <w:vAlign w:val="center"/>
          </w:tcPr>
          <w:p w14:paraId="7ADFF194" w14:textId="77777777" w:rsidR="00D12268" w:rsidRPr="003816D8" w:rsidRDefault="00D12268" w:rsidP="00BF261E">
            <w:pPr>
              <w:pStyle w:val="Tabletext1"/>
              <w:jc w:val="center"/>
              <w:rPr>
                <w:snapToGrid w:val="0"/>
                <w:lang w:eastAsia="en-US"/>
              </w:rPr>
            </w:pPr>
            <w:r w:rsidRPr="0094738E">
              <w:t>Radiation Oncologist (x1)</w:t>
            </w:r>
          </w:p>
        </w:tc>
        <w:tc>
          <w:tcPr>
            <w:tcW w:w="716" w:type="pct"/>
            <w:vAlign w:val="center"/>
          </w:tcPr>
          <w:p w14:paraId="7C43B1AC" w14:textId="77777777" w:rsidR="00D12268" w:rsidRPr="003816D8" w:rsidRDefault="00D12268" w:rsidP="00BF261E">
            <w:pPr>
              <w:pStyle w:val="Tabletext1"/>
              <w:jc w:val="center"/>
            </w:pPr>
            <w:r w:rsidRPr="0094738E">
              <w:t>15</w:t>
            </w:r>
          </w:p>
        </w:tc>
        <w:tc>
          <w:tcPr>
            <w:tcW w:w="1182" w:type="pct"/>
            <w:vAlign w:val="center"/>
          </w:tcPr>
          <w:p w14:paraId="4C041DE0" w14:textId="1BBEA6FB" w:rsidR="00D12268" w:rsidRPr="003816D8" w:rsidRDefault="00D12268" w:rsidP="00BF261E">
            <w:pPr>
              <w:pStyle w:val="Tabletext1"/>
              <w:jc w:val="center"/>
              <w:rPr>
                <w:rFonts w:cs="Calibri"/>
              </w:rPr>
            </w:pPr>
            <w:r w:rsidRPr="0094738E">
              <w:t>$26.76</w:t>
            </w:r>
          </w:p>
        </w:tc>
        <w:tc>
          <w:tcPr>
            <w:tcW w:w="830" w:type="pct"/>
            <w:vAlign w:val="center"/>
          </w:tcPr>
          <w:p w14:paraId="54FB0718" w14:textId="581B4499" w:rsidR="00D12268" w:rsidRPr="003816D8" w:rsidRDefault="00D12268" w:rsidP="00BF261E">
            <w:pPr>
              <w:pStyle w:val="Tabletext1"/>
              <w:jc w:val="center"/>
              <w:rPr>
                <w:rFonts w:cs="Calibri"/>
                <w:b/>
              </w:rPr>
            </w:pPr>
            <w:r w:rsidRPr="0094738E">
              <w:t>$26.76</w:t>
            </w:r>
          </w:p>
        </w:tc>
      </w:tr>
      <w:tr w:rsidR="00D12268" w:rsidRPr="00F77E8D" w14:paraId="11D1678B" w14:textId="77777777" w:rsidTr="005007E2">
        <w:tc>
          <w:tcPr>
            <w:tcW w:w="1429" w:type="pct"/>
          </w:tcPr>
          <w:p w14:paraId="2A842382" w14:textId="77777777" w:rsidR="00D12268" w:rsidRPr="00D130F3" w:rsidRDefault="00D12268" w:rsidP="00556AB6">
            <w:pPr>
              <w:pStyle w:val="Tabletext1"/>
              <w:rPr>
                <w:b/>
                <w:snapToGrid w:val="0"/>
                <w:lang w:eastAsia="en-US"/>
              </w:rPr>
            </w:pPr>
            <w:r w:rsidRPr="00D130F3">
              <w:rPr>
                <w:b/>
              </w:rPr>
              <w:t>Total</w:t>
            </w:r>
          </w:p>
        </w:tc>
        <w:tc>
          <w:tcPr>
            <w:tcW w:w="843" w:type="pct"/>
            <w:vAlign w:val="center"/>
          </w:tcPr>
          <w:p w14:paraId="2A52EBC6" w14:textId="77777777" w:rsidR="00D12268" w:rsidRPr="00D130F3" w:rsidRDefault="00D12268" w:rsidP="00BF261E">
            <w:pPr>
              <w:pStyle w:val="Tabletext1"/>
              <w:jc w:val="center"/>
              <w:rPr>
                <w:b/>
                <w:snapToGrid w:val="0"/>
                <w:lang w:eastAsia="en-US"/>
              </w:rPr>
            </w:pPr>
          </w:p>
        </w:tc>
        <w:tc>
          <w:tcPr>
            <w:tcW w:w="716" w:type="pct"/>
            <w:vAlign w:val="center"/>
          </w:tcPr>
          <w:p w14:paraId="4A2BD196" w14:textId="77777777" w:rsidR="00D12268" w:rsidRPr="00D130F3" w:rsidRDefault="00D12268" w:rsidP="00BF261E">
            <w:pPr>
              <w:pStyle w:val="Tabletext1"/>
              <w:jc w:val="center"/>
              <w:rPr>
                <w:b/>
              </w:rPr>
            </w:pPr>
          </w:p>
        </w:tc>
        <w:tc>
          <w:tcPr>
            <w:tcW w:w="1182" w:type="pct"/>
            <w:vAlign w:val="center"/>
          </w:tcPr>
          <w:p w14:paraId="0E144C59" w14:textId="54CF070A" w:rsidR="00D12268" w:rsidRPr="00D130F3" w:rsidRDefault="00D12268" w:rsidP="00BF261E">
            <w:pPr>
              <w:pStyle w:val="Tabletext1"/>
              <w:jc w:val="center"/>
              <w:rPr>
                <w:rFonts w:cs="Calibri"/>
                <w:b/>
              </w:rPr>
            </w:pPr>
            <w:r w:rsidRPr="00D130F3">
              <w:rPr>
                <w:b/>
              </w:rPr>
              <w:t>$59.55</w:t>
            </w:r>
          </w:p>
        </w:tc>
        <w:tc>
          <w:tcPr>
            <w:tcW w:w="830" w:type="pct"/>
            <w:vAlign w:val="center"/>
          </w:tcPr>
          <w:p w14:paraId="3BC1B88A" w14:textId="388204C9" w:rsidR="00D12268" w:rsidRPr="00D130F3" w:rsidRDefault="00D12268" w:rsidP="00BF261E">
            <w:pPr>
              <w:pStyle w:val="Tabletext1"/>
              <w:jc w:val="center"/>
              <w:rPr>
                <w:rFonts w:cs="Calibri"/>
                <w:b/>
              </w:rPr>
            </w:pPr>
            <w:r w:rsidRPr="00D130F3">
              <w:rPr>
                <w:b/>
              </w:rPr>
              <w:t>$59.55</w:t>
            </w:r>
          </w:p>
        </w:tc>
      </w:tr>
      <w:tr w:rsidR="00D12268" w:rsidRPr="00F77E8D" w14:paraId="38CADFCE" w14:textId="77777777" w:rsidTr="005007E2">
        <w:tc>
          <w:tcPr>
            <w:tcW w:w="1429" w:type="pct"/>
          </w:tcPr>
          <w:p w14:paraId="676A1D10" w14:textId="77777777" w:rsidR="00D12268" w:rsidRPr="003816D8" w:rsidRDefault="00D12268" w:rsidP="00556AB6">
            <w:pPr>
              <w:pStyle w:val="Tabletext1"/>
              <w:rPr>
                <w:b/>
                <w:snapToGrid w:val="0"/>
                <w:lang w:eastAsia="en-US"/>
              </w:rPr>
            </w:pPr>
            <w:r>
              <w:rPr>
                <w:b/>
                <w:snapToGrid w:val="0"/>
                <w:lang w:eastAsia="en-US"/>
              </w:rPr>
              <w:t xml:space="preserve">Step - </w:t>
            </w:r>
            <w:r w:rsidRPr="00F54015">
              <w:rPr>
                <w:b/>
                <w:snapToGrid w:val="0"/>
                <w:lang w:eastAsia="en-US"/>
              </w:rPr>
              <w:t>Annual time spent on machine QA, minutes</w:t>
            </w:r>
            <w:r>
              <w:rPr>
                <w:b/>
                <w:snapToGrid w:val="0"/>
                <w:lang w:eastAsia="en-US"/>
              </w:rPr>
              <w:t xml:space="preserve"> (MRI-guided SBRT)</w:t>
            </w:r>
          </w:p>
        </w:tc>
        <w:tc>
          <w:tcPr>
            <w:tcW w:w="843" w:type="pct"/>
            <w:vAlign w:val="center"/>
          </w:tcPr>
          <w:p w14:paraId="6CE9E19A" w14:textId="77777777" w:rsidR="00D12268" w:rsidRPr="003816D8" w:rsidRDefault="00D12268" w:rsidP="00BF261E">
            <w:pPr>
              <w:pStyle w:val="Tabletext1"/>
              <w:jc w:val="center"/>
              <w:rPr>
                <w:snapToGrid w:val="0"/>
                <w:lang w:eastAsia="en-US"/>
              </w:rPr>
            </w:pPr>
            <w:r w:rsidRPr="006061D0">
              <w:rPr>
                <w:snapToGrid w:val="0"/>
                <w:lang w:eastAsia="en-US"/>
              </w:rPr>
              <w:t>Medical Physicist</w:t>
            </w:r>
          </w:p>
        </w:tc>
        <w:tc>
          <w:tcPr>
            <w:tcW w:w="716" w:type="pct"/>
            <w:vAlign w:val="center"/>
          </w:tcPr>
          <w:p w14:paraId="6380B546" w14:textId="77777777" w:rsidR="00D12268" w:rsidRPr="003816D8" w:rsidRDefault="00D12268" w:rsidP="00BF261E">
            <w:pPr>
              <w:pStyle w:val="Tabletext1"/>
              <w:jc w:val="center"/>
            </w:pPr>
            <w:r w:rsidRPr="006061D0">
              <w:t>156600</w:t>
            </w:r>
          </w:p>
        </w:tc>
        <w:tc>
          <w:tcPr>
            <w:tcW w:w="1182" w:type="pct"/>
            <w:vAlign w:val="center"/>
          </w:tcPr>
          <w:p w14:paraId="5BB720A9" w14:textId="77777777" w:rsidR="00D12268" w:rsidRPr="003816D8" w:rsidRDefault="00D12268" w:rsidP="00BF261E">
            <w:pPr>
              <w:pStyle w:val="Tabletext1"/>
              <w:jc w:val="center"/>
              <w:rPr>
                <w:rFonts w:cs="Calibri"/>
              </w:rPr>
            </w:pPr>
            <w:r w:rsidRPr="006061D0">
              <w:rPr>
                <w:rFonts w:cs="Calibri"/>
              </w:rPr>
              <w:t>$107,088.30</w:t>
            </w:r>
          </w:p>
        </w:tc>
        <w:tc>
          <w:tcPr>
            <w:tcW w:w="830" w:type="pct"/>
            <w:vAlign w:val="center"/>
          </w:tcPr>
          <w:p w14:paraId="1B6CD242" w14:textId="77777777" w:rsidR="00D12268" w:rsidRPr="003816D8" w:rsidRDefault="00D12268" w:rsidP="00BF261E">
            <w:pPr>
              <w:pStyle w:val="Tabletext1"/>
              <w:jc w:val="center"/>
              <w:rPr>
                <w:rFonts w:cs="Calibri"/>
                <w:b/>
              </w:rPr>
            </w:pPr>
            <w:r>
              <w:rPr>
                <w:rFonts w:cs="Calibri"/>
                <w:b/>
              </w:rPr>
              <w:t>-</w:t>
            </w:r>
          </w:p>
        </w:tc>
      </w:tr>
      <w:tr w:rsidR="00D12268" w:rsidRPr="00F77E8D" w14:paraId="0C4FA90D" w14:textId="77777777" w:rsidTr="005007E2">
        <w:tc>
          <w:tcPr>
            <w:tcW w:w="1429" w:type="pct"/>
          </w:tcPr>
          <w:p w14:paraId="59F8B3A8" w14:textId="77777777" w:rsidR="00D12268" w:rsidRPr="003816D8" w:rsidRDefault="00D12268" w:rsidP="00556AB6">
            <w:pPr>
              <w:pStyle w:val="Tabletext1"/>
              <w:rPr>
                <w:b/>
                <w:snapToGrid w:val="0"/>
                <w:lang w:eastAsia="en-US"/>
              </w:rPr>
            </w:pPr>
            <w:r w:rsidRPr="006061D0">
              <w:rPr>
                <w:b/>
                <w:snapToGrid w:val="0"/>
                <w:lang w:eastAsia="en-US"/>
              </w:rPr>
              <w:t>Step - Annual time spent on machine QA, minutes (</w:t>
            </w:r>
            <w:r>
              <w:rPr>
                <w:b/>
                <w:snapToGrid w:val="0"/>
                <w:lang w:eastAsia="en-US"/>
              </w:rPr>
              <w:t>CBCT</w:t>
            </w:r>
            <w:r w:rsidRPr="006061D0">
              <w:rPr>
                <w:b/>
                <w:snapToGrid w:val="0"/>
                <w:lang w:eastAsia="en-US"/>
              </w:rPr>
              <w:t>-guided SBRT)</w:t>
            </w:r>
          </w:p>
        </w:tc>
        <w:tc>
          <w:tcPr>
            <w:tcW w:w="843" w:type="pct"/>
            <w:vAlign w:val="center"/>
          </w:tcPr>
          <w:p w14:paraId="35111B5C" w14:textId="77777777" w:rsidR="00D12268" w:rsidRPr="003816D8" w:rsidRDefault="00D12268" w:rsidP="00BF261E">
            <w:pPr>
              <w:pStyle w:val="Tabletext1"/>
              <w:jc w:val="center"/>
              <w:rPr>
                <w:snapToGrid w:val="0"/>
                <w:lang w:eastAsia="en-US"/>
              </w:rPr>
            </w:pPr>
            <w:r w:rsidRPr="006061D0">
              <w:rPr>
                <w:snapToGrid w:val="0"/>
                <w:lang w:eastAsia="en-US"/>
              </w:rPr>
              <w:t>Medical Physicist</w:t>
            </w:r>
          </w:p>
        </w:tc>
        <w:tc>
          <w:tcPr>
            <w:tcW w:w="716" w:type="pct"/>
            <w:vAlign w:val="center"/>
          </w:tcPr>
          <w:p w14:paraId="6C535E67" w14:textId="77777777" w:rsidR="00D12268" w:rsidRPr="003816D8" w:rsidRDefault="00D12268" w:rsidP="00BF261E">
            <w:pPr>
              <w:pStyle w:val="Tabletext1"/>
              <w:jc w:val="center"/>
            </w:pPr>
            <w:r w:rsidRPr="006061D0">
              <w:t>87600</w:t>
            </w:r>
          </w:p>
        </w:tc>
        <w:tc>
          <w:tcPr>
            <w:tcW w:w="1182" w:type="pct"/>
            <w:vAlign w:val="center"/>
          </w:tcPr>
          <w:p w14:paraId="55598848" w14:textId="77777777" w:rsidR="00D12268" w:rsidRPr="003816D8" w:rsidRDefault="00D12268" w:rsidP="00BF261E">
            <w:pPr>
              <w:pStyle w:val="Tabletext1"/>
              <w:jc w:val="center"/>
              <w:rPr>
                <w:rFonts w:cs="Calibri"/>
              </w:rPr>
            </w:pPr>
            <w:r>
              <w:rPr>
                <w:rFonts w:cs="Calibri"/>
              </w:rPr>
              <w:t>-</w:t>
            </w:r>
          </w:p>
        </w:tc>
        <w:tc>
          <w:tcPr>
            <w:tcW w:w="830" w:type="pct"/>
            <w:vAlign w:val="center"/>
          </w:tcPr>
          <w:p w14:paraId="66CE1D87" w14:textId="77777777" w:rsidR="00D12268" w:rsidRPr="003816D8" w:rsidRDefault="00D12268" w:rsidP="00BF261E">
            <w:pPr>
              <w:pStyle w:val="Tabletext1"/>
              <w:jc w:val="center"/>
              <w:rPr>
                <w:rFonts w:cs="Calibri"/>
                <w:b/>
              </w:rPr>
            </w:pPr>
            <w:r w:rsidRPr="006061D0">
              <w:rPr>
                <w:rFonts w:cs="Calibri"/>
                <w:b/>
              </w:rPr>
              <w:t>$59,903.80</w:t>
            </w:r>
          </w:p>
        </w:tc>
      </w:tr>
      <w:tr w:rsidR="00D12268" w:rsidRPr="00F77E8D" w14:paraId="296AA6C4" w14:textId="77777777" w:rsidTr="005007E2">
        <w:tc>
          <w:tcPr>
            <w:tcW w:w="1429" w:type="pct"/>
          </w:tcPr>
          <w:p w14:paraId="4153645C" w14:textId="77777777" w:rsidR="00D12268" w:rsidRPr="003816D8" w:rsidRDefault="00D12268" w:rsidP="008B6FC0">
            <w:pPr>
              <w:pStyle w:val="Tabletext1"/>
              <w:keepNext/>
              <w:rPr>
                <w:b/>
                <w:snapToGrid w:val="0"/>
                <w:lang w:eastAsia="en-US"/>
              </w:rPr>
            </w:pPr>
            <w:r w:rsidRPr="000B7E69">
              <w:rPr>
                <w:b/>
                <w:snapToGrid w:val="0"/>
                <w:lang w:eastAsia="en-US"/>
              </w:rPr>
              <w:t>Total cost per treatment course</w:t>
            </w:r>
          </w:p>
        </w:tc>
        <w:tc>
          <w:tcPr>
            <w:tcW w:w="843" w:type="pct"/>
            <w:vAlign w:val="center"/>
          </w:tcPr>
          <w:p w14:paraId="373DE953" w14:textId="77777777" w:rsidR="00D12268" w:rsidRPr="003816D8" w:rsidRDefault="00D12268" w:rsidP="008B6FC0">
            <w:pPr>
              <w:pStyle w:val="Tabletext1"/>
              <w:keepNext/>
              <w:jc w:val="center"/>
              <w:rPr>
                <w:snapToGrid w:val="0"/>
                <w:lang w:eastAsia="en-US"/>
              </w:rPr>
            </w:pPr>
          </w:p>
        </w:tc>
        <w:tc>
          <w:tcPr>
            <w:tcW w:w="716" w:type="pct"/>
            <w:vAlign w:val="center"/>
          </w:tcPr>
          <w:p w14:paraId="5D2CEF11" w14:textId="77777777" w:rsidR="00D12268" w:rsidRPr="003816D8" w:rsidRDefault="00D12268" w:rsidP="008B6FC0">
            <w:pPr>
              <w:pStyle w:val="Tabletext1"/>
              <w:keepNext/>
              <w:jc w:val="center"/>
            </w:pPr>
          </w:p>
        </w:tc>
        <w:tc>
          <w:tcPr>
            <w:tcW w:w="1182" w:type="pct"/>
            <w:vAlign w:val="center"/>
          </w:tcPr>
          <w:p w14:paraId="1FDC37D1" w14:textId="77777777" w:rsidR="00D12268" w:rsidRPr="003816D8" w:rsidRDefault="00D12268" w:rsidP="008B6FC0">
            <w:pPr>
              <w:pStyle w:val="Tabletext1"/>
              <w:keepNext/>
              <w:jc w:val="center"/>
              <w:rPr>
                <w:rFonts w:cs="Calibri"/>
              </w:rPr>
            </w:pPr>
          </w:p>
        </w:tc>
        <w:tc>
          <w:tcPr>
            <w:tcW w:w="830" w:type="pct"/>
            <w:vAlign w:val="center"/>
          </w:tcPr>
          <w:p w14:paraId="5E562231" w14:textId="77777777" w:rsidR="00D12268" w:rsidRPr="003816D8" w:rsidRDefault="00D12268" w:rsidP="008B6FC0">
            <w:pPr>
              <w:pStyle w:val="Tabletext1"/>
              <w:keepNext/>
              <w:jc w:val="center"/>
              <w:rPr>
                <w:rFonts w:cs="Calibri"/>
                <w:b/>
              </w:rPr>
            </w:pPr>
          </w:p>
        </w:tc>
      </w:tr>
      <w:tr w:rsidR="00D12268" w:rsidRPr="00F77E8D" w14:paraId="1387F361" w14:textId="77777777" w:rsidTr="005007E2">
        <w:tc>
          <w:tcPr>
            <w:tcW w:w="1429" w:type="pct"/>
          </w:tcPr>
          <w:p w14:paraId="7B8C756E" w14:textId="77777777" w:rsidR="00D12268" w:rsidRPr="003816D8" w:rsidRDefault="00D12268" w:rsidP="008B6FC0">
            <w:pPr>
              <w:pStyle w:val="Tabletext1"/>
              <w:keepNext/>
              <w:rPr>
                <w:b/>
                <w:snapToGrid w:val="0"/>
                <w:lang w:eastAsia="en-US"/>
              </w:rPr>
            </w:pPr>
            <w:r w:rsidRPr="004208A5">
              <w:t>Allocation of capital cost per patient</w:t>
            </w:r>
          </w:p>
        </w:tc>
        <w:tc>
          <w:tcPr>
            <w:tcW w:w="843" w:type="pct"/>
            <w:vAlign w:val="center"/>
          </w:tcPr>
          <w:p w14:paraId="5682010F" w14:textId="77777777" w:rsidR="00D12268" w:rsidRPr="003816D8" w:rsidRDefault="00D12268" w:rsidP="008B6FC0">
            <w:pPr>
              <w:pStyle w:val="Tabletext1"/>
              <w:keepNext/>
              <w:jc w:val="center"/>
              <w:rPr>
                <w:snapToGrid w:val="0"/>
                <w:lang w:eastAsia="en-US"/>
              </w:rPr>
            </w:pPr>
          </w:p>
        </w:tc>
        <w:tc>
          <w:tcPr>
            <w:tcW w:w="716" w:type="pct"/>
            <w:vAlign w:val="center"/>
          </w:tcPr>
          <w:p w14:paraId="546F7F47" w14:textId="77777777" w:rsidR="00D12268" w:rsidRPr="003816D8" w:rsidRDefault="00D12268" w:rsidP="008B6FC0">
            <w:pPr>
              <w:pStyle w:val="Tabletext1"/>
              <w:keepNext/>
              <w:jc w:val="center"/>
            </w:pPr>
          </w:p>
        </w:tc>
        <w:tc>
          <w:tcPr>
            <w:tcW w:w="1182" w:type="pct"/>
            <w:vAlign w:val="center"/>
          </w:tcPr>
          <w:p w14:paraId="5472B709" w14:textId="2F7B1E6D" w:rsidR="00D12268" w:rsidRPr="003816D8" w:rsidRDefault="00D12268" w:rsidP="008B6FC0">
            <w:pPr>
              <w:pStyle w:val="Tabletext1"/>
              <w:keepNext/>
              <w:jc w:val="center"/>
              <w:rPr>
                <w:rFonts w:cs="Calibri"/>
              </w:rPr>
            </w:pPr>
            <w:r w:rsidRPr="0045150E">
              <w:t>$3,032.03</w:t>
            </w:r>
          </w:p>
        </w:tc>
        <w:tc>
          <w:tcPr>
            <w:tcW w:w="830" w:type="pct"/>
            <w:vAlign w:val="center"/>
          </w:tcPr>
          <w:p w14:paraId="4FE4B1DB" w14:textId="564ED4B5" w:rsidR="00D12268" w:rsidRPr="003816D8" w:rsidRDefault="00D12268" w:rsidP="008B6FC0">
            <w:pPr>
              <w:pStyle w:val="Tabletext1"/>
              <w:keepNext/>
              <w:jc w:val="center"/>
              <w:rPr>
                <w:rFonts w:cs="Calibri"/>
                <w:b/>
              </w:rPr>
            </w:pPr>
            <w:r w:rsidRPr="0045150E">
              <w:t>$437.50</w:t>
            </w:r>
          </w:p>
        </w:tc>
      </w:tr>
      <w:tr w:rsidR="00D12268" w:rsidRPr="00F77E8D" w14:paraId="2C7CDFDC" w14:textId="77777777" w:rsidTr="005007E2">
        <w:tc>
          <w:tcPr>
            <w:tcW w:w="1429" w:type="pct"/>
          </w:tcPr>
          <w:p w14:paraId="61909B64" w14:textId="77777777" w:rsidR="00D12268" w:rsidRPr="003816D8" w:rsidRDefault="00D12268" w:rsidP="008B6FC0">
            <w:pPr>
              <w:pStyle w:val="Tabletext1"/>
              <w:keepNext/>
              <w:rPr>
                <w:b/>
                <w:snapToGrid w:val="0"/>
                <w:lang w:eastAsia="en-US"/>
              </w:rPr>
            </w:pPr>
            <w:r w:rsidRPr="004208A5">
              <w:t>Allocation of maintenance cost per patient</w:t>
            </w:r>
          </w:p>
        </w:tc>
        <w:tc>
          <w:tcPr>
            <w:tcW w:w="843" w:type="pct"/>
            <w:vAlign w:val="center"/>
          </w:tcPr>
          <w:p w14:paraId="03A62C4A" w14:textId="77777777" w:rsidR="00D12268" w:rsidRPr="003816D8" w:rsidRDefault="00D12268" w:rsidP="008B6FC0">
            <w:pPr>
              <w:pStyle w:val="Tabletext1"/>
              <w:keepNext/>
              <w:jc w:val="center"/>
              <w:rPr>
                <w:snapToGrid w:val="0"/>
                <w:lang w:eastAsia="en-US"/>
              </w:rPr>
            </w:pPr>
          </w:p>
        </w:tc>
        <w:tc>
          <w:tcPr>
            <w:tcW w:w="716" w:type="pct"/>
            <w:vAlign w:val="center"/>
          </w:tcPr>
          <w:p w14:paraId="18FDC802" w14:textId="77777777" w:rsidR="00D12268" w:rsidRPr="003816D8" w:rsidRDefault="00D12268" w:rsidP="008B6FC0">
            <w:pPr>
              <w:pStyle w:val="Tabletext1"/>
              <w:keepNext/>
              <w:jc w:val="center"/>
            </w:pPr>
          </w:p>
        </w:tc>
        <w:tc>
          <w:tcPr>
            <w:tcW w:w="1182" w:type="pct"/>
            <w:vAlign w:val="center"/>
          </w:tcPr>
          <w:p w14:paraId="5AEEC63F" w14:textId="0A46BF0D" w:rsidR="00D12268" w:rsidRPr="003816D8" w:rsidRDefault="00D12268" w:rsidP="008B6FC0">
            <w:pPr>
              <w:pStyle w:val="Tabletext1"/>
              <w:keepNext/>
              <w:jc w:val="center"/>
              <w:rPr>
                <w:rFonts w:cs="Calibri"/>
              </w:rPr>
            </w:pPr>
            <w:r w:rsidRPr="0045150E">
              <w:t>$1,260.06</w:t>
            </w:r>
          </w:p>
        </w:tc>
        <w:tc>
          <w:tcPr>
            <w:tcW w:w="830" w:type="pct"/>
            <w:vAlign w:val="center"/>
          </w:tcPr>
          <w:p w14:paraId="153850B5" w14:textId="6771D407" w:rsidR="00D12268" w:rsidRPr="003816D8" w:rsidRDefault="00D12268" w:rsidP="008B6FC0">
            <w:pPr>
              <w:pStyle w:val="Tabletext1"/>
              <w:keepNext/>
              <w:jc w:val="center"/>
              <w:rPr>
                <w:rFonts w:cs="Calibri"/>
                <w:b/>
              </w:rPr>
            </w:pPr>
            <w:r w:rsidRPr="0045150E">
              <w:t>$252.00</w:t>
            </w:r>
          </w:p>
        </w:tc>
      </w:tr>
      <w:tr w:rsidR="00D12268" w:rsidRPr="00F77E8D" w14:paraId="6BA6620E" w14:textId="77777777" w:rsidTr="005007E2">
        <w:tc>
          <w:tcPr>
            <w:tcW w:w="1429" w:type="pct"/>
          </w:tcPr>
          <w:p w14:paraId="4DA4C5ED" w14:textId="77777777" w:rsidR="00D12268" w:rsidRPr="003816D8" w:rsidRDefault="00D12268" w:rsidP="008B6FC0">
            <w:pPr>
              <w:pStyle w:val="Tabletext1"/>
              <w:keepNext/>
              <w:rPr>
                <w:b/>
                <w:snapToGrid w:val="0"/>
                <w:lang w:eastAsia="en-US"/>
              </w:rPr>
            </w:pPr>
            <w:r w:rsidRPr="004208A5">
              <w:t>New Patient Consultation</w:t>
            </w:r>
          </w:p>
        </w:tc>
        <w:tc>
          <w:tcPr>
            <w:tcW w:w="843" w:type="pct"/>
            <w:vAlign w:val="center"/>
          </w:tcPr>
          <w:p w14:paraId="4549E81E" w14:textId="77777777" w:rsidR="00D12268" w:rsidRPr="003816D8" w:rsidRDefault="00D12268" w:rsidP="008B6FC0">
            <w:pPr>
              <w:pStyle w:val="Tabletext1"/>
              <w:keepNext/>
              <w:jc w:val="center"/>
              <w:rPr>
                <w:snapToGrid w:val="0"/>
                <w:lang w:eastAsia="en-US"/>
              </w:rPr>
            </w:pPr>
          </w:p>
        </w:tc>
        <w:tc>
          <w:tcPr>
            <w:tcW w:w="716" w:type="pct"/>
            <w:vAlign w:val="center"/>
          </w:tcPr>
          <w:p w14:paraId="3F5AAAA1" w14:textId="77777777" w:rsidR="00D12268" w:rsidRPr="003816D8" w:rsidRDefault="00D12268" w:rsidP="008B6FC0">
            <w:pPr>
              <w:pStyle w:val="Tabletext1"/>
              <w:keepNext/>
              <w:jc w:val="center"/>
            </w:pPr>
          </w:p>
        </w:tc>
        <w:tc>
          <w:tcPr>
            <w:tcW w:w="1182" w:type="pct"/>
            <w:vAlign w:val="center"/>
          </w:tcPr>
          <w:p w14:paraId="1450B344" w14:textId="70B61AAA" w:rsidR="00D12268" w:rsidRPr="003816D8" w:rsidRDefault="00D12268" w:rsidP="008B6FC0">
            <w:pPr>
              <w:pStyle w:val="Tabletext1"/>
              <w:keepNext/>
              <w:jc w:val="center"/>
              <w:rPr>
                <w:rFonts w:cs="Calibri"/>
              </w:rPr>
            </w:pPr>
            <w:r w:rsidRPr="0045150E">
              <w:t>$178.60</w:t>
            </w:r>
          </w:p>
        </w:tc>
        <w:tc>
          <w:tcPr>
            <w:tcW w:w="830" w:type="pct"/>
            <w:vAlign w:val="center"/>
          </w:tcPr>
          <w:p w14:paraId="76F9E3D5" w14:textId="0009BF43" w:rsidR="00D12268" w:rsidRPr="003816D8" w:rsidRDefault="00D12268" w:rsidP="008B6FC0">
            <w:pPr>
              <w:pStyle w:val="Tabletext1"/>
              <w:keepNext/>
              <w:jc w:val="center"/>
              <w:rPr>
                <w:rFonts w:cs="Calibri"/>
                <w:b/>
              </w:rPr>
            </w:pPr>
            <w:r w:rsidRPr="0045150E">
              <w:t>$170.82</w:t>
            </w:r>
          </w:p>
        </w:tc>
      </w:tr>
      <w:tr w:rsidR="00D12268" w:rsidRPr="00F77E8D" w14:paraId="7BA44F15" w14:textId="77777777" w:rsidTr="005007E2">
        <w:tc>
          <w:tcPr>
            <w:tcW w:w="1429" w:type="pct"/>
          </w:tcPr>
          <w:p w14:paraId="690CA0B4" w14:textId="77777777" w:rsidR="00D12268" w:rsidRPr="003816D8" w:rsidRDefault="00D12268" w:rsidP="008B6FC0">
            <w:pPr>
              <w:pStyle w:val="Tabletext1"/>
              <w:keepNext/>
              <w:rPr>
                <w:b/>
                <w:snapToGrid w:val="0"/>
                <w:lang w:eastAsia="en-US"/>
              </w:rPr>
            </w:pPr>
            <w:r w:rsidRPr="004208A5">
              <w:t>Simulation</w:t>
            </w:r>
          </w:p>
        </w:tc>
        <w:tc>
          <w:tcPr>
            <w:tcW w:w="843" w:type="pct"/>
            <w:vAlign w:val="center"/>
          </w:tcPr>
          <w:p w14:paraId="247E0FB4" w14:textId="77777777" w:rsidR="00D12268" w:rsidRPr="003816D8" w:rsidRDefault="00D12268" w:rsidP="008B6FC0">
            <w:pPr>
              <w:pStyle w:val="Tabletext1"/>
              <w:keepNext/>
              <w:jc w:val="center"/>
              <w:rPr>
                <w:snapToGrid w:val="0"/>
                <w:lang w:eastAsia="en-US"/>
              </w:rPr>
            </w:pPr>
          </w:p>
        </w:tc>
        <w:tc>
          <w:tcPr>
            <w:tcW w:w="716" w:type="pct"/>
            <w:vAlign w:val="center"/>
          </w:tcPr>
          <w:p w14:paraId="132D3EF7" w14:textId="77777777" w:rsidR="00D12268" w:rsidRPr="003816D8" w:rsidRDefault="00D12268" w:rsidP="008B6FC0">
            <w:pPr>
              <w:pStyle w:val="Tabletext1"/>
              <w:keepNext/>
              <w:jc w:val="center"/>
            </w:pPr>
          </w:p>
        </w:tc>
        <w:tc>
          <w:tcPr>
            <w:tcW w:w="1182" w:type="pct"/>
            <w:vAlign w:val="center"/>
          </w:tcPr>
          <w:p w14:paraId="49D543A6" w14:textId="0D186440" w:rsidR="00D12268" w:rsidRPr="003816D8" w:rsidRDefault="00D12268" w:rsidP="008B6FC0">
            <w:pPr>
              <w:pStyle w:val="Tabletext1"/>
              <w:keepNext/>
              <w:jc w:val="center"/>
              <w:rPr>
                <w:rFonts w:cs="Calibri"/>
              </w:rPr>
            </w:pPr>
            <w:r w:rsidRPr="0045150E">
              <w:t>$212.99</w:t>
            </w:r>
          </w:p>
        </w:tc>
        <w:tc>
          <w:tcPr>
            <w:tcW w:w="830" w:type="pct"/>
            <w:vAlign w:val="center"/>
          </w:tcPr>
          <w:p w14:paraId="159120CE" w14:textId="2689771A" w:rsidR="00D12268" w:rsidRPr="003816D8" w:rsidRDefault="00D12268" w:rsidP="008B6FC0">
            <w:pPr>
              <w:pStyle w:val="Tabletext1"/>
              <w:keepNext/>
              <w:jc w:val="center"/>
              <w:rPr>
                <w:rFonts w:cs="Calibri"/>
                <w:b/>
              </w:rPr>
            </w:pPr>
            <w:r w:rsidRPr="0045150E">
              <w:t>$678.04</w:t>
            </w:r>
          </w:p>
        </w:tc>
      </w:tr>
      <w:tr w:rsidR="00D12268" w:rsidRPr="00F77E8D" w14:paraId="37AEDC1C" w14:textId="77777777" w:rsidTr="005007E2">
        <w:tc>
          <w:tcPr>
            <w:tcW w:w="1429" w:type="pct"/>
          </w:tcPr>
          <w:p w14:paraId="697AC712" w14:textId="77777777" w:rsidR="00D12268" w:rsidRPr="003816D8" w:rsidRDefault="00D12268" w:rsidP="008B6FC0">
            <w:pPr>
              <w:pStyle w:val="Tabletext1"/>
              <w:keepNext/>
              <w:rPr>
                <w:b/>
                <w:snapToGrid w:val="0"/>
                <w:lang w:eastAsia="en-US"/>
              </w:rPr>
            </w:pPr>
            <w:r w:rsidRPr="004208A5">
              <w:t>Planning</w:t>
            </w:r>
          </w:p>
        </w:tc>
        <w:tc>
          <w:tcPr>
            <w:tcW w:w="843" w:type="pct"/>
            <w:vAlign w:val="center"/>
          </w:tcPr>
          <w:p w14:paraId="2633F3DA" w14:textId="77777777" w:rsidR="00D12268" w:rsidRPr="003816D8" w:rsidRDefault="00D12268" w:rsidP="008B6FC0">
            <w:pPr>
              <w:pStyle w:val="Tabletext1"/>
              <w:keepNext/>
              <w:jc w:val="center"/>
              <w:rPr>
                <w:snapToGrid w:val="0"/>
                <w:lang w:eastAsia="en-US"/>
              </w:rPr>
            </w:pPr>
          </w:p>
        </w:tc>
        <w:tc>
          <w:tcPr>
            <w:tcW w:w="716" w:type="pct"/>
            <w:vAlign w:val="center"/>
          </w:tcPr>
          <w:p w14:paraId="321EC4C4" w14:textId="77777777" w:rsidR="00D12268" w:rsidRPr="003816D8" w:rsidRDefault="00D12268" w:rsidP="008B6FC0">
            <w:pPr>
              <w:pStyle w:val="Tabletext1"/>
              <w:keepNext/>
              <w:jc w:val="center"/>
            </w:pPr>
          </w:p>
        </w:tc>
        <w:tc>
          <w:tcPr>
            <w:tcW w:w="1182" w:type="pct"/>
            <w:vAlign w:val="center"/>
          </w:tcPr>
          <w:p w14:paraId="616F737C" w14:textId="7017C4D1" w:rsidR="00D12268" w:rsidRPr="003816D8" w:rsidRDefault="00D12268" w:rsidP="008B6FC0">
            <w:pPr>
              <w:pStyle w:val="Tabletext1"/>
              <w:keepNext/>
              <w:jc w:val="center"/>
              <w:rPr>
                <w:rFonts w:cs="Calibri"/>
              </w:rPr>
            </w:pPr>
            <w:r w:rsidRPr="0045150E">
              <w:t>$483.67</w:t>
            </w:r>
          </w:p>
        </w:tc>
        <w:tc>
          <w:tcPr>
            <w:tcW w:w="830" w:type="pct"/>
            <w:vAlign w:val="center"/>
          </w:tcPr>
          <w:p w14:paraId="0BAE458D" w14:textId="552271CA" w:rsidR="00D12268" w:rsidRPr="003816D8" w:rsidRDefault="00D12268" w:rsidP="008B6FC0">
            <w:pPr>
              <w:pStyle w:val="Tabletext1"/>
              <w:keepNext/>
              <w:jc w:val="center"/>
              <w:rPr>
                <w:rFonts w:cs="Calibri"/>
                <w:b/>
              </w:rPr>
            </w:pPr>
            <w:r w:rsidRPr="0045150E">
              <w:t>$461.78</w:t>
            </w:r>
          </w:p>
        </w:tc>
      </w:tr>
      <w:tr w:rsidR="00D12268" w:rsidRPr="00F77E8D" w14:paraId="2627D31B" w14:textId="77777777" w:rsidTr="005007E2">
        <w:tc>
          <w:tcPr>
            <w:tcW w:w="1429" w:type="pct"/>
          </w:tcPr>
          <w:p w14:paraId="4A3EE641" w14:textId="77777777" w:rsidR="00D12268" w:rsidRPr="003816D8" w:rsidRDefault="00D12268" w:rsidP="008B6FC0">
            <w:pPr>
              <w:pStyle w:val="Tabletext1"/>
              <w:keepNext/>
              <w:rPr>
                <w:b/>
                <w:snapToGrid w:val="0"/>
                <w:lang w:eastAsia="en-US"/>
              </w:rPr>
            </w:pPr>
            <w:r w:rsidRPr="004208A5">
              <w:t>Treatment</w:t>
            </w:r>
          </w:p>
        </w:tc>
        <w:tc>
          <w:tcPr>
            <w:tcW w:w="843" w:type="pct"/>
            <w:vAlign w:val="center"/>
          </w:tcPr>
          <w:p w14:paraId="6A141B69" w14:textId="77777777" w:rsidR="00D12268" w:rsidRPr="003816D8" w:rsidRDefault="00D12268" w:rsidP="008B6FC0">
            <w:pPr>
              <w:pStyle w:val="Tabletext1"/>
              <w:keepNext/>
              <w:jc w:val="center"/>
              <w:rPr>
                <w:snapToGrid w:val="0"/>
                <w:lang w:eastAsia="en-US"/>
              </w:rPr>
            </w:pPr>
          </w:p>
        </w:tc>
        <w:tc>
          <w:tcPr>
            <w:tcW w:w="716" w:type="pct"/>
            <w:vAlign w:val="center"/>
          </w:tcPr>
          <w:p w14:paraId="206C7625" w14:textId="77777777" w:rsidR="00D12268" w:rsidRPr="003816D8" w:rsidRDefault="00D12268" w:rsidP="008B6FC0">
            <w:pPr>
              <w:pStyle w:val="Tabletext1"/>
              <w:keepNext/>
              <w:jc w:val="center"/>
            </w:pPr>
          </w:p>
        </w:tc>
        <w:tc>
          <w:tcPr>
            <w:tcW w:w="1182" w:type="pct"/>
            <w:vAlign w:val="center"/>
          </w:tcPr>
          <w:p w14:paraId="7BFD2B9A" w14:textId="744FFE32" w:rsidR="00D12268" w:rsidRPr="003816D8" w:rsidRDefault="00D12268" w:rsidP="008B6FC0">
            <w:pPr>
              <w:pStyle w:val="Tabletext1"/>
              <w:keepNext/>
              <w:jc w:val="center"/>
              <w:rPr>
                <w:rFonts w:cs="Calibri"/>
              </w:rPr>
            </w:pPr>
            <w:r w:rsidRPr="0045150E">
              <w:t>$660.78</w:t>
            </w:r>
          </w:p>
        </w:tc>
        <w:tc>
          <w:tcPr>
            <w:tcW w:w="830" w:type="pct"/>
            <w:vAlign w:val="center"/>
          </w:tcPr>
          <w:p w14:paraId="3A7E9BB2" w14:textId="5E8F8796" w:rsidR="00D12268" w:rsidRPr="003816D8" w:rsidRDefault="00D12268" w:rsidP="008B6FC0">
            <w:pPr>
              <w:pStyle w:val="Tabletext1"/>
              <w:keepNext/>
              <w:jc w:val="center"/>
              <w:rPr>
                <w:rFonts w:cs="Calibri"/>
                <w:b/>
              </w:rPr>
            </w:pPr>
            <w:r w:rsidRPr="0045150E">
              <w:t>$524.84</w:t>
            </w:r>
          </w:p>
        </w:tc>
      </w:tr>
      <w:tr w:rsidR="00D12268" w:rsidRPr="00F77E8D" w14:paraId="189CACE8" w14:textId="77777777" w:rsidTr="005007E2">
        <w:tc>
          <w:tcPr>
            <w:tcW w:w="1429" w:type="pct"/>
          </w:tcPr>
          <w:p w14:paraId="60DA8BAC" w14:textId="77777777" w:rsidR="00D12268" w:rsidRPr="003816D8" w:rsidRDefault="00D12268" w:rsidP="008B6FC0">
            <w:pPr>
              <w:pStyle w:val="Tabletext1"/>
              <w:keepNext/>
              <w:rPr>
                <w:b/>
                <w:snapToGrid w:val="0"/>
                <w:lang w:eastAsia="en-US"/>
              </w:rPr>
            </w:pPr>
            <w:r w:rsidRPr="004208A5">
              <w:t>Follow-up visit</w:t>
            </w:r>
          </w:p>
        </w:tc>
        <w:tc>
          <w:tcPr>
            <w:tcW w:w="843" w:type="pct"/>
            <w:vAlign w:val="center"/>
          </w:tcPr>
          <w:p w14:paraId="3B2D2FA9" w14:textId="77777777" w:rsidR="00D12268" w:rsidRPr="003816D8" w:rsidRDefault="00D12268" w:rsidP="008B6FC0">
            <w:pPr>
              <w:pStyle w:val="Tabletext1"/>
              <w:keepNext/>
              <w:jc w:val="center"/>
              <w:rPr>
                <w:snapToGrid w:val="0"/>
                <w:lang w:eastAsia="en-US"/>
              </w:rPr>
            </w:pPr>
          </w:p>
        </w:tc>
        <w:tc>
          <w:tcPr>
            <w:tcW w:w="716" w:type="pct"/>
            <w:vAlign w:val="center"/>
          </w:tcPr>
          <w:p w14:paraId="4F8A28A1" w14:textId="77777777" w:rsidR="00D12268" w:rsidRPr="003816D8" w:rsidRDefault="00D12268" w:rsidP="008B6FC0">
            <w:pPr>
              <w:pStyle w:val="Tabletext1"/>
              <w:keepNext/>
              <w:jc w:val="center"/>
            </w:pPr>
          </w:p>
        </w:tc>
        <w:tc>
          <w:tcPr>
            <w:tcW w:w="1182" w:type="pct"/>
            <w:vAlign w:val="center"/>
          </w:tcPr>
          <w:p w14:paraId="02459836" w14:textId="2826FEFC" w:rsidR="00D12268" w:rsidRPr="003816D8" w:rsidRDefault="00D12268" w:rsidP="008B6FC0">
            <w:pPr>
              <w:pStyle w:val="Tabletext1"/>
              <w:keepNext/>
              <w:jc w:val="center"/>
              <w:rPr>
                <w:rFonts w:cs="Calibri"/>
              </w:rPr>
            </w:pPr>
            <w:r w:rsidRPr="0045150E">
              <w:t>$297.74</w:t>
            </w:r>
          </w:p>
        </w:tc>
        <w:tc>
          <w:tcPr>
            <w:tcW w:w="830" w:type="pct"/>
            <w:vAlign w:val="center"/>
          </w:tcPr>
          <w:p w14:paraId="42ECFC6D" w14:textId="51DBFF8B" w:rsidR="00D12268" w:rsidRPr="003816D8" w:rsidRDefault="00D12268" w:rsidP="008B6FC0">
            <w:pPr>
              <w:pStyle w:val="Tabletext1"/>
              <w:keepNext/>
              <w:jc w:val="center"/>
              <w:rPr>
                <w:rFonts w:cs="Calibri"/>
                <w:b/>
              </w:rPr>
            </w:pPr>
            <w:r w:rsidRPr="0045150E">
              <w:t>$297.74</w:t>
            </w:r>
          </w:p>
        </w:tc>
      </w:tr>
      <w:tr w:rsidR="00D12268" w:rsidRPr="00F77E8D" w14:paraId="1984F480" w14:textId="77777777" w:rsidTr="005007E2">
        <w:tc>
          <w:tcPr>
            <w:tcW w:w="1429" w:type="pct"/>
          </w:tcPr>
          <w:p w14:paraId="4DA1F973" w14:textId="77777777" w:rsidR="00D12268" w:rsidRPr="003816D8" w:rsidRDefault="00D12268" w:rsidP="008B6FC0">
            <w:pPr>
              <w:pStyle w:val="Tabletext1"/>
              <w:keepNext/>
              <w:rPr>
                <w:b/>
                <w:snapToGrid w:val="0"/>
                <w:lang w:eastAsia="en-US"/>
              </w:rPr>
            </w:pPr>
            <w:r w:rsidRPr="004208A5">
              <w:t>QA cost per patient</w:t>
            </w:r>
          </w:p>
        </w:tc>
        <w:tc>
          <w:tcPr>
            <w:tcW w:w="843" w:type="pct"/>
            <w:vAlign w:val="center"/>
          </w:tcPr>
          <w:p w14:paraId="59EBA152" w14:textId="77777777" w:rsidR="00D12268" w:rsidRPr="003816D8" w:rsidRDefault="00D12268" w:rsidP="008B6FC0">
            <w:pPr>
              <w:pStyle w:val="Tabletext1"/>
              <w:keepNext/>
              <w:jc w:val="center"/>
              <w:rPr>
                <w:snapToGrid w:val="0"/>
                <w:lang w:eastAsia="en-US"/>
              </w:rPr>
            </w:pPr>
          </w:p>
        </w:tc>
        <w:tc>
          <w:tcPr>
            <w:tcW w:w="716" w:type="pct"/>
            <w:vAlign w:val="center"/>
          </w:tcPr>
          <w:p w14:paraId="3F9899E3" w14:textId="77777777" w:rsidR="00D12268" w:rsidRPr="003816D8" w:rsidRDefault="00D12268" w:rsidP="008B6FC0">
            <w:pPr>
              <w:pStyle w:val="Tabletext1"/>
              <w:keepNext/>
              <w:jc w:val="center"/>
            </w:pPr>
          </w:p>
        </w:tc>
        <w:tc>
          <w:tcPr>
            <w:tcW w:w="1182" w:type="pct"/>
            <w:vAlign w:val="center"/>
          </w:tcPr>
          <w:p w14:paraId="5C545DCC" w14:textId="66ACB2FC" w:rsidR="00D12268" w:rsidRPr="003816D8" w:rsidRDefault="00D12268" w:rsidP="008B6FC0">
            <w:pPr>
              <w:pStyle w:val="Tabletext1"/>
              <w:keepNext/>
              <w:jc w:val="center"/>
              <w:rPr>
                <w:rFonts w:cs="Calibri"/>
              </w:rPr>
            </w:pPr>
            <w:r w:rsidRPr="0045150E">
              <w:t>$18.74</w:t>
            </w:r>
          </w:p>
        </w:tc>
        <w:tc>
          <w:tcPr>
            <w:tcW w:w="830" w:type="pct"/>
            <w:vAlign w:val="center"/>
          </w:tcPr>
          <w:p w14:paraId="2B9F4E20" w14:textId="6BCB6741" w:rsidR="00D12268" w:rsidRPr="003816D8" w:rsidRDefault="00D12268" w:rsidP="008B6FC0">
            <w:pPr>
              <w:pStyle w:val="Tabletext1"/>
              <w:keepNext/>
              <w:jc w:val="center"/>
              <w:rPr>
                <w:rFonts w:cs="Calibri"/>
                <w:b/>
              </w:rPr>
            </w:pPr>
            <w:r w:rsidRPr="0045150E">
              <w:t>$4.99</w:t>
            </w:r>
          </w:p>
        </w:tc>
      </w:tr>
      <w:tr w:rsidR="00D12268" w:rsidRPr="00F77E8D" w14:paraId="66AFE264" w14:textId="77777777" w:rsidTr="005007E2">
        <w:tc>
          <w:tcPr>
            <w:tcW w:w="1429" w:type="pct"/>
          </w:tcPr>
          <w:p w14:paraId="1CA481EF" w14:textId="77777777" w:rsidR="00D12268" w:rsidRPr="00645642" w:rsidRDefault="00D12268" w:rsidP="008B6FC0">
            <w:pPr>
              <w:pStyle w:val="Tabletext1"/>
              <w:keepNext/>
              <w:rPr>
                <w:b/>
                <w:snapToGrid w:val="0"/>
                <w:lang w:eastAsia="en-US"/>
              </w:rPr>
            </w:pPr>
            <w:r w:rsidRPr="00645642">
              <w:rPr>
                <w:b/>
              </w:rPr>
              <w:t>Total cost per patient's treatment course</w:t>
            </w:r>
            <w:r>
              <w:rPr>
                <w:b/>
              </w:rPr>
              <w:t xml:space="preserve"> from Parikh et al</w:t>
            </w:r>
          </w:p>
        </w:tc>
        <w:tc>
          <w:tcPr>
            <w:tcW w:w="843" w:type="pct"/>
            <w:vAlign w:val="center"/>
          </w:tcPr>
          <w:p w14:paraId="6E196079" w14:textId="77777777" w:rsidR="00D12268" w:rsidRPr="00645642" w:rsidRDefault="00D12268" w:rsidP="008B6FC0">
            <w:pPr>
              <w:pStyle w:val="Tabletext1"/>
              <w:keepNext/>
              <w:jc w:val="center"/>
              <w:rPr>
                <w:b/>
                <w:snapToGrid w:val="0"/>
                <w:lang w:eastAsia="en-US"/>
              </w:rPr>
            </w:pPr>
          </w:p>
        </w:tc>
        <w:tc>
          <w:tcPr>
            <w:tcW w:w="716" w:type="pct"/>
            <w:vAlign w:val="center"/>
          </w:tcPr>
          <w:p w14:paraId="5E96FA11" w14:textId="77777777" w:rsidR="00D12268" w:rsidRPr="00645642" w:rsidRDefault="00D12268" w:rsidP="008B6FC0">
            <w:pPr>
              <w:pStyle w:val="Tabletext1"/>
              <w:keepNext/>
              <w:jc w:val="center"/>
              <w:rPr>
                <w:b/>
              </w:rPr>
            </w:pPr>
          </w:p>
        </w:tc>
        <w:tc>
          <w:tcPr>
            <w:tcW w:w="1182" w:type="pct"/>
            <w:vAlign w:val="center"/>
          </w:tcPr>
          <w:p w14:paraId="61043E9B" w14:textId="768F8A73" w:rsidR="00D12268" w:rsidRPr="00645642" w:rsidRDefault="00D12268" w:rsidP="008B6FC0">
            <w:pPr>
              <w:pStyle w:val="Tabletext1"/>
              <w:keepNext/>
              <w:jc w:val="center"/>
              <w:rPr>
                <w:rFonts w:cs="Calibri"/>
                <w:b/>
              </w:rPr>
            </w:pPr>
            <w:r w:rsidRPr="00645642">
              <w:rPr>
                <w:b/>
              </w:rPr>
              <w:t>$6,144.60</w:t>
            </w:r>
          </w:p>
        </w:tc>
        <w:tc>
          <w:tcPr>
            <w:tcW w:w="830" w:type="pct"/>
            <w:vAlign w:val="center"/>
          </w:tcPr>
          <w:p w14:paraId="7AE2B7BE" w14:textId="76040942" w:rsidR="00D12268" w:rsidRPr="00645642" w:rsidRDefault="00D12268" w:rsidP="008B6FC0">
            <w:pPr>
              <w:pStyle w:val="Tabletext1"/>
              <w:keepNext/>
              <w:jc w:val="center"/>
              <w:rPr>
                <w:rFonts w:cs="Calibri"/>
                <w:b/>
              </w:rPr>
            </w:pPr>
            <w:r w:rsidRPr="00645642">
              <w:rPr>
                <w:b/>
              </w:rPr>
              <w:t>$2,827.72</w:t>
            </w:r>
          </w:p>
        </w:tc>
      </w:tr>
    </w:tbl>
    <w:p w14:paraId="048D059A" w14:textId="77777777" w:rsidR="00D12268" w:rsidRDefault="00D12268" w:rsidP="00D12268">
      <w:pPr>
        <w:pStyle w:val="Tablenotes0"/>
        <w:spacing w:after="240" w:line="312" w:lineRule="auto"/>
      </w:pPr>
      <w:bookmarkStart w:id="543" w:name="_Ref58242717"/>
      <w:r>
        <w:t>MRI=Magnetic resonance imaging; CBCT=Cone beam computed tomography; SBRT=Stereotactic body radiation therapy; IV=Intravenous; OAR=Organs at risk; DIBH=Deep inspiration breath hold; OTV=On-treatment visit; QA=Quality assurance</w:t>
      </w:r>
    </w:p>
    <w:p w14:paraId="311C8E4F" w14:textId="6FD31FC8" w:rsidR="00D12268" w:rsidRDefault="00D12268" w:rsidP="00411D51">
      <w:pPr>
        <w:pStyle w:val="Caption"/>
        <w:keepNext/>
      </w:pPr>
      <w:bookmarkStart w:id="544" w:name="_Ref58337105"/>
      <w:bookmarkStart w:id="545" w:name="_Toc89857919"/>
      <w:bookmarkEnd w:id="543"/>
      <w:r>
        <w:lastRenderedPageBreak/>
        <w:t xml:space="preserve">Table </w:t>
      </w:r>
      <w:r w:rsidR="00211285">
        <w:fldChar w:fldCharType="begin"/>
      </w:r>
      <w:r w:rsidR="00211285">
        <w:instrText xml:space="preserve"> SEQ Table \* ARABIC </w:instrText>
      </w:r>
      <w:r w:rsidR="00211285">
        <w:fldChar w:fldCharType="separate"/>
      </w:r>
      <w:r w:rsidR="00451350">
        <w:rPr>
          <w:noProof/>
        </w:rPr>
        <w:t>48</w:t>
      </w:r>
      <w:r w:rsidR="00211285">
        <w:rPr>
          <w:noProof/>
        </w:rPr>
        <w:fldChar w:fldCharType="end"/>
      </w:r>
      <w:bookmarkEnd w:id="544"/>
      <w:r>
        <w:tab/>
        <w:t xml:space="preserve">List of steps, healthcare resources, time estimates and their costs to derive cost of MRI-guided SBRT and CBCT-guided SBRT from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t xml:space="preserve"> (Base case)</w:t>
      </w:r>
      <w:bookmarkEnd w:id="545"/>
    </w:p>
    <w:tbl>
      <w:tblPr>
        <w:tblStyle w:val="TableGrid2"/>
        <w:tblW w:w="5000" w:type="pct"/>
        <w:tblLook w:val="04A0" w:firstRow="1" w:lastRow="0" w:firstColumn="1" w:lastColumn="0" w:noHBand="0" w:noVBand="1"/>
        <w:tblCaption w:val="List of health care resource items and summary of cost impacts for each health state in a state transition model"/>
        <w:tblDescription w:val="List of health care resource items and summary of cost impacts for each health state in a state transition model"/>
      </w:tblPr>
      <w:tblGrid>
        <w:gridCol w:w="2508"/>
        <w:gridCol w:w="1704"/>
        <w:gridCol w:w="1268"/>
        <w:gridCol w:w="2075"/>
        <w:gridCol w:w="1461"/>
      </w:tblGrid>
      <w:tr w:rsidR="00D12268" w:rsidRPr="00F77E8D" w14:paraId="0BA055F2" w14:textId="77777777" w:rsidTr="00207D12">
        <w:trPr>
          <w:cnfStyle w:val="100000000000" w:firstRow="1" w:lastRow="0" w:firstColumn="0" w:lastColumn="0" w:oddVBand="0" w:evenVBand="0" w:oddHBand="0" w:evenHBand="0" w:firstRowFirstColumn="0" w:firstRowLastColumn="0" w:lastRowFirstColumn="0" w:lastRowLastColumn="0"/>
          <w:tblHeader/>
        </w:trPr>
        <w:tc>
          <w:tcPr>
            <w:tcW w:w="1391" w:type="pct"/>
            <w:tcBorders>
              <w:bottom w:val="single" w:sz="4" w:space="0" w:color="auto"/>
            </w:tcBorders>
          </w:tcPr>
          <w:p w14:paraId="2F8C2A5E" w14:textId="77777777" w:rsidR="00D12268" w:rsidRPr="00F77E8D" w:rsidRDefault="00D12268" w:rsidP="00411D51">
            <w:pPr>
              <w:pStyle w:val="TableHeading"/>
            </w:pPr>
            <w:r>
              <w:t>Category</w:t>
            </w:r>
            <w:r w:rsidRPr="00F77E8D">
              <w:t xml:space="preserve"> </w:t>
            </w:r>
          </w:p>
        </w:tc>
        <w:tc>
          <w:tcPr>
            <w:tcW w:w="945" w:type="pct"/>
            <w:tcBorders>
              <w:bottom w:val="single" w:sz="4" w:space="0" w:color="auto"/>
            </w:tcBorders>
            <w:vAlign w:val="center"/>
          </w:tcPr>
          <w:p w14:paraId="2F421E6F" w14:textId="77777777" w:rsidR="00D12268" w:rsidRPr="00F77E8D" w:rsidRDefault="00D12268" w:rsidP="00411D51">
            <w:pPr>
              <w:pStyle w:val="TableHeading"/>
              <w:jc w:val="center"/>
            </w:pPr>
            <w:r w:rsidRPr="006D745B">
              <w:t>Quantity</w:t>
            </w:r>
            <w:r>
              <w:t xml:space="preserve"> (Base case)</w:t>
            </w:r>
          </w:p>
        </w:tc>
        <w:tc>
          <w:tcPr>
            <w:tcW w:w="703" w:type="pct"/>
            <w:tcBorders>
              <w:bottom w:val="single" w:sz="4" w:space="0" w:color="auto"/>
            </w:tcBorders>
            <w:vAlign w:val="center"/>
          </w:tcPr>
          <w:p w14:paraId="16964A57" w14:textId="77777777" w:rsidR="00D12268" w:rsidRPr="00F77E8D" w:rsidRDefault="00D12268" w:rsidP="00411D51">
            <w:pPr>
              <w:pStyle w:val="TableHeading"/>
              <w:jc w:val="center"/>
            </w:pPr>
            <w:r w:rsidRPr="006D745B">
              <w:t>MRI Guided Radiation Therapy</w:t>
            </w:r>
            <w:r>
              <w:t xml:space="preserve"> (Base case)</w:t>
            </w:r>
          </w:p>
        </w:tc>
        <w:tc>
          <w:tcPr>
            <w:tcW w:w="1151" w:type="pct"/>
            <w:tcBorders>
              <w:bottom w:val="single" w:sz="4" w:space="0" w:color="auto"/>
            </w:tcBorders>
            <w:vAlign w:val="center"/>
          </w:tcPr>
          <w:p w14:paraId="1EAEA00F" w14:textId="77777777" w:rsidR="00D12268" w:rsidRPr="003816D8" w:rsidRDefault="00D12268" w:rsidP="00411D51">
            <w:pPr>
              <w:pStyle w:val="TableHeading"/>
              <w:jc w:val="center"/>
            </w:pPr>
            <w:r w:rsidRPr="006D745B">
              <w:t>Quantity</w:t>
            </w:r>
            <w:r>
              <w:t xml:space="preserve"> (Base case)</w:t>
            </w:r>
          </w:p>
        </w:tc>
        <w:tc>
          <w:tcPr>
            <w:tcW w:w="810" w:type="pct"/>
            <w:tcBorders>
              <w:bottom w:val="single" w:sz="4" w:space="0" w:color="auto"/>
            </w:tcBorders>
            <w:vAlign w:val="center"/>
          </w:tcPr>
          <w:p w14:paraId="2C3F189F" w14:textId="77777777" w:rsidR="00D12268" w:rsidRPr="003816D8" w:rsidRDefault="00D12268" w:rsidP="00411D51">
            <w:pPr>
              <w:pStyle w:val="TableHeading"/>
              <w:jc w:val="center"/>
            </w:pPr>
            <w:r w:rsidRPr="006D745B">
              <w:t>Cone-beam CT Scan guided radiation therapy</w:t>
            </w:r>
            <w:r>
              <w:t xml:space="preserve"> (Base case)</w:t>
            </w:r>
          </w:p>
        </w:tc>
      </w:tr>
      <w:tr w:rsidR="00D12268" w:rsidRPr="00F77E8D" w14:paraId="261B3401" w14:textId="77777777" w:rsidTr="00207D12">
        <w:tc>
          <w:tcPr>
            <w:tcW w:w="1391" w:type="pct"/>
          </w:tcPr>
          <w:p w14:paraId="210DD1A6" w14:textId="77777777" w:rsidR="00D12268" w:rsidRPr="003816D8" w:rsidRDefault="00D12268" w:rsidP="00411D51">
            <w:pPr>
              <w:pStyle w:val="Tabletext1"/>
              <w:keepNext/>
              <w:rPr>
                <w:b/>
              </w:rPr>
            </w:pPr>
            <w:r>
              <w:rPr>
                <w:b/>
              </w:rPr>
              <w:t>Capital cost</w:t>
            </w:r>
          </w:p>
        </w:tc>
        <w:tc>
          <w:tcPr>
            <w:tcW w:w="945" w:type="pct"/>
            <w:vAlign w:val="center"/>
          </w:tcPr>
          <w:p w14:paraId="2A3091A4" w14:textId="77777777" w:rsidR="00D12268" w:rsidRPr="003816D8" w:rsidRDefault="00D12268" w:rsidP="00411D51">
            <w:pPr>
              <w:pStyle w:val="Tabletext1"/>
              <w:keepNext/>
              <w:jc w:val="center"/>
              <w:rPr>
                <w:b/>
              </w:rPr>
            </w:pPr>
          </w:p>
        </w:tc>
        <w:tc>
          <w:tcPr>
            <w:tcW w:w="703" w:type="pct"/>
            <w:vAlign w:val="center"/>
          </w:tcPr>
          <w:p w14:paraId="24500D3B" w14:textId="77777777" w:rsidR="00D12268" w:rsidRPr="003816D8" w:rsidRDefault="00D12268" w:rsidP="00411D51">
            <w:pPr>
              <w:pStyle w:val="Tabletext1"/>
              <w:keepNext/>
              <w:jc w:val="center"/>
              <w:rPr>
                <w:b/>
              </w:rPr>
            </w:pPr>
          </w:p>
        </w:tc>
        <w:tc>
          <w:tcPr>
            <w:tcW w:w="1151" w:type="pct"/>
            <w:vAlign w:val="center"/>
          </w:tcPr>
          <w:p w14:paraId="2E18634E" w14:textId="77777777" w:rsidR="00D12268" w:rsidRPr="003816D8" w:rsidRDefault="00D12268" w:rsidP="00411D51">
            <w:pPr>
              <w:pStyle w:val="Tabletext1"/>
              <w:keepNext/>
              <w:jc w:val="center"/>
              <w:rPr>
                <w:rFonts w:cs="Calibri"/>
                <w:b/>
              </w:rPr>
            </w:pPr>
          </w:p>
        </w:tc>
        <w:tc>
          <w:tcPr>
            <w:tcW w:w="810" w:type="pct"/>
            <w:vAlign w:val="center"/>
          </w:tcPr>
          <w:p w14:paraId="78A67D20" w14:textId="77777777" w:rsidR="00D12268" w:rsidRPr="003816D8" w:rsidRDefault="00D12268" w:rsidP="00411D51">
            <w:pPr>
              <w:pStyle w:val="Tabletext1"/>
              <w:keepNext/>
              <w:jc w:val="center"/>
              <w:rPr>
                <w:rFonts w:cs="Calibri"/>
                <w:b/>
              </w:rPr>
            </w:pPr>
          </w:p>
        </w:tc>
      </w:tr>
      <w:tr w:rsidR="00D12268" w:rsidRPr="00F77E8D" w14:paraId="1E3FCFA8" w14:textId="77777777" w:rsidTr="00207D12">
        <w:tc>
          <w:tcPr>
            <w:tcW w:w="1391" w:type="pct"/>
          </w:tcPr>
          <w:p w14:paraId="7CA6DC1B" w14:textId="77777777" w:rsidR="00D12268" w:rsidRPr="003816D8" w:rsidRDefault="00D12268" w:rsidP="00411D51">
            <w:pPr>
              <w:pStyle w:val="Tabletext1"/>
              <w:keepNext/>
            </w:pPr>
            <w:r>
              <w:t>Cost of equipment</w:t>
            </w:r>
          </w:p>
        </w:tc>
        <w:tc>
          <w:tcPr>
            <w:tcW w:w="945" w:type="pct"/>
            <w:vAlign w:val="center"/>
          </w:tcPr>
          <w:p w14:paraId="2856FE88" w14:textId="77777777" w:rsidR="00D12268" w:rsidRPr="003816D8" w:rsidRDefault="00D12268" w:rsidP="00411D51">
            <w:pPr>
              <w:pStyle w:val="Tabletext1"/>
              <w:keepNext/>
              <w:jc w:val="center"/>
            </w:pPr>
            <w:r w:rsidRPr="007003EF">
              <w:t>1</w:t>
            </w:r>
          </w:p>
        </w:tc>
        <w:tc>
          <w:tcPr>
            <w:tcW w:w="703" w:type="pct"/>
            <w:vAlign w:val="center"/>
          </w:tcPr>
          <w:p w14:paraId="2C6F71A9" w14:textId="570BDF73" w:rsidR="00D12268" w:rsidRPr="003816D8" w:rsidRDefault="00D12268" w:rsidP="00411D51">
            <w:pPr>
              <w:pStyle w:val="Tabletext1"/>
              <w:keepNext/>
              <w:jc w:val="center"/>
            </w:pPr>
            <w:r w:rsidRPr="00A40B64">
              <w:t>$9,900,000</w:t>
            </w:r>
          </w:p>
        </w:tc>
        <w:tc>
          <w:tcPr>
            <w:tcW w:w="1151" w:type="pct"/>
            <w:vAlign w:val="center"/>
          </w:tcPr>
          <w:p w14:paraId="4A683A75" w14:textId="77777777" w:rsidR="00D12268" w:rsidRPr="003816D8" w:rsidRDefault="00D12268" w:rsidP="00411D51">
            <w:pPr>
              <w:pStyle w:val="Tabletext1"/>
              <w:keepNext/>
              <w:jc w:val="center"/>
              <w:rPr>
                <w:rFonts w:cs="Calibri"/>
              </w:rPr>
            </w:pPr>
            <w:r w:rsidRPr="004D0D6A">
              <w:t>1</w:t>
            </w:r>
          </w:p>
        </w:tc>
        <w:tc>
          <w:tcPr>
            <w:tcW w:w="810" w:type="pct"/>
            <w:vAlign w:val="center"/>
          </w:tcPr>
          <w:p w14:paraId="1B978115" w14:textId="69A3B161" w:rsidR="00D12268" w:rsidRPr="003816D8" w:rsidRDefault="00D12268" w:rsidP="00411D51">
            <w:pPr>
              <w:pStyle w:val="Tabletext1"/>
              <w:keepNext/>
              <w:jc w:val="center"/>
              <w:rPr>
                <w:rFonts w:cs="Calibri"/>
              </w:rPr>
            </w:pPr>
            <w:r w:rsidRPr="001D2E66">
              <w:t>$3,000,000</w:t>
            </w:r>
          </w:p>
        </w:tc>
      </w:tr>
      <w:tr w:rsidR="00D12268" w:rsidRPr="00F77E8D" w14:paraId="76ACB58D" w14:textId="77777777" w:rsidTr="00207D12">
        <w:tc>
          <w:tcPr>
            <w:tcW w:w="1391" w:type="pct"/>
          </w:tcPr>
          <w:p w14:paraId="110E2F62" w14:textId="77777777" w:rsidR="00D12268" w:rsidRPr="003816D8" w:rsidRDefault="00D12268" w:rsidP="00556AB6">
            <w:pPr>
              <w:pStyle w:val="Tabletext1"/>
            </w:pPr>
            <w:r w:rsidRPr="00191610">
              <w:t>Lifetime of the equipment (in years)</w:t>
            </w:r>
          </w:p>
        </w:tc>
        <w:tc>
          <w:tcPr>
            <w:tcW w:w="945" w:type="pct"/>
            <w:vAlign w:val="center"/>
          </w:tcPr>
          <w:p w14:paraId="683C83C9" w14:textId="77777777" w:rsidR="00D12268" w:rsidRPr="003816D8" w:rsidRDefault="00D12268" w:rsidP="00BF261E">
            <w:pPr>
              <w:pStyle w:val="Tabletext1"/>
              <w:jc w:val="center"/>
            </w:pPr>
            <w:r w:rsidRPr="007003EF">
              <w:t>10</w:t>
            </w:r>
          </w:p>
        </w:tc>
        <w:tc>
          <w:tcPr>
            <w:tcW w:w="703" w:type="pct"/>
            <w:vAlign w:val="center"/>
          </w:tcPr>
          <w:p w14:paraId="7498B745" w14:textId="77777777" w:rsidR="00D12268" w:rsidRPr="003816D8" w:rsidRDefault="00D12268" w:rsidP="00BF261E">
            <w:pPr>
              <w:pStyle w:val="Tabletext1"/>
              <w:jc w:val="center"/>
            </w:pPr>
          </w:p>
        </w:tc>
        <w:tc>
          <w:tcPr>
            <w:tcW w:w="1151" w:type="pct"/>
            <w:vAlign w:val="center"/>
          </w:tcPr>
          <w:p w14:paraId="21BBB892" w14:textId="77777777" w:rsidR="00D12268" w:rsidRPr="003816D8" w:rsidRDefault="00D12268" w:rsidP="00BF261E">
            <w:pPr>
              <w:pStyle w:val="Tabletext1"/>
              <w:jc w:val="center"/>
            </w:pPr>
            <w:r w:rsidRPr="004D0D6A">
              <w:t>10</w:t>
            </w:r>
          </w:p>
        </w:tc>
        <w:tc>
          <w:tcPr>
            <w:tcW w:w="810" w:type="pct"/>
            <w:vAlign w:val="center"/>
          </w:tcPr>
          <w:p w14:paraId="39A47F19" w14:textId="77777777" w:rsidR="00D12268" w:rsidRPr="003816D8" w:rsidRDefault="00D12268" w:rsidP="00BF261E">
            <w:pPr>
              <w:pStyle w:val="Tabletext1"/>
              <w:jc w:val="center"/>
              <w:rPr>
                <w:rFonts w:cs="Calibri"/>
              </w:rPr>
            </w:pPr>
          </w:p>
        </w:tc>
      </w:tr>
      <w:tr w:rsidR="00D12268" w:rsidRPr="00F77E8D" w14:paraId="75BD0C66" w14:textId="77777777" w:rsidTr="00207D12">
        <w:tc>
          <w:tcPr>
            <w:tcW w:w="1391" w:type="pct"/>
          </w:tcPr>
          <w:p w14:paraId="5ABDC966" w14:textId="77777777" w:rsidR="00D12268" w:rsidRPr="003816D8" w:rsidRDefault="00D12268" w:rsidP="00556AB6">
            <w:pPr>
              <w:pStyle w:val="Tabletext1"/>
            </w:pPr>
            <w:r w:rsidRPr="00191610">
              <w:t>Depreciation (10%)</w:t>
            </w:r>
          </w:p>
        </w:tc>
        <w:tc>
          <w:tcPr>
            <w:tcW w:w="945" w:type="pct"/>
            <w:vAlign w:val="center"/>
          </w:tcPr>
          <w:p w14:paraId="3DE42C8A" w14:textId="77777777" w:rsidR="00D12268" w:rsidRPr="003816D8" w:rsidRDefault="00D12268" w:rsidP="00BF261E">
            <w:pPr>
              <w:pStyle w:val="Tabletext1"/>
              <w:jc w:val="center"/>
            </w:pPr>
            <w:r w:rsidRPr="007003EF">
              <w:t>10%</w:t>
            </w:r>
          </w:p>
        </w:tc>
        <w:tc>
          <w:tcPr>
            <w:tcW w:w="703" w:type="pct"/>
            <w:vAlign w:val="center"/>
          </w:tcPr>
          <w:p w14:paraId="758D85D8" w14:textId="606EAF59" w:rsidR="00D12268" w:rsidRPr="003816D8" w:rsidRDefault="00D12268" w:rsidP="00BF261E">
            <w:pPr>
              <w:pStyle w:val="Tabletext1"/>
              <w:jc w:val="center"/>
            </w:pPr>
            <w:r w:rsidRPr="00A40B64">
              <w:t>$4,950,000</w:t>
            </w:r>
          </w:p>
        </w:tc>
        <w:tc>
          <w:tcPr>
            <w:tcW w:w="1151" w:type="pct"/>
            <w:vAlign w:val="center"/>
          </w:tcPr>
          <w:p w14:paraId="515495E5" w14:textId="77777777" w:rsidR="00D12268" w:rsidRPr="003816D8" w:rsidRDefault="00D12268" w:rsidP="00BF261E">
            <w:pPr>
              <w:pStyle w:val="Tabletext1"/>
              <w:jc w:val="center"/>
            </w:pPr>
            <w:r w:rsidRPr="004D0D6A">
              <w:t>10%</w:t>
            </w:r>
          </w:p>
        </w:tc>
        <w:tc>
          <w:tcPr>
            <w:tcW w:w="810" w:type="pct"/>
            <w:vAlign w:val="center"/>
          </w:tcPr>
          <w:p w14:paraId="350757B8" w14:textId="57FEE791" w:rsidR="00D12268" w:rsidRPr="003816D8" w:rsidRDefault="00D12268" w:rsidP="00BF261E">
            <w:pPr>
              <w:pStyle w:val="Tabletext1"/>
              <w:jc w:val="center"/>
              <w:rPr>
                <w:rFonts w:cs="Calibri"/>
              </w:rPr>
            </w:pPr>
            <w:r w:rsidRPr="001D2E66">
              <w:t>$1,500,000</w:t>
            </w:r>
          </w:p>
        </w:tc>
      </w:tr>
      <w:tr w:rsidR="00D12268" w:rsidRPr="00F77E8D" w14:paraId="077A69A4" w14:textId="77777777" w:rsidTr="00207D12">
        <w:tc>
          <w:tcPr>
            <w:tcW w:w="1391" w:type="pct"/>
          </w:tcPr>
          <w:p w14:paraId="7091AE19" w14:textId="77777777" w:rsidR="00D12268" w:rsidRPr="003816D8" w:rsidRDefault="00D12268" w:rsidP="00556AB6">
            <w:pPr>
              <w:pStyle w:val="Tabletext1"/>
            </w:pPr>
            <w:r w:rsidRPr="00191610">
              <w:t>Cost of borrowing money (interest rate of 5%)</w:t>
            </w:r>
          </w:p>
        </w:tc>
        <w:tc>
          <w:tcPr>
            <w:tcW w:w="945" w:type="pct"/>
            <w:vAlign w:val="center"/>
          </w:tcPr>
          <w:p w14:paraId="1FD0D777" w14:textId="77777777" w:rsidR="00D12268" w:rsidRPr="003816D8" w:rsidRDefault="00D12268" w:rsidP="00BF261E">
            <w:pPr>
              <w:pStyle w:val="Tabletext1"/>
              <w:jc w:val="center"/>
            </w:pPr>
            <w:r w:rsidRPr="007003EF">
              <w:t>5%</w:t>
            </w:r>
          </w:p>
        </w:tc>
        <w:tc>
          <w:tcPr>
            <w:tcW w:w="703" w:type="pct"/>
            <w:vAlign w:val="center"/>
          </w:tcPr>
          <w:p w14:paraId="29E6B6BD" w14:textId="3A3132CC" w:rsidR="00D12268" w:rsidRPr="003816D8" w:rsidRDefault="00D12268" w:rsidP="00BF261E">
            <w:pPr>
              <w:pStyle w:val="Tabletext1"/>
              <w:jc w:val="center"/>
            </w:pPr>
            <w:r w:rsidRPr="00A40B64">
              <w:t>$2,475,000</w:t>
            </w:r>
          </w:p>
        </w:tc>
        <w:tc>
          <w:tcPr>
            <w:tcW w:w="1151" w:type="pct"/>
            <w:vAlign w:val="center"/>
          </w:tcPr>
          <w:p w14:paraId="12FD4794" w14:textId="77777777" w:rsidR="00D12268" w:rsidRPr="003816D8" w:rsidRDefault="00D12268" w:rsidP="00BF261E">
            <w:pPr>
              <w:pStyle w:val="Tabletext1"/>
              <w:jc w:val="center"/>
            </w:pPr>
            <w:r w:rsidRPr="004D0D6A">
              <w:t>5%</w:t>
            </w:r>
          </w:p>
        </w:tc>
        <w:tc>
          <w:tcPr>
            <w:tcW w:w="810" w:type="pct"/>
            <w:vAlign w:val="center"/>
          </w:tcPr>
          <w:p w14:paraId="19AFC738" w14:textId="3B60A897" w:rsidR="00D12268" w:rsidRPr="003816D8" w:rsidRDefault="00D12268" w:rsidP="00BF261E">
            <w:pPr>
              <w:pStyle w:val="Tabletext1"/>
              <w:jc w:val="center"/>
              <w:rPr>
                <w:rFonts w:cs="Calibri"/>
              </w:rPr>
            </w:pPr>
            <w:r w:rsidRPr="001D2E66">
              <w:t>$750,000</w:t>
            </w:r>
          </w:p>
        </w:tc>
      </w:tr>
      <w:tr w:rsidR="00D12268" w:rsidRPr="00F77E8D" w14:paraId="468B9CCF" w14:textId="77777777" w:rsidTr="00207D12">
        <w:tc>
          <w:tcPr>
            <w:tcW w:w="1391" w:type="pct"/>
          </w:tcPr>
          <w:p w14:paraId="7E337830" w14:textId="77777777" w:rsidR="00D12268" w:rsidRPr="002215D8" w:rsidRDefault="00D12268" w:rsidP="00556AB6">
            <w:pPr>
              <w:pStyle w:val="Tabletext1"/>
              <w:rPr>
                <w:b/>
              </w:rPr>
            </w:pPr>
            <w:r w:rsidRPr="002215D8">
              <w:rPr>
                <w:b/>
              </w:rPr>
              <w:t>Total capital cost over lifetime</w:t>
            </w:r>
          </w:p>
        </w:tc>
        <w:tc>
          <w:tcPr>
            <w:tcW w:w="945" w:type="pct"/>
            <w:vAlign w:val="center"/>
          </w:tcPr>
          <w:p w14:paraId="1796D1CF" w14:textId="77777777" w:rsidR="00D12268" w:rsidRPr="003816D8" w:rsidRDefault="00D12268" w:rsidP="00BF261E">
            <w:pPr>
              <w:pStyle w:val="Tabletext1"/>
              <w:jc w:val="center"/>
            </w:pPr>
          </w:p>
        </w:tc>
        <w:tc>
          <w:tcPr>
            <w:tcW w:w="703" w:type="pct"/>
            <w:vAlign w:val="center"/>
          </w:tcPr>
          <w:p w14:paraId="0FFBBC28" w14:textId="0C18CF1A" w:rsidR="00D12268" w:rsidRPr="003816D8" w:rsidRDefault="00D12268" w:rsidP="00BF261E">
            <w:pPr>
              <w:pStyle w:val="Tabletext1"/>
              <w:jc w:val="center"/>
            </w:pPr>
            <w:r w:rsidRPr="00A40B64">
              <w:t>$17,325,000</w:t>
            </w:r>
          </w:p>
        </w:tc>
        <w:tc>
          <w:tcPr>
            <w:tcW w:w="1151" w:type="pct"/>
            <w:vAlign w:val="center"/>
          </w:tcPr>
          <w:p w14:paraId="476E08B9" w14:textId="77777777" w:rsidR="00D12268" w:rsidRPr="002215D8" w:rsidRDefault="00D12268" w:rsidP="00BF261E">
            <w:pPr>
              <w:pStyle w:val="Tabletext1"/>
              <w:jc w:val="center"/>
              <w:rPr>
                <w:b/>
              </w:rPr>
            </w:pPr>
          </w:p>
        </w:tc>
        <w:tc>
          <w:tcPr>
            <w:tcW w:w="810" w:type="pct"/>
            <w:vAlign w:val="center"/>
          </w:tcPr>
          <w:p w14:paraId="635171E7" w14:textId="2779B564" w:rsidR="00D12268" w:rsidRPr="002215D8" w:rsidRDefault="00D12268" w:rsidP="00BF261E">
            <w:pPr>
              <w:pStyle w:val="Tabletext1"/>
              <w:jc w:val="center"/>
              <w:rPr>
                <w:rFonts w:cs="Calibri"/>
                <w:b/>
              </w:rPr>
            </w:pPr>
            <w:r w:rsidRPr="001D2E66">
              <w:t>$5,250,000</w:t>
            </w:r>
          </w:p>
        </w:tc>
      </w:tr>
      <w:tr w:rsidR="00D12268" w:rsidRPr="00F77E8D" w14:paraId="66FDE20C" w14:textId="77777777" w:rsidTr="00207D12">
        <w:tc>
          <w:tcPr>
            <w:tcW w:w="1391" w:type="pct"/>
          </w:tcPr>
          <w:p w14:paraId="50437260" w14:textId="77777777" w:rsidR="00D12268" w:rsidRPr="003816D8" w:rsidRDefault="00D12268" w:rsidP="00556AB6">
            <w:pPr>
              <w:pStyle w:val="Tabletext1"/>
              <w:rPr>
                <w:b/>
              </w:rPr>
            </w:pPr>
            <w:r w:rsidRPr="00205262">
              <w:rPr>
                <w:b/>
              </w:rPr>
              <w:t>Maintenance cost</w:t>
            </w:r>
          </w:p>
        </w:tc>
        <w:tc>
          <w:tcPr>
            <w:tcW w:w="945" w:type="pct"/>
            <w:vAlign w:val="center"/>
          </w:tcPr>
          <w:p w14:paraId="46879D59" w14:textId="77777777" w:rsidR="00D12268" w:rsidRPr="003816D8" w:rsidRDefault="00D12268" w:rsidP="00BF261E">
            <w:pPr>
              <w:pStyle w:val="Tabletext1"/>
              <w:jc w:val="center"/>
              <w:rPr>
                <w:b/>
              </w:rPr>
            </w:pPr>
          </w:p>
        </w:tc>
        <w:tc>
          <w:tcPr>
            <w:tcW w:w="703" w:type="pct"/>
            <w:vAlign w:val="center"/>
          </w:tcPr>
          <w:p w14:paraId="5BAC3C51" w14:textId="77777777" w:rsidR="00D12268" w:rsidRPr="003816D8" w:rsidRDefault="00D12268" w:rsidP="00BF261E">
            <w:pPr>
              <w:pStyle w:val="Tabletext1"/>
              <w:jc w:val="center"/>
              <w:rPr>
                <w:b/>
              </w:rPr>
            </w:pPr>
          </w:p>
        </w:tc>
        <w:tc>
          <w:tcPr>
            <w:tcW w:w="1151" w:type="pct"/>
            <w:vAlign w:val="center"/>
          </w:tcPr>
          <w:p w14:paraId="7992D939" w14:textId="77777777" w:rsidR="00D12268" w:rsidRPr="003816D8" w:rsidRDefault="00D12268" w:rsidP="00BF261E">
            <w:pPr>
              <w:pStyle w:val="Tabletext1"/>
              <w:jc w:val="center"/>
              <w:rPr>
                <w:rFonts w:cs="Calibri"/>
                <w:b/>
              </w:rPr>
            </w:pPr>
          </w:p>
        </w:tc>
        <w:tc>
          <w:tcPr>
            <w:tcW w:w="810" w:type="pct"/>
            <w:vAlign w:val="center"/>
          </w:tcPr>
          <w:p w14:paraId="11A44BD5" w14:textId="77777777" w:rsidR="00D12268" w:rsidRPr="003816D8" w:rsidRDefault="00D12268" w:rsidP="00BF261E">
            <w:pPr>
              <w:pStyle w:val="Tabletext1"/>
              <w:jc w:val="center"/>
              <w:rPr>
                <w:rFonts w:cs="Calibri"/>
                <w:b/>
              </w:rPr>
            </w:pPr>
          </w:p>
        </w:tc>
      </w:tr>
      <w:tr w:rsidR="00D12268" w:rsidRPr="00F77E8D" w14:paraId="3230AB6F" w14:textId="77777777" w:rsidTr="00207D12">
        <w:tc>
          <w:tcPr>
            <w:tcW w:w="1391" w:type="pct"/>
          </w:tcPr>
          <w:p w14:paraId="34D5E4FD" w14:textId="77777777" w:rsidR="00D12268" w:rsidRPr="003816D8" w:rsidRDefault="00D12268" w:rsidP="00556AB6">
            <w:pPr>
              <w:pStyle w:val="Tabletext1"/>
            </w:pPr>
            <w:r w:rsidRPr="005325AE">
              <w:t>Service contract (for 8 years, first 2 years included)</w:t>
            </w:r>
          </w:p>
        </w:tc>
        <w:tc>
          <w:tcPr>
            <w:tcW w:w="945" w:type="pct"/>
            <w:vAlign w:val="center"/>
          </w:tcPr>
          <w:p w14:paraId="0CBE96B4" w14:textId="77777777" w:rsidR="00D12268" w:rsidRPr="003816D8" w:rsidRDefault="00D12268" w:rsidP="00BF261E">
            <w:pPr>
              <w:pStyle w:val="Tabletext1"/>
              <w:jc w:val="center"/>
            </w:pPr>
            <w:r w:rsidRPr="00523BB5">
              <w:t>8</w:t>
            </w:r>
          </w:p>
        </w:tc>
        <w:tc>
          <w:tcPr>
            <w:tcW w:w="703" w:type="pct"/>
            <w:vAlign w:val="center"/>
          </w:tcPr>
          <w:p w14:paraId="06A8343C" w14:textId="78EDAC42" w:rsidR="00D12268" w:rsidRPr="003816D8" w:rsidRDefault="00D12268" w:rsidP="00BF261E">
            <w:pPr>
              <w:pStyle w:val="Tabletext1"/>
              <w:jc w:val="center"/>
            </w:pPr>
            <w:r w:rsidRPr="008E3FAF">
              <w:t>$6,000,000</w:t>
            </w:r>
          </w:p>
        </w:tc>
        <w:tc>
          <w:tcPr>
            <w:tcW w:w="1151" w:type="pct"/>
            <w:vAlign w:val="center"/>
          </w:tcPr>
          <w:p w14:paraId="7DE8A827" w14:textId="77777777" w:rsidR="00D12268" w:rsidRPr="003816D8" w:rsidRDefault="00D12268" w:rsidP="00BF261E">
            <w:pPr>
              <w:pStyle w:val="Tabletext1"/>
              <w:jc w:val="center"/>
              <w:rPr>
                <w:rFonts w:cs="Calibri"/>
              </w:rPr>
            </w:pPr>
            <w:r w:rsidRPr="005D0A99">
              <w:t>8</w:t>
            </w:r>
          </w:p>
        </w:tc>
        <w:tc>
          <w:tcPr>
            <w:tcW w:w="810" w:type="pct"/>
            <w:vAlign w:val="center"/>
          </w:tcPr>
          <w:p w14:paraId="6187CF82" w14:textId="1479088C" w:rsidR="00D12268" w:rsidRPr="003816D8" w:rsidRDefault="00D12268" w:rsidP="00BF261E">
            <w:pPr>
              <w:pStyle w:val="Tabletext1"/>
              <w:jc w:val="center"/>
              <w:rPr>
                <w:rFonts w:cs="Calibri"/>
              </w:rPr>
            </w:pPr>
            <w:r w:rsidRPr="00F83E0F">
              <w:t>$2,520,000</w:t>
            </w:r>
          </w:p>
        </w:tc>
      </w:tr>
      <w:tr w:rsidR="00D12268" w:rsidRPr="00F77E8D" w14:paraId="2C356AF6" w14:textId="77777777" w:rsidTr="00207D12">
        <w:tc>
          <w:tcPr>
            <w:tcW w:w="1391" w:type="pct"/>
          </w:tcPr>
          <w:p w14:paraId="102D88CF" w14:textId="77777777" w:rsidR="00D12268" w:rsidRPr="003816D8" w:rsidRDefault="00D12268" w:rsidP="00556AB6">
            <w:pPr>
              <w:pStyle w:val="Tabletext1"/>
              <w:rPr>
                <w:snapToGrid w:val="0"/>
                <w:lang w:eastAsia="en-US"/>
              </w:rPr>
            </w:pPr>
            <w:r w:rsidRPr="005325AE">
              <w:t xml:space="preserve">Service provision/Maintenance cost with interest </w:t>
            </w:r>
          </w:p>
        </w:tc>
        <w:tc>
          <w:tcPr>
            <w:tcW w:w="945" w:type="pct"/>
            <w:vAlign w:val="center"/>
          </w:tcPr>
          <w:p w14:paraId="3DE62B9D" w14:textId="77777777" w:rsidR="00D12268" w:rsidRPr="003816D8" w:rsidRDefault="00D12268" w:rsidP="00BF261E">
            <w:pPr>
              <w:pStyle w:val="Tabletext1"/>
              <w:jc w:val="center"/>
              <w:rPr>
                <w:snapToGrid w:val="0"/>
                <w:lang w:eastAsia="en-US"/>
              </w:rPr>
            </w:pPr>
            <w:r>
              <w:rPr>
                <w:snapToGrid w:val="0"/>
                <w:lang w:eastAsia="en-US"/>
              </w:rPr>
              <w:t>5%</w:t>
            </w:r>
          </w:p>
        </w:tc>
        <w:tc>
          <w:tcPr>
            <w:tcW w:w="703" w:type="pct"/>
            <w:vAlign w:val="center"/>
          </w:tcPr>
          <w:p w14:paraId="42240BA3" w14:textId="77777777" w:rsidR="00D12268" w:rsidRPr="003816D8" w:rsidRDefault="00D12268" w:rsidP="00BF261E">
            <w:pPr>
              <w:pStyle w:val="Tabletext1"/>
              <w:jc w:val="center"/>
              <w:rPr>
                <w:snapToGrid w:val="0"/>
                <w:lang w:eastAsia="en-US"/>
              </w:rPr>
            </w:pPr>
            <w:r w:rsidRPr="008E3FAF">
              <w:t>$1,200,000</w:t>
            </w:r>
          </w:p>
        </w:tc>
        <w:tc>
          <w:tcPr>
            <w:tcW w:w="1151" w:type="pct"/>
            <w:vAlign w:val="center"/>
          </w:tcPr>
          <w:p w14:paraId="7BDF51BD" w14:textId="77777777" w:rsidR="00D12268" w:rsidRPr="003816D8" w:rsidRDefault="00D12268" w:rsidP="00BF261E">
            <w:pPr>
              <w:pStyle w:val="Tabletext1"/>
              <w:jc w:val="center"/>
              <w:rPr>
                <w:snapToGrid w:val="0"/>
                <w:lang w:eastAsia="en-US"/>
              </w:rPr>
            </w:pPr>
            <w:r w:rsidRPr="005D0A99">
              <w:t>5%</w:t>
            </w:r>
          </w:p>
        </w:tc>
        <w:tc>
          <w:tcPr>
            <w:tcW w:w="810" w:type="pct"/>
            <w:vAlign w:val="center"/>
          </w:tcPr>
          <w:p w14:paraId="414FC495" w14:textId="77777777" w:rsidR="00D12268" w:rsidRPr="003816D8" w:rsidRDefault="00D12268" w:rsidP="00BF261E">
            <w:pPr>
              <w:pStyle w:val="Tabletext1"/>
              <w:jc w:val="center"/>
              <w:rPr>
                <w:rFonts w:cs="Calibri"/>
              </w:rPr>
            </w:pPr>
            <w:r w:rsidRPr="00F83E0F">
              <w:t>$504,000</w:t>
            </w:r>
          </w:p>
        </w:tc>
      </w:tr>
      <w:tr w:rsidR="00D12268" w:rsidRPr="00F77E8D" w14:paraId="14352C01" w14:textId="77777777" w:rsidTr="00207D12">
        <w:tc>
          <w:tcPr>
            <w:tcW w:w="1391" w:type="pct"/>
            <w:tcBorders>
              <w:bottom w:val="single" w:sz="4" w:space="0" w:color="auto"/>
            </w:tcBorders>
          </w:tcPr>
          <w:p w14:paraId="18552940" w14:textId="77777777" w:rsidR="00D12268" w:rsidRPr="00205262" w:rsidRDefault="00D12268" w:rsidP="00556AB6">
            <w:pPr>
              <w:pStyle w:val="Tabletext1"/>
              <w:rPr>
                <w:b/>
                <w:snapToGrid w:val="0"/>
                <w:lang w:eastAsia="en-US"/>
              </w:rPr>
            </w:pPr>
            <w:r w:rsidRPr="00205262">
              <w:rPr>
                <w:b/>
              </w:rPr>
              <w:t>Total cost of Service provision/Maintenance over lifetime</w:t>
            </w:r>
          </w:p>
        </w:tc>
        <w:tc>
          <w:tcPr>
            <w:tcW w:w="945" w:type="pct"/>
            <w:tcBorders>
              <w:bottom w:val="single" w:sz="4" w:space="0" w:color="auto"/>
            </w:tcBorders>
            <w:vAlign w:val="center"/>
          </w:tcPr>
          <w:p w14:paraId="161C337A" w14:textId="77777777" w:rsidR="00D12268" w:rsidRPr="00205262" w:rsidRDefault="00D12268" w:rsidP="00BF261E">
            <w:pPr>
              <w:pStyle w:val="Tabletext1"/>
              <w:jc w:val="center"/>
              <w:rPr>
                <w:b/>
                <w:snapToGrid w:val="0"/>
                <w:lang w:eastAsia="en-US"/>
              </w:rPr>
            </w:pPr>
          </w:p>
        </w:tc>
        <w:tc>
          <w:tcPr>
            <w:tcW w:w="703" w:type="pct"/>
            <w:tcBorders>
              <w:bottom w:val="single" w:sz="4" w:space="0" w:color="auto"/>
            </w:tcBorders>
            <w:vAlign w:val="center"/>
          </w:tcPr>
          <w:p w14:paraId="52EF7DC6" w14:textId="77777777" w:rsidR="00D12268" w:rsidRPr="00205262" w:rsidRDefault="00D12268" w:rsidP="00BF261E">
            <w:pPr>
              <w:pStyle w:val="Tabletext1"/>
              <w:jc w:val="center"/>
              <w:rPr>
                <w:b/>
              </w:rPr>
            </w:pPr>
            <w:r w:rsidRPr="00523BB5">
              <w:rPr>
                <w:b/>
              </w:rPr>
              <w:t>$7,200,000</w:t>
            </w:r>
          </w:p>
        </w:tc>
        <w:tc>
          <w:tcPr>
            <w:tcW w:w="1151" w:type="pct"/>
            <w:tcBorders>
              <w:bottom w:val="single" w:sz="4" w:space="0" w:color="auto"/>
            </w:tcBorders>
            <w:vAlign w:val="center"/>
          </w:tcPr>
          <w:p w14:paraId="48B90672" w14:textId="77777777" w:rsidR="00D12268" w:rsidRPr="00205262" w:rsidRDefault="00D12268" w:rsidP="00BF261E">
            <w:pPr>
              <w:pStyle w:val="Tabletext1"/>
              <w:jc w:val="center"/>
              <w:rPr>
                <w:rFonts w:cs="Calibri"/>
                <w:b/>
              </w:rPr>
            </w:pPr>
          </w:p>
        </w:tc>
        <w:tc>
          <w:tcPr>
            <w:tcW w:w="810" w:type="pct"/>
            <w:tcBorders>
              <w:bottom w:val="single" w:sz="4" w:space="0" w:color="auto"/>
            </w:tcBorders>
            <w:vAlign w:val="center"/>
          </w:tcPr>
          <w:p w14:paraId="7D39245E" w14:textId="77777777" w:rsidR="00D12268" w:rsidRPr="00523BB5" w:rsidRDefault="00D12268" w:rsidP="00BF261E">
            <w:pPr>
              <w:pStyle w:val="Tabletext1"/>
              <w:jc w:val="center"/>
              <w:rPr>
                <w:rFonts w:cs="Calibri"/>
                <w:b/>
              </w:rPr>
            </w:pPr>
            <w:r w:rsidRPr="00523BB5">
              <w:rPr>
                <w:b/>
              </w:rPr>
              <w:t>$3,024,000</w:t>
            </w:r>
          </w:p>
        </w:tc>
      </w:tr>
      <w:tr w:rsidR="00207D12" w:rsidRPr="00F77E8D" w14:paraId="490D3901" w14:textId="77777777" w:rsidTr="00207D12">
        <w:tc>
          <w:tcPr>
            <w:tcW w:w="1391" w:type="pct"/>
            <w:tcBorders>
              <w:right w:val="nil"/>
            </w:tcBorders>
          </w:tcPr>
          <w:p w14:paraId="67A9C0BE" w14:textId="1177242F" w:rsidR="00207D12" w:rsidRPr="00D24180" w:rsidRDefault="00207D12" w:rsidP="008B6FC0">
            <w:pPr>
              <w:pStyle w:val="Tabletext1"/>
              <w:keepNext/>
              <w:rPr>
                <w:b/>
                <w:snapToGrid w:val="0"/>
                <w:lang w:eastAsia="en-US"/>
              </w:rPr>
            </w:pPr>
            <w:r w:rsidRPr="00D24180">
              <w:rPr>
                <w:b/>
                <w:snapToGrid w:val="0"/>
                <w:lang w:eastAsia="en-US"/>
              </w:rPr>
              <w:t xml:space="preserve">Estimation of cost from </w:t>
            </w:r>
            <w:hyperlink w:anchor="_ENREF_62" w:tooltip="Schumacher, 2020 #93" w:history="1">
              <w:r>
                <w:rPr>
                  <w:b/>
                  <w:snapToGrid w:val="0"/>
                  <w:lang w:eastAsia="en-US"/>
                </w:rPr>
                <w:fldChar w:fldCharType="begin"/>
              </w:r>
              <w:r>
                <w:rPr>
                  <w:b/>
                  <w:snapToGrid w:val="0"/>
                  <w:lang w:eastAsia="en-US"/>
                </w:rPr>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Pr>
                  <w:b/>
                  <w:snapToGrid w:val="0"/>
                  <w:lang w:eastAsia="en-US"/>
                </w:rPr>
                <w:fldChar w:fldCharType="separate"/>
              </w:r>
              <w:r>
                <w:rPr>
                  <w:b/>
                  <w:noProof/>
                  <w:snapToGrid w:val="0"/>
                  <w:lang w:eastAsia="en-US"/>
                </w:rPr>
                <w:t>Schumacher et al. (2020)</w:t>
              </w:r>
              <w:r>
                <w:rPr>
                  <w:b/>
                  <w:snapToGrid w:val="0"/>
                  <w:lang w:eastAsia="en-US"/>
                </w:rPr>
                <w:fldChar w:fldCharType="end"/>
              </w:r>
            </w:hyperlink>
          </w:p>
        </w:tc>
        <w:tc>
          <w:tcPr>
            <w:tcW w:w="945" w:type="pct"/>
            <w:tcBorders>
              <w:left w:val="nil"/>
              <w:right w:val="nil"/>
            </w:tcBorders>
          </w:tcPr>
          <w:p w14:paraId="765429A3" w14:textId="77777777" w:rsidR="00207D12" w:rsidRPr="00D24180" w:rsidRDefault="00207D12" w:rsidP="008B6FC0">
            <w:pPr>
              <w:pStyle w:val="Tabletext1"/>
              <w:keepNext/>
              <w:rPr>
                <w:b/>
                <w:snapToGrid w:val="0"/>
                <w:lang w:eastAsia="en-US"/>
              </w:rPr>
            </w:pPr>
          </w:p>
        </w:tc>
        <w:tc>
          <w:tcPr>
            <w:tcW w:w="703" w:type="pct"/>
            <w:tcBorders>
              <w:left w:val="nil"/>
              <w:right w:val="nil"/>
            </w:tcBorders>
          </w:tcPr>
          <w:p w14:paraId="15CE52A5" w14:textId="77777777" w:rsidR="00207D12" w:rsidRPr="00D24180" w:rsidRDefault="00207D12" w:rsidP="008B6FC0">
            <w:pPr>
              <w:pStyle w:val="Tabletext1"/>
              <w:keepNext/>
              <w:rPr>
                <w:b/>
                <w:snapToGrid w:val="0"/>
                <w:lang w:eastAsia="en-US"/>
              </w:rPr>
            </w:pPr>
          </w:p>
        </w:tc>
        <w:tc>
          <w:tcPr>
            <w:tcW w:w="1151" w:type="pct"/>
            <w:tcBorders>
              <w:left w:val="nil"/>
              <w:right w:val="nil"/>
            </w:tcBorders>
          </w:tcPr>
          <w:p w14:paraId="2745444F" w14:textId="77777777" w:rsidR="00207D12" w:rsidRPr="00D24180" w:rsidRDefault="00207D12" w:rsidP="008B6FC0">
            <w:pPr>
              <w:pStyle w:val="Tabletext1"/>
              <w:keepNext/>
              <w:rPr>
                <w:b/>
                <w:snapToGrid w:val="0"/>
                <w:lang w:eastAsia="en-US"/>
              </w:rPr>
            </w:pPr>
          </w:p>
        </w:tc>
        <w:tc>
          <w:tcPr>
            <w:tcW w:w="810" w:type="pct"/>
            <w:tcBorders>
              <w:left w:val="nil"/>
            </w:tcBorders>
          </w:tcPr>
          <w:p w14:paraId="56E5CD99" w14:textId="562F179D" w:rsidR="00207D12" w:rsidRPr="00D24180" w:rsidRDefault="00207D12" w:rsidP="008B6FC0">
            <w:pPr>
              <w:pStyle w:val="Tabletext1"/>
              <w:keepNext/>
              <w:rPr>
                <w:b/>
                <w:snapToGrid w:val="0"/>
                <w:lang w:eastAsia="en-US"/>
              </w:rPr>
            </w:pPr>
          </w:p>
        </w:tc>
      </w:tr>
      <w:tr w:rsidR="00D12268" w:rsidRPr="00F77E8D" w14:paraId="0344EB89" w14:textId="77777777" w:rsidTr="00207D12">
        <w:tc>
          <w:tcPr>
            <w:tcW w:w="1391" w:type="pct"/>
          </w:tcPr>
          <w:p w14:paraId="1B50ADB6" w14:textId="77777777" w:rsidR="00D12268" w:rsidRPr="0016625F" w:rsidRDefault="00D12268" w:rsidP="008B6FC0">
            <w:pPr>
              <w:pStyle w:val="Tabletext1"/>
              <w:keepNext/>
              <w:rPr>
                <w:b/>
                <w:snapToGrid w:val="0"/>
                <w:lang w:eastAsia="en-US"/>
              </w:rPr>
            </w:pPr>
            <w:r w:rsidRPr="0016625F">
              <w:rPr>
                <w:b/>
              </w:rPr>
              <w:t>Consultation</w:t>
            </w:r>
          </w:p>
        </w:tc>
        <w:tc>
          <w:tcPr>
            <w:tcW w:w="945" w:type="pct"/>
            <w:vAlign w:val="center"/>
          </w:tcPr>
          <w:p w14:paraId="0124EA80" w14:textId="77777777" w:rsidR="00D12268" w:rsidRPr="003816D8" w:rsidRDefault="00D12268" w:rsidP="008B6FC0">
            <w:pPr>
              <w:pStyle w:val="Tabletext1"/>
              <w:keepNext/>
              <w:jc w:val="center"/>
              <w:rPr>
                <w:snapToGrid w:val="0"/>
                <w:lang w:eastAsia="en-US"/>
              </w:rPr>
            </w:pPr>
          </w:p>
        </w:tc>
        <w:tc>
          <w:tcPr>
            <w:tcW w:w="703" w:type="pct"/>
            <w:vAlign w:val="center"/>
          </w:tcPr>
          <w:p w14:paraId="0044D9A4" w14:textId="77777777" w:rsidR="00D12268" w:rsidRPr="003816D8" w:rsidRDefault="00D12268" w:rsidP="008B6FC0">
            <w:pPr>
              <w:pStyle w:val="Tabletext1"/>
              <w:keepNext/>
              <w:jc w:val="center"/>
            </w:pPr>
          </w:p>
        </w:tc>
        <w:tc>
          <w:tcPr>
            <w:tcW w:w="1151" w:type="pct"/>
            <w:vAlign w:val="center"/>
          </w:tcPr>
          <w:p w14:paraId="6C5E1157" w14:textId="77777777" w:rsidR="00D12268" w:rsidRPr="003816D8" w:rsidRDefault="00D12268" w:rsidP="008B6FC0">
            <w:pPr>
              <w:pStyle w:val="Tabletext1"/>
              <w:keepNext/>
              <w:jc w:val="center"/>
              <w:rPr>
                <w:rFonts w:cs="Calibri"/>
              </w:rPr>
            </w:pPr>
          </w:p>
        </w:tc>
        <w:tc>
          <w:tcPr>
            <w:tcW w:w="810" w:type="pct"/>
            <w:vAlign w:val="center"/>
          </w:tcPr>
          <w:p w14:paraId="6FCC14C0" w14:textId="77777777" w:rsidR="00D12268" w:rsidRPr="003816D8" w:rsidRDefault="00D12268" w:rsidP="008B6FC0">
            <w:pPr>
              <w:pStyle w:val="Tabletext1"/>
              <w:keepNext/>
              <w:jc w:val="center"/>
              <w:rPr>
                <w:snapToGrid w:val="0"/>
                <w:lang w:eastAsia="en-US"/>
              </w:rPr>
            </w:pPr>
          </w:p>
        </w:tc>
      </w:tr>
      <w:tr w:rsidR="00D12268" w:rsidRPr="00F77E8D" w14:paraId="78CC36BA" w14:textId="77777777" w:rsidTr="00207D12">
        <w:tc>
          <w:tcPr>
            <w:tcW w:w="1391" w:type="pct"/>
          </w:tcPr>
          <w:p w14:paraId="060C9BE6" w14:textId="77777777" w:rsidR="00D12268" w:rsidRPr="00A82576" w:rsidRDefault="00D12268" w:rsidP="008B6FC0">
            <w:pPr>
              <w:pStyle w:val="Tabletext1"/>
              <w:keepNext/>
              <w:rPr>
                <w:b/>
                <w:snapToGrid w:val="0"/>
                <w:lang w:eastAsia="en-US"/>
              </w:rPr>
            </w:pPr>
            <w:r w:rsidRPr="008B05B6">
              <w:t>Radiation Oncologist</w:t>
            </w:r>
          </w:p>
        </w:tc>
        <w:tc>
          <w:tcPr>
            <w:tcW w:w="945" w:type="pct"/>
            <w:vAlign w:val="center"/>
          </w:tcPr>
          <w:p w14:paraId="2CC571B8" w14:textId="7A727223" w:rsidR="00D12268" w:rsidRPr="003816D8" w:rsidRDefault="00D12268" w:rsidP="008B6FC0">
            <w:pPr>
              <w:pStyle w:val="Tabletext1"/>
              <w:keepNext/>
              <w:jc w:val="center"/>
              <w:rPr>
                <w:snapToGrid w:val="0"/>
                <w:lang w:eastAsia="en-US"/>
              </w:rPr>
            </w:pPr>
            <w:r w:rsidRPr="00B54BA5">
              <w:t>1 hr * 5714 patients</w:t>
            </w:r>
          </w:p>
        </w:tc>
        <w:tc>
          <w:tcPr>
            <w:tcW w:w="703" w:type="pct"/>
            <w:vAlign w:val="center"/>
          </w:tcPr>
          <w:p w14:paraId="2DA85BEE" w14:textId="5790FF87" w:rsidR="00D12268" w:rsidRPr="003816D8" w:rsidRDefault="00D12268" w:rsidP="008B6FC0">
            <w:pPr>
              <w:pStyle w:val="Tabletext1"/>
              <w:keepNext/>
              <w:jc w:val="center"/>
            </w:pPr>
            <w:r w:rsidRPr="00321BDD">
              <w:t>$611,705</w:t>
            </w:r>
          </w:p>
        </w:tc>
        <w:tc>
          <w:tcPr>
            <w:tcW w:w="1151" w:type="pct"/>
            <w:vAlign w:val="center"/>
          </w:tcPr>
          <w:p w14:paraId="2EDB779E" w14:textId="707F25A7" w:rsidR="00D12268" w:rsidRPr="003816D8" w:rsidRDefault="00D12268" w:rsidP="008B6FC0">
            <w:pPr>
              <w:pStyle w:val="Tabletext1"/>
              <w:keepNext/>
              <w:jc w:val="center"/>
              <w:rPr>
                <w:rFonts w:cs="Calibri"/>
              </w:rPr>
            </w:pPr>
            <w:r w:rsidRPr="00321BDD">
              <w:t>1hr * 12000 patients</w:t>
            </w:r>
          </w:p>
        </w:tc>
        <w:tc>
          <w:tcPr>
            <w:tcW w:w="810" w:type="pct"/>
            <w:vAlign w:val="center"/>
          </w:tcPr>
          <w:p w14:paraId="3488A26E" w14:textId="6AF32D27" w:rsidR="00D12268" w:rsidRPr="003816D8" w:rsidRDefault="00D12268" w:rsidP="008B6FC0">
            <w:pPr>
              <w:pStyle w:val="Tabletext1"/>
              <w:keepNext/>
              <w:jc w:val="center"/>
              <w:rPr>
                <w:snapToGrid w:val="0"/>
                <w:lang w:eastAsia="en-US"/>
              </w:rPr>
            </w:pPr>
            <w:r w:rsidRPr="00321BDD">
              <w:t>$1,284,645</w:t>
            </w:r>
          </w:p>
        </w:tc>
      </w:tr>
      <w:tr w:rsidR="00D12268" w:rsidRPr="00F77E8D" w14:paraId="6F98C862" w14:textId="77777777" w:rsidTr="00207D12">
        <w:tc>
          <w:tcPr>
            <w:tcW w:w="1391" w:type="pct"/>
          </w:tcPr>
          <w:p w14:paraId="4D5C812E" w14:textId="77777777" w:rsidR="00D12268" w:rsidRDefault="00D12268" w:rsidP="00556AB6">
            <w:pPr>
              <w:pStyle w:val="Tabletext1"/>
              <w:rPr>
                <w:b/>
                <w:snapToGrid w:val="0"/>
                <w:lang w:eastAsia="en-US"/>
              </w:rPr>
            </w:pPr>
            <w:r w:rsidRPr="008B05B6">
              <w:t>Nurse</w:t>
            </w:r>
          </w:p>
        </w:tc>
        <w:tc>
          <w:tcPr>
            <w:tcW w:w="945" w:type="pct"/>
            <w:vAlign w:val="center"/>
          </w:tcPr>
          <w:p w14:paraId="70D4B0D4" w14:textId="4D7EE579" w:rsidR="00D12268" w:rsidRPr="003816D8" w:rsidRDefault="00D12268" w:rsidP="00BF261E">
            <w:pPr>
              <w:pStyle w:val="Tabletext1"/>
              <w:jc w:val="center"/>
              <w:rPr>
                <w:b/>
                <w:snapToGrid w:val="0"/>
                <w:lang w:eastAsia="en-US"/>
              </w:rPr>
            </w:pPr>
            <w:r w:rsidRPr="00B54BA5">
              <w:t>1 hr * 5714 patients</w:t>
            </w:r>
          </w:p>
        </w:tc>
        <w:tc>
          <w:tcPr>
            <w:tcW w:w="703" w:type="pct"/>
            <w:vAlign w:val="center"/>
          </w:tcPr>
          <w:p w14:paraId="2A909D2B" w14:textId="720AF826" w:rsidR="00D12268" w:rsidRPr="003816D8" w:rsidRDefault="00D12268" w:rsidP="00BF261E">
            <w:pPr>
              <w:pStyle w:val="Tabletext1"/>
              <w:jc w:val="center"/>
              <w:rPr>
                <w:b/>
              </w:rPr>
            </w:pPr>
            <w:r w:rsidRPr="00321BDD">
              <w:t>$211,418</w:t>
            </w:r>
          </w:p>
        </w:tc>
        <w:tc>
          <w:tcPr>
            <w:tcW w:w="1151" w:type="pct"/>
            <w:vAlign w:val="center"/>
          </w:tcPr>
          <w:p w14:paraId="08EA40AF" w14:textId="60F5F78C" w:rsidR="00D12268" w:rsidRPr="003816D8" w:rsidRDefault="00D12268" w:rsidP="00BF261E">
            <w:pPr>
              <w:pStyle w:val="Tabletext1"/>
              <w:jc w:val="center"/>
              <w:rPr>
                <w:rFonts w:cs="Calibri"/>
                <w:b/>
              </w:rPr>
            </w:pPr>
            <w:r w:rsidRPr="00321BDD">
              <w:t>1hr * 12000 patients</w:t>
            </w:r>
          </w:p>
        </w:tc>
        <w:tc>
          <w:tcPr>
            <w:tcW w:w="810" w:type="pct"/>
            <w:vAlign w:val="center"/>
          </w:tcPr>
          <w:p w14:paraId="1DC026AF" w14:textId="7EA2A957" w:rsidR="00D12268" w:rsidRDefault="00D12268" w:rsidP="00BF261E">
            <w:pPr>
              <w:pStyle w:val="Tabletext1"/>
              <w:jc w:val="center"/>
              <w:rPr>
                <w:rFonts w:cs="Calibri"/>
                <w:b/>
              </w:rPr>
            </w:pPr>
            <w:r w:rsidRPr="00321BDD">
              <w:t>$444,000</w:t>
            </w:r>
          </w:p>
        </w:tc>
      </w:tr>
      <w:tr w:rsidR="00D12268" w:rsidRPr="00F77E8D" w14:paraId="47E67802" w14:textId="77777777" w:rsidTr="00207D12">
        <w:tc>
          <w:tcPr>
            <w:tcW w:w="1391" w:type="pct"/>
          </w:tcPr>
          <w:p w14:paraId="534C5C60" w14:textId="77777777" w:rsidR="00D12268" w:rsidRDefault="00D12268" w:rsidP="00556AB6">
            <w:pPr>
              <w:pStyle w:val="Tabletext1"/>
              <w:rPr>
                <w:b/>
                <w:snapToGrid w:val="0"/>
                <w:lang w:eastAsia="en-US"/>
              </w:rPr>
            </w:pPr>
            <w:r w:rsidRPr="008B05B6">
              <w:t>Receptionist</w:t>
            </w:r>
          </w:p>
        </w:tc>
        <w:tc>
          <w:tcPr>
            <w:tcW w:w="945" w:type="pct"/>
            <w:vAlign w:val="center"/>
          </w:tcPr>
          <w:p w14:paraId="3380A39F" w14:textId="6CD1A89A" w:rsidR="00D12268" w:rsidRPr="003816D8" w:rsidRDefault="00D12268" w:rsidP="00BF261E">
            <w:pPr>
              <w:pStyle w:val="Tabletext1"/>
              <w:jc w:val="center"/>
              <w:rPr>
                <w:b/>
                <w:snapToGrid w:val="0"/>
                <w:lang w:eastAsia="en-US"/>
              </w:rPr>
            </w:pPr>
            <w:r w:rsidRPr="00B54BA5">
              <w:t>1 hr * 5714 patients</w:t>
            </w:r>
          </w:p>
        </w:tc>
        <w:tc>
          <w:tcPr>
            <w:tcW w:w="703" w:type="pct"/>
            <w:vAlign w:val="center"/>
          </w:tcPr>
          <w:p w14:paraId="6911CEF2" w14:textId="6097747C" w:rsidR="00D12268" w:rsidRPr="003816D8" w:rsidRDefault="00D12268" w:rsidP="00BF261E">
            <w:pPr>
              <w:pStyle w:val="Tabletext1"/>
              <w:jc w:val="center"/>
              <w:rPr>
                <w:b/>
              </w:rPr>
            </w:pPr>
            <w:r w:rsidRPr="00321BDD">
              <w:t>$134,908</w:t>
            </w:r>
          </w:p>
        </w:tc>
        <w:tc>
          <w:tcPr>
            <w:tcW w:w="1151" w:type="pct"/>
            <w:vAlign w:val="center"/>
          </w:tcPr>
          <w:p w14:paraId="6B3CFEFD" w14:textId="534B0256" w:rsidR="00D12268" w:rsidRPr="003816D8" w:rsidRDefault="00D12268" w:rsidP="00BF261E">
            <w:pPr>
              <w:pStyle w:val="Tabletext1"/>
              <w:jc w:val="center"/>
              <w:rPr>
                <w:rFonts w:cs="Calibri"/>
                <w:b/>
              </w:rPr>
            </w:pPr>
            <w:r w:rsidRPr="00321BDD">
              <w:t>1hr * 12000 patients</w:t>
            </w:r>
          </w:p>
        </w:tc>
        <w:tc>
          <w:tcPr>
            <w:tcW w:w="810" w:type="pct"/>
            <w:vAlign w:val="center"/>
          </w:tcPr>
          <w:p w14:paraId="1E0F3163" w14:textId="08C51E97" w:rsidR="00D12268" w:rsidRDefault="00D12268" w:rsidP="00BF261E">
            <w:pPr>
              <w:pStyle w:val="Tabletext1"/>
              <w:jc w:val="center"/>
              <w:rPr>
                <w:rFonts w:cs="Calibri"/>
                <w:b/>
              </w:rPr>
            </w:pPr>
            <w:r w:rsidRPr="00321BDD">
              <w:t>$283,320</w:t>
            </w:r>
          </w:p>
        </w:tc>
      </w:tr>
      <w:tr w:rsidR="00D12268" w:rsidRPr="00F77E8D" w14:paraId="33DEF5AF" w14:textId="77777777" w:rsidTr="00207D12">
        <w:tc>
          <w:tcPr>
            <w:tcW w:w="1391" w:type="pct"/>
          </w:tcPr>
          <w:p w14:paraId="6F96C4C8" w14:textId="77777777" w:rsidR="00D12268" w:rsidRPr="0016625F" w:rsidRDefault="00D12268" w:rsidP="00556AB6">
            <w:pPr>
              <w:pStyle w:val="Tabletext1"/>
              <w:rPr>
                <w:b/>
                <w:snapToGrid w:val="0"/>
                <w:lang w:eastAsia="en-US"/>
              </w:rPr>
            </w:pPr>
            <w:r w:rsidRPr="0016625F">
              <w:rPr>
                <w:b/>
              </w:rPr>
              <w:t>Simulation</w:t>
            </w:r>
          </w:p>
        </w:tc>
        <w:tc>
          <w:tcPr>
            <w:tcW w:w="945" w:type="pct"/>
            <w:vAlign w:val="center"/>
          </w:tcPr>
          <w:p w14:paraId="0608279E" w14:textId="77777777" w:rsidR="00D12268" w:rsidRPr="003816D8" w:rsidRDefault="00D12268" w:rsidP="00BF261E">
            <w:pPr>
              <w:pStyle w:val="Tabletext1"/>
              <w:jc w:val="center"/>
              <w:rPr>
                <w:b/>
                <w:snapToGrid w:val="0"/>
                <w:lang w:eastAsia="en-US"/>
              </w:rPr>
            </w:pPr>
          </w:p>
        </w:tc>
        <w:tc>
          <w:tcPr>
            <w:tcW w:w="703" w:type="pct"/>
            <w:vAlign w:val="center"/>
          </w:tcPr>
          <w:p w14:paraId="01E48EBA" w14:textId="77777777" w:rsidR="00D12268" w:rsidRPr="003816D8" w:rsidRDefault="00D12268" w:rsidP="00BF261E">
            <w:pPr>
              <w:pStyle w:val="Tabletext1"/>
              <w:jc w:val="center"/>
              <w:rPr>
                <w:b/>
              </w:rPr>
            </w:pPr>
          </w:p>
        </w:tc>
        <w:tc>
          <w:tcPr>
            <w:tcW w:w="1151" w:type="pct"/>
            <w:vAlign w:val="center"/>
          </w:tcPr>
          <w:p w14:paraId="38441D22" w14:textId="77777777" w:rsidR="00D12268" w:rsidRPr="003816D8" w:rsidRDefault="00D12268" w:rsidP="00BF261E">
            <w:pPr>
              <w:pStyle w:val="Tabletext1"/>
              <w:jc w:val="center"/>
              <w:rPr>
                <w:rFonts w:cs="Calibri"/>
                <w:b/>
              </w:rPr>
            </w:pPr>
          </w:p>
        </w:tc>
        <w:tc>
          <w:tcPr>
            <w:tcW w:w="810" w:type="pct"/>
            <w:vAlign w:val="center"/>
          </w:tcPr>
          <w:p w14:paraId="281E7799" w14:textId="77777777" w:rsidR="00D12268" w:rsidRDefault="00D12268" w:rsidP="00BF261E">
            <w:pPr>
              <w:pStyle w:val="Tabletext1"/>
              <w:jc w:val="center"/>
              <w:rPr>
                <w:rFonts w:cs="Calibri"/>
                <w:b/>
              </w:rPr>
            </w:pPr>
          </w:p>
        </w:tc>
      </w:tr>
      <w:tr w:rsidR="00D12268" w:rsidRPr="00F77E8D" w14:paraId="04E94A7C" w14:textId="77777777" w:rsidTr="00207D12">
        <w:tc>
          <w:tcPr>
            <w:tcW w:w="1391" w:type="pct"/>
          </w:tcPr>
          <w:p w14:paraId="0B8410E5" w14:textId="77777777" w:rsidR="00D12268" w:rsidRDefault="00D12268" w:rsidP="00556AB6">
            <w:pPr>
              <w:pStyle w:val="Tabletext1"/>
              <w:rPr>
                <w:b/>
                <w:snapToGrid w:val="0"/>
                <w:lang w:eastAsia="en-US"/>
              </w:rPr>
            </w:pPr>
            <w:r w:rsidRPr="008B05B6">
              <w:t>Radiation Therapist</w:t>
            </w:r>
          </w:p>
        </w:tc>
        <w:tc>
          <w:tcPr>
            <w:tcW w:w="945" w:type="pct"/>
            <w:vAlign w:val="center"/>
          </w:tcPr>
          <w:p w14:paraId="6488DE42" w14:textId="0271139F" w:rsidR="00D12268" w:rsidRPr="003816D8" w:rsidRDefault="00D12268" w:rsidP="00BF261E">
            <w:pPr>
              <w:pStyle w:val="Tabletext1"/>
              <w:jc w:val="center"/>
              <w:rPr>
                <w:b/>
                <w:snapToGrid w:val="0"/>
                <w:lang w:eastAsia="en-US"/>
              </w:rPr>
            </w:pPr>
            <w:r w:rsidRPr="00B54BA5">
              <w:t>1.5 hr * 5714 patients</w:t>
            </w:r>
          </w:p>
        </w:tc>
        <w:tc>
          <w:tcPr>
            <w:tcW w:w="703" w:type="pct"/>
            <w:vAlign w:val="center"/>
          </w:tcPr>
          <w:p w14:paraId="71C3653D" w14:textId="779E1B89" w:rsidR="00D12268" w:rsidRPr="003816D8" w:rsidRDefault="00D12268" w:rsidP="00BF261E">
            <w:pPr>
              <w:pStyle w:val="Tabletext1"/>
              <w:jc w:val="center"/>
              <w:rPr>
                <w:b/>
              </w:rPr>
            </w:pPr>
            <w:r w:rsidRPr="00321BDD">
              <w:t>$389,895</w:t>
            </w:r>
          </w:p>
        </w:tc>
        <w:tc>
          <w:tcPr>
            <w:tcW w:w="1151" w:type="pct"/>
            <w:vAlign w:val="center"/>
          </w:tcPr>
          <w:p w14:paraId="700FB823" w14:textId="77777777" w:rsidR="00D12268" w:rsidRPr="003816D8" w:rsidRDefault="00D12268" w:rsidP="00BF261E">
            <w:pPr>
              <w:pStyle w:val="Tabletext1"/>
              <w:jc w:val="center"/>
              <w:rPr>
                <w:rFonts w:cs="Calibri"/>
                <w:b/>
              </w:rPr>
            </w:pPr>
            <w:r w:rsidRPr="00321BDD">
              <w:t>0.5 hr * 12000 patients</w:t>
            </w:r>
          </w:p>
        </w:tc>
        <w:tc>
          <w:tcPr>
            <w:tcW w:w="810" w:type="pct"/>
            <w:vAlign w:val="center"/>
          </w:tcPr>
          <w:p w14:paraId="261814F9" w14:textId="3AC9FCCA" w:rsidR="00D12268" w:rsidRDefault="00D12268" w:rsidP="00BF261E">
            <w:pPr>
              <w:pStyle w:val="Tabletext1"/>
              <w:jc w:val="center"/>
              <w:rPr>
                <w:rFonts w:cs="Calibri"/>
                <w:b/>
              </w:rPr>
            </w:pPr>
            <w:r w:rsidRPr="00321BDD">
              <w:t>$272,940</w:t>
            </w:r>
          </w:p>
        </w:tc>
      </w:tr>
      <w:tr w:rsidR="00D12268" w:rsidRPr="00F77E8D" w14:paraId="5CF9C3D6" w14:textId="77777777" w:rsidTr="00207D12">
        <w:tc>
          <w:tcPr>
            <w:tcW w:w="1391" w:type="pct"/>
          </w:tcPr>
          <w:p w14:paraId="04DB291A" w14:textId="77777777" w:rsidR="00D12268" w:rsidRDefault="00D12268" w:rsidP="00556AB6">
            <w:pPr>
              <w:pStyle w:val="Tabletext1"/>
              <w:rPr>
                <w:b/>
                <w:snapToGrid w:val="0"/>
                <w:lang w:eastAsia="en-US"/>
              </w:rPr>
            </w:pPr>
            <w:r w:rsidRPr="008B05B6">
              <w:t>Receptionist</w:t>
            </w:r>
          </w:p>
        </w:tc>
        <w:tc>
          <w:tcPr>
            <w:tcW w:w="945" w:type="pct"/>
            <w:vAlign w:val="center"/>
          </w:tcPr>
          <w:p w14:paraId="66C48ACF" w14:textId="28D4BFB9" w:rsidR="00D12268" w:rsidRPr="003816D8" w:rsidRDefault="00D12268" w:rsidP="00BF261E">
            <w:pPr>
              <w:pStyle w:val="Tabletext1"/>
              <w:jc w:val="center"/>
              <w:rPr>
                <w:b/>
                <w:snapToGrid w:val="0"/>
                <w:lang w:eastAsia="en-US"/>
              </w:rPr>
            </w:pPr>
            <w:r w:rsidRPr="00B54BA5">
              <w:t>1.5 hr * 5714 patients</w:t>
            </w:r>
          </w:p>
        </w:tc>
        <w:tc>
          <w:tcPr>
            <w:tcW w:w="703" w:type="pct"/>
            <w:vAlign w:val="center"/>
          </w:tcPr>
          <w:p w14:paraId="1D0E022A" w14:textId="1AEDF29C" w:rsidR="00D12268" w:rsidRPr="003816D8" w:rsidRDefault="00D12268" w:rsidP="00BF261E">
            <w:pPr>
              <w:pStyle w:val="Tabletext1"/>
              <w:jc w:val="center"/>
              <w:rPr>
                <w:b/>
              </w:rPr>
            </w:pPr>
            <w:r w:rsidRPr="00321BDD">
              <w:t>$202,361</w:t>
            </w:r>
          </w:p>
        </w:tc>
        <w:tc>
          <w:tcPr>
            <w:tcW w:w="1151" w:type="pct"/>
            <w:vAlign w:val="center"/>
          </w:tcPr>
          <w:p w14:paraId="3D75CC5E" w14:textId="77777777" w:rsidR="00D12268" w:rsidRPr="003816D8" w:rsidRDefault="00D12268" w:rsidP="00BF261E">
            <w:pPr>
              <w:pStyle w:val="Tabletext1"/>
              <w:jc w:val="center"/>
              <w:rPr>
                <w:rFonts w:cs="Calibri"/>
                <w:b/>
              </w:rPr>
            </w:pPr>
            <w:r w:rsidRPr="00321BDD">
              <w:t>0.5 hr * 12000 patients</w:t>
            </w:r>
          </w:p>
        </w:tc>
        <w:tc>
          <w:tcPr>
            <w:tcW w:w="810" w:type="pct"/>
            <w:vAlign w:val="center"/>
          </w:tcPr>
          <w:p w14:paraId="6B2DF415" w14:textId="327A3445" w:rsidR="00D12268" w:rsidRDefault="00D12268" w:rsidP="00BF261E">
            <w:pPr>
              <w:pStyle w:val="Tabletext1"/>
              <w:jc w:val="center"/>
              <w:rPr>
                <w:rFonts w:cs="Calibri"/>
                <w:b/>
              </w:rPr>
            </w:pPr>
            <w:r w:rsidRPr="00321BDD">
              <w:t>$141,660</w:t>
            </w:r>
          </w:p>
        </w:tc>
      </w:tr>
      <w:tr w:rsidR="00D12268" w:rsidRPr="00F77E8D" w14:paraId="2460A501" w14:textId="77777777" w:rsidTr="00207D12">
        <w:tc>
          <w:tcPr>
            <w:tcW w:w="1391" w:type="pct"/>
          </w:tcPr>
          <w:p w14:paraId="74DACC78" w14:textId="77777777" w:rsidR="00D12268" w:rsidRPr="0016625F" w:rsidRDefault="00D12268" w:rsidP="00556AB6">
            <w:pPr>
              <w:pStyle w:val="Tabletext1"/>
              <w:rPr>
                <w:b/>
                <w:snapToGrid w:val="0"/>
                <w:lang w:eastAsia="en-US"/>
              </w:rPr>
            </w:pPr>
            <w:r w:rsidRPr="0016625F">
              <w:rPr>
                <w:b/>
              </w:rPr>
              <w:t xml:space="preserve">Planning </w:t>
            </w:r>
          </w:p>
        </w:tc>
        <w:tc>
          <w:tcPr>
            <w:tcW w:w="945" w:type="pct"/>
            <w:vAlign w:val="center"/>
          </w:tcPr>
          <w:p w14:paraId="08E30EBC" w14:textId="77777777" w:rsidR="00D12268" w:rsidRPr="003816D8" w:rsidRDefault="00D12268" w:rsidP="00BF261E">
            <w:pPr>
              <w:pStyle w:val="Tabletext1"/>
              <w:jc w:val="center"/>
              <w:rPr>
                <w:b/>
                <w:snapToGrid w:val="0"/>
                <w:lang w:eastAsia="en-US"/>
              </w:rPr>
            </w:pPr>
          </w:p>
        </w:tc>
        <w:tc>
          <w:tcPr>
            <w:tcW w:w="703" w:type="pct"/>
            <w:vAlign w:val="center"/>
          </w:tcPr>
          <w:p w14:paraId="09B8EE95" w14:textId="77777777" w:rsidR="00D12268" w:rsidRPr="003816D8" w:rsidRDefault="00D12268" w:rsidP="00BF261E">
            <w:pPr>
              <w:pStyle w:val="Tabletext1"/>
              <w:jc w:val="center"/>
              <w:rPr>
                <w:b/>
              </w:rPr>
            </w:pPr>
          </w:p>
        </w:tc>
        <w:tc>
          <w:tcPr>
            <w:tcW w:w="1151" w:type="pct"/>
            <w:vAlign w:val="center"/>
          </w:tcPr>
          <w:p w14:paraId="16A58B05" w14:textId="77777777" w:rsidR="00D12268" w:rsidRPr="003816D8" w:rsidRDefault="00D12268" w:rsidP="00BF261E">
            <w:pPr>
              <w:pStyle w:val="Tabletext1"/>
              <w:jc w:val="center"/>
              <w:rPr>
                <w:rFonts w:cs="Calibri"/>
                <w:b/>
              </w:rPr>
            </w:pPr>
          </w:p>
        </w:tc>
        <w:tc>
          <w:tcPr>
            <w:tcW w:w="810" w:type="pct"/>
            <w:vAlign w:val="center"/>
          </w:tcPr>
          <w:p w14:paraId="67D2FDD4" w14:textId="77777777" w:rsidR="00D12268" w:rsidRDefault="00D12268" w:rsidP="00BF261E">
            <w:pPr>
              <w:pStyle w:val="Tabletext1"/>
              <w:jc w:val="center"/>
              <w:rPr>
                <w:rFonts w:cs="Calibri"/>
                <w:b/>
              </w:rPr>
            </w:pPr>
          </w:p>
        </w:tc>
      </w:tr>
      <w:tr w:rsidR="00D12268" w:rsidRPr="00F77E8D" w14:paraId="46F138B7" w14:textId="77777777" w:rsidTr="00207D12">
        <w:tc>
          <w:tcPr>
            <w:tcW w:w="1391" w:type="pct"/>
          </w:tcPr>
          <w:p w14:paraId="2AA6DBED" w14:textId="77777777" w:rsidR="00D12268" w:rsidRDefault="00D12268" w:rsidP="00556AB6">
            <w:pPr>
              <w:pStyle w:val="Tabletext1"/>
              <w:rPr>
                <w:b/>
                <w:snapToGrid w:val="0"/>
                <w:lang w:eastAsia="en-US"/>
              </w:rPr>
            </w:pPr>
            <w:r w:rsidRPr="008B05B6">
              <w:t>Radiation Oncologist</w:t>
            </w:r>
          </w:p>
        </w:tc>
        <w:tc>
          <w:tcPr>
            <w:tcW w:w="945" w:type="pct"/>
            <w:vAlign w:val="center"/>
          </w:tcPr>
          <w:p w14:paraId="5E4FCE4A" w14:textId="0675439A" w:rsidR="00D12268" w:rsidRPr="003816D8" w:rsidRDefault="00D12268" w:rsidP="00BF261E">
            <w:pPr>
              <w:pStyle w:val="Tabletext1"/>
              <w:jc w:val="center"/>
              <w:rPr>
                <w:b/>
                <w:snapToGrid w:val="0"/>
                <w:lang w:eastAsia="en-US"/>
              </w:rPr>
            </w:pPr>
            <w:r w:rsidRPr="00B54BA5">
              <w:t>1 hr * 5714 patients</w:t>
            </w:r>
          </w:p>
        </w:tc>
        <w:tc>
          <w:tcPr>
            <w:tcW w:w="703" w:type="pct"/>
            <w:vAlign w:val="center"/>
          </w:tcPr>
          <w:p w14:paraId="36A9D9C1" w14:textId="65C202D7" w:rsidR="00D12268" w:rsidRPr="003816D8" w:rsidRDefault="00D12268" w:rsidP="00BF261E">
            <w:pPr>
              <w:pStyle w:val="Tabletext1"/>
              <w:jc w:val="center"/>
              <w:rPr>
                <w:b/>
              </w:rPr>
            </w:pPr>
            <w:r w:rsidRPr="00321BDD">
              <w:t>$611,704.91</w:t>
            </w:r>
          </w:p>
        </w:tc>
        <w:tc>
          <w:tcPr>
            <w:tcW w:w="1151" w:type="pct"/>
            <w:vAlign w:val="center"/>
          </w:tcPr>
          <w:p w14:paraId="2D139808" w14:textId="77777777" w:rsidR="00D12268" w:rsidRPr="003816D8" w:rsidRDefault="00D12268" w:rsidP="00BF261E">
            <w:pPr>
              <w:pStyle w:val="Tabletext1"/>
              <w:jc w:val="center"/>
              <w:rPr>
                <w:rFonts w:cs="Calibri"/>
                <w:b/>
              </w:rPr>
            </w:pPr>
            <w:r w:rsidRPr="00321BDD">
              <w:t>1 hr * 12000 patients</w:t>
            </w:r>
          </w:p>
        </w:tc>
        <w:tc>
          <w:tcPr>
            <w:tcW w:w="810" w:type="pct"/>
            <w:vAlign w:val="center"/>
          </w:tcPr>
          <w:p w14:paraId="63BC395B" w14:textId="4AFD87E9" w:rsidR="00D12268" w:rsidRDefault="00D12268" w:rsidP="00BF261E">
            <w:pPr>
              <w:pStyle w:val="Tabletext1"/>
              <w:jc w:val="center"/>
              <w:rPr>
                <w:rFonts w:cs="Calibri"/>
                <w:b/>
              </w:rPr>
            </w:pPr>
            <w:r w:rsidRPr="00321BDD">
              <w:t>$1,284,644.53</w:t>
            </w:r>
          </w:p>
        </w:tc>
      </w:tr>
      <w:tr w:rsidR="00D12268" w:rsidRPr="00F77E8D" w14:paraId="06CA15C4" w14:textId="77777777" w:rsidTr="00207D12">
        <w:tc>
          <w:tcPr>
            <w:tcW w:w="1391" w:type="pct"/>
          </w:tcPr>
          <w:p w14:paraId="2F19AA76" w14:textId="77777777" w:rsidR="00D12268" w:rsidRDefault="00D12268" w:rsidP="00556AB6">
            <w:pPr>
              <w:pStyle w:val="Tabletext1"/>
              <w:rPr>
                <w:b/>
                <w:snapToGrid w:val="0"/>
                <w:lang w:eastAsia="en-US"/>
              </w:rPr>
            </w:pPr>
            <w:r w:rsidRPr="008B05B6">
              <w:t>Medical Physicist</w:t>
            </w:r>
          </w:p>
        </w:tc>
        <w:tc>
          <w:tcPr>
            <w:tcW w:w="945" w:type="pct"/>
            <w:vAlign w:val="center"/>
          </w:tcPr>
          <w:p w14:paraId="06AD2C84" w14:textId="5BF1FB32" w:rsidR="00D12268" w:rsidRPr="003816D8" w:rsidRDefault="00D12268" w:rsidP="00BF261E">
            <w:pPr>
              <w:pStyle w:val="Tabletext1"/>
              <w:jc w:val="center"/>
              <w:rPr>
                <w:b/>
                <w:snapToGrid w:val="0"/>
                <w:lang w:eastAsia="en-US"/>
              </w:rPr>
            </w:pPr>
            <w:r w:rsidRPr="00B54BA5">
              <w:t>1 hr * 5714 patients</w:t>
            </w:r>
          </w:p>
        </w:tc>
        <w:tc>
          <w:tcPr>
            <w:tcW w:w="703" w:type="pct"/>
            <w:vAlign w:val="center"/>
          </w:tcPr>
          <w:p w14:paraId="3C91678B" w14:textId="167CD89E" w:rsidR="00D12268" w:rsidRPr="003816D8" w:rsidRDefault="00D12268" w:rsidP="00BF261E">
            <w:pPr>
              <w:pStyle w:val="Tabletext1"/>
              <w:jc w:val="center"/>
              <w:rPr>
                <w:b/>
              </w:rPr>
            </w:pPr>
            <w:r w:rsidRPr="00321BDD">
              <w:t>$234,445.42</w:t>
            </w:r>
          </w:p>
        </w:tc>
        <w:tc>
          <w:tcPr>
            <w:tcW w:w="1151" w:type="pct"/>
            <w:vAlign w:val="center"/>
          </w:tcPr>
          <w:p w14:paraId="313E240D" w14:textId="77777777" w:rsidR="00D12268" w:rsidRPr="003816D8" w:rsidRDefault="00D12268" w:rsidP="00BF261E">
            <w:pPr>
              <w:pStyle w:val="Tabletext1"/>
              <w:jc w:val="center"/>
              <w:rPr>
                <w:rFonts w:cs="Calibri"/>
                <w:b/>
              </w:rPr>
            </w:pPr>
            <w:r w:rsidRPr="00321BDD">
              <w:t>1 hr * 12000 patients</w:t>
            </w:r>
          </w:p>
        </w:tc>
        <w:tc>
          <w:tcPr>
            <w:tcW w:w="810" w:type="pct"/>
            <w:vAlign w:val="center"/>
          </w:tcPr>
          <w:p w14:paraId="37F9D76C" w14:textId="5D7E28DE" w:rsidR="00D12268" w:rsidRDefault="00D12268" w:rsidP="00BF261E">
            <w:pPr>
              <w:pStyle w:val="Tabletext1"/>
              <w:jc w:val="center"/>
              <w:rPr>
                <w:rFonts w:cs="Calibri"/>
                <w:b/>
              </w:rPr>
            </w:pPr>
            <w:r w:rsidRPr="00321BDD">
              <w:t>$492,360.00</w:t>
            </w:r>
          </w:p>
        </w:tc>
      </w:tr>
      <w:tr w:rsidR="00D12268" w:rsidRPr="00F77E8D" w14:paraId="2043A09A" w14:textId="77777777" w:rsidTr="00207D12">
        <w:tc>
          <w:tcPr>
            <w:tcW w:w="1391" w:type="pct"/>
          </w:tcPr>
          <w:p w14:paraId="11B1B747" w14:textId="77777777" w:rsidR="00D12268" w:rsidRDefault="00D12268" w:rsidP="00556AB6">
            <w:pPr>
              <w:pStyle w:val="Tabletext1"/>
              <w:rPr>
                <w:b/>
                <w:snapToGrid w:val="0"/>
                <w:lang w:eastAsia="en-US"/>
              </w:rPr>
            </w:pPr>
            <w:r w:rsidRPr="008B05B6">
              <w:t>Dosimetrist</w:t>
            </w:r>
          </w:p>
        </w:tc>
        <w:tc>
          <w:tcPr>
            <w:tcW w:w="945" w:type="pct"/>
            <w:vAlign w:val="center"/>
          </w:tcPr>
          <w:p w14:paraId="69D0E5AC" w14:textId="38B006A6" w:rsidR="00D12268" w:rsidRPr="003816D8" w:rsidRDefault="00D12268" w:rsidP="00BF261E">
            <w:pPr>
              <w:pStyle w:val="Tabletext1"/>
              <w:jc w:val="center"/>
              <w:rPr>
                <w:b/>
                <w:snapToGrid w:val="0"/>
                <w:lang w:eastAsia="en-US"/>
              </w:rPr>
            </w:pPr>
            <w:r w:rsidRPr="00B54BA5">
              <w:t>4 hr * 5714 patients</w:t>
            </w:r>
          </w:p>
        </w:tc>
        <w:tc>
          <w:tcPr>
            <w:tcW w:w="703" w:type="pct"/>
            <w:vAlign w:val="center"/>
          </w:tcPr>
          <w:p w14:paraId="0E07F13F" w14:textId="021CA415" w:rsidR="00D12268" w:rsidRPr="003816D8" w:rsidRDefault="00D12268" w:rsidP="00BF261E">
            <w:pPr>
              <w:pStyle w:val="Tabletext1"/>
              <w:jc w:val="center"/>
              <w:rPr>
                <w:b/>
              </w:rPr>
            </w:pPr>
            <w:r w:rsidRPr="00321BDD">
              <w:t>$1,421,186.08</w:t>
            </w:r>
          </w:p>
        </w:tc>
        <w:tc>
          <w:tcPr>
            <w:tcW w:w="1151" w:type="pct"/>
            <w:vAlign w:val="center"/>
          </w:tcPr>
          <w:p w14:paraId="61BEB7BB" w14:textId="77777777" w:rsidR="00D12268" w:rsidRPr="003816D8" w:rsidRDefault="00D12268" w:rsidP="00BF261E">
            <w:pPr>
              <w:pStyle w:val="Tabletext1"/>
              <w:jc w:val="center"/>
              <w:rPr>
                <w:rFonts w:cs="Calibri"/>
                <w:b/>
              </w:rPr>
            </w:pPr>
            <w:r w:rsidRPr="00321BDD">
              <w:t>4 hr * 12000 patients</w:t>
            </w:r>
          </w:p>
        </w:tc>
        <w:tc>
          <w:tcPr>
            <w:tcW w:w="810" w:type="pct"/>
            <w:vAlign w:val="center"/>
          </w:tcPr>
          <w:p w14:paraId="6C9B6376" w14:textId="74572DF2" w:rsidR="00D12268" w:rsidRDefault="00D12268" w:rsidP="00BF261E">
            <w:pPr>
              <w:pStyle w:val="Tabletext1"/>
              <w:jc w:val="center"/>
              <w:rPr>
                <w:rFonts w:cs="Calibri"/>
                <w:b/>
              </w:rPr>
            </w:pPr>
            <w:r w:rsidRPr="00321BDD">
              <w:t>$2,984,640.00</w:t>
            </w:r>
          </w:p>
        </w:tc>
      </w:tr>
      <w:tr w:rsidR="00D12268" w:rsidRPr="00F77E8D" w14:paraId="4EE1E44D" w14:textId="77777777" w:rsidTr="00207D12">
        <w:tc>
          <w:tcPr>
            <w:tcW w:w="1391" w:type="pct"/>
          </w:tcPr>
          <w:p w14:paraId="5D74FBCD" w14:textId="77777777" w:rsidR="00D12268" w:rsidRPr="0016625F" w:rsidRDefault="00D12268" w:rsidP="00556AB6">
            <w:pPr>
              <w:pStyle w:val="Tabletext1"/>
              <w:rPr>
                <w:b/>
                <w:snapToGrid w:val="0"/>
                <w:lang w:eastAsia="en-US"/>
              </w:rPr>
            </w:pPr>
            <w:r w:rsidRPr="0016625F">
              <w:rPr>
                <w:b/>
              </w:rPr>
              <w:t>Treatment</w:t>
            </w:r>
          </w:p>
        </w:tc>
        <w:tc>
          <w:tcPr>
            <w:tcW w:w="945" w:type="pct"/>
            <w:vAlign w:val="center"/>
          </w:tcPr>
          <w:p w14:paraId="6BECC8BA" w14:textId="77777777" w:rsidR="00D12268" w:rsidRPr="003816D8" w:rsidRDefault="00D12268" w:rsidP="00BF261E">
            <w:pPr>
              <w:pStyle w:val="Tabletext1"/>
              <w:jc w:val="center"/>
              <w:rPr>
                <w:b/>
                <w:snapToGrid w:val="0"/>
                <w:lang w:eastAsia="en-US"/>
              </w:rPr>
            </w:pPr>
          </w:p>
        </w:tc>
        <w:tc>
          <w:tcPr>
            <w:tcW w:w="703" w:type="pct"/>
            <w:vAlign w:val="center"/>
          </w:tcPr>
          <w:p w14:paraId="75DD7EEE" w14:textId="77777777" w:rsidR="00D12268" w:rsidRPr="003816D8" w:rsidRDefault="00D12268" w:rsidP="00BF261E">
            <w:pPr>
              <w:pStyle w:val="Tabletext1"/>
              <w:jc w:val="center"/>
              <w:rPr>
                <w:b/>
              </w:rPr>
            </w:pPr>
          </w:p>
        </w:tc>
        <w:tc>
          <w:tcPr>
            <w:tcW w:w="1151" w:type="pct"/>
            <w:vAlign w:val="center"/>
          </w:tcPr>
          <w:p w14:paraId="4D5B57F0" w14:textId="77777777" w:rsidR="00D12268" w:rsidRPr="003816D8" w:rsidRDefault="00D12268" w:rsidP="00BF261E">
            <w:pPr>
              <w:pStyle w:val="Tabletext1"/>
              <w:jc w:val="center"/>
              <w:rPr>
                <w:rFonts w:cs="Calibri"/>
                <w:b/>
              </w:rPr>
            </w:pPr>
          </w:p>
        </w:tc>
        <w:tc>
          <w:tcPr>
            <w:tcW w:w="810" w:type="pct"/>
            <w:vAlign w:val="center"/>
          </w:tcPr>
          <w:p w14:paraId="4449662F" w14:textId="77777777" w:rsidR="00D12268" w:rsidRDefault="00D12268" w:rsidP="00BF261E">
            <w:pPr>
              <w:pStyle w:val="Tabletext1"/>
              <w:jc w:val="center"/>
              <w:rPr>
                <w:rFonts w:cs="Calibri"/>
                <w:b/>
              </w:rPr>
            </w:pPr>
          </w:p>
        </w:tc>
      </w:tr>
      <w:tr w:rsidR="00D12268" w:rsidRPr="00F77E8D" w14:paraId="600582FA" w14:textId="77777777" w:rsidTr="00207D12">
        <w:tc>
          <w:tcPr>
            <w:tcW w:w="1391" w:type="pct"/>
          </w:tcPr>
          <w:p w14:paraId="4B0045E6" w14:textId="77777777" w:rsidR="00D12268" w:rsidRDefault="00D12268" w:rsidP="00556AB6">
            <w:pPr>
              <w:pStyle w:val="Tabletext1"/>
              <w:rPr>
                <w:b/>
                <w:snapToGrid w:val="0"/>
                <w:lang w:eastAsia="en-US"/>
              </w:rPr>
            </w:pPr>
            <w:r w:rsidRPr="008B05B6">
              <w:t>Radiation Therapist</w:t>
            </w:r>
          </w:p>
        </w:tc>
        <w:tc>
          <w:tcPr>
            <w:tcW w:w="945" w:type="pct"/>
            <w:vAlign w:val="center"/>
          </w:tcPr>
          <w:p w14:paraId="64865FEB" w14:textId="10D79AF6" w:rsidR="00D12268" w:rsidRPr="003816D8" w:rsidRDefault="00D12268" w:rsidP="00BF261E">
            <w:pPr>
              <w:pStyle w:val="Tabletext1"/>
              <w:jc w:val="center"/>
              <w:rPr>
                <w:b/>
                <w:snapToGrid w:val="0"/>
                <w:lang w:eastAsia="en-US"/>
              </w:rPr>
            </w:pPr>
            <w:r w:rsidRPr="00B54BA5">
              <w:t>0.5 hr * 5 * 5714 patients</w:t>
            </w:r>
          </w:p>
        </w:tc>
        <w:tc>
          <w:tcPr>
            <w:tcW w:w="703" w:type="pct"/>
            <w:vAlign w:val="center"/>
          </w:tcPr>
          <w:p w14:paraId="121AB2A2" w14:textId="234C0CDC" w:rsidR="00D12268" w:rsidRPr="003816D8" w:rsidRDefault="00D12268" w:rsidP="00BF261E">
            <w:pPr>
              <w:pStyle w:val="Tabletext1"/>
              <w:jc w:val="center"/>
              <w:rPr>
                <w:b/>
              </w:rPr>
            </w:pPr>
            <w:r w:rsidRPr="00321BDD">
              <w:t>$649,824.65</w:t>
            </w:r>
          </w:p>
        </w:tc>
        <w:tc>
          <w:tcPr>
            <w:tcW w:w="1151" w:type="pct"/>
            <w:vAlign w:val="center"/>
          </w:tcPr>
          <w:p w14:paraId="2543B8C9" w14:textId="77777777" w:rsidR="00D12268" w:rsidRPr="003816D8" w:rsidRDefault="00D12268" w:rsidP="00BF261E">
            <w:pPr>
              <w:pStyle w:val="Tabletext1"/>
              <w:jc w:val="center"/>
              <w:rPr>
                <w:rFonts w:cs="Calibri"/>
                <w:b/>
              </w:rPr>
            </w:pPr>
            <w:r w:rsidRPr="00321BDD">
              <w:t>0.33 hr * 5 * 12000 patients</w:t>
            </w:r>
          </w:p>
        </w:tc>
        <w:tc>
          <w:tcPr>
            <w:tcW w:w="810" w:type="pct"/>
            <w:vAlign w:val="center"/>
          </w:tcPr>
          <w:p w14:paraId="3214B8E2" w14:textId="130DF590" w:rsidR="00D12268" w:rsidRDefault="00D12268" w:rsidP="00BF261E">
            <w:pPr>
              <w:pStyle w:val="Tabletext1"/>
              <w:jc w:val="center"/>
              <w:rPr>
                <w:rFonts w:cs="Calibri"/>
                <w:b/>
              </w:rPr>
            </w:pPr>
            <w:r w:rsidRPr="00321BDD">
              <w:t>$900,702.00</w:t>
            </w:r>
          </w:p>
        </w:tc>
      </w:tr>
      <w:tr w:rsidR="00D12268" w:rsidRPr="00F77E8D" w14:paraId="38810C0F" w14:textId="77777777" w:rsidTr="00207D12">
        <w:tc>
          <w:tcPr>
            <w:tcW w:w="1391" w:type="pct"/>
          </w:tcPr>
          <w:p w14:paraId="4E7E9898" w14:textId="77777777" w:rsidR="00D12268" w:rsidRDefault="00D12268" w:rsidP="00556AB6">
            <w:pPr>
              <w:pStyle w:val="Tabletext1"/>
              <w:rPr>
                <w:b/>
                <w:snapToGrid w:val="0"/>
                <w:lang w:eastAsia="en-US"/>
              </w:rPr>
            </w:pPr>
            <w:r w:rsidRPr="008B05B6">
              <w:t>Receptionist</w:t>
            </w:r>
          </w:p>
        </w:tc>
        <w:tc>
          <w:tcPr>
            <w:tcW w:w="945" w:type="pct"/>
            <w:vAlign w:val="center"/>
          </w:tcPr>
          <w:p w14:paraId="69B0EF02" w14:textId="1F3839F1" w:rsidR="00D12268" w:rsidRPr="003816D8" w:rsidRDefault="00D12268" w:rsidP="00BF261E">
            <w:pPr>
              <w:pStyle w:val="Tabletext1"/>
              <w:jc w:val="center"/>
              <w:rPr>
                <w:b/>
                <w:snapToGrid w:val="0"/>
                <w:lang w:eastAsia="en-US"/>
              </w:rPr>
            </w:pPr>
            <w:r w:rsidRPr="00B54BA5">
              <w:t>0.5 hr * 5 * 5714 patients</w:t>
            </w:r>
          </w:p>
        </w:tc>
        <w:tc>
          <w:tcPr>
            <w:tcW w:w="703" w:type="pct"/>
            <w:vAlign w:val="center"/>
          </w:tcPr>
          <w:p w14:paraId="43CE203B" w14:textId="47F261BD" w:rsidR="00D12268" w:rsidRPr="003816D8" w:rsidRDefault="00D12268" w:rsidP="00BF261E">
            <w:pPr>
              <w:pStyle w:val="Tabletext1"/>
              <w:jc w:val="center"/>
              <w:rPr>
                <w:b/>
              </w:rPr>
            </w:pPr>
            <w:r w:rsidRPr="00321BDD">
              <w:t>$337,268.85</w:t>
            </w:r>
          </w:p>
        </w:tc>
        <w:tc>
          <w:tcPr>
            <w:tcW w:w="1151" w:type="pct"/>
            <w:vAlign w:val="center"/>
          </w:tcPr>
          <w:p w14:paraId="55B73E9D" w14:textId="77777777" w:rsidR="00D12268" w:rsidRPr="003816D8" w:rsidRDefault="00D12268" w:rsidP="00BF261E">
            <w:pPr>
              <w:pStyle w:val="Tabletext1"/>
              <w:jc w:val="center"/>
              <w:rPr>
                <w:rFonts w:cs="Calibri"/>
                <w:b/>
              </w:rPr>
            </w:pPr>
            <w:r w:rsidRPr="00321BDD">
              <w:t>0.33 hr * 5 * 12000 patients</w:t>
            </w:r>
          </w:p>
        </w:tc>
        <w:tc>
          <w:tcPr>
            <w:tcW w:w="810" w:type="pct"/>
            <w:vAlign w:val="center"/>
          </w:tcPr>
          <w:p w14:paraId="71E9FC4D" w14:textId="652EB229" w:rsidR="00D12268" w:rsidRDefault="00D12268" w:rsidP="00BF261E">
            <w:pPr>
              <w:pStyle w:val="Tabletext1"/>
              <w:jc w:val="center"/>
              <w:rPr>
                <w:rFonts w:cs="Calibri"/>
                <w:b/>
              </w:rPr>
            </w:pPr>
            <w:r w:rsidRPr="00321BDD">
              <w:t>$467,478.00</w:t>
            </w:r>
          </w:p>
        </w:tc>
      </w:tr>
      <w:tr w:rsidR="00D12268" w:rsidRPr="00F77E8D" w14:paraId="0BE26DCB" w14:textId="77777777" w:rsidTr="00207D12">
        <w:tc>
          <w:tcPr>
            <w:tcW w:w="1391" w:type="pct"/>
          </w:tcPr>
          <w:p w14:paraId="49B87F7A" w14:textId="77777777" w:rsidR="00D12268" w:rsidRPr="0016625F" w:rsidRDefault="00D12268" w:rsidP="00556AB6">
            <w:pPr>
              <w:pStyle w:val="Tabletext1"/>
              <w:rPr>
                <w:b/>
                <w:snapToGrid w:val="0"/>
                <w:lang w:eastAsia="en-US"/>
              </w:rPr>
            </w:pPr>
            <w:r w:rsidRPr="0016625F">
              <w:rPr>
                <w:b/>
              </w:rPr>
              <w:t>On-treatment visit</w:t>
            </w:r>
          </w:p>
        </w:tc>
        <w:tc>
          <w:tcPr>
            <w:tcW w:w="945" w:type="pct"/>
            <w:vAlign w:val="center"/>
          </w:tcPr>
          <w:p w14:paraId="45FF57F7" w14:textId="77777777" w:rsidR="00D12268" w:rsidRPr="003816D8" w:rsidRDefault="00D12268" w:rsidP="00BF261E">
            <w:pPr>
              <w:pStyle w:val="Tabletext1"/>
              <w:jc w:val="center"/>
              <w:rPr>
                <w:b/>
                <w:snapToGrid w:val="0"/>
                <w:lang w:eastAsia="en-US"/>
              </w:rPr>
            </w:pPr>
          </w:p>
        </w:tc>
        <w:tc>
          <w:tcPr>
            <w:tcW w:w="703" w:type="pct"/>
            <w:vAlign w:val="center"/>
          </w:tcPr>
          <w:p w14:paraId="6FDE871A" w14:textId="77777777" w:rsidR="00D12268" w:rsidRPr="003816D8" w:rsidRDefault="00D12268" w:rsidP="00BF261E">
            <w:pPr>
              <w:pStyle w:val="Tabletext1"/>
              <w:jc w:val="center"/>
              <w:rPr>
                <w:b/>
              </w:rPr>
            </w:pPr>
          </w:p>
        </w:tc>
        <w:tc>
          <w:tcPr>
            <w:tcW w:w="1151" w:type="pct"/>
            <w:vAlign w:val="center"/>
          </w:tcPr>
          <w:p w14:paraId="46F1F19F" w14:textId="77777777" w:rsidR="00D12268" w:rsidRPr="003816D8" w:rsidRDefault="00D12268" w:rsidP="00BF261E">
            <w:pPr>
              <w:pStyle w:val="Tabletext1"/>
              <w:jc w:val="center"/>
              <w:rPr>
                <w:rFonts w:cs="Calibri"/>
                <w:b/>
              </w:rPr>
            </w:pPr>
          </w:p>
        </w:tc>
        <w:tc>
          <w:tcPr>
            <w:tcW w:w="810" w:type="pct"/>
            <w:vAlign w:val="center"/>
          </w:tcPr>
          <w:p w14:paraId="4ACF404C" w14:textId="77777777" w:rsidR="00D12268" w:rsidRDefault="00D12268" w:rsidP="00BF261E">
            <w:pPr>
              <w:pStyle w:val="Tabletext1"/>
              <w:jc w:val="center"/>
              <w:rPr>
                <w:rFonts w:cs="Calibri"/>
                <w:b/>
              </w:rPr>
            </w:pPr>
          </w:p>
        </w:tc>
      </w:tr>
      <w:tr w:rsidR="00D12268" w:rsidRPr="00F77E8D" w14:paraId="2FACD832" w14:textId="77777777" w:rsidTr="00207D12">
        <w:tc>
          <w:tcPr>
            <w:tcW w:w="1391" w:type="pct"/>
          </w:tcPr>
          <w:p w14:paraId="089AB17B" w14:textId="77777777" w:rsidR="00D12268" w:rsidRDefault="00D12268" w:rsidP="00556AB6">
            <w:pPr>
              <w:pStyle w:val="Tabletext1"/>
              <w:rPr>
                <w:b/>
                <w:snapToGrid w:val="0"/>
                <w:lang w:eastAsia="en-US"/>
              </w:rPr>
            </w:pPr>
            <w:r w:rsidRPr="008B05B6">
              <w:t>Radiation Oncologist</w:t>
            </w:r>
          </w:p>
        </w:tc>
        <w:tc>
          <w:tcPr>
            <w:tcW w:w="945" w:type="pct"/>
            <w:vAlign w:val="center"/>
          </w:tcPr>
          <w:p w14:paraId="31978005" w14:textId="7CF958E7" w:rsidR="00D12268" w:rsidRPr="003816D8" w:rsidRDefault="00D12268" w:rsidP="00BF261E">
            <w:pPr>
              <w:pStyle w:val="Tabletext1"/>
              <w:jc w:val="center"/>
              <w:rPr>
                <w:b/>
                <w:snapToGrid w:val="0"/>
                <w:lang w:eastAsia="en-US"/>
              </w:rPr>
            </w:pPr>
            <w:r w:rsidRPr="00B54BA5">
              <w:t>0.25 hr * 1 * 5714 patients</w:t>
            </w:r>
          </w:p>
        </w:tc>
        <w:tc>
          <w:tcPr>
            <w:tcW w:w="703" w:type="pct"/>
            <w:vAlign w:val="center"/>
          </w:tcPr>
          <w:p w14:paraId="1C170C78" w14:textId="6B5C0BE6" w:rsidR="00D12268" w:rsidRPr="003816D8" w:rsidRDefault="00D12268" w:rsidP="00BF261E">
            <w:pPr>
              <w:pStyle w:val="Tabletext1"/>
              <w:jc w:val="center"/>
              <w:rPr>
                <w:b/>
              </w:rPr>
            </w:pPr>
            <w:r w:rsidRPr="00321BDD">
              <w:t>$152,926.23</w:t>
            </w:r>
          </w:p>
        </w:tc>
        <w:tc>
          <w:tcPr>
            <w:tcW w:w="1151" w:type="pct"/>
            <w:vAlign w:val="center"/>
          </w:tcPr>
          <w:p w14:paraId="3B462A77" w14:textId="77777777" w:rsidR="00D12268" w:rsidRPr="003816D8" w:rsidRDefault="00D12268" w:rsidP="00BF261E">
            <w:pPr>
              <w:pStyle w:val="Tabletext1"/>
              <w:jc w:val="center"/>
              <w:rPr>
                <w:rFonts w:cs="Calibri"/>
                <w:b/>
              </w:rPr>
            </w:pPr>
            <w:r w:rsidRPr="00321BDD">
              <w:t>0.25 hr * 1 * 12000 patients</w:t>
            </w:r>
          </w:p>
        </w:tc>
        <w:tc>
          <w:tcPr>
            <w:tcW w:w="810" w:type="pct"/>
            <w:vAlign w:val="center"/>
          </w:tcPr>
          <w:p w14:paraId="0DD7ED07" w14:textId="79E07488" w:rsidR="00D12268" w:rsidRDefault="00D12268" w:rsidP="00BF261E">
            <w:pPr>
              <w:pStyle w:val="Tabletext1"/>
              <w:jc w:val="center"/>
              <w:rPr>
                <w:rFonts w:cs="Calibri"/>
                <w:b/>
              </w:rPr>
            </w:pPr>
            <w:r w:rsidRPr="00321BDD">
              <w:t>$321,161.13</w:t>
            </w:r>
          </w:p>
        </w:tc>
      </w:tr>
      <w:tr w:rsidR="00D12268" w:rsidRPr="00F77E8D" w14:paraId="35BD0809" w14:textId="77777777" w:rsidTr="00207D12">
        <w:tc>
          <w:tcPr>
            <w:tcW w:w="1391" w:type="pct"/>
          </w:tcPr>
          <w:p w14:paraId="14EEC7EA" w14:textId="77777777" w:rsidR="00D12268" w:rsidRDefault="00D12268" w:rsidP="00556AB6">
            <w:pPr>
              <w:pStyle w:val="Tabletext1"/>
              <w:rPr>
                <w:b/>
                <w:snapToGrid w:val="0"/>
                <w:lang w:eastAsia="en-US"/>
              </w:rPr>
            </w:pPr>
            <w:r w:rsidRPr="008B05B6">
              <w:lastRenderedPageBreak/>
              <w:t>Nurse</w:t>
            </w:r>
          </w:p>
        </w:tc>
        <w:tc>
          <w:tcPr>
            <w:tcW w:w="945" w:type="pct"/>
            <w:vAlign w:val="center"/>
          </w:tcPr>
          <w:p w14:paraId="27781601" w14:textId="5AA6C4BB" w:rsidR="00D12268" w:rsidRPr="003816D8" w:rsidRDefault="00D12268" w:rsidP="00BF261E">
            <w:pPr>
              <w:pStyle w:val="Tabletext1"/>
              <w:jc w:val="center"/>
              <w:rPr>
                <w:b/>
                <w:snapToGrid w:val="0"/>
                <w:lang w:eastAsia="en-US"/>
              </w:rPr>
            </w:pPr>
            <w:r w:rsidRPr="00B54BA5">
              <w:t>0.25 hr * 1 * 5714 patients</w:t>
            </w:r>
          </w:p>
        </w:tc>
        <w:tc>
          <w:tcPr>
            <w:tcW w:w="703" w:type="pct"/>
            <w:vAlign w:val="center"/>
          </w:tcPr>
          <w:p w14:paraId="44F0EE78" w14:textId="11850752" w:rsidR="00D12268" w:rsidRPr="003816D8" w:rsidRDefault="00D12268" w:rsidP="00BF261E">
            <w:pPr>
              <w:pStyle w:val="Tabletext1"/>
              <w:jc w:val="center"/>
              <w:rPr>
                <w:b/>
              </w:rPr>
            </w:pPr>
            <w:r w:rsidRPr="00321BDD">
              <w:t>$52,854.50</w:t>
            </w:r>
          </w:p>
        </w:tc>
        <w:tc>
          <w:tcPr>
            <w:tcW w:w="1151" w:type="pct"/>
            <w:vAlign w:val="center"/>
          </w:tcPr>
          <w:p w14:paraId="69F93DB8" w14:textId="77777777" w:rsidR="00D12268" w:rsidRPr="003816D8" w:rsidRDefault="00D12268" w:rsidP="00BF261E">
            <w:pPr>
              <w:pStyle w:val="Tabletext1"/>
              <w:jc w:val="center"/>
              <w:rPr>
                <w:rFonts w:cs="Calibri"/>
                <w:b/>
              </w:rPr>
            </w:pPr>
            <w:r w:rsidRPr="00321BDD">
              <w:t>0.25 hr * 1 * 12000 patients</w:t>
            </w:r>
          </w:p>
        </w:tc>
        <w:tc>
          <w:tcPr>
            <w:tcW w:w="810" w:type="pct"/>
            <w:vAlign w:val="center"/>
          </w:tcPr>
          <w:p w14:paraId="19C1AAAA" w14:textId="5ABDBA35" w:rsidR="00D12268" w:rsidRDefault="00D12268" w:rsidP="00BF261E">
            <w:pPr>
              <w:pStyle w:val="Tabletext1"/>
              <w:jc w:val="center"/>
              <w:rPr>
                <w:rFonts w:cs="Calibri"/>
                <w:b/>
              </w:rPr>
            </w:pPr>
            <w:r w:rsidRPr="00321BDD">
              <w:t>$111,000.00</w:t>
            </w:r>
          </w:p>
        </w:tc>
      </w:tr>
      <w:tr w:rsidR="00D12268" w:rsidRPr="00F77E8D" w14:paraId="2BA7983B" w14:textId="77777777" w:rsidTr="00207D12">
        <w:tc>
          <w:tcPr>
            <w:tcW w:w="1391" w:type="pct"/>
          </w:tcPr>
          <w:p w14:paraId="2FEA17AA" w14:textId="77777777" w:rsidR="00D12268" w:rsidRDefault="00D12268" w:rsidP="00556AB6">
            <w:pPr>
              <w:pStyle w:val="Tabletext1"/>
              <w:rPr>
                <w:b/>
                <w:snapToGrid w:val="0"/>
                <w:lang w:eastAsia="en-US"/>
              </w:rPr>
            </w:pPr>
            <w:r w:rsidRPr="008B05B6">
              <w:t>Receptionist</w:t>
            </w:r>
          </w:p>
        </w:tc>
        <w:tc>
          <w:tcPr>
            <w:tcW w:w="945" w:type="pct"/>
            <w:vAlign w:val="center"/>
          </w:tcPr>
          <w:p w14:paraId="429A98CB" w14:textId="22422E47" w:rsidR="00D12268" w:rsidRPr="003816D8" w:rsidRDefault="00D12268" w:rsidP="00BF261E">
            <w:pPr>
              <w:pStyle w:val="Tabletext1"/>
              <w:jc w:val="center"/>
              <w:rPr>
                <w:b/>
                <w:snapToGrid w:val="0"/>
                <w:lang w:eastAsia="en-US"/>
              </w:rPr>
            </w:pPr>
            <w:r w:rsidRPr="00B54BA5">
              <w:t>0.25 hr * 1 * 5714 patients</w:t>
            </w:r>
          </w:p>
        </w:tc>
        <w:tc>
          <w:tcPr>
            <w:tcW w:w="703" w:type="pct"/>
            <w:vAlign w:val="center"/>
          </w:tcPr>
          <w:p w14:paraId="3FE47AE3" w14:textId="7E50B742" w:rsidR="00D12268" w:rsidRPr="003816D8" w:rsidRDefault="00D12268" w:rsidP="00BF261E">
            <w:pPr>
              <w:pStyle w:val="Tabletext1"/>
              <w:jc w:val="center"/>
              <w:rPr>
                <w:b/>
              </w:rPr>
            </w:pPr>
            <w:r w:rsidRPr="00321BDD">
              <w:t>$33,726.89</w:t>
            </w:r>
          </w:p>
        </w:tc>
        <w:tc>
          <w:tcPr>
            <w:tcW w:w="1151" w:type="pct"/>
            <w:vAlign w:val="center"/>
          </w:tcPr>
          <w:p w14:paraId="3B4B39D2" w14:textId="77777777" w:rsidR="00D12268" w:rsidRPr="003816D8" w:rsidRDefault="00D12268" w:rsidP="00BF261E">
            <w:pPr>
              <w:pStyle w:val="Tabletext1"/>
              <w:jc w:val="center"/>
              <w:rPr>
                <w:rFonts w:cs="Calibri"/>
                <w:b/>
              </w:rPr>
            </w:pPr>
            <w:r w:rsidRPr="00321BDD">
              <w:t>0.25 hr * 1 * 12000 patients</w:t>
            </w:r>
          </w:p>
        </w:tc>
        <w:tc>
          <w:tcPr>
            <w:tcW w:w="810" w:type="pct"/>
            <w:vAlign w:val="center"/>
          </w:tcPr>
          <w:p w14:paraId="4FF60195" w14:textId="275DC686" w:rsidR="00D12268" w:rsidRDefault="00D12268" w:rsidP="00BF261E">
            <w:pPr>
              <w:pStyle w:val="Tabletext1"/>
              <w:jc w:val="center"/>
              <w:rPr>
                <w:rFonts w:cs="Calibri"/>
                <w:b/>
              </w:rPr>
            </w:pPr>
            <w:r w:rsidRPr="00321BDD">
              <w:t>$70,830.00</w:t>
            </w:r>
          </w:p>
        </w:tc>
      </w:tr>
      <w:tr w:rsidR="00D12268" w:rsidRPr="00F77E8D" w14:paraId="7C49F5CD" w14:textId="77777777" w:rsidTr="00207D12">
        <w:tc>
          <w:tcPr>
            <w:tcW w:w="1391" w:type="pct"/>
          </w:tcPr>
          <w:p w14:paraId="5787E6E0" w14:textId="77777777" w:rsidR="00D12268" w:rsidRPr="0016625F" w:rsidRDefault="00D12268" w:rsidP="00556AB6">
            <w:pPr>
              <w:pStyle w:val="Tabletext1"/>
              <w:rPr>
                <w:b/>
                <w:snapToGrid w:val="0"/>
                <w:lang w:eastAsia="en-US"/>
              </w:rPr>
            </w:pPr>
            <w:r w:rsidRPr="0016625F">
              <w:rPr>
                <w:b/>
              </w:rPr>
              <w:t>CT-specific costs</w:t>
            </w:r>
          </w:p>
        </w:tc>
        <w:tc>
          <w:tcPr>
            <w:tcW w:w="945" w:type="pct"/>
            <w:vAlign w:val="center"/>
          </w:tcPr>
          <w:p w14:paraId="13B0F83E" w14:textId="77777777" w:rsidR="00D12268" w:rsidRPr="003816D8" w:rsidRDefault="00D12268" w:rsidP="00BF261E">
            <w:pPr>
              <w:pStyle w:val="Tabletext1"/>
              <w:jc w:val="center"/>
              <w:rPr>
                <w:b/>
                <w:snapToGrid w:val="0"/>
                <w:lang w:eastAsia="en-US"/>
              </w:rPr>
            </w:pPr>
          </w:p>
        </w:tc>
        <w:tc>
          <w:tcPr>
            <w:tcW w:w="703" w:type="pct"/>
            <w:vAlign w:val="center"/>
          </w:tcPr>
          <w:p w14:paraId="07302656" w14:textId="77777777" w:rsidR="00D12268" w:rsidRPr="003816D8" w:rsidRDefault="00D12268" w:rsidP="00BF261E">
            <w:pPr>
              <w:pStyle w:val="Tabletext1"/>
              <w:jc w:val="center"/>
              <w:rPr>
                <w:b/>
              </w:rPr>
            </w:pPr>
          </w:p>
        </w:tc>
        <w:tc>
          <w:tcPr>
            <w:tcW w:w="1151" w:type="pct"/>
            <w:vAlign w:val="center"/>
          </w:tcPr>
          <w:p w14:paraId="5D3B737A" w14:textId="77777777" w:rsidR="00D12268" w:rsidRPr="003816D8" w:rsidRDefault="00D12268" w:rsidP="00BF261E">
            <w:pPr>
              <w:pStyle w:val="Tabletext1"/>
              <w:jc w:val="center"/>
              <w:rPr>
                <w:rFonts w:cs="Calibri"/>
                <w:b/>
              </w:rPr>
            </w:pPr>
          </w:p>
        </w:tc>
        <w:tc>
          <w:tcPr>
            <w:tcW w:w="810" w:type="pct"/>
            <w:vAlign w:val="center"/>
          </w:tcPr>
          <w:p w14:paraId="4CC9FF0A" w14:textId="77777777" w:rsidR="00D12268" w:rsidRDefault="00D12268" w:rsidP="00BF261E">
            <w:pPr>
              <w:pStyle w:val="Tabletext1"/>
              <w:jc w:val="center"/>
              <w:rPr>
                <w:rFonts w:cs="Calibri"/>
                <w:b/>
              </w:rPr>
            </w:pPr>
          </w:p>
        </w:tc>
      </w:tr>
      <w:tr w:rsidR="00D12268" w:rsidRPr="00F77E8D" w14:paraId="3F7609AF" w14:textId="77777777" w:rsidTr="00207D12">
        <w:tc>
          <w:tcPr>
            <w:tcW w:w="1391" w:type="pct"/>
          </w:tcPr>
          <w:p w14:paraId="3C67AB24" w14:textId="77777777" w:rsidR="00D12268" w:rsidRDefault="00D12268" w:rsidP="00556AB6">
            <w:pPr>
              <w:pStyle w:val="Tabletext1"/>
              <w:rPr>
                <w:b/>
                <w:snapToGrid w:val="0"/>
                <w:lang w:eastAsia="en-US"/>
              </w:rPr>
            </w:pPr>
            <w:r w:rsidRPr="008B05B6">
              <w:t>Fiducial marker placement</w:t>
            </w:r>
          </w:p>
        </w:tc>
        <w:tc>
          <w:tcPr>
            <w:tcW w:w="945" w:type="pct"/>
            <w:vAlign w:val="center"/>
          </w:tcPr>
          <w:p w14:paraId="701D4CAE" w14:textId="34B5C8F5" w:rsidR="00D12268" w:rsidRPr="003816D8" w:rsidRDefault="00D12268" w:rsidP="00BF261E">
            <w:pPr>
              <w:pStyle w:val="Tabletext1"/>
              <w:jc w:val="center"/>
              <w:rPr>
                <w:b/>
                <w:snapToGrid w:val="0"/>
                <w:lang w:eastAsia="en-US"/>
              </w:rPr>
            </w:pPr>
            <w:r w:rsidRPr="00B54BA5">
              <w:t>-</w:t>
            </w:r>
          </w:p>
        </w:tc>
        <w:tc>
          <w:tcPr>
            <w:tcW w:w="703" w:type="pct"/>
            <w:vAlign w:val="center"/>
          </w:tcPr>
          <w:p w14:paraId="2F13AFCA" w14:textId="273B44C8" w:rsidR="00D12268" w:rsidRPr="003816D8" w:rsidRDefault="00D12268" w:rsidP="00BF261E">
            <w:pPr>
              <w:pStyle w:val="Tabletext1"/>
              <w:jc w:val="center"/>
              <w:rPr>
                <w:b/>
              </w:rPr>
            </w:pPr>
            <w:r w:rsidRPr="00321BDD">
              <w:t>-</w:t>
            </w:r>
          </w:p>
        </w:tc>
        <w:tc>
          <w:tcPr>
            <w:tcW w:w="1151" w:type="pct"/>
            <w:vAlign w:val="center"/>
          </w:tcPr>
          <w:p w14:paraId="214BA689" w14:textId="77777777" w:rsidR="00D12268" w:rsidRPr="003816D8" w:rsidRDefault="00D12268" w:rsidP="00BF261E">
            <w:pPr>
              <w:pStyle w:val="Tabletext1"/>
              <w:jc w:val="center"/>
              <w:rPr>
                <w:rFonts w:cs="Calibri"/>
                <w:b/>
              </w:rPr>
            </w:pPr>
            <w:r w:rsidRPr="00321BDD">
              <w:t>1 * 12000 patients</w:t>
            </w:r>
          </w:p>
        </w:tc>
        <w:tc>
          <w:tcPr>
            <w:tcW w:w="810" w:type="pct"/>
            <w:vAlign w:val="center"/>
          </w:tcPr>
          <w:p w14:paraId="6E409A8D" w14:textId="1AF63D18" w:rsidR="00D12268" w:rsidRDefault="00D12268" w:rsidP="00BF261E">
            <w:pPr>
              <w:pStyle w:val="Tabletext1"/>
              <w:jc w:val="center"/>
              <w:rPr>
                <w:rFonts w:cs="Calibri"/>
                <w:b/>
              </w:rPr>
            </w:pPr>
            <w:r w:rsidRPr="00321BDD">
              <w:t>$1,711,200.00</w:t>
            </w:r>
          </w:p>
        </w:tc>
      </w:tr>
      <w:tr w:rsidR="00D12268" w:rsidRPr="00F77E8D" w14:paraId="77E796C1" w14:textId="77777777" w:rsidTr="00207D12">
        <w:tc>
          <w:tcPr>
            <w:tcW w:w="1391" w:type="pct"/>
          </w:tcPr>
          <w:p w14:paraId="2E5E5F28" w14:textId="77777777" w:rsidR="00D12268" w:rsidRDefault="00D12268" w:rsidP="00556AB6">
            <w:pPr>
              <w:pStyle w:val="Tabletext1"/>
              <w:rPr>
                <w:b/>
                <w:snapToGrid w:val="0"/>
                <w:lang w:eastAsia="en-US"/>
              </w:rPr>
            </w:pPr>
            <w:r w:rsidRPr="008B05B6">
              <w:t>Ultrasound image guidance</w:t>
            </w:r>
          </w:p>
        </w:tc>
        <w:tc>
          <w:tcPr>
            <w:tcW w:w="945" w:type="pct"/>
            <w:vAlign w:val="center"/>
          </w:tcPr>
          <w:p w14:paraId="7575608A" w14:textId="5611008A" w:rsidR="00D12268" w:rsidRPr="003816D8" w:rsidRDefault="00D12268" w:rsidP="00BF261E">
            <w:pPr>
              <w:pStyle w:val="Tabletext1"/>
              <w:jc w:val="center"/>
              <w:rPr>
                <w:b/>
                <w:snapToGrid w:val="0"/>
                <w:lang w:eastAsia="en-US"/>
              </w:rPr>
            </w:pPr>
            <w:r w:rsidRPr="00B54BA5">
              <w:t>-</w:t>
            </w:r>
          </w:p>
        </w:tc>
        <w:tc>
          <w:tcPr>
            <w:tcW w:w="703" w:type="pct"/>
            <w:vAlign w:val="center"/>
          </w:tcPr>
          <w:p w14:paraId="33057443" w14:textId="135E0F21" w:rsidR="00D12268" w:rsidRPr="003816D8" w:rsidRDefault="00D12268" w:rsidP="00BF261E">
            <w:pPr>
              <w:pStyle w:val="Tabletext1"/>
              <w:jc w:val="center"/>
              <w:rPr>
                <w:b/>
              </w:rPr>
            </w:pPr>
            <w:r w:rsidRPr="00321BDD">
              <w:t>-</w:t>
            </w:r>
          </w:p>
        </w:tc>
        <w:tc>
          <w:tcPr>
            <w:tcW w:w="1151" w:type="pct"/>
            <w:vAlign w:val="center"/>
          </w:tcPr>
          <w:p w14:paraId="7349F7FE" w14:textId="77777777" w:rsidR="00D12268" w:rsidRPr="003816D8" w:rsidRDefault="00D12268" w:rsidP="00BF261E">
            <w:pPr>
              <w:pStyle w:val="Tabletext1"/>
              <w:jc w:val="center"/>
              <w:rPr>
                <w:rFonts w:cs="Calibri"/>
                <w:b/>
              </w:rPr>
            </w:pPr>
            <w:r w:rsidRPr="00321BDD">
              <w:t>1 * 12000 patients</w:t>
            </w:r>
          </w:p>
        </w:tc>
        <w:tc>
          <w:tcPr>
            <w:tcW w:w="810" w:type="pct"/>
            <w:vAlign w:val="center"/>
          </w:tcPr>
          <w:p w14:paraId="77BBBA50" w14:textId="66541A81" w:rsidR="00D12268" w:rsidRDefault="00D12268" w:rsidP="00BF261E">
            <w:pPr>
              <w:pStyle w:val="Tabletext1"/>
              <w:jc w:val="center"/>
              <w:rPr>
                <w:rFonts w:cs="Calibri"/>
                <w:b/>
              </w:rPr>
            </w:pPr>
            <w:r w:rsidRPr="00321BDD">
              <w:t>$1,329,000.00</w:t>
            </w:r>
          </w:p>
        </w:tc>
      </w:tr>
      <w:tr w:rsidR="00D12268" w:rsidRPr="00F77E8D" w14:paraId="074D6F9C" w14:textId="77777777" w:rsidTr="00207D12">
        <w:tc>
          <w:tcPr>
            <w:tcW w:w="1391" w:type="pct"/>
          </w:tcPr>
          <w:p w14:paraId="0A8F6885" w14:textId="77777777" w:rsidR="00D12268" w:rsidRDefault="00D12268" w:rsidP="00556AB6">
            <w:pPr>
              <w:pStyle w:val="Tabletext1"/>
              <w:rPr>
                <w:b/>
                <w:snapToGrid w:val="0"/>
                <w:lang w:eastAsia="en-US"/>
              </w:rPr>
            </w:pPr>
            <w:r w:rsidRPr="008B05B6">
              <w:t>Specialist attendance</w:t>
            </w:r>
          </w:p>
        </w:tc>
        <w:tc>
          <w:tcPr>
            <w:tcW w:w="945" w:type="pct"/>
            <w:vAlign w:val="center"/>
          </w:tcPr>
          <w:p w14:paraId="3AA97A47" w14:textId="13D554D2" w:rsidR="00D12268" w:rsidRPr="003816D8" w:rsidRDefault="00D12268" w:rsidP="00BF261E">
            <w:pPr>
              <w:pStyle w:val="Tabletext1"/>
              <w:jc w:val="center"/>
              <w:rPr>
                <w:b/>
                <w:snapToGrid w:val="0"/>
                <w:lang w:eastAsia="en-US"/>
              </w:rPr>
            </w:pPr>
            <w:r w:rsidRPr="00B54BA5">
              <w:t>-</w:t>
            </w:r>
          </w:p>
        </w:tc>
        <w:tc>
          <w:tcPr>
            <w:tcW w:w="703" w:type="pct"/>
            <w:vAlign w:val="center"/>
          </w:tcPr>
          <w:p w14:paraId="12C4C5F8" w14:textId="490BE1FE" w:rsidR="00D12268" w:rsidRPr="003816D8" w:rsidRDefault="00D12268" w:rsidP="00BF261E">
            <w:pPr>
              <w:pStyle w:val="Tabletext1"/>
              <w:jc w:val="center"/>
              <w:rPr>
                <w:b/>
              </w:rPr>
            </w:pPr>
            <w:r w:rsidRPr="00321BDD">
              <w:t>-</w:t>
            </w:r>
          </w:p>
        </w:tc>
        <w:tc>
          <w:tcPr>
            <w:tcW w:w="1151" w:type="pct"/>
            <w:vAlign w:val="center"/>
          </w:tcPr>
          <w:p w14:paraId="21EB7C35" w14:textId="77777777" w:rsidR="00D12268" w:rsidRPr="003816D8" w:rsidRDefault="00D12268" w:rsidP="00BF261E">
            <w:pPr>
              <w:pStyle w:val="Tabletext1"/>
              <w:jc w:val="center"/>
              <w:rPr>
                <w:rFonts w:cs="Calibri"/>
                <w:b/>
              </w:rPr>
            </w:pPr>
            <w:r w:rsidRPr="00321BDD">
              <w:t>1 * 12000 patients</w:t>
            </w:r>
          </w:p>
        </w:tc>
        <w:tc>
          <w:tcPr>
            <w:tcW w:w="810" w:type="pct"/>
            <w:vAlign w:val="center"/>
          </w:tcPr>
          <w:p w14:paraId="6208D12C" w14:textId="08D6DF8F" w:rsidR="00D12268" w:rsidRDefault="00D12268" w:rsidP="00BF261E">
            <w:pPr>
              <w:pStyle w:val="Tabletext1"/>
              <w:jc w:val="center"/>
              <w:rPr>
                <w:rFonts w:cs="Calibri"/>
                <w:b/>
              </w:rPr>
            </w:pPr>
            <w:r w:rsidRPr="00321BDD">
              <w:t>$1,074,600.00</w:t>
            </w:r>
          </w:p>
        </w:tc>
      </w:tr>
      <w:tr w:rsidR="00D12268" w:rsidRPr="00F77E8D" w14:paraId="5933DD73" w14:textId="77777777" w:rsidTr="00207D12">
        <w:tc>
          <w:tcPr>
            <w:tcW w:w="1391" w:type="pct"/>
          </w:tcPr>
          <w:p w14:paraId="40BF795B" w14:textId="77777777" w:rsidR="00D12268" w:rsidRDefault="00D12268" w:rsidP="00556AB6">
            <w:pPr>
              <w:pStyle w:val="Tabletext1"/>
              <w:rPr>
                <w:b/>
                <w:snapToGrid w:val="0"/>
                <w:lang w:eastAsia="en-US"/>
              </w:rPr>
            </w:pPr>
            <w:r w:rsidRPr="009825ED">
              <w:t>Anaesthesia</w:t>
            </w:r>
          </w:p>
        </w:tc>
        <w:tc>
          <w:tcPr>
            <w:tcW w:w="945" w:type="pct"/>
            <w:vAlign w:val="center"/>
          </w:tcPr>
          <w:p w14:paraId="0C9F6F0E" w14:textId="795A16F1" w:rsidR="00D12268" w:rsidRPr="003816D8" w:rsidRDefault="00D12268" w:rsidP="00BF261E">
            <w:pPr>
              <w:pStyle w:val="Tabletext1"/>
              <w:jc w:val="center"/>
              <w:rPr>
                <w:b/>
                <w:snapToGrid w:val="0"/>
                <w:lang w:eastAsia="en-US"/>
              </w:rPr>
            </w:pPr>
            <w:r w:rsidRPr="00B54BA5">
              <w:t>-</w:t>
            </w:r>
          </w:p>
        </w:tc>
        <w:tc>
          <w:tcPr>
            <w:tcW w:w="703" w:type="pct"/>
            <w:vAlign w:val="center"/>
          </w:tcPr>
          <w:p w14:paraId="5B741B24" w14:textId="7A260E69" w:rsidR="00D12268" w:rsidRPr="003816D8" w:rsidRDefault="00D12268" w:rsidP="00BF261E">
            <w:pPr>
              <w:pStyle w:val="Tabletext1"/>
              <w:jc w:val="center"/>
              <w:rPr>
                <w:b/>
              </w:rPr>
            </w:pPr>
            <w:r w:rsidRPr="00321BDD">
              <w:t>-</w:t>
            </w:r>
          </w:p>
        </w:tc>
        <w:tc>
          <w:tcPr>
            <w:tcW w:w="1151" w:type="pct"/>
            <w:vAlign w:val="center"/>
          </w:tcPr>
          <w:p w14:paraId="1042109E" w14:textId="77777777" w:rsidR="00D12268" w:rsidRPr="003816D8" w:rsidRDefault="00D12268" w:rsidP="00BF261E">
            <w:pPr>
              <w:pStyle w:val="Tabletext1"/>
              <w:jc w:val="center"/>
              <w:rPr>
                <w:rFonts w:cs="Calibri"/>
                <w:b/>
              </w:rPr>
            </w:pPr>
            <w:r w:rsidRPr="00321BDD">
              <w:t>1 * 12000 patients</w:t>
            </w:r>
          </w:p>
        </w:tc>
        <w:tc>
          <w:tcPr>
            <w:tcW w:w="810" w:type="pct"/>
            <w:vAlign w:val="center"/>
          </w:tcPr>
          <w:p w14:paraId="51843D63" w14:textId="278D35FB" w:rsidR="00D12268" w:rsidRDefault="00D12268" w:rsidP="00BF261E">
            <w:pPr>
              <w:pStyle w:val="Tabletext1"/>
              <w:jc w:val="center"/>
              <w:rPr>
                <w:rFonts w:cs="Calibri"/>
                <w:b/>
              </w:rPr>
            </w:pPr>
            <w:r w:rsidRPr="00321BDD">
              <w:t>$1,224,000.00</w:t>
            </w:r>
          </w:p>
        </w:tc>
      </w:tr>
      <w:tr w:rsidR="00D12268" w:rsidRPr="00F77E8D" w14:paraId="1C171DF1" w14:textId="77777777" w:rsidTr="00207D12">
        <w:tc>
          <w:tcPr>
            <w:tcW w:w="1391" w:type="pct"/>
          </w:tcPr>
          <w:p w14:paraId="35C3607E" w14:textId="77777777" w:rsidR="00D12268" w:rsidRDefault="00D12268" w:rsidP="00556AB6">
            <w:pPr>
              <w:pStyle w:val="Tabletext1"/>
              <w:rPr>
                <w:b/>
                <w:snapToGrid w:val="0"/>
                <w:lang w:eastAsia="en-US"/>
              </w:rPr>
            </w:pPr>
            <w:r w:rsidRPr="009825ED">
              <w:t>Prophylactic antibiotics</w:t>
            </w:r>
          </w:p>
        </w:tc>
        <w:tc>
          <w:tcPr>
            <w:tcW w:w="945" w:type="pct"/>
            <w:vAlign w:val="center"/>
          </w:tcPr>
          <w:p w14:paraId="235981D7" w14:textId="26EB3A99" w:rsidR="00D12268" w:rsidRPr="003816D8" w:rsidRDefault="00D12268" w:rsidP="005007E2">
            <w:pPr>
              <w:pStyle w:val="Tabletext1"/>
              <w:jc w:val="center"/>
              <w:rPr>
                <w:b/>
                <w:snapToGrid w:val="0"/>
                <w:lang w:eastAsia="en-US"/>
              </w:rPr>
            </w:pPr>
            <w:r w:rsidRPr="00B54BA5">
              <w:t>-</w:t>
            </w:r>
          </w:p>
        </w:tc>
        <w:tc>
          <w:tcPr>
            <w:tcW w:w="703" w:type="pct"/>
            <w:vAlign w:val="center"/>
          </w:tcPr>
          <w:p w14:paraId="3BD6D432" w14:textId="44683E92" w:rsidR="00D12268" w:rsidRPr="003816D8" w:rsidRDefault="00D12268" w:rsidP="005007E2">
            <w:pPr>
              <w:pStyle w:val="Tabletext1"/>
              <w:jc w:val="center"/>
              <w:rPr>
                <w:b/>
              </w:rPr>
            </w:pPr>
            <w:r w:rsidRPr="00321BDD">
              <w:t>-</w:t>
            </w:r>
          </w:p>
        </w:tc>
        <w:tc>
          <w:tcPr>
            <w:tcW w:w="1151" w:type="pct"/>
            <w:vAlign w:val="center"/>
          </w:tcPr>
          <w:p w14:paraId="3B9759C1" w14:textId="77777777" w:rsidR="00D12268" w:rsidRPr="003816D8" w:rsidRDefault="00D12268" w:rsidP="005007E2">
            <w:pPr>
              <w:pStyle w:val="Tabletext1"/>
              <w:jc w:val="center"/>
              <w:rPr>
                <w:rFonts w:cs="Calibri"/>
                <w:b/>
              </w:rPr>
            </w:pPr>
            <w:r w:rsidRPr="00321BDD">
              <w:t>1 * 12000 patients</w:t>
            </w:r>
          </w:p>
        </w:tc>
        <w:tc>
          <w:tcPr>
            <w:tcW w:w="810" w:type="pct"/>
            <w:vAlign w:val="center"/>
          </w:tcPr>
          <w:p w14:paraId="385B27EA" w14:textId="0D17DD21" w:rsidR="00D12268" w:rsidRDefault="00D12268" w:rsidP="005007E2">
            <w:pPr>
              <w:pStyle w:val="Tabletext1"/>
              <w:jc w:val="center"/>
              <w:rPr>
                <w:rFonts w:cs="Calibri"/>
                <w:b/>
              </w:rPr>
            </w:pPr>
            <w:r w:rsidRPr="00321BDD">
              <w:t>$219,360.00</w:t>
            </w:r>
          </w:p>
        </w:tc>
      </w:tr>
      <w:tr w:rsidR="00D12268" w:rsidRPr="00F77E8D" w14:paraId="5E556AFD" w14:textId="77777777" w:rsidTr="00207D12">
        <w:tc>
          <w:tcPr>
            <w:tcW w:w="1391" w:type="pct"/>
          </w:tcPr>
          <w:p w14:paraId="3DE4698A" w14:textId="77777777" w:rsidR="00D12268" w:rsidRPr="006A75C0" w:rsidRDefault="00D12268" w:rsidP="00556AB6">
            <w:pPr>
              <w:pStyle w:val="Tabletext1"/>
              <w:rPr>
                <w:b/>
                <w:snapToGrid w:val="0"/>
                <w:lang w:eastAsia="en-US"/>
              </w:rPr>
            </w:pPr>
            <w:r w:rsidRPr="006A75C0">
              <w:rPr>
                <w:b/>
              </w:rPr>
              <w:t>MRI-specific costs</w:t>
            </w:r>
          </w:p>
        </w:tc>
        <w:tc>
          <w:tcPr>
            <w:tcW w:w="945" w:type="pct"/>
            <w:vAlign w:val="center"/>
          </w:tcPr>
          <w:p w14:paraId="7EB19571" w14:textId="77777777" w:rsidR="00D12268" w:rsidRPr="003816D8" w:rsidRDefault="00D12268" w:rsidP="00BF261E">
            <w:pPr>
              <w:pStyle w:val="Tabletext1"/>
              <w:jc w:val="center"/>
              <w:rPr>
                <w:b/>
                <w:snapToGrid w:val="0"/>
                <w:lang w:eastAsia="en-US"/>
              </w:rPr>
            </w:pPr>
          </w:p>
        </w:tc>
        <w:tc>
          <w:tcPr>
            <w:tcW w:w="703" w:type="pct"/>
            <w:vAlign w:val="center"/>
          </w:tcPr>
          <w:p w14:paraId="7DBF06BC" w14:textId="77777777" w:rsidR="00D12268" w:rsidRPr="003816D8" w:rsidRDefault="00D12268" w:rsidP="00BF261E">
            <w:pPr>
              <w:pStyle w:val="Tabletext1"/>
              <w:jc w:val="center"/>
              <w:rPr>
                <w:b/>
              </w:rPr>
            </w:pPr>
          </w:p>
        </w:tc>
        <w:tc>
          <w:tcPr>
            <w:tcW w:w="1151" w:type="pct"/>
            <w:vAlign w:val="center"/>
          </w:tcPr>
          <w:p w14:paraId="24724FB6" w14:textId="77777777" w:rsidR="00D12268" w:rsidRPr="003816D8" w:rsidRDefault="00D12268" w:rsidP="00BF261E">
            <w:pPr>
              <w:pStyle w:val="Tabletext1"/>
              <w:jc w:val="center"/>
              <w:rPr>
                <w:rFonts w:cs="Calibri"/>
                <w:b/>
              </w:rPr>
            </w:pPr>
          </w:p>
        </w:tc>
        <w:tc>
          <w:tcPr>
            <w:tcW w:w="810" w:type="pct"/>
            <w:vAlign w:val="center"/>
          </w:tcPr>
          <w:p w14:paraId="5068C4DE" w14:textId="77777777" w:rsidR="00D12268" w:rsidRDefault="00D12268" w:rsidP="00BF261E">
            <w:pPr>
              <w:pStyle w:val="Tabletext1"/>
              <w:jc w:val="center"/>
              <w:rPr>
                <w:rFonts w:cs="Calibri"/>
                <w:b/>
              </w:rPr>
            </w:pPr>
          </w:p>
        </w:tc>
      </w:tr>
      <w:tr w:rsidR="00D12268" w:rsidRPr="00F77E8D" w14:paraId="63A018F5" w14:textId="77777777" w:rsidTr="00207D12">
        <w:tc>
          <w:tcPr>
            <w:tcW w:w="1391" w:type="pct"/>
          </w:tcPr>
          <w:p w14:paraId="0DF64CCC" w14:textId="77777777" w:rsidR="00D12268" w:rsidRDefault="00D12268" w:rsidP="00556AB6">
            <w:pPr>
              <w:pStyle w:val="Tabletext1"/>
              <w:rPr>
                <w:b/>
                <w:snapToGrid w:val="0"/>
                <w:lang w:eastAsia="en-US"/>
              </w:rPr>
            </w:pPr>
            <w:r w:rsidRPr="009825ED">
              <w:t>MR-Immobilization equipment</w:t>
            </w:r>
          </w:p>
        </w:tc>
        <w:tc>
          <w:tcPr>
            <w:tcW w:w="945" w:type="pct"/>
            <w:vAlign w:val="center"/>
          </w:tcPr>
          <w:p w14:paraId="3CECDC44" w14:textId="77777777" w:rsidR="00D12268" w:rsidRPr="003816D8" w:rsidRDefault="00D12268" w:rsidP="00BF261E">
            <w:pPr>
              <w:pStyle w:val="Tabletext1"/>
              <w:jc w:val="center"/>
              <w:rPr>
                <w:b/>
                <w:snapToGrid w:val="0"/>
                <w:lang w:eastAsia="en-US"/>
              </w:rPr>
            </w:pPr>
            <w:r w:rsidRPr="00B54BA5">
              <w:t>1</w:t>
            </w:r>
          </w:p>
        </w:tc>
        <w:tc>
          <w:tcPr>
            <w:tcW w:w="703" w:type="pct"/>
            <w:vAlign w:val="center"/>
          </w:tcPr>
          <w:p w14:paraId="65CAF258" w14:textId="1E0CE75B" w:rsidR="00D12268" w:rsidRPr="003816D8" w:rsidRDefault="00D12268" w:rsidP="00BF261E">
            <w:pPr>
              <w:pStyle w:val="Tabletext1"/>
              <w:jc w:val="center"/>
              <w:rPr>
                <w:b/>
              </w:rPr>
            </w:pPr>
            <w:r w:rsidRPr="00321BDD">
              <w:t>$36,446.30</w:t>
            </w:r>
          </w:p>
        </w:tc>
        <w:tc>
          <w:tcPr>
            <w:tcW w:w="1151" w:type="pct"/>
            <w:vAlign w:val="center"/>
          </w:tcPr>
          <w:p w14:paraId="35C00B69" w14:textId="5675FBAB" w:rsidR="00D12268" w:rsidRPr="003816D8" w:rsidRDefault="00D12268" w:rsidP="00BF261E">
            <w:pPr>
              <w:pStyle w:val="Tabletext1"/>
              <w:jc w:val="center"/>
              <w:rPr>
                <w:rFonts w:cs="Calibri"/>
                <w:b/>
              </w:rPr>
            </w:pPr>
            <w:r w:rsidRPr="00321BDD">
              <w:t>-</w:t>
            </w:r>
          </w:p>
        </w:tc>
        <w:tc>
          <w:tcPr>
            <w:tcW w:w="810" w:type="pct"/>
            <w:vAlign w:val="center"/>
          </w:tcPr>
          <w:p w14:paraId="23829523" w14:textId="7468451E" w:rsidR="00D12268" w:rsidRDefault="00D12268" w:rsidP="00BF261E">
            <w:pPr>
              <w:pStyle w:val="Tabletext1"/>
              <w:jc w:val="center"/>
              <w:rPr>
                <w:rFonts w:cs="Calibri"/>
                <w:b/>
              </w:rPr>
            </w:pPr>
            <w:r w:rsidRPr="00321BDD">
              <w:t>-</w:t>
            </w:r>
          </w:p>
        </w:tc>
      </w:tr>
      <w:tr w:rsidR="00D12268" w:rsidRPr="00F77E8D" w14:paraId="7FBF83FF" w14:textId="77777777" w:rsidTr="00207D12">
        <w:tc>
          <w:tcPr>
            <w:tcW w:w="1391" w:type="pct"/>
          </w:tcPr>
          <w:p w14:paraId="0FEA6685" w14:textId="77777777" w:rsidR="00D12268" w:rsidRDefault="00D12268" w:rsidP="00556AB6">
            <w:pPr>
              <w:pStyle w:val="Tabletext1"/>
              <w:rPr>
                <w:b/>
                <w:snapToGrid w:val="0"/>
                <w:lang w:eastAsia="en-US"/>
              </w:rPr>
            </w:pPr>
            <w:r w:rsidRPr="009825ED">
              <w:t>Ancillary MR-equipment</w:t>
            </w:r>
          </w:p>
        </w:tc>
        <w:tc>
          <w:tcPr>
            <w:tcW w:w="945" w:type="pct"/>
            <w:vAlign w:val="center"/>
          </w:tcPr>
          <w:p w14:paraId="2E6BA4EE" w14:textId="77777777" w:rsidR="00D12268" w:rsidRPr="003816D8" w:rsidRDefault="00D12268" w:rsidP="00BF261E">
            <w:pPr>
              <w:pStyle w:val="Tabletext1"/>
              <w:jc w:val="center"/>
              <w:rPr>
                <w:b/>
                <w:snapToGrid w:val="0"/>
                <w:lang w:eastAsia="en-US"/>
              </w:rPr>
            </w:pPr>
            <w:r w:rsidRPr="00B54BA5">
              <w:t>1</w:t>
            </w:r>
          </w:p>
        </w:tc>
        <w:tc>
          <w:tcPr>
            <w:tcW w:w="703" w:type="pct"/>
            <w:vAlign w:val="center"/>
          </w:tcPr>
          <w:p w14:paraId="72A3032B" w14:textId="6257A6BF" w:rsidR="00D12268" w:rsidRPr="003816D8" w:rsidRDefault="00D12268" w:rsidP="00BF261E">
            <w:pPr>
              <w:pStyle w:val="Tabletext1"/>
              <w:jc w:val="center"/>
              <w:rPr>
                <w:b/>
              </w:rPr>
            </w:pPr>
            <w:r w:rsidRPr="00321BDD">
              <w:t>$17,836.55</w:t>
            </w:r>
          </w:p>
        </w:tc>
        <w:tc>
          <w:tcPr>
            <w:tcW w:w="1151" w:type="pct"/>
            <w:vAlign w:val="center"/>
          </w:tcPr>
          <w:p w14:paraId="72BD781D" w14:textId="69AC5485" w:rsidR="00D12268" w:rsidRPr="003816D8" w:rsidRDefault="00D12268" w:rsidP="00BF261E">
            <w:pPr>
              <w:pStyle w:val="Tabletext1"/>
              <w:jc w:val="center"/>
              <w:rPr>
                <w:rFonts w:cs="Calibri"/>
                <w:b/>
              </w:rPr>
            </w:pPr>
            <w:r w:rsidRPr="00321BDD">
              <w:t>-</w:t>
            </w:r>
          </w:p>
        </w:tc>
        <w:tc>
          <w:tcPr>
            <w:tcW w:w="810" w:type="pct"/>
            <w:vAlign w:val="center"/>
          </w:tcPr>
          <w:p w14:paraId="69B5D529" w14:textId="37F98746" w:rsidR="00D12268" w:rsidRDefault="00D12268" w:rsidP="00BF261E">
            <w:pPr>
              <w:pStyle w:val="Tabletext1"/>
              <w:jc w:val="center"/>
              <w:rPr>
                <w:rFonts w:cs="Calibri"/>
                <w:b/>
              </w:rPr>
            </w:pPr>
            <w:r w:rsidRPr="00321BDD">
              <w:t>-</w:t>
            </w:r>
          </w:p>
        </w:tc>
      </w:tr>
      <w:tr w:rsidR="00D12268" w:rsidRPr="00F77E8D" w14:paraId="7733E399" w14:textId="77777777" w:rsidTr="00207D12">
        <w:tc>
          <w:tcPr>
            <w:tcW w:w="1391" w:type="pct"/>
          </w:tcPr>
          <w:p w14:paraId="7137C25F" w14:textId="77777777" w:rsidR="00D12268" w:rsidRDefault="00D12268" w:rsidP="00556AB6">
            <w:pPr>
              <w:pStyle w:val="Tabletext1"/>
              <w:rPr>
                <w:b/>
                <w:snapToGrid w:val="0"/>
                <w:lang w:eastAsia="en-US"/>
              </w:rPr>
            </w:pPr>
            <w:r w:rsidRPr="009825ED">
              <w:t>MR-physics equipment</w:t>
            </w:r>
          </w:p>
        </w:tc>
        <w:tc>
          <w:tcPr>
            <w:tcW w:w="945" w:type="pct"/>
            <w:vAlign w:val="center"/>
          </w:tcPr>
          <w:p w14:paraId="0328B6B8" w14:textId="77777777" w:rsidR="00D12268" w:rsidRPr="003816D8" w:rsidRDefault="00D12268" w:rsidP="00BF261E">
            <w:pPr>
              <w:pStyle w:val="Tabletext1"/>
              <w:jc w:val="center"/>
              <w:rPr>
                <w:b/>
                <w:snapToGrid w:val="0"/>
                <w:lang w:eastAsia="en-US"/>
              </w:rPr>
            </w:pPr>
            <w:r w:rsidRPr="00B54BA5">
              <w:t>1</w:t>
            </w:r>
          </w:p>
        </w:tc>
        <w:tc>
          <w:tcPr>
            <w:tcW w:w="703" w:type="pct"/>
            <w:vAlign w:val="center"/>
          </w:tcPr>
          <w:p w14:paraId="4BF65C3A" w14:textId="4C87F475" w:rsidR="00D12268" w:rsidRPr="003816D8" w:rsidRDefault="00D12268" w:rsidP="00BF261E">
            <w:pPr>
              <w:pStyle w:val="Tabletext1"/>
              <w:jc w:val="center"/>
              <w:rPr>
                <w:b/>
              </w:rPr>
            </w:pPr>
            <w:r w:rsidRPr="00321BDD">
              <w:t>$365,465.30</w:t>
            </w:r>
          </w:p>
        </w:tc>
        <w:tc>
          <w:tcPr>
            <w:tcW w:w="1151" w:type="pct"/>
            <w:vAlign w:val="center"/>
          </w:tcPr>
          <w:p w14:paraId="453CFD6E" w14:textId="77E30309" w:rsidR="00D12268" w:rsidRPr="003816D8" w:rsidRDefault="00D12268" w:rsidP="00BF261E">
            <w:pPr>
              <w:pStyle w:val="Tabletext1"/>
              <w:jc w:val="center"/>
              <w:rPr>
                <w:rFonts w:cs="Calibri"/>
                <w:b/>
              </w:rPr>
            </w:pPr>
            <w:r w:rsidRPr="00321BDD">
              <w:t>-</w:t>
            </w:r>
          </w:p>
        </w:tc>
        <w:tc>
          <w:tcPr>
            <w:tcW w:w="810" w:type="pct"/>
            <w:vAlign w:val="center"/>
          </w:tcPr>
          <w:p w14:paraId="4FD34611" w14:textId="08951CFC" w:rsidR="00D12268" w:rsidRDefault="00D12268" w:rsidP="00BF261E">
            <w:pPr>
              <w:pStyle w:val="Tabletext1"/>
              <w:jc w:val="center"/>
              <w:rPr>
                <w:rFonts w:cs="Calibri"/>
                <w:b/>
              </w:rPr>
            </w:pPr>
            <w:r w:rsidRPr="00321BDD">
              <w:t>-</w:t>
            </w:r>
          </w:p>
        </w:tc>
      </w:tr>
      <w:tr w:rsidR="00D12268" w:rsidRPr="00F77E8D" w14:paraId="5057CB80" w14:textId="77777777" w:rsidTr="00207D12">
        <w:trPr>
          <w:trHeight w:val="101"/>
        </w:trPr>
        <w:tc>
          <w:tcPr>
            <w:tcW w:w="1391" w:type="pct"/>
          </w:tcPr>
          <w:p w14:paraId="1CAF543A" w14:textId="77777777" w:rsidR="00D12268" w:rsidRPr="006A75C0" w:rsidRDefault="00D12268" w:rsidP="008B6FC0">
            <w:pPr>
              <w:pStyle w:val="Tabletext1"/>
              <w:keepNext/>
              <w:rPr>
                <w:b/>
                <w:snapToGrid w:val="0"/>
                <w:lang w:eastAsia="en-US"/>
              </w:rPr>
            </w:pPr>
            <w:r w:rsidRPr="006A75C0">
              <w:rPr>
                <w:b/>
              </w:rPr>
              <w:t>Follow-up visit</w:t>
            </w:r>
          </w:p>
        </w:tc>
        <w:tc>
          <w:tcPr>
            <w:tcW w:w="945" w:type="pct"/>
            <w:vAlign w:val="center"/>
          </w:tcPr>
          <w:p w14:paraId="0D3F016D" w14:textId="77777777" w:rsidR="00D12268" w:rsidRPr="003816D8" w:rsidRDefault="00D12268" w:rsidP="008B6FC0">
            <w:pPr>
              <w:pStyle w:val="Tabletext1"/>
              <w:keepNext/>
              <w:jc w:val="center"/>
              <w:rPr>
                <w:b/>
                <w:snapToGrid w:val="0"/>
                <w:lang w:eastAsia="en-US"/>
              </w:rPr>
            </w:pPr>
          </w:p>
        </w:tc>
        <w:tc>
          <w:tcPr>
            <w:tcW w:w="703" w:type="pct"/>
            <w:vAlign w:val="center"/>
          </w:tcPr>
          <w:p w14:paraId="45266998" w14:textId="77777777" w:rsidR="00D12268" w:rsidRPr="003816D8" w:rsidRDefault="00D12268" w:rsidP="008B6FC0">
            <w:pPr>
              <w:pStyle w:val="Tabletext1"/>
              <w:keepNext/>
              <w:jc w:val="center"/>
              <w:rPr>
                <w:b/>
              </w:rPr>
            </w:pPr>
          </w:p>
        </w:tc>
        <w:tc>
          <w:tcPr>
            <w:tcW w:w="1151" w:type="pct"/>
            <w:vAlign w:val="center"/>
          </w:tcPr>
          <w:p w14:paraId="6DADD27E" w14:textId="77777777" w:rsidR="00D12268" w:rsidRPr="003816D8" w:rsidRDefault="00D12268" w:rsidP="008B6FC0">
            <w:pPr>
              <w:pStyle w:val="Tabletext1"/>
              <w:keepNext/>
              <w:jc w:val="center"/>
              <w:rPr>
                <w:rFonts w:cs="Calibri"/>
                <w:b/>
              </w:rPr>
            </w:pPr>
          </w:p>
        </w:tc>
        <w:tc>
          <w:tcPr>
            <w:tcW w:w="810" w:type="pct"/>
            <w:vAlign w:val="center"/>
          </w:tcPr>
          <w:p w14:paraId="407129A7" w14:textId="77777777" w:rsidR="00D12268" w:rsidRDefault="00D12268" w:rsidP="008B6FC0">
            <w:pPr>
              <w:pStyle w:val="Tabletext1"/>
              <w:keepNext/>
              <w:jc w:val="center"/>
              <w:rPr>
                <w:rFonts w:cs="Calibri"/>
                <w:b/>
              </w:rPr>
            </w:pPr>
          </w:p>
        </w:tc>
      </w:tr>
      <w:tr w:rsidR="00D12268" w:rsidRPr="00F77E8D" w14:paraId="7FE4FE4B" w14:textId="77777777" w:rsidTr="00207D12">
        <w:tc>
          <w:tcPr>
            <w:tcW w:w="1391" w:type="pct"/>
          </w:tcPr>
          <w:p w14:paraId="5326D38D" w14:textId="77777777" w:rsidR="00D12268" w:rsidRDefault="00D12268" w:rsidP="008B6FC0">
            <w:pPr>
              <w:pStyle w:val="Tabletext1"/>
              <w:keepNext/>
              <w:rPr>
                <w:b/>
                <w:snapToGrid w:val="0"/>
                <w:lang w:eastAsia="en-US"/>
              </w:rPr>
            </w:pPr>
            <w:r w:rsidRPr="000709B7">
              <w:t>Radiation Oncologist</w:t>
            </w:r>
          </w:p>
        </w:tc>
        <w:tc>
          <w:tcPr>
            <w:tcW w:w="945" w:type="pct"/>
            <w:vAlign w:val="center"/>
          </w:tcPr>
          <w:p w14:paraId="138EB133" w14:textId="77777777" w:rsidR="00D12268" w:rsidRPr="003816D8" w:rsidRDefault="00D12268" w:rsidP="008B6FC0">
            <w:pPr>
              <w:pStyle w:val="Tabletext1"/>
              <w:keepNext/>
              <w:jc w:val="center"/>
              <w:rPr>
                <w:b/>
                <w:snapToGrid w:val="0"/>
                <w:lang w:eastAsia="en-US"/>
              </w:rPr>
            </w:pPr>
            <w:r w:rsidRPr="00B54BA5">
              <w:t>0.5 hr * 24 * 5714 patients</w:t>
            </w:r>
          </w:p>
        </w:tc>
        <w:tc>
          <w:tcPr>
            <w:tcW w:w="703" w:type="pct"/>
            <w:vAlign w:val="center"/>
          </w:tcPr>
          <w:p w14:paraId="6430B75C" w14:textId="2E67AA66" w:rsidR="00D12268" w:rsidRPr="003816D8" w:rsidRDefault="00D12268" w:rsidP="008B6FC0">
            <w:pPr>
              <w:pStyle w:val="Tabletext1"/>
              <w:keepNext/>
              <w:jc w:val="center"/>
              <w:rPr>
                <w:b/>
              </w:rPr>
            </w:pPr>
            <w:r w:rsidRPr="00321BDD">
              <w:t>$1,529,262.26</w:t>
            </w:r>
          </w:p>
        </w:tc>
        <w:tc>
          <w:tcPr>
            <w:tcW w:w="1151" w:type="pct"/>
            <w:vAlign w:val="center"/>
          </w:tcPr>
          <w:p w14:paraId="3BF7295A" w14:textId="6E995F87" w:rsidR="00D12268" w:rsidRPr="003816D8" w:rsidRDefault="00D12268" w:rsidP="008B6FC0">
            <w:pPr>
              <w:pStyle w:val="Tabletext1"/>
              <w:keepNext/>
              <w:jc w:val="center"/>
              <w:rPr>
                <w:rFonts w:cs="Calibri"/>
                <w:b/>
              </w:rPr>
            </w:pPr>
            <w:r w:rsidRPr="00321BDD">
              <w:t>0.5 hr * 24 * 12000 patients</w:t>
            </w:r>
          </w:p>
        </w:tc>
        <w:tc>
          <w:tcPr>
            <w:tcW w:w="810" w:type="pct"/>
            <w:vAlign w:val="center"/>
          </w:tcPr>
          <w:p w14:paraId="13FA2EE0" w14:textId="52CA9EA3" w:rsidR="00D12268" w:rsidRDefault="00D12268" w:rsidP="008B6FC0">
            <w:pPr>
              <w:pStyle w:val="Tabletext1"/>
              <w:keepNext/>
              <w:jc w:val="center"/>
              <w:rPr>
                <w:rFonts w:cs="Calibri"/>
                <w:b/>
              </w:rPr>
            </w:pPr>
            <w:r w:rsidRPr="00321BDD">
              <w:t>$3,211,611.34</w:t>
            </w:r>
          </w:p>
        </w:tc>
      </w:tr>
      <w:tr w:rsidR="00D12268" w:rsidRPr="00F77E8D" w14:paraId="5DFD2EA3" w14:textId="77777777" w:rsidTr="00207D12">
        <w:tc>
          <w:tcPr>
            <w:tcW w:w="1391" w:type="pct"/>
          </w:tcPr>
          <w:p w14:paraId="0EFC88EC" w14:textId="77777777" w:rsidR="00D12268" w:rsidRDefault="00D12268" w:rsidP="008B6FC0">
            <w:pPr>
              <w:pStyle w:val="Tabletext1"/>
              <w:keepNext/>
              <w:rPr>
                <w:b/>
                <w:snapToGrid w:val="0"/>
                <w:lang w:eastAsia="en-US"/>
              </w:rPr>
            </w:pPr>
            <w:r w:rsidRPr="000709B7">
              <w:t>Nurse</w:t>
            </w:r>
          </w:p>
        </w:tc>
        <w:tc>
          <w:tcPr>
            <w:tcW w:w="945" w:type="pct"/>
            <w:vAlign w:val="center"/>
          </w:tcPr>
          <w:p w14:paraId="091D7B03" w14:textId="77777777" w:rsidR="00D12268" w:rsidRPr="003816D8" w:rsidRDefault="00D12268" w:rsidP="008B6FC0">
            <w:pPr>
              <w:pStyle w:val="Tabletext1"/>
              <w:keepNext/>
              <w:jc w:val="center"/>
              <w:rPr>
                <w:b/>
                <w:snapToGrid w:val="0"/>
                <w:lang w:eastAsia="en-US"/>
              </w:rPr>
            </w:pPr>
            <w:r w:rsidRPr="00B54BA5">
              <w:t>0.5 hr * 24 * 5714 patients</w:t>
            </w:r>
          </w:p>
        </w:tc>
        <w:tc>
          <w:tcPr>
            <w:tcW w:w="703" w:type="pct"/>
            <w:vAlign w:val="center"/>
          </w:tcPr>
          <w:p w14:paraId="4B04DB2F" w14:textId="7AB75A0E" w:rsidR="00D12268" w:rsidRPr="003816D8" w:rsidRDefault="00D12268" w:rsidP="008B6FC0">
            <w:pPr>
              <w:pStyle w:val="Tabletext1"/>
              <w:keepNext/>
              <w:jc w:val="center"/>
              <w:rPr>
                <w:b/>
              </w:rPr>
            </w:pPr>
            <w:r w:rsidRPr="00321BDD">
              <w:t>$528,545.00</w:t>
            </w:r>
          </w:p>
        </w:tc>
        <w:tc>
          <w:tcPr>
            <w:tcW w:w="1151" w:type="pct"/>
            <w:vAlign w:val="center"/>
          </w:tcPr>
          <w:p w14:paraId="145983A7" w14:textId="0A4D0C16" w:rsidR="00D12268" w:rsidRPr="003816D8" w:rsidRDefault="00D12268" w:rsidP="008B6FC0">
            <w:pPr>
              <w:pStyle w:val="Tabletext1"/>
              <w:keepNext/>
              <w:jc w:val="center"/>
              <w:rPr>
                <w:rFonts w:cs="Calibri"/>
                <w:b/>
              </w:rPr>
            </w:pPr>
            <w:r w:rsidRPr="00321BDD">
              <w:t>0.5 hr * 24 * 12000 patients</w:t>
            </w:r>
          </w:p>
        </w:tc>
        <w:tc>
          <w:tcPr>
            <w:tcW w:w="810" w:type="pct"/>
            <w:vAlign w:val="center"/>
          </w:tcPr>
          <w:p w14:paraId="491C4E85" w14:textId="3AB00CF3" w:rsidR="00D12268" w:rsidRDefault="00D12268" w:rsidP="008B6FC0">
            <w:pPr>
              <w:pStyle w:val="Tabletext1"/>
              <w:keepNext/>
              <w:jc w:val="center"/>
              <w:rPr>
                <w:rFonts w:cs="Calibri"/>
                <w:b/>
              </w:rPr>
            </w:pPr>
            <w:r w:rsidRPr="00321BDD">
              <w:t>$1,110,000.00</w:t>
            </w:r>
          </w:p>
        </w:tc>
      </w:tr>
      <w:tr w:rsidR="00D12268" w:rsidRPr="00F77E8D" w14:paraId="52AB7C14" w14:textId="77777777" w:rsidTr="00207D12">
        <w:tc>
          <w:tcPr>
            <w:tcW w:w="1391" w:type="pct"/>
          </w:tcPr>
          <w:p w14:paraId="54F319C0" w14:textId="77777777" w:rsidR="00D12268" w:rsidRDefault="00D12268" w:rsidP="008B6FC0">
            <w:pPr>
              <w:pStyle w:val="Tabletext1"/>
              <w:keepNext/>
              <w:rPr>
                <w:b/>
                <w:snapToGrid w:val="0"/>
                <w:lang w:eastAsia="en-US"/>
              </w:rPr>
            </w:pPr>
            <w:r w:rsidRPr="000709B7">
              <w:t>Receptionist</w:t>
            </w:r>
          </w:p>
        </w:tc>
        <w:tc>
          <w:tcPr>
            <w:tcW w:w="945" w:type="pct"/>
            <w:vAlign w:val="center"/>
          </w:tcPr>
          <w:p w14:paraId="0D2FC23B" w14:textId="77777777" w:rsidR="00D12268" w:rsidRPr="003816D8" w:rsidRDefault="00D12268" w:rsidP="008B6FC0">
            <w:pPr>
              <w:pStyle w:val="Tabletext1"/>
              <w:keepNext/>
              <w:jc w:val="center"/>
              <w:rPr>
                <w:b/>
                <w:snapToGrid w:val="0"/>
                <w:lang w:eastAsia="en-US"/>
              </w:rPr>
            </w:pPr>
            <w:r w:rsidRPr="00B54BA5">
              <w:t>0.5 hr * 24 * 5714 patients</w:t>
            </w:r>
          </w:p>
        </w:tc>
        <w:tc>
          <w:tcPr>
            <w:tcW w:w="703" w:type="pct"/>
            <w:vAlign w:val="center"/>
          </w:tcPr>
          <w:p w14:paraId="7C3AFEFD" w14:textId="4C415AC9" w:rsidR="00D12268" w:rsidRPr="003816D8" w:rsidRDefault="00D12268" w:rsidP="008B6FC0">
            <w:pPr>
              <w:pStyle w:val="Tabletext1"/>
              <w:keepNext/>
              <w:jc w:val="center"/>
              <w:rPr>
                <w:b/>
              </w:rPr>
            </w:pPr>
            <w:r w:rsidRPr="00321BDD">
              <w:t>$337,268.85</w:t>
            </w:r>
          </w:p>
        </w:tc>
        <w:tc>
          <w:tcPr>
            <w:tcW w:w="1151" w:type="pct"/>
            <w:vAlign w:val="center"/>
          </w:tcPr>
          <w:p w14:paraId="7E551A88" w14:textId="22160C2B" w:rsidR="00D12268" w:rsidRPr="003816D8" w:rsidRDefault="00D12268" w:rsidP="008B6FC0">
            <w:pPr>
              <w:pStyle w:val="Tabletext1"/>
              <w:keepNext/>
              <w:jc w:val="center"/>
              <w:rPr>
                <w:rFonts w:cs="Calibri"/>
                <w:b/>
              </w:rPr>
            </w:pPr>
            <w:r w:rsidRPr="00321BDD">
              <w:t>0.5 hr * 24 * 12000 patients</w:t>
            </w:r>
          </w:p>
        </w:tc>
        <w:tc>
          <w:tcPr>
            <w:tcW w:w="810" w:type="pct"/>
            <w:vAlign w:val="center"/>
          </w:tcPr>
          <w:p w14:paraId="21E7BF88" w14:textId="4BC4AA2C" w:rsidR="00D12268" w:rsidRDefault="00D12268" w:rsidP="008B6FC0">
            <w:pPr>
              <w:pStyle w:val="Tabletext1"/>
              <w:keepNext/>
              <w:jc w:val="center"/>
              <w:rPr>
                <w:rFonts w:cs="Calibri"/>
                <w:b/>
              </w:rPr>
            </w:pPr>
            <w:r w:rsidRPr="00321BDD">
              <w:t>$708,300.00</w:t>
            </w:r>
          </w:p>
        </w:tc>
      </w:tr>
      <w:tr w:rsidR="00D12268" w:rsidRPr="00F77E8D" w14:paraId="07A02960" w14:textId="77777777" w:rsidTr="00207D12">
        <w:tc>
          <w:tcPr>
            <w:tcW w:w="1391" w:type="pct"/>
          </w:tcPr>
          <w:p w14:paraId="1A6D94A4" w14:textId="77777777" w:rsidR="00D12268" w:rsidRDefault="00D12268" w:rsidP="00556AB6">
            <w:pPr>
              <w:pStyle w:val="Tabletext1"/>
              <w:rPr>
                <w:b/>
                <w:snapToGrid w:val="0"/>
                <w:lang w:eastAsia="en-US"/>
              </w:rPr>
            </w:pPr>
            <w:r w:rsidRPr="002E40EC">
              <w:rPr>
                <w:b/>
                <w:snapToGrid w:val="0"/>
                <w:lang w:eastAsia="en-US"/>
              </w:rPr>
              <w:t>Total cost per treatment course</w:t>
            </w:r>
          </w:p>
        </w:tc>
        <w:tc>
          <w:tcPr>
            <w:tcW w:w="945" w:type="pct"/>
            <w:vAlign w:val="center"/>
          </w:tcPr>
          <w:p w14:paraId="78EC1E3B" w14:textId="77777777" w:rsidR="00D12268" w:rsidRPr="003816D8" w:rsidRDefault="00D12268" w:rsidP="00BF261E">
            <w:pPr>
              <w:pStyle w:val="Tabletext1"/>
              <w:jc w:val="center"/>
              <w:rPr>
                <w:b/>
                <w:snapToGrid w:val="0"/>
                <w:lang w:eastAsia="en-US"/>
              </w:rPr>
            </w:pPr>
          </w:p>
        </w:tc>
        <w:tc>
          <w:tcPr>
            <w:tcW w:w="703" w:type="pct"/>
            <w:vAlign w:val="center"/>
          </w:tcPr>
          <w:p w14:paraId="1550C8A7" w14:textId="77777777" w:rsidR="00D12268" w:rsidRPr="003816D8" w:rsidRDefault="00D12268" w:rsidP="00BF261E">
            <w:pPr>
              <w:pStyle w:val="Tabletext1"/>
              <w:jc w:val="center"/>
              <w:rPr>
                <w:b/>
              </w:rPr>
            </w:pPr>
          </w:p>
        </w:tc>
        <w:tc>
          <w:tcPr>
            <w:tcW w:w="1151" w:type="pct"/>
            <w:vAlign w:val="center"/>
          </w:tcPr>
          <w:p w14:paraId="572E7506" w14:textId="77777777" w:rsidR="00D12268" w:rsidRPr="003816D8" w:rsidRDefault="00D12268" w:rsidP="00BF261E">
            <w:pPr>
              <w:pStyle w:val="Tabletext1"/>
              <w:jc w:val="center"/>
              <w:rPr>
                <w:rFonts w:cs="Calibri"/>
                <w:b/>
              </w:rPr>
            </w:pPr>
          </w:p>
        </w:tc>
        <w:tc>
          <w:tcPr>
            <w:tcW w:w="810" w:type="pct"/>
            <w:vAlign w:val="center"/>
          </w:tcPr>
          <w:p w14:paraId="2C4C5686" w14:textId="77777777" w:rsidR="00D12268" w:rsidRDefault="00D12268" w:rsidP="00BF261E">
            <w:pPr>
              <w:pStyle w:val="Tabletext1"/>
              <w:jc w:val="center"/>
              <w:rPr>
                <w:rFonts w:cs="Calibri"/>
                <w:b/>
              </w:rPr>
            </w:pPr>
          </w:p>
        </w:tc>
      </w:tr>
      <w:tr w:rsidR="00D12268" w:rsidRPr="00F77E8D" w14:paraId="7A5501BE" w14:textId="77777777" w:rsidTr="00207D12">
        <w:tc>
          <w:tcPr>
            <w:tcW w:w="1391" w:type="pct"/>
          </w:tcPr>
          <w:p w14:paraId="2660016C" w14:textId="77777777" w:rsidR="00D12268" w:rsidRPr="00C14EB3" w:rsidRDefault="00D12268" w:rsidP="00556AB6">
            <w:pPr>
              <w:pStyle w:val="Tabletext1"/>
              <w:rPr>
                <w:snapToGrid w:val="0"/>
                <w:lang w:eastAsia="en-US"/>
              </w:rPr>
            </w:pPr>
            <w:r w:rsidRPr="00C14EB3">
              <w:t>Allocation of capital cost per patient</w:t>
            </w:r>
          </w:p>
        </w:tc>
        <w:tc>
          <w:tcPr>
            <w:tcW w:w="945" w:type="pct"/>
            <w:vAlign w:val="center"/>
          </w:tcPr>
          <w:p w14:paraId="4C2352E4" w14:textId="77777777" w:rsidR="00D12268" w:rsidRPr="003816D8" w:rsidRDefault="00D12268" w:rsidP="00BF261E">
            <w:pPr>
              <w:pStyle w:val="Tabletext1"/>
              <w:jc w:val="center"/>
              <w:rPr>
                <w:b/>
                <w:snapToGrid w:val="0"/>
                <w:lang w:eastAsia="en-US"/>
              </w:rPr>
            </w:pPr>
          </w:p>
        </w:tc>
        <w:tc>
          <w:tcPr>
            <w:tcW w:w="703" w:type="pct"/>
            <w:vAlign w:val="center"/>
          </w:tcPr>
          <w:p w14:paraId="022FD9B0" w14:textId="59723160" w:rsidR="00D12268" w:rsidRPr="003816D8" w:rsidRDefault="00D12268" w:rsidP="00BF261E">
            <w:pPr>
              <w:pStyle w:val="Tabletext1"/>
              <w:jc w:val="center"/>
              <w:rPr>
                <w:b/>
              </w:rPr>
            </w:pPr>
            <w:r w:rsidRPr="00211439">
              <w:t>$3,032.03</w:t>
            </w:r>
          </w:p>
        </w:tc>
        <w:tc>
          <w:tcPr>
            <w:tcW w:w="1151" w:type="pct"/>
            <w:vAlign w:val="center"/>
          </w:tcPr>
          <w:p w14:paraId="00BED4C9" w14:textId="170F800D" w:rsidR="00D12268" w:rsidRPr="003816D8" w:rsidRDefault="00D12268" w:rsidP="00BF261E">
            <w:pPr>
              <w:pStyle w:val="Tabletext1"/>
              <w:jc w:val="center"/>
              <w:rPr>
                <w:rFonts w:cs="Calibri"/>
                <w:b/>
              </w:rPr>
            </w:pPr>
            <w:r w:rsidRPr="00211439">
              <w:t>$437.50</w:t>
            </w:r>
          </w:p>
        </w:tc>
        <w:tc>
          <w:tcPr>
            <w:tcW w:w="810" w:type="pct"/>
            <w:vAlign w:val="center"/>
          </w:tcPr>
          <w:p w14:paraId="33F5DE11" w14:textId="2B11E90B" w:rsidR="00D12268" w:rsidRDefault="00D12268" w:rsidP="00BF261E">
            <w:pPr>
              <w:pStyle w:val="Tabletext1"/>
              <w:jc w:val="center"/>
              <w:rPr>
                <w:rFonts w:cs="Calibri"/>
                <w:b/>
              </w:rPr>
            </w:pPr>
            <w:r w:rsidRPr="00211439">
              <w:t>$3,032.03</w:t>
            </w:r>
          </w:p>
        </w:tc>
      </w:tr>
      <w:tr w:rsidR="00D12268" w:rsidRPr="00F77E8D" w14:paraId="3C987478" w14:textId="77777777" w:rsidTr="00207D12">
        <w:tc>
          <w:tcPr>
            <w:tcW w:w="1391" w:type="pct"/>
          </w:tcPr>
          <w:p w14:paraId="2A30BF56" w14:textId="77777777" w:rsidR="00D12268" w:rsidRPr="00C14EB3" w:rsidRDefault="00D12268" w:rsidP="00556AB6">
            <w:pPr>
              <w:pStyle w:val="Tabletext1"/>
              <w:rPr>
                <w:snapToGrid w:val="0"/>
                <w:lang w:eastAsia="en-US"/>
              </w:rPr>
            </w:pPr>
            <w:r w:rsidRPr="00C14EB3">
              <w:t>Allocation of maintenance cost per patient</w:t>
            </w:r>
          </w:p>
        </w:tc>
        <w:tc>
          <w:tcPr>
            <w:tcW w:w="945" w:type="pct"/>
            <w:vAlign w:val="center"/>
          </w:tcPr>
          <w:p w14:paraId="2B29184A" w14:textId="77777777" w:rsidR="00D12268" w:rsidRPr="003816D8" w:rsidRDefault="00D12268" w:rsidP="00BF261E">
            <w:pPr>
              <w:pStyle w:val="Tabletext1"/>
              <w:jc w:val="center"/>
              <w:rPr>
                <w:b/>
                <w:snapToGrid w:val="0"/>
                <w:lang w:eastAsia="en-US"/>
              </w:rPr>
            </w:pPr>
          </w:p>
        </w:tc>
        <w:tc>
          <w:tcPr>
            <w:tcW w:w="703" w:type="pct"/>
            <w:vAlign w:val="center"/>
          </w:tcPr>
          <w:p w14:paraId="6295A4C0" w14:textId="74189D2D" w:rsidR="00D12268" w:rsidRPr="003816D8" w:rsidRDefault="00D12268" w:rsidP="00BF261E">
            <w:pPr>
              <w:pStyle w:val="Tabletext1"/>
              <w:jc w:val="center"/>
              <w:rPr>
                <w:b/>
              </w:rPr>
            </w:pPr>
            <w:r w:rsidRPr="00211439">
              <w:t>$1,260.06</w:t>
            </w:r>
          </w:p>
        </w:tc>
        <w:tc>
          <w:tcPr>
            <w:tcW w:w="1151" w:type="pct"/>
            <w:vAlign w:val="center"/>
          </w:tcPr>
          <w:p w14:paraId="21DE39BC" w14:textId="5209A8A5" w:rsidR="00D12268" w:rsidRPr="003816D8" w:rsidRDefault="00D12268" w:rsidP="00BF261E">
            <w:pPr>
              <w:pStyle w:val="Tabletext1"/>
              <w:jc w:val="center"/>
              <w:rPr>
                <w:rFonts w:cs="Calibri"/>
                <w:b/>
              </w:rPr>
            </w:pPr>
            <w:r w:rsidRPr="00211439">
              <w:t>$252.00</w:t>
            </w:r>
          </w:p>
        </w:tc>
        <w:tc>
          <w:tcPr>
            <w:tcW w:w="810" w:type="pct"/>
            <w:vAlign w:val="center"/>
          </w:tcPr>
          <w:p w14:paraId="6559AEEC" w14:textId="71D23033" w:rsidR="00D12268" w:rsidRDefault="00D12268" w:rsidP="00BF261E">
            <w:pPr>
              <w:pStyle w:val="Tabletext1"/>
              <w:jc w:val="center"/>
              <w:rPr>
                <w:rFonts w:cs="Calibri"/>
                <w:b/>
              </w:rPr>
            </w:pPr>
            <w:r w:rsidRPr="00211439">
              <w:t>$1,260.06</w:t>
            </w:r>
          </w:p>
        </w:tc>
      </w:tr>
      <w:tr w:rsidR="00D12268" w:rsidRPr="00F77E8D" w14:paraId="3C9419AF" w14:textId="77777777" w:rsidTr="00207D12">
        <w:tc>
          <w:tcPr>
            <w:tcW w:w="1391" w:type="pct"/>
          </w:tcPr>
          <w:p w14:paraId="3FB8E62D" w14:textId="77777777" w:rsidR="00D12268" w:rsidRPr="00C14EB3" w:rsidRDefault="00D12268" w:rsidP="00556AB6">
            <w:pPr>
              <w:pStyle w:val="Tabletext1"/>
              <w:rPr>
                <w:snapToGrid w:val="0"/>
                <w:lang w:eastAsia="en-US"/>
              </w:rPr>
            </w:pPr>
            <w:r w:rsidRPr="00C14EB3">
              <w:t>New Patient Consultation</w:t>
            </w:r>
          </w:p>
        </w:tc>
        <w:tc>
          <w:tcPr>
            <w:tcW w:w="945" w:type="pct"/>
            <w:vAlign w:val="center"/>
          </w:tcPr>
          <w:p w14:paraId="33632A3C" w14:textId="77777777" w:rsidR="00D12268" w:rsidRPr="003816D8" w:rsidRDefault="00D12268" w:rsidP="00BF261E">
            <w:pPr>
              <w:pStyle w:val="Tabletext1"/>
              <w:jc w:val="center"/>
              <w:rPr>
                <w:b/>
                <w:snapToGrid w:val="0"/>
                <w:lang w:eastAsia="en-US"/>
              </w:rPr>
            </w:pPr>
          </w:p>
        </w:tc>
        <w:tc>
          <w:tcPr>
            <w:tcW w:w="703" w:type="pct"/>
            <w:vAlign w:val="center"/>
          </w:tcPr>
          <w:p w14:paraId="7E580A1F" w14:textId="5C7B270F" w:rsidR="00D12268" w:rsidRPr="003816D8" w:rsidRDefault="00D12268" w:rsidP="00BF261E">
            <w:pPr>
              <w:pStyle w:val="Tabletext1"/>
              <w:jc w:val="center"/>
              <w:rPr>
                <w:b/>
              </w:rPr>
            </w:pPr>
            <w:r w:rsidRPr="00211439">
              <w:t>$167.66</w:t>
            </w:r>
          </w:p>
        </w:tc>
        <w:tc>
          <w:tcPr>
            <w:tcW w:w="1151" w:type="pct"/>
            <w:vAlign w:val="center"/>
          </w:tcPr>
          <w:p w14:paraId="12894EA9" w14:textId="525B934D" w:rsidR="00D12268" w:rsidRPr="003816D8" w:rsidRDefault="00D12268" w:rsidP="00BF261E">
            <w:pPr>
              <w:pStyle w:val="Tabletext1"/>
              <w:jc w:val="center"/>
              <w:rPr>
                <w:rFonts w:cs="Calibri"/>
                <w:b/>
              </w:rPr>
            </w:pPr>
            <w:r w:rsidRPr="00211439">
              <w:t>$79.84</w:t>
            </w:r>
          </w:p>
        </w:tc>
        <w:tc>
          <w:tcPr>
            <w:tcW w:w="810" w:type="pct"/>
            <w:vAlign w:val="center"/>
          </w:tcPr>
          <w:p w14:paraId="389B6590" w14:textId="028F319A" w:rsidR="00D12268" w:rsidRDefault="00D12268" w:rsidP="00BF261E">
            <w:pPr>
              <w:pStyle w:val="Tabletext1"/>
              <w:jc w:val="center"/>
              <w:rPr>
                <w:rFonts w:cs="Calibri"/>
                <w:b/>
              </w:rPr>
            </w:pPr>
            <w:r w:rsidRPr="00211439">
              <w:t>$167.66</w:t>
            </w:r>
          </w:p>
        </w:tc>
      </w:tr>
      <w:tr w:rsidR="00D12268" w:rsidRPr="00F77E8D" w14:paraId="19F1F7C8" w14:textId="77777777" w:rsidTr="00207D12">
        <w:tc>
          <w:tcPr>
            <w:tcW w:w="1391" w:type="pct"/>
          </w:tcPr>
          <w:p w14:paraId="18AA1649" w14:textId="77777777" w:rsidR="00D12268" w:rsidRPr="00C14EB3" w:rsidRDefault="00D12268" w:rsidP="00556AB6">
            <w:pPr>
              <w:pStyle w:val="Tabletext1"/>
              <w:rPr>
                <w:snapToGrid w:val="0"/>
                <w:lang w:eastAsia="en-US"/>
              </w:rPr>
            </w:pPr>
            <w:r w:rsidRPr="00C14EB3">
              <w:t>Simulation</w:t>
            </w:r>
          </w:p>
        </w:tc>
        <w:tc>
          <w:tcPr>
            <w:tcW w:w="945" w:type="pct"/>
            <w:vAlign w:val="center"/>
          </w:tcPr>
          <w:p w14:paraId="50259B7A" w14:textId="77777777" w:rsidR="00D12268" w:rsidRPr="003816D8" w:rsidRDefault="00D12268" w:rsidP="00BF261E">
            <w:pPr>
              <w:pStyle w:val="Tabletext1"/>
              <w:jc w:val="center"/>
              <w:rPr>
                <w:b/>
                <w:snapToGrid w:val="0"/>
                <w:lang w:eastAsia="en-US"/>
              </w:rPr>
            </w:pPr>
          </w:p>
        </w:tc>
        <w:tc>
          <w:tcPr>
            <w:tcW w:w="703" w:type="pct"/>
            <w:vAlign w:val="center"/>
          </w:tcPr>
          <w:p w14:paraId="4DCA708F" w14:textId="10A534E0" w:rsidR="00D12268" w:rsidRPr="003816D8" w:rsidRDefault="00D12268" w:rsidP="00BF261E">
            <w:pPr>
              <w:pStyle w:val="Tabletext1"/>
              <w:jc w:val="center"/>
              <w:rPr>
                <w:b/>
              </w:rPr>
            </w:pPr>
            <w:r w:rsidRPr="00211439">
              <w:t>$103.65</w:t>
            </w:r>
          </w:p>
        </w:tc>
        <w:tc>
          <w:tcPr>
            <w:tcW w:w="1151" w:type="pct"/>
            <w:vAlign w:val="center"/>
          </w:tcPr>
          <w:p w14:paraId="6A4D0499" w14:textId="2FB7D327" w:rsidR="00D12268" w:rsidRPr="003816D8" w:rsidRDefault="00D12268" w:rsidP="00BF261E">
            <w:pPr>
              <w:pStyle w:val="Tabletext1"/>
              <w:jc w:val="center"/>
              <w:rPr>
                <w:rFonts w:cs="Calibri"/>
                <w:b/>
              </w:rPr>
            </w:pPr>
            <w:r w:rsidRPr="00211439">
              <w:t>$497.73</w:t>
            </w:r>
          </w:p>
        </w:tc>
        <w:tc>
          <w:tcPr>
            <w:tcW w:w="810" w:type="pct"/>
            <w:vAlign w:val="center"/>
          </w:tcPr>
          <w:p w14:paraId="27B65BF1" w14:textId="4E2F43A3" w:rsidR="00D12268" w:rsidRDefault="00D12268" w:rsidP="00BF261E">
            <w:pPr>
              <w:pStyle w:val="Tabletext1"/>
              <w:jc w:val="center"/>
              <w:rPr>
                <w:rFonts w:cs="Calibri"/>
                <w:b/>
              </w:rPr>
            </w:pPr>
            <w:r w:rsidRPr="00211439">
              <w:t>$103.65</w:t>
            </w:r>
          </w:p>
        </w:tc>
      </w:tr>
      <w:tr w:rsidR="00D12268" w:rsidRPr="00F77E8D" w14:paraId="21652A4D" w14:textId="77777777" w:rsidTr="00207D12">
        <w:tc>
          <w:tcPr>
            <w:tcW w:w="1391" w:type="pct"/>
          </w:tcPr>
          <w:p w14:paraId="72BB7537" w14:textId="77777777" w:rsidR="00D12268" w:rsidRPr="00C14EB3" w:rsidRDefault="00D12268" w:rsidP="00556AB6">
            <w:pPr>
              <w:pStyle w:val="Tabletext1"/>
              <w:rPr>
                <w:snapToGrid w:val="0"/>
                <w:lang w:eastAsia="en-US"/>
              </w:rPr>
            </w:pPr>
            <w:r w:rsidRPr="00C14EB3">
              <w:t>Planning</w:t>
            </w:r>
          </w:p>
        </w:tc>
        <w:tc>
          <w:tcPr>
            <w:tcW w:w="945" w:type="pct"/>
            <w:vAlign w:val="center"/>
          </w:tcPr>
          <w:p w14:paraId="1C8CBCB6" w14:textId="77777777" w:rsidR="00D12268" w:rsidRPr="003816D8" w:rsidRDefault="00D12268" w:rsidP="00BF261E">
            <w:pPr>
              <w:pStyle w:val="Tabletext1"/>
              <w:jc w:val="center"/>
              <w:rPr>
                <w:b/>
                <w:snapToGrid w:val="0"/>
                <w:lang w:eastAsia="en-US"/>
              </w:rPr>
            </w:pPr>
          </w:p>
        </w:tc>
        <w:tc>
          <w:tcPr>
            <w:tcW w:w="703" w:type="pct"/>
            <w:vAlign w:val="center"/>
          </w:tcPr>
          <w:p w14:paraId="5E30642A" w14:textId="4509AD02" w:rsidR="00D12268" w:rsidRPr="003816D8" w:rsidRDefault="00D12268" w:rsidP="00BF261E">
            <w:pPr>
              <w:pStyle w:val="Tabletext1"/>
              <w:jc w:val="center"/>
              <w:rPr>
                <w:b/>
              </w:rPr>
            </w:pPr>
            <w:r w:rsidRPr="00211439">
              <w:t>$396.80</w:t>
            </w:r>
          </w:p>
        </w:tc>
        <w:tc>
          <w:tcPr>
            <w:tcW w:w="1151" w:type="pct"/>
            <w:vAlign w:val="center"/>
          </w:tcPr>
          <w:p w14:paraId="017F7521" w14:textId="4E2457C1" w:rsidR="00D12268" w:rsidRPr="003816D8" w:rsidRDefault="00D12268" w:rsidP="00BF261E">
            <w:pPr>
              <w:pStyle w:val="Tabletext1"/>
              <w:jc w:val="center"/>
              <w:rPr>
                <w:rFonts w:cs="Calibri"/>
                <w:b/>
              </w:rPr>
            </w:pPr>
            <w:r w:rsidRPr="00211439">
              <w:t>$396.80</w:t>
            </w:r>
          </w:p>
        </w:tc>
        <w:tc>
          <w:tcPr>
            <w:tcW w:w="810" w:type="pct"/>
            <w:vAlign w:val="center"/>
          </w:tcPr>
          <w:p w14:paraId="11BD2C9C" w14:textId="44342441" w:rsidR="00D12268" w:rsidRDefault="00D12268" w:rsidP="00BF261E">
            <w:pPr>
              <w:pStyle w:val="Tabletext1"/>
              <w:jc w:val="center"/>
              <w:rPr>
                <w:rFonts w:cs="Calibri"/>
                <w:b/>
              </w:rPr>
            </w:pPr>
            <w:r w:rsidRPr="00211439">
              <w:t>$396.80</w:t>
            </w:r>
          </w:p>
        </w:tc>
      </w:tr>
      <w:tr w:rsidR="00D12268" w:rsidRPr="00F77E8D" w14:paraId="2A8367E7" w14:textId="77777777" w:rsidTr="00207D12">
        <w:tc>
          <w:tcPr>
            <w:tcW w:w="1391" w:type="pct"/>
          </w:tcPr>
          <w:p w14:paraId="411491D8" w14:textId="77777777" w:rsidR="00D12268" w:rsidRPr="00C14EB3" w:rsidRDefault="00D12268" w:rsidP="00556AB6">
            <w:pPr>
              <w:pStyle w:val="Tabletext1"/>
              <w:rPr>
                <w:snapToGrid w:val="0"/>
                <w:lang w:eastAsia="en-US"/>
              </w:rPr>
            </w:pPr>
            <w:r w:rsidRPr="00C14EB3">
              <w:t>Treatment</w:t>
            </w:r>
          </w:p>
        </w:tc>
        <w:tc>
          <w:tcPr>
            <w:tcW w:w="945" w:type="pct"/>
            <w:vAlign w:val="center"/>
          </w:tcPr>
          <w:p w14:paraId="4D2BE0B3" w14:textId="77777777" w:rsidR="00D12268" w:rsidRPr="003816D8" w:rsidRDefault="00D12268" w:rsidP="00BF261E">
            <w:pPr>
              <w:pStyle w:val="Tabletext1"/>
              <w:jc w:val="center"/>
              <w:rPr>
                <w:b/>
                <w:snapToGrid w:val="0"/>
                <w:lang w:eastAsia="en-US"/>
              </w:rPr>
            </w:pPr>
          </w:p>
        </w:tc>
        <w:tc>
          <w:tcPr>
            <w:tcW w:w="703" w:type="pct"/>
            <w:vAlign w:val="center"/>
          </w:tcPr>
          <w:p w14:paraId="2758114A" w14:textId="31F40D53" w:rsidR="00D12268" w:rsidRPr="003816D8" w:rsidRDefault="00D12268" w:rsidP="00BF261E">
            <w:pPr>
              <w:pStyle w:val="Tabletext1"/>
              <w:jc w:val="center"/>
              <w:rPr>
                <w:b/>
              </w:rPr>
            </w:pPr>
            <w:r w:rsidRPr="00211439">
              <w:t>$288.13</w:t>
            </w:r>
          </w:p>
        </w:tc>
        <w:tc>
          <w:tcPr>
            <w:tcW w:w="1151" w:type="pct"/>
            <w:vAlign w:val="center"/>
          </w:tcPr>
          <w:p w14:paraId="789C0AB0" w14:textId="4D7DFB4C" w:rsidR="00D12268" w:rsidRPr="003816D8" w:rsidRDefault="00D12268" w:rsidP="00BF261E">
            <w:pPr>
              <w:pStyle w:val="Tabletext1"/>
              <w:jc w:val="center"/>
              <w:rPr>
                <w:rFonts w:cs="Calibri"/>
                <w:b/>
              </w:rPr>
            </w:pPr>
            <w:r w:rsidRPr="00211439">
              <w:t>$155.93</w:t>
            </w:r>
          </w:p>
        </w:tc>
        <w:tc>
          <w:tcPr>
            <w:tcW w:w="810" w:type="pct"/>
            <w:vAlign w:val="center"/>
          </w:tcPr>
          <w:p w14:paraId="1552F4BB" w14:textId="2DCE2B72" w:rsidR="00D12268" w:rsidRDefault="00D12268" w:rsidP="00BF261E">
            <w:pPr>
              <w:pStyle w:val="Tabletext1"/>
              <w:jc w:val="center"/>
              <w:rPr>
                <w:rFonts w:cs="Calibri"/>
                <w:b/>
              </w:rPr>
            </w:pPr>
            <w:r w:rsidRPr="00211439">
              <w:t>$288.13</w:t>
            </w:r>
          </w:p>
        </w:tc>
      </w:tr>
      <w:tr w:rsidR="00D12268" w:rsidRPr="00F77E8D" w14:paraId="1172A41F" w14:textId="77777777" w:rsidTr="00207D12">
        <w:tc>
          <w:tcPr>
            <w:tcW w:w="1391" w:type="pct"/>
          </w:tcPr>
          <w:p w14:paraId="0E35C4B7" w14:textId="77777777" w:rsidR="00D12268" w:rsidRPr="00C14EB3" w:rsidRDefault="00D12268" w:rsidP="00556AB6">
            <w:pPr>
              <w:pStyle w:val="Tabletext1"/>
              <w:rPr>
                <w:snapToGrid w:val="0"/>
                <w:lang w:eastAsia="en-US"/>
              </w:rPr>
            </w:pPr>
            <w:r w:rsidRPr="00C14EB3">
              <w:t>Follow-up visit</w:t>
            </w:r>
          </w:p>
        </w:tc>
        <w:tc>
          <w:tcPr>
            <w:tcW w:w="945" w:type="pct"/>
            <w:vAlign w:val="center"/>
          </w:tcPr>
          <w:p w14:paraId="3FC85202" w14:textId="77777777" w:rsidR="00D12268" w:rsidRPr="003816D8" w:rsidRDefault="00D12268" w:rsidP="00BF261E">
            <w:pPr>
              <w:pStyle w:val="Tabletext1"/>
              <w:jc w:val="center"/>
              <w:rPr>
                <w:b/>
                <w:snapToGrid w:val="0"/>
                <w:lang w:eastAsia="en-US"/>
              </w:rPr>
            </w:pPr>
          </w:p>
        </w:tc>
        <w:tc>
          <w:tcPr>
            <w:tcW w:w="703" w:type="pct"/>
            <w:vAlign w:val="center"/>
          </w:tcPr>
          <w:p w14:paraId="02FEF30B" w14:textId="2876A0A2" w:rsidR="00D12268" w:rsidRPr="003816D8" w:rsidRDefault="00D12268" w:rsidP="00BF261E">
            <w:pPr>
              <w:pStyle w:val="Tabletext1"/>
              <w:jc w:val="center"/>
              <w:rPr>
                <w:b/>
              </w:rPr>
            </w:pPr>
            <w:r w:rsidRPr="00211439">
              <w:t>$419.16</w:t>
            </w:r>
          </w:p>
        </w:tc>
        <w:tc>
          <w:tcPr>
            <w:tcW w:w="1151" w:type="pct"/>
            <w:vAlign w:val="center"/>
          </w:tcPr>
          <w:p w14:paraId="09BE9815" w14:textId="2E9A122C" w:rsidR="00D12268" w:rsidRPr="003816D8" w:rsidRDefault="00D12268" w:rsidP="00BF261E">
            <w:pPr>
              <w:pStyle w:val="Tabletext1"/>
              <w:jc w:val="center"/>
              <w:rPr>
                <w:rFonts w:cs="Calibri"/>
                <w:b/>
              </w:rPr>
            </w:pPr>
            <w:r w:rsidRPr="00211439">
              <w:t>$419.16</w:t>
            </w:r>
          </w:p>
        </w:tc>
        <w:tc>
          <w:tcPr>
            <w:tcW w:w="810" w:type="pct"/>
            <w:vAlign w:val="center"/>
          </w:tcPr>
          <w:p w14:paraId="6FDD221D" w14:textId="1467CBD1" w:rsidR="00D12268" w:rsidRDefault="00D12268" w:rsidP="00BF261E">
            <w:pPr>
              <w:pStyle w:val="Tabletext1"/>
              <w:jc w:val="center"/>
              <w:rPr>
                <w:rFonts w:cs="Calibri"/>
                <w:b/>
              </w:rPr>
            </w:pPr>
            <w:r w:rsidRPr="00211439">
              <w:t>$419.16</w:t>
            </w:r>
          </w:p>
        </w:tc>
      </w:tr>
      <w:tr w:rsidR="00D12268" w:rsidRPr="00F77E8D" w14:paraId="0EE6434A" w14:textId="77777777" w:rsidTr="00207D12">
        <w:tc>
          <w:tcPr>
            <w:tcW w:w="1391" w:type="pct"/>
          </w:tcPr>
          <w:p w14:paraId="760EEBAF" w14:textId="77777777" w:rsidR="00D12268" w:rsidRPr="00C14EB3" w:rsidRDefault="00D12268" w:rsidP="00556AB6">
            <w:pPr>
              <w:pStyle w:val="Tabletext1"/>
              <w:rPr>
                <w:snapToGrid w:val="0"/>
                <w:lang w:eastAsia="en-US"/>
              </w:rPr>
            </w:pPr>
            <w:r w:rsidRPr="00C14EB3">
              <w:t>QA cost per patient</w:t>
            </w:r>
          </w:p>
        </w:tc>
        <w:tc>
          <w:tcPr>
            <w:tcW w:w="945" w:type="pct"/>
            <w:vAlign w:val="center"/>
          </w:tcPr>
          <w:p w14:paraId="3574A225" w14:textId="77777777" w:rsidR="00D12268" w:rsidRPr="003816D8" w:rsidRDefault="00D12268" w:rsidP="00BF261E">
            <w:pPr>
              <w:pStyle w:val="Tabletext1"/>
              <w:jc w:val="center"/>
              <w:rPr>
                <w:b/>
                <w:snapToGrid w:val="0"/>
                <w:lang w:eastAsia="en-US"/>
              </w:rPr>
            </w:pPr>
          </w:p>
        </w:tc>
        <w:tc>
          <w:tcPr>
            <w:tcW w:w="703" w:type="pct"/>
            <w:vAlign w:val="center"/>
          </w:tcPr>
          <w:p w14:paraId="567D2BCC" w14:textId="1DDF38F9" w:rsidR="00D12268" w:rsidRPr="003816D8" w:rsidRDefault="00D12268" w:rsidP="00BF261E">
            <w:pPr>
              <w:pStyle w:val="Tabletext1"/>
              <w:jc w:val="center"/>
              <w:rPr>
                <w:b/>
              </w:rPr>
            </w:pPr>
            <w:r w:rsidRPr="00211439">
              <w:t>-</w:t>
            </w:r>
          </w:p>
        </w:tc>
        <w:tc>
          <w:tcPr>
            <w:tcW w:w="1151" w:type="pct"/>
            <w:vAlign w:val="center"/>
          </w:tcPr>
          <w:p w14:paraId="1B062075" w14:textId="729F2387" w:rsidR="00D12268" w:rsidRPr="003816D8" w:rsidRDefault="00D12268" w:rsidP="00BF261E">
            <w:pPr>
              <w:pStyle w:val="Tabletext1"/>
              <w:jc w:val="center"/>
              <w:rPr>
                <w:rFonts w:cs="Calibri"/>
                <w:b/>
              </w:rPr>
            </w:pPr>
            <w:r w:rsidRPr="00211439">
              <w:t>-</w:t>
            </w:r>
          </w:p>
        </w:tc>
        <w:tc>
          <w:tcPr>
            <w:tcW w:w="810" w:type="pct"/>
            <w:vAlign w:val="center"/>
          </w:tcPr>
          <w:p w14:paraId="5517D8D5" w14:textId="7A2D953D" w:rsidR="00D12268" w:rsidRDefault="00D12268" w:rsidP="00BF261E">
            <w:pPr>
              <w:pStyle w:val="Tabletext1"/>
              <w:jc w:val="center"/>
              <w:rPr>
                <w:rFonts w:cs="Calibri"/>
                <w:b/>
              </w:rPr>
            </w:pPr>
            <w:r w:rsidRPr="00211439">
              <w:t>-</w:t>
            </w:r>
          </w:p>
        </w:tc>
      </w:tr>
      <w:tr w:rsidR="00D12268" w:rsidRPr="00F77E8D" w14:paraId="11B54F3A" w14:textId="77777777" w:rsidTr="00207D12">
        <w:tc>
          <w:tcPr>
            <w:tcW w:w="1391" w:type="pct"/>
          </w:tcPr>
          <w:p w14:paraId="32B0348B" w14:textId="77777777" w:rsidR="00D12268" w:rsidRPr="002E40EC" w:rsidRDefault="00D12268" w:rsidP="00556AB6">
            <w:pPr>
              <w:pStyle w:val="Tabletext1"/>
              <w:rPr>
                <w:b/>
                <w:snapToGrid w:val="0"/>
                <w:lang w:eastAsia="en-US"/>
              </w:rPr>
            </w:pPr>
            <w:r w:rsidRPr="002E40EC">
              <w:rPr>
                <w:b/>
              </w:rPr>
              <w:t>Total cost per patient's treatment course</w:t>
            </w:r>
            <w:r>
              <w:rPr>
                <w:b/>
              </w:rPr>
              <w:t xml:space="preserve"> from Schumacher et al</w:t>
            </w:r>
          </w:p>
        </w:tc>
        <w:tc>
          <w:tcPr>
            <w:tcW w:w="945" w:type="pct"/>
            <w:vAlign w:val="center"/>
          </w:tcPr>
          <w:p w14:paraId="2CDC76FD" w14:textId="77777777" w:rsidR="00D12268" w:rsidRPr="003816D8" w:rsidRDefault="00D12268" w:rsidP="00BF261E">
            <w:pPr>
              <w:pStyle w:val="Tabletext1"/>
              <w:jc w:val="center"/>
              <w:rPr>
                <w:b/>
                <w:snapToGrid w:val="0"/>
                <w:lang w:eastAsia="en-US"/>
              </w:rPr>
            </w:pPr>
          </w:p>
        </w:tc>
        <w:tc>
          <w:tcPr>
            <w:tcW w:w="703" w:type="pct"/>
            <w:vAlign w:val="center"/>
          </w:tcPr>
          <w:p w14:paraId="20CD8E1F" w14:textId="7AB6390D" w:rsidR="00D12268" w:rsidRPr="00C14EB3" w:rsidRDefault="00D12268" w:rsidP="00BF261E">
            <w:pPr>
              <w:pStyle w:val="Tabletext1"/>
              <w:jc w:val="center"/>
              <w:rPr>
                <w:b/>
              </w:rPr>
            </w:pPr>
            <w:r w:rsidRPr="00C14EB3">
              <w:rPr>
                <w:b/>
              </w:rPr>
              <w:t>$5,667.49</w:t>
            </w:r>
          </w:p>
        </w:tc>
        <w:tc>
          <w:tcPr>
            <w:tcW w:w="1151" w:type="pct"/>
            <w:vAlign w:val="center"/>
          </w:tcPr>
          <w:p w14:paraId="08D1F64F" w14:textId="0CA1443B" w:rsidR="00D12268" w:rsidRPr="00C14EB3" w:rsidRDefault="00D12268" w:rsidP="00BF261E">
            <w:pPr>
              <w:pStyle w:val="Tabletext1"/>
              <w:jc w:val="center"/>
              <w:rPr>
                <w:rFonts w:cs="Calibri"/>
                <w:b/>
              </w:rPr>
            </w:pPr>
            <w:r w:rsidRPr="00C14EB3">
              <w:rPr>
                <w:b/>
              </w:rPr>
              <w:t>$2,238.96</w:t>
            </w:r>
          </w:p>
        </w:tc>
        <w:tc>
          <w:tcPr>
            <w:tcW w:w="810" w:type="pct"/>
            <w:vAlign w:val="center"/>
          </w:tcPr>
          <w:p w14:paraId="79E2ED44" w14:textId="5876F7A7" w:rsidR="00D12268" w:rsidRPr="00C14EB3" w:rsidRDefault="00D12268" w:rsidP="00BF261E">
            <w:pPr>
              <w:pStyle w:val="Tabletext1"/>
              <w:jc w:val="center"/>
              <w:rPr>
                <w:rFonts w:cs="Calibri"/>
                <w:b/>
              </w:rPr>
            </w:pPr>
            <w:r w:rsidRPr="00C14EB3">
              <w:rPr>
                <w:b/>
              </w:rPr>
              <w:t>$5,667.49</w:t>
            </w:r>
          </w:p>
        </w:tc>
      </w:tr>
    </w:tbl>
    <w:p w14:paraId="73AD31EB" w14:textId="77777777" w:rsidR="00D12268" w:rsidRDefault="00D12268" w:rsidP="00D12268">
      <w:pPr>
        <w:pStyle w:val="Tablenotes0"/>
        <w:spacing w:after="240" w:line="312" w:lineRule="auto"/>
      </w:pPr>
      <w:r>
        <w:t>MRI=Magnetic resonance imaging; CBCT=Cone beam computed tomography; QA=Quality assurance</w:t>
      </w:r>
    </w:p>
    <w:p w14:paraId="5660FA02" w14:textId="1A031A37" w:rsidR="00D12268" w:rsidRDefault="00D12268" w:rsidP="00411D51">
      <w:pPr>
        <w:pStyle w:val="Caption"/>
        <w:keepNext/>
        <w:keepLines/>
      </w:pPr>
      <w:bookmarkStart w:id="546" w:name="_Ref58242732"/>
      <w:bookmarkStart w:id="547" w:name="_Ref58337324"/>
      <w:bookmarkStart w:id="548" w:name="_Toc89857920"/>
      <w:r>
        <w:lastRenderedPageBreak/>
        <w:t xml:space="preserve">Table </w:t>
      </w:r>
      <w:r w:rsidR="00211285">
        <w:fldChar w:fldCharType="begin"/>
      </w:r>
      <w:r w:rsidR="00211285">
        <w:instrText xml:space="preserve"> SEQ Table \* ARABIC </w:instrText>
      </w:r>
      <w:r w:rsidR="00211285">
        <w:fldChar w:fldCharType="separate"/>
      </w:r>
      <w:r w:rsidR="00451350">
        <w:rPr>
          <w:noProof/>
        </w:rPr>
        <w:t>49</w:t>
      </w:r>
      <w:r w:rsidR="00211285">
        <w:rPr>
          <w:noProof/>
        </w:rPr>
        <w:fldChar w:fldCharType="end"/>
      </w:r>
      <w:bookmarkEnd w:id="541"/>
      <w:bookmarkEnd w:id="546"/>
      <w:bookmarkEnd w:id="547"/>
      <w:r>
        <w:tab/>
        <w:t>List of healthcare resource items and their costs for treating prostate cancer related toxicities (Base case)</w:t>
      </w:r>
      <w:bookmarkEnd w:id="548"/>
    </w:p>
    <w:tbl>
      <w:tblPr>
        <w:tblStyle w:val="TableGrid2"/>
        <w:tblW w:w="5000" w:type="pct"/>
        <w:tblLook w:val="04A0" w:firstRow="1" w:lastRow="0" w:firstColumn="1" w:lastColumn="0" w:noHBand="0" w:noVBand="1"/>
        <w:tblCaption w:val="List of health care resource items and summary of cost impacts for each health state in a state transition model"/>
        <w:tblDescription w:val="List of health care resource items and summary of cost impacts for each health state in a state transition model"/>
      </w:tblPr>
      <w:tblGrid>
        <w:gridCol w:w="2577"/>
        <w:gridCol w:w="1520"/>
        <w:gridCol w:w="1291"/>
        <w:gridCol w:w="2131"/>
        <w:gridCol w:w="1497"/>
      </w:tblGrid>
      <w:tr w:rsidR="00D12268" w:rsidRPr="00F77E8D" w14:paraId="39C19AA3" w14:textId="77777777" w:rsidTr="00E3175C">
        <w:trPr>
          <w:cnfStyle w:val="100000000000" w:firstRow="1" w:lastRow="0" w:firstColumn="0" w:lastColumn="0" w:oddVBand="0" w:evenVBand="0" w:oddHBand="0" w:evenHBand="0" w:firstRowFirstColumn="0" w:firstRowLastColumn="0" w:lastRowFirstColumn="0" w:lastRowLastColumn="0"/>
          <w:tblHeader/>
        </w:trPr>
        <w:tc>
          <w:tcPr>
            <w:tcW w:w="1429" w:type="pct"/>
            <w:tcBorders>
              <w:bottom w:val="single" w:sz="4" w:space="0" w:color="auto"/>
            </w:tcBorders>
          </w:tcPr>
          <w:p w14:paraId="6163FF75" w14:textId="77777777" w:rsidR="00D12268" w:rsidRPr="00F77E8D" w:rsidRDefault="00D12268" w:rsidP="00411D51">
            <w:pPr>
              <w:pStyle w:val="TableHeading"/>
              <w:keepLines/>
            </w:pPr>
            <w:r w:rsidRPr="00F77E8D">
              <w:t xml:space="preserve">Type of resource item </w:t>
            </w:r>
          </w:p>
        </w:tc>
        <w:tc>
          <w:tcPr>
            <w:tcW w:w="843" w:type="pct"/>
            <w:tcBorders>
              <w:bottom w:val="single" w:sz="4" w:space="0" w:color="auto"/>
            </w:tcBorders>
            <w:vAlign w:val="center"/>
          </w:tcPr>
          <w:p w14:paraId="544C1873" w14:textId="77777777" w:rsidR="00D12268" w:rsidRPr="00F77E8D" w:rsidRDefault="00D12268" w:rsidP="00411D51">
            <w:pPr>
              <w:pStyle w:val="TableHeading"/>
              <w:keepLines/>
              <w:jc w:val="center"/>
            </w:pPr>
            <w:r w:rsidRPr="00F77E8D">
              <w:t>Number of items in natural unit of measurement</w:t>
            </w:r>
            <w:r>
              <w:t xml:space="preserve"> (Base case)</w:t>
            </w:r>
          </w:p>
        </w:tc>
        <w:tc>
          <w:tcPr>
            <w:tcW w:w="716" w:type="pct"/>
            <w:tcBorders>
              <w:bottom w:val="single" w:sz="4" w:space="0" w:color="auto"/>
            </w:tcBorders>
            <w:vAlign w:val="center"/>
          </w:tcPr>
          <w:p w14:paraId="0652D1AB" w14:textId="77777777" w:rsidR="00D12268" w:rsidRPr="00F77E8D" w:rsidRDefault="00D12268" w:rsidP="00411D51">
            <w:pPr>
              <w:pStyle w:val="TableHeading"/>
              <w:keepLines/>
              <w:jc w:val="center"/>
            </w:pPr>
            <w:r w:rsidRPr="00F77E8D">
              <w:t>Unit cost</w:t>
            </w:r>
            <w:r>
              <w:t xml:space="preserve"> (Base case)</w:t>
            </w:r>
          </w:p>
        </w:tc>
        <w:tc>
          <w:tcPr>
            <w:tcW w:w="1182" w:type="pct"/>
            <w:tcBorders>
              <w:bottom w:val="single" w:sz="4" w:space="0" w:color="auto"/>
            </w:tcBorders>
            <w:vAlign w:val="center"/>
          </w:tcPr>
          <w:p w14:paraId="32423116" w14:textId="77777777" w:rsidR="00D12268" w:rsidRPr="003816D8" w:rsidRDefault="00D12268" w:rsidP="00411D51">
            <w:pPr>
              <w:pStyle w:val="TableHeading"/>
              <w:keepLines/>
              <w:jc w:val="center"/>
            </w:pPr>
            <w:r w:rsidRPr="003816D8">
              <w:t>AR-DRG/MBS/PBS Code Source</w:t>
            </w:r>
            <w:r>
              <w:t xml:space="preserve"> (Base case)</w:t>
            </w:r>
          </w:p>
        </w:tc>
        <w:tc>
          <w:tcPr>
            <w:tcW w:w="830" w:type="pct"/>
            <w:tcBorders>
              <w:bottom w:val="single" w:sz="4" w:space="0" w:color="auto"/>
            </w:tcBorders>
            <w:vAlign w:val="center"/>
          </w:tcPr>
          <w:p w14:paraId="3061FA07" w14:textId="77777777" w:rsidR="00D12268" w:rsidRPr="003816D8" w:rsidRDefault="00D12268" w:rsidP="00411D51">
            <w:pPr>
              <w:pStyle w:val="TableHeading"/>
              <w:keepLines/>
              <w:jc w:val="center"/>
            </w:pPr>
            <w:r w:rsidRPr="003816D8">
              <w:t>Total cost</w:t>
            </w:r>
            <w:r>
              <w:t xml:space="preserve"> (Base case)</w:t>
            </w:r>
          </w:p>
        </w:tc>
      </w:tr>
      <w:tr w:rsidR="00D12268" w:rsidRPr="00F77E8D" w14:paraId="3949AC7F" w14:textId="77777777" w:rsidTr="00E3175C">
        <w:tc>
          <w:tcPr>
            <w:tcW w:w="1429" w:type="pct"/>
          </w:tcPr>
          <w:p w14:paraId="53562C9D" w14:textId="77777777" w:rsidR="00D12268" w:rsidRPr="003816D8" w:rsidRDefault="00D12268" w:rsidP="00411D51">
            <w:pPr>
              <w:pStyle w:val="Tabletext1"/>
              <w:keepNext/>
              <w:keepLines/>
              <w:rPr>
                <w:b/>
              </w:rPr>
            </w:pPr>
            <w:r w:rsidRPr="003816D8">
              <w:rPr>
                <w:b/>
                <w:snapToGrid w:val="0"/>
                <w:lang w:eastAsia="en-US"/>
              </w:rPr>
              <w:t>Acute toxicity grade 1-2</w:t>
            </w:r>
            <w:r>
              <w:rPr>
                <w:b/>
                <w:snapToGrid w:val="0"/>
                <w:lang w:eastAsia="en-US"/>
              </w:rPr>
              <w:t xml:space="preserve"> (GI/GU)</w:t>
            </w:r>
          </w:p>
        </w:tc>
        <w:tc>
          <w:tcPr>
            <w:tcW w:w="843" w:type="pct"/>
            <w:vAlign w:val="center"/>
          </w:tcPr>
          <w:p w14:paraId="2BFA753A" w14:textId="77777777" w:rsidR="00D12268" w:rsidRPr="003816D8" w:rsidRDefault="00D12268" w:rsidP="00411D51">
            <w:pPr>
              <w:pStyle w:val="Tabletext1"/>
              <w:keepNext/>
              <w:keepLines/>
              <w:jc w:val="center"/>
              <w:rPr>
                <w:b/>
              </w:rPr>
            </w:pPr>
          </w:p>
        </w:tc>
        <w:tc>
          <w:tcPr>
            <w:tcW w:w="716" w:type="pct"/>
            <w:vAlign w:val="center"/>
          </w:tcPr>
          <w:p w14:paraId="42700504" w14:textId="77777777" w:rsidR="00D12268" w:rsidRPr="003816D8" w:rsidRDefault="00D12268" w:rsidP="00411D51">
            <w:pPr>
              <w:pStyle w:val="Tabletext1"/>
              <w:keepNext/>
              <w:keepLines/>
              <w:jc w:val="center"/>
              <w:rPr>
                <w:b/>
              </w:rPr>
            </w:pPr>
          </w:p>
        </w:tc>
        <w:tc>
          <w:tcPr>
            <w:tcW w:w="1182" w:type="pct"/>
            <w:vAlign w:val="center"/>
          </w:tcPr>
          <w:p w14:paraId="5E7D4736" w14:textId="77777777" w:rsidR="00D12268" w:rsidRPr="003816D8" w:rsidRDefault="00D12268" w:rsidP="00411D51">
            <w:pPr>
              <w:pStyle w:val="Tabletext1"/>
              <w:keepNext/>
              <w:keepLines/>
              <w:jc w:val="center"/>
              <w:rPr>
                <w:rFonts w:cs="Calibri"/>
                <w:b/>
              </w:rPr>
            </w:pPr>
          </w:p>
        </w:tc>
        <w:tc>
          <w:tcPr>
            <w:tcW w:w="830" w:type="pct"/>
            <w:vAlign w:val="center"/>
          </w:tcPr>
          <w:p w14:paraId="0721DDE1" w14:textId="77777777" w:rsidR="00D12268" w:rsidRPr="003816D8" w:rsidRDefault="00D12268" w:rsidP="00411D51">
            <w:pPr>
              <w:pStyle w:val="Tabletext1"/>
              <w:keepNext/>
              <w:keepLines/>
              <w:jc w:val="center"/>
              <w:rPr>
                <w:rFonts w:cs="Calibri"/>
                <w:b/>
              </w:rPr>
            </w:pPr>
            <w:r>
              <w:rPr>
                <w:rFonts w:cs="Calibri"/>
                <w:b/>
              </w:rPr>
              <w:t>$404.34</w:t>
            </w:r>
          </w:p>
        </w:tc>
      </w:tr>
      <w:tr w:rsidR="00D12268" w:rsidRPr="00F77E8D" w14:paraId="15AC01B6" w14:textId="77777777" w:rsidTr="00E3175C">
        <w:tc>
          <w:tcPr>
            <w:tcW w:w="1429" w:type="pct"/>
          </w:tcPr>
          <w:p w14:paraId="5A6B60F9" w14:textId="77777777" w:rsidR="00D12268" w:rsidRPr="003816D8" w:rsidRDefault="00D12268" w:rsidP="00556AB6">
            <w:pPr>
              <w:pStyle w:val="Tabletext1"/>
            </w:pPr>
            <w:r w:rsidRPr="00673F0A">
              <w:rPr>
                <w:snapToGrid w:val="0"/>
                <w:lang w:eastAsia="en-US"/>
              </w:rPr>
              <w:t>Cost of GP visits in grade 1 - 2 acute toxicity</w:t>
            </w:r>
          </w:p>
        </w:tc>
        <w:tc>
          <w:tcPr>
            <w:tcW w:w="843" w:type="pct"/>
            <w:vAlign w:val="center"/>
          </w:tcPr>
          <w:p w14:paraId="64740C51" w14:textId="77777777" w:rsidR="00D12268" w:rsidRPr="003816D8" w:rsidRDefault="00D12268" w:rsidP="006D1459">
            <w:pPr>
              <w:pStyle w:val="Tabletext1"/>
              <w:jc w:val="center"/>
            </w:pPr>
            <w:r w:rsidRPr="003816D8">
              <w:rPr>
                <w:snapToGrid w:val="0"/>
                <w:lang w:eastAsia="en-US"/>
              </w:rPr>
              <w:t>2</w:t>
            </w:r>
          </w:p>
        </w:tc>
        <w:tc>
          <w:tcPr>
            <w:tcW w:w="716" w:type="pct"/>
            <w:vAlign w:val="center"/>
          </w:tcPr>
          <w:p w14:paraId="530973CA" w14:textId="77777777" w:rsidR="00D12268" w:rsidRPr="003816D8" w:rsidRDefault="00D12268" w:rsidP="006D1459">
            <w:pPr>
              <w:pStyle w:val="Tabletext1"/>
              <w:jc w:val="center"/>
            </w:pPr>
            <w:r>
              <w:t>$38.75</w:t>
            </w:r>
          </w:p>
        </w:tc>
        <w:tc>
          <w:tcPr>
            <w:tcW w:w="1182" w:type="pct"/>
            <w:vAlign w:val="center"/>
          </w:tcPr>
          <w:p w14:paraId="2CABE998" w14:textId="77777777" w:rsidR="00D12268" w:rsidRPr="003816D8" w:rsidRDefault="00D12268" w:rsidP="006D1459">
            <w:pPr>
              <w:pStyle w:val="Tabletext1"/>
              <w:jc w:val="center"/>
              <w:rPr>
                <w:rFonts w:cs="Calibri"/>
              </w:rPr>
            </w:pPr>
            <w:r w:rsidRPr="003816D8">
              <w:rPr>
                <w:snapToGrid w:val="0"/>
                <w:lang w:eastAsia="en-US"/>
              </w:rPr>
              <w:t>23 (100% MBS)</w:t>
            </w:r>
          </w:p>
        </w:tc>
        <w:tc>
          <w:tcPr>
            <w:tcW w:w="830" w:type="pct"/>
            <w:vAlign w:val="center"/>
          </w:tcPr>
          <w:p w14:paraId="5A2D448F" w14:textId="77777777" w:rsidR="00D12268" w:rsidRPr="003816D8" w:rsidRDefault="00D12268" w:rsidP="006D1459">
            <w:pPr>
              <w:pStyle w:val="Tabletext1"/>
              <w:jc w:val="center"/>
              <w:rPr>
                <w:rFonts w:cs="Calibri"/>
              </w:rPr>
            </w:pPr>
            <w:r>
              <w:rPr>
                <w:rFonts w:cs="Calibri"/>
              </w:rPr>
              <w:t>$77.50</w:t>
            </w:r>
          </w:p>
        </w:tc>
      </w:tr>
      <w:tr w:rsidR="00D12268" w:rsidRPr="00F77E8D" w14:paraId="07FD079D" w14:textId="77777777" w:rsidTr="00E3175C">
        <w:tc>
          <w:tcPr>
            <w:tcW w:w="1429" w:type="pct"/>
          </w:tcPr>
          <w:p w14:paraId="02CA5BD8" w14:textId="77777777" w:rsidR="00D12268" w:rsidRPr="003816D8" w:rsidRDefault="00D12268" w:rsidP="00556AB6">
            <w:pPr>
              <w:pStyle w:val="Tabletext1"/>
            </w:pPr>
            <w:r w:rsidRPr="00673F0A">
              <w:rPr>
                <w:snapToGrid w:val="0"/>
                <w:lang w:eastAsia="en-US"/>
              </w:rPr>
              <w:t>Cost of loperamide to treat diarrhoea in acute tox</w:t>
            </w:r>
            <w:r>
              <w:rPr>
                <w:snapToGrid w:val="0"/>
                <w:lang w:eastAsia="en-US"/>
              </w:rPr>
              <w:t>icity</w:t>
            </w:r>
            <w:r w:rsidRPr="00673F0A">
              <w:rPr>
                <w:snapToGrid w:val="0"/>
                <w:lang w:eastAsia="en-US"/>
              </w:rPr>
              <w:t xml:space="preserve"> grade 1-2</w:t>
            </w:r>
          </w:p>
        </w:tc>
        <w:tc>
          <w:tcPr>
            <w:tcW w:w="843" w:type="pct"/>
            <w:vAlign w:val="center"/>
          </w:tcPr>
          <w:p w14:paraId="28320DD7" w14:textId="77777777" w:rsidR="00D12268" w:rsidRPr="003816D8" w:rsidRDefault="00D12268" w:rsidP="006D1459">
            <w:pPr>
              <w:pStyle w:val="Tabletext1"/>
              <w:jc w:val="center"/>
            </w:pPr>
            <w:r w:rsidRPr="003816D8">
              <w:rPr>
                <w:snapToGrid w:val="0"/>
                <w:lang w:eastAsia="en-US"/>
              </w:rPr>
              <w:t>9</w:t>
            </w:r>
          </w:p>
        </w:tc>
        <w:tc>
          <w:tcPr>
            <w:tcW w:w="716" w:type="pct"/>
            <w:vAlign w:val="center"/>
          </w:tcPr>
          <w:p w14:paraId="2349B692" w14:textId="77777777" w:rsidR="00D12268" w:rsidRPr="003816D8" w:rsidRDefault="00D12268" w:rsidP="006D1459">
            <w:pPr>
              <w:pStyle w:val="Tabletext1"/>
              <w:jc w:val="center"/>
            </w:pPr>
            <w:r>
              <w:t>$13.51</w:t>
            </w:r>
          </w:p>
        </w:tc>
        <w:tc>
          <w:tcPr>
            <w:tcW w:w="1182" w:type="pct"/>
            <w:vAlign w:val="center"/>
          </w:tcPr>
          <w:p w14:paraId="5DEDB1C4" w14:textId="77777777" w:rsidR="00D12268" w:rsidRPr="003816D8" w:rsidRDefault="00D12268" w:rsidP="006D1459">
            <w:pPr>
              <w:pStyle w:val="Tabletext1"/>
              <w:jc w:val="center"/>
            </w:pPr>
            <w:r w:rsidRPr="003816D8">
              <w:rPr>
                <w:snapToGrid w:val="0"/>
                <w:lang w:eastAsia="en-US"/>
              </w:rPr>
              <w:t>10592L (PBS)</w:t>
            </w:r>
          </w:p>
        </w:tc>
        <w:tc>
          <w:tcPr>
            <w:tcW w:w="830" w:type="pct"/>
            <w:vAlign w:val="center"/>
          </w:tcPr>
          <w:p w14:paraId="02C984EC" w14:textId="77777777" w:rsidR="00D12268" w:rsidRPr="003816D8" w:rsidRDefault="00D12268" w:rsidP="006D1459">
            <w:pPr>
              <w:pStyle w:val="Tabletext1"/>
              <w:jc w:val="center"/>
              <w:rPr>
                <w:rFonts w:cs="Calibri"/>
              </w:rPr>
            </w:pPr>
            <w:r>
              <w:rPr>
                <w:rFonts w:cs="Calibri"/>
              </w:rPr>
              <w:t>$121.59</w:t>
            </w:r>
          </w:p>
        </w:tc>
      </w:tr>
      <w:tr w:rsidR="00D12268" w:rsidRPr="00F77E8D" w14:paraId="09E394C9" w14:textId="77777777" w:rsidTr="00E3175C">
        <w:tc>
          <w:tcPr>
            <w:tcW w:w="1429" w:type="pct"/>
          </w:tcPr>
          <w:p w14:paraId="1119B628" w14:textId="77777777" w:rsidR="00D12268" w:rsidRPr="003816D8" w:rsidRDefault="00D12268" w:rsidP="00556AB6">
            <w:pPr>
              <w:pStyle w:val="Tabletext1"/>
            </w:pPr>
            <w:r w:rsidRPr="00673F0A">
              <w:rPr>
                <w:snapToGrid w:val="0"/>
                <w:lang w:eastAsia="en-US"/>
              </w:rPr>
              <w:t>Cost of specialist visits in grade 1 - 2 acute toxicity</w:t>
            </w:r>
          </w:p>
        </w:tc>
        <w:tc>
          <w:tcPr>
            <w:tcW w:w="843" w:type="pct"/>
            <w:vAlign w:val="center"/>
          </w:tcPr>
          <w:p w14:paraId="226DD5C5" w14:textId="77777777" w:rsidR="00D12268" w:rsidRPr="003816D8" w:rsidRDefault="00D12268" w:rsidP="006D1459">
            <w:pPr>
              <w:pStyle w:val="Tabletext1"/>
              <w:jc w:val="center"/>
            </w:pPr>
            <w:r w:rsidRPr="003816D8">
              <w:rPr>
                <w:snapToGrid w:val="0"/>
                <w:lang w:eastAsia="en-US"/>
              </w:rPr>
              <w:t>2</w:t>
            </w:r>
          </w:p>
        </w:tc>
        <w:tc>
          <w:tcPr>
            <w:tcW w:w="716" w:type="pct"/>
            <w:vAlign w:val="center"/>
          </w:tcPr>
          <w:p w14:paraId="6AAEA877" w14:textId="77777777" w:rsidR="00D12268" w:rsidRPr="003816D8" w:rsidRDefault="00D12268" w:rsidP="006D1459">
            <w:pPr>
              <w:pStyle w:val="Tabletext1"/>
              <w:jc w:val="center"/>
            </w:pPr>
            <w:r>
              <w:t>$45.00</w:t>
            </w:r>
          </w:p>
        </w:tc>
        <w:tc>
          <w:tcPr>
            <w:tcW w:w="1182" w:type="pct"/>
            <w:vAlign w:val="center"/>
          </w:tcPr>
          <w:p w14:paraId="4981C0C6" w14:textId="77777777" w:rsidR="00D12268" w:rsidRPr="003816D8" w:rsidRDefault="00D12268" w:rsidP="006D1459">
            <w:pPr>
              <w:pStyle w:val="Tabletext1"/>
              <w:jc w:val="center"/>
            </w:pPr>
            <w:r>
              <w:rPr>
                <w:snapToGrid w:val="0"/>
                <w:lang w:eastAsia="en-US"/>
              </w:rPr>
              <w:t>105 (100</w:t>
            </w:r>
            <w:r w:rsidRPr="003816D8">
              <w:rPr>
                <w:snapToGrid w:val="0"/>
                <w:lang w:eastAsia="en-US"/>
              </w:rPr>
              <w:t>% MBS)</w:t>
            </w:r>
          </w:p>
        </w:tc>
        <w:tc>
          <w:tcPr>
            <w:tcW w:w="830" w:type="pct"/>
            <w:vAlign w:val="center"/>
          </w:tcPr>
          <w:p w14:paraId="11CD3E81" w14:textId="77777777" w:rsidR="00D12268" w:rsidRPr="003816D8" w:rsidRDefault="00D12268" w:rsidP="006D1459">
            <w:pPr>
              <w:pStyle w:val="Tabletext1"/>
              <w:jc w:val="center"/>
              <w:rPr>
                <w:rFonts w:cs="Calibri"/>
              </w:rPr>
            </w:pPr>
            <w:r>
              <w:rPr>
                <w:rFonts w:cs="Calibri"/>
              </w:rPr>
              <w:t>$90.00</w:t>
            </w:r>
          </w:p>
        </w:tc>
      </w:tr>
      <w:tr w:rsidR="00D12268" w:rsidRPr="00F77E8D" w14:paraId="2A2A7C3B" w14:textId="77777777" w:rsidTr="00E3175C">
        <w:tc>
          <w:tcPr>
            <w:tcW w:w="1429" w:type="pct"/>
          </w:tcPr>
          <w:p w14:paraId="7ACFA627" w14:textId="77777777" w:rsidR="00D12268" w:rsidRPr="003816D8" w:rsidRDefault="00D12268" w:rsidP="00556AB6">
            <w:pPr>
              <w:pStyle w:val="Tabletext1"/>
            </w:pPr>
            <w:r w:rsidRPr="00673F0A">
              <w:rPr>
                <w:snapToGrid w:val="0"/>
                <w:lang w:eastAsia="en-US"/>
              </w:rPr>
              <w:t>Cost of Ural sachets in acute toxicity grade 1- 2</w:t>
            </w:r>
          </w:p>
        </w:tc>
        <w:tc>
          <w:tcPr>
            <w:tcW w:w="843" w:type="pct"/>
            <w:vAlign w:val="center"/>
          </w:tcPr>
          <w:p w14:paraId="0B261CC8" w14:textId="77777777" w:rsidR="00D12268" w:rsidRPr="003816D8" w:rsidRDefault="00D12268" w:rsidP="006D1459">
            <w:pPr>
              <w:pStyle w:val="Tabletext1"/>
              <w:jc w:val="center"/>
            </w:pPr>
            <w:r w:rsidRPr="003816D8">
              <w:rPr>
                <w:snapToGrid w:val="0"/>
                <w:lang w:eastAsia="en-US"/>
              </w:rPr>
              <w:t>5</w:t>
            </w:r>
          </w:p>
        </w:tc>
        <w:tc>
          <w:tcPr>
            <w:tcW w:w="716" w:type="pct"/>
            <w:vAlign w:val="center"/>
          </w:tcPr>
          <w:p w14:paraId="502AECD0" w14:textId="77777777" w:rsidR="00D12268" w:rsidRPr="003816D8" w:rsidRDefault="00D12268" w:rsidP="006D1459">
            <w:pPr>
              <w:pStyle w:val="Tabletext1"/>
              <w:jc w:val="center"/>
            </w:pPr>
            <w:r>
              <w:t>$18.22</w:t>
            </w:r>
          </w:p>
        </w:tc>
        <w:tc>
          <w:tcPr>
            <w:tcW w:w="1182" w:type="pct"/>
            <w:vAlign w:val="center"/>
          </w:tcPr>
          <w:p w14:paraId="19CBBE55" w14:textId="77777777" w:rsidR="00D12268" w:rsidRPr="003816D8" w:rsidRDefault="00D12268" w:rsidP="006D1459">
            <w:pPr>
              <w:pStyle w:val="Tabletext1"/>
              <w:jc w:val="center"/>
            </w:pPr>
            <w:r w:rsidRPr="003816D8">
              <w:rPr>
                <w:snapToGrid w:val="0"/>
                <w:lang w:eastAsia="en-US"/>
              </w:rPr>
              <w:t>4049D (PBS)</w:t>
            </w:r>
          </w:p>
        </w:tc>
        <w:tc>
          <w:tcPr>
            <w:tcW w:w="830" w:type="pct"/>
            <w:vAlign w:val="center"/>
          </w:tcPr>
          <w:p w14:paraId="38518365" w14:textId="77777777" w:rsidR="00D12268" w:rsidRPr="003816D8" w:rsidRDefault="00D12268" w:rsidP="006D1459">
            <w:pPr>
              <w:pStyle w:val="Tabletext1"/>
              <w:jc w:val="center"/>
              <w:rPr>
                <w:rFonts w:cs="Calibri"/>
              </w:rPr>
            </w:pPr>
            <w:r>
              <w:rPr>
                <w:rFonts w:cs="Calibri"/>
              </w:rPr>
              <w:t>$91.10</w:t>
            </w:r>
          </w:p>
        </w:tc>
      </w:tr>
      <w:tr w:rsidR="00D12268" w:rsidRPr="00F77E8D" w14:paraId="614C807D" w14:textId="77777777" w:rsidTr="00E3175C">
        <w:tc>
          <w:tcPr>
            <w:tcW w:w="1429" w:type="pct"/>
          </w:tcPr>
          <w:p w14:paraId="3AECA24D" w14:textId="77777777" w:rsidR="00D12268" w:rsidRPr="003816D8" w:rsidRDefault="00D12268" w:rsidP="00556AB6">
            <w:pPr>
              <w:pStyle w:val="Tabletext1"/>
            </w:pPr>
            <w:r w:rsidRPr="00673F0A">
              <w:rPr>
                <w:snapToGrid w:val="0"/>
                <w:lang w:eastAsia="en-US"/>
              </w:rPr>
              <w:t>Cost of urine flow study in 1-2 grade acute toxicity</w:t>
            </w:r>
          </w:p>
        </w:tc>
        <w:tc>
          <w:tcPr>
            <w:tcW w:w="843" w:type="pct"/>
            <w:vAlign w:val="center"/>
          </w:tcPr>
          <w:p w14:paraId="231B26A9" w14:textId="77777777" w:rsidR="00D12268" w:rsidRPr="003816D8" w:rsidRDefault="00D12268" w:rsidP="006D1459">
            <w:pPr>
              <w:pStyle w:val="Tabletext1"/>
              <w:jc w:val="center"/>
            </w:pPr>
            <w:r w:rsidRPr="003816D8">
              <w:rPr>
                <w:snapToGrid w:val="0"/>
                <w:lang w:eastAsia="en-US"/>
              </w:rPr>
              <w:t>1</w:t>
            </w:r>
          </w:p>
        </w:tc>
        <w:tc>
          <w:tcPr>
            <w:tcW w:w="716" w:type="pct"/>
            <w:vAlign w:val="center"/>
          </w:tcPr>
          <w:p w14:paraId="63A6EE32" w14:textId="77777777" w:rsidR="00D12268" w:rsidRPr="003816D8" w:rsidRDefault="00D12268" w:rsidP="006D1459">
            <w:pPr>
              <w:pStyle w:val="Tabletext1"/>
              <w:jc w:val="center"/>
            </w:pPr>
            <w:r>
              <w:t>$28.15</w:t>
            </w:r>
          </w:p>
        </w:tc>
        <w:tc>
          <w:tcPr>
            <w:tcW w:w="1182" w:type="pct"/>
            <w:vAlign w:val="center"/>
          </w:tcPr>
          <w:p w14:paraId="160CD4F9" w14:textId="77777777" w:rsidR="00D12268" w:rsidRPr="003816D8" w:rsidRDefault="00D12268" w:rsidP="006D1459">
            <w:pPr>
              <w:pStyle w:val="Tabletext1"/>
              <w:jc w:val="center"/>
            </w:pPr>
            <w:r w:rsidRPr="003816D8">
              <w:rPr>
                <w:snapToGrid w:val="0"/>
                <w:lang w:eastAsia="en-US"/>
              </w:rPr>
              <w:t>11900 (85% MBS)</w:t>
            </w:r>
          </w:p>
        </w:tc>
        <w:tc>
          <w:tcPr>
            <w:tcW w:w="830" w:type="pct"/>
            <w:vAlign w:val="center"/>
          </w:tcPr>
          <w:p w14:paraId="05532203" w14:textId="77777777" w:rsidR="00D12268" w:rsidRPr="003816D8" w:rsidRDefault="00D12268" w:rsidP="006D1459">
            <w:pPr>
              <w:pStyle w:val="Tabletext1"/>
              <w:jc w:val="center"/>
              <w:rPr>
                <w:rFonts w:cs="Calibri"/>
              </w:rPr>
            </w:pPr>
            <w:r>
              <w:rPr>
                <w:rFonts w:cs="Calibri"/>
              </w:rPr>
              <w:t>$24.15</w:t>
            </w:r>
          </w:p>
        </w:tc>
      </w:tr>
      <w:tr w:rsidR="00D12268" w:rsidRPr="00F77E8D" w14:paraId="605D9DF4" w14:textId="77777777" w:rsidTr="00E3175C">
        <w:tc>
          <w:tcPr>
            <w:tcW w:w="1429" w:type="pct"/>
          </w:tcPr>
          <w:p w14:paraId="2753CB61" w14:textId="77777777" w:rsidR="00D12268" w:rsidRPr="003816D8" w:rsidRDefault="00D12268" w:rsidP="00556AB6">
            <w:pPr>
              <w:pStyle w:val="Tabletext1"/>
              <w:rPr>
                <w:b/>
              </w:rPr>
            </w:pPr>
            <w:r w:rsidRPr="003816D8">
              <w:rPr>
                <w:b/>
                <w:snapToGrid w:val="0"/>
                <w:lang w:eastAsia="en-US"/>
              </w:rPr>
              <w:t xml:space="preserve">Acute toxicity grade </w:t>
            </w:r>
            <w:r w:rsidRPr="003816D8">
              <w:rPr>
                <w:b/>
              </w:rPr>
              <w:t>≥3</w:t>
            </w:r>
            <w:r w:rsidRPr="003816D8">
              <w:rPr>
                <w:b/>
                <w:snapToGrid w:val="0"/>
                <w:lang w:eastAsia="en-US"/>
              </w:rPr>
              <w:t xml:space="preserve"> </w:t>
            </w:r>
            <w:r>
              <w:rPr>
                <w:b/>
                <w:snapToGrid w:val="0"/>
                <w:lang w:eastAsia="en-US"/>
              </w:rPr>
              <w:t>(GI/GU)</w:t>
            </w:r>
          </w:p>
        </w:tc>
        <w:tc>
          <w:tcPr>
            <w:tcW w:w="843" w:type="pct"/>
            <w:vAlign w:val="center"/>
          </w:tcPr>
          <w:p w14:paraId="54AE11D1" w14:textId="77777777" w:rsidR="00D12268" w:rsidRPr="003816D8" w:rsidRDefault="00D12268" w:rsidP="006D1459">
            <w:pPr>
              <w:pStyle w:val="Tabletext1"/>
              <w:jc w:val="center"/>
              <w:rPr>
                <w:b/>
              </w:rPr>
            </w:pPr>
          </w:p>
        </w:tc>
        <w:tc>
          <w:tcPr>
            <w:tcW w:w="716" w:type="pct"/>
            <w:vAlign w:val="center"/>
          </w:tcPr>
          <w:p w14:paraId="34EE6701" w14:textId="77777777" w:rsidR="00D12268" w:rsidRPr="003816D8" w:rsidRDefault="00D12268" w:rsidP="006D1459">
            <w:pPr>
              <w:pStyle w:val="Tabletext1"/>
              <w:jc w:val="center"/>
              <w:rPr>
                <w:b/>
              </w:rPr>
            </w:pPr>
          </w:p>
        </w:tc>
        <w:tc>
          <w:tcPr>
            <w:tcW w:w="1182" w:type="pct"/>
            <w:vAlign w:val="center"/>
          </w:tcPr>
          <w:p w14:paraId="38F2504E" w14:textId="77777777" w:rsidR="00D12268" w:rsidRPr="003816D8" w:rsidRDefault="00D12268" w:rsidP="006D1459">
            <w:pPr>
              <w:pStyle w:val="Tabletext1"/>
              <w:jc w:val="center"/>
              <w:rPr>
                <w:rFonts w:cs="Calibri"/>
                <w:b/>
              </w:rPr>
            </w:pPr>
          </w:p>
        </w:tc>
        <w:tc>
          <w:tcPr>
            <w:tcW w:w="830" w:type="pct"/>
            <w:vAlign w:val="center"/>
          </w:tcPr>
          <w:p w14:paraId="42FF89FE" w14:textId="77777777" w:rsidR="00D12268" w:rsidRPr="003816D8" w:rsidRDefault="00D12268" w:rsidP="006D1459">
            <w:pPr>
              <w:pStyle w:val="Tabletext1"/>
              <w:jc w:val="center"/>
              <w:rPr>
                <w:rFonts w:cs="Calibri"/>
                <w:b/>
              </w:rPr>
            </w:pPr>
            <w:r>
              <w:rPr>
                <w:rFonts w:cs="Calibri"/>
                <w:b/>
              </w:rPr>
              <w:t>$4,305.72</w:t>
            </w:r>
          </w:p>
        </w:tc>
      </w:tr>
      <w:tr w:rsidR="00D12268" w:rsidRPr="00F77E8D" w14:paraId="6E32CB23" w14:textId="77777777" w:rsidTr="00E3175C">
        <w:tc>
          <w:tcPr>
            <w:tcW w:w="1429" w:type="pct"/>
          </w:tcPr>
          <w:p w14:paraId="02817AD4" w14:textId="77777777" w:rsidR="00D12268" w:rsidRPr="003816D8" w:rsidRDefault="00D12268" w:rsidP="00556AB6">
            <w:pPr>
              <w:pStyle w:val="Tabletext1"/>
            </w:pPr>
            <w:r w:rsidRPr="00E718DB">
              <w:t>Cost of GP visits in grade 3 or more acute toxicity</w:t>
            </w:r>
          </w:p>
        </w:tc>
        <w:tc>
          <w:tcPr>
            <w:tcW w:w="843" w:type="pct"/>
            <w:vAlign w:val="center"/>
          </w:tcPr>
          <w:p w14:paraId="3C51BAAF" w14:textId="77777777" w:rsidR="00D12268" w:rsidRPr="003816D8" w:rsidRDefault="00D12268" w:rsidP="006D1459">
            <w:pPr>
              <w:pStyle w:val="Tabletext1"/>
              <w:jc w:val="center"/>
            </w:pPr>
            <w:r w:rsidRPr="003816D8">
              <w:rPr>
                <w:snapToGrid w:val="0"/>
                <w:lang w:eastAsia="en-US"/>
              </w:rPr>
              <w:t>5</w:t>
            </w:r>
          </w:p>
        </w:tc>
        <w:tc>
          <w:tcPr>
            <w:tcW w:w="716" w:type="pct"/>
            <w:vAlign w:val="center"/>
          </w:tcPr>
          <w:p w14:paraId="267390BD" w14:textId="77777777" w:rsidR="00D12268" w:rsidRPr="003816D8" w:rsidRDefault="00D12268" w:rsidP="006D1459">
            <w:pPr>
              <w:pStyle w:val="Tabletext1"/>
              <w:jc w:val="center"/>
            </w:pPr>
            <w:r>
              <w:t>$38.75</w:t>
            </w:r>
          </w:p>
        </w:tc>
        <w:tc>
          <w:tcPr>
            <w:tcW w:w="1182" w:type="pct"/>
            <w:vAlign w:val="center"/>
          </w:tcPr>
          <w:p w14:paraId="3A845FE1" w14:textId="77777777" w:rsidR="00D12268" w:rsidRPr="003816D8" w:rsidRDefault="00D12268" w:rsidP="006D1459">
            <w:pPr>
              <w:pStyle w:val="Tabletext1"/>
              <w:jc w:val="center"/>
              <w:rPr>
                <w:rFonts w:cs="Calibri"/>
              </w:rPr>
            </w:pPr>
            <w:r w:rsidRPr="003816D8">
              <w:rPr>
                <w:snapToGrid w:val="0"/>
                <w:lang w:eastAsia="en-US"/>
              </w:rPr>
              <w:t>23 (100% MBS)</w:t>
            </w:r>
          </w:p>
        </w:tc>
        <w:tc>
          <w:tcPr>
            <w:tcW w:w="830" w:type="pct"/>
            <w:vAlign w:val="center"/>
          </w:tcPr>
          <w:p w14:paraId="035EFD94" w14:textId="77777777" w:rsidR="00D12268" w:rsidRPr="003816D8" w:rsidRDefault="00D12268" w:rsidP="006D1459">
            <w:pPr>
              <w:pStyle w:val="Tabletext1"/>
              <w:jc w:val="center"/>
              <w:rPr>
                <w:rFonts w:cs="Calibri"/>
              </w:rPr>
            </w:pPr>
            <w:r>
              <w:rPr>
                <w:rFonts w:cs="Calibri"/>
              </w:rPr>
              <w:t>$193.75</w:t>
            </w:r>
          </w:p>
        </w:tc>
      </w:tr>
      <w:tr w:rsidR="00D12268" w:rsidRPr="00F77E8D" w14:paraId="7F8EB8C2" w14:textId="77777777" w:rsidTr="00E3175C">
        <w:tc>
          <w:tcPr>
            <w:tcW w:w="1429" w:type="pct"/>
          </w:tcPr>
          <w:p w14:paraId="2DA7FCA5" w14:textId="77777777" w:rsidR="00D12268" w:rsidRPr="003816D8" w:rsidRDefault="00D12268" w:rsidP="00556AB6">
            <w:pPr>
              <w:pStyle w:val="Tabletext1"/>
            </w:pPr>
            <w:r w:rsidRPr="00E718DB">
              <w:t>Cost of suppositories in acute toxicity 3 or more</w:t>
            </w:r>
          </w:p>
        </w:tc>
        <w:tc>
          <w:tcPr>
            <w:tcW w:w="843" w:type="pct"/>
            <w:vAlign w:val="center"/>
          </w:tcPr>
          <w:p w14:paraId="20941465" w14:textId="77777777" w:rsidR="00D12268" w:rsidRPr="003816D8" w:rsidRDefault="00D12268" w:rsidP="006D1459">
            <w:pPr>
              <w:pStyle w:val="Tabletext1"/>
              <w:jc w:val="center"/>
            </w:pPr>
            <w:r w:rsidRPr="003816D8">
              <w:rPr>
                <w:snapToGrid w:val="0"/>
                <w:lang w:eastAsia="en-US"/>
              </w:rPr>
              <w:t>85</w:t>
            </w:r>
          </w:p>
        </w:tc>
        <w:tc>
          <w:tcPr>
            <w:tcW w:w="716" w:type="pct"/>
            <w:vAlign w:val="center"/>
          </w:tcPr>
          <w:p w14:paraId="6BDF20FC" w14:textId="77777777" w:rsidR="00D12268" w:rsidRPr="003816D8" w:rsidRDefault="00D12268" w:rsidP="006D1459">
            <w:pPr>
              <w:pStyle w:val="Tabletext1"/>
              <w:jc w:val="center"/>
            </w:pPr>
            <w:r>
              <w:t>$41.60</w:t>
            </w:r>
          </w:p>
        </w:tc>
        <w:tc>
          <w:tcPr>
            <w:tcW w:w="1182" w:type="pct"/>
            <w:vAlign w:val="center"/>
          </w:tcPr>
          <w:p w14:paraId="6A014986" w14:textId="77777777" w:rsidR="00D12268" w:rsidRPr="003816D8" w:rsidRDefault="00D12268" w:rsidP="006D1459">
            <w:pPr>
              <w:pStyle w:val="Tabletext1"/>
              <w:jc w:val="center"/>
              <w:rPr>
                <w:rFonts w:cs="Calibri"/>
              </w:rPr>
            </w:pPr>
            <w:r w:rsidRPr="003816D8">
              <w:rPr>
                <w:snapToGrid w:val="0"/>
                <w:lang w:eastAsia="en-US"/>
              </w:rPr>
              <w:t>1502C (PBS)</w:t>
            </w:r>
          </w:p>
        </w:tc>
        <w:tc>
          <w:tcPr>
            <w:tcW w:w="830" w:type="pct"/>
            <w:vAlign w:val="center"/>
          </w:tcPr>
          <w:p w14:paraId="4E6E7BC3" w14:textId="77777777" w:rsidR="00D12268" w:rsidRPr="003816D8" w:rsidRDefault="00D12268" w:rsidP="006D1459">
            <w:pPr>
              <w:pStyle w:val="Tabletext1"/>
              <w:jc w:val="center"/>
              <w:rPr>
                <w:rFonts w:cs="Calibri"/>
              </w:rPr>
            </w:pPr>
            <w:r>
              <w:rPr>
                <w:rFonts w:cs="Calibri"/>
              </w:rPr>
              <w:t>$3,536.00</w:t>
            </w:r>
          </w:p>
        </w:tc>
      </w:tr>
      <w:tr w:rsidR="00D12268" w:rsidRPr="00F77E8D" w14:paraId="3582D73A" w14:textId="77777777" w:rsidTr="00E3175C">
        <w:tc>
          <w:tcPr>
            <w:tcW w:w="1429" w:type="pct"/>
          </w:tcPr>
          <w:p w14:paraId="2152F146" w14:textId="77777777" w:rsidR="00D12268" w:rsidRPr="003816D8" w:rsidRDefault="00D12268" w:rsidP="00556AB6">
            <w:pPr>
              <w:pStyle w:val="Tabletext1"/>
              <w:rPr>
                <w:snapToGrid w:val="0"/>
                <w:lang w:eastAsia="en-US"/>
              </w:rPr>
            </w:pPr>
            <w:r w:rsidRPr="00E718DB">
              <w:t xml:space="preserve">Cost of hydrocortisone tubes in acute </w:t>
            </w:r>
            <w:r w:rsidRPr="00673F0A">
              <w:rPr>
                <w:snapToGrid w:val="0"/>
                <w:lang w:eastAsia="en-US"/>
              </w:rPr>
              <w:t>toxicity</w:t>
            </w:r>
            <w:r w:rsidRPr="00E718DB">
              <w:t xml:space="preserve"> 3 or more</w:t>
            </w:r>
          </w:p>
        </w:tc>
        <w:tc>
          <w:tcPr>
            <w:tcW w:w="843" w:type="pct"/>
            <w:vAlign w:val="center"/>
          </w:tcPr>
          <w:p w14:paraId="05FEDB95" w14:textId="77777777" w:rsidR="00D12268" w:rsidRPr="003816D8" w:rsidRDefault="00D12268" w:rsidP="006D1459">
            <w:pPr>
              <w:pStyle w:val="Tabletext1"/>
              <w:jc w:val="center"/>
              <w:rPr>
                <w:snapToGrid w:val="0"/>
                <w:lang w:eastAsia="en-US"/>
              </w:rPr>
            </w:pPr>
            <w:r w:rsidRPr="003816D8">
              <w:rPr>
                <w:snapToGrid w:val="0"/>
                <w:lang w:eastAsia="en-US"/>
              </w:rPr>
              <w:t>2</w:t>
            </w:r>
          </w:p>
        </w:tc>
        <w:tc>
          <w:tcPr>
            <w:tcW w:w="716" w:type="pct"/>
            <w:vAlign w:val="center"/>
          </w:tcPr>
          <w:p w14:paraId="1D3A8BBE" w14:textId="77777777" w:rsidR="00D12268" w:rsidRPr="003816D8" w:rsidRDefault="00D12268" w:rsidP="006D1459">
            <w:pPr>
              <w:pStyle w:val="Tabletext1"/>
              <w:jc w:val="center"/>
              <w:rPr>
                <w:snapToGrid w:val="0"/>
                <w:lang w:eastAsia="en-US"/>
              </w:rPr>
            </w:pPr>
            <w:r>
              <w:rPr>
                <w:snapToGrid w:val="0"/>
                <w:lang w:eastAsia="en-US"/>
              </w:rPr>
              <w:t>$17.19</w:t>
            </w:r>
          </w:p>
        </w:tc>
        <w:tc>
          <w:tcPr>
            <w:tcW w:w="1182" w:type="pct"/>
            <w:vAlign w:val="center"/>
          </w:tcPr>
          <w:p w14:paraId="6A0FBCBB" w14:textId="77777777" w:rsidR="00D12268" w:rsidRPr="003816D8" w:rsidRDefault="00D12268" w:rsidP="006D1459">
            <w:pPr>
              <w:pStyle w:val="Tabletext1"/>
              <w:jc w:val="center"/>
              <w:rPr>
                <w:snapToGrid w:val="0"/>
                <w:lang w:eastAsia="en-US"/>
              </w:rPr>
            </w:pPr>
            <w:r w:rsidRPr="003816D8">
              <w:rPr>
                <w:snapToGrid w:val="0"/>
                <w:lang w:eastAsia="en-US"/>
              </w:rPr>
              <w:t>10831C (PBS)</w:t>
            </w:r>
          </w:p>
        </w:tc>
        <w:tc>
          <w:tcPr>
            <w:tcW w:w="830" w:type="pct"/>
            <w:vAlign w:val="center"/>
          </w:tcPr>
          <w:p w14:paraId="78C8416C" w14:textId="77777777" w:rsidR="00D12268" w:rsidRPr="003816D8" w:rsidRDefault="00D12268" w:rsidP="006D1459">
            <w:pPr>
              <w:pStyle w:val="Tabletext1"/>
              <w:jc w:val="center"/>
              <w:rPr>
                <w:rFonts w:cs="Calibri"/>
              </w:rPr>
            </w:pPr>
            <w:r>
              <w:rPr>
                <w:rFonts w:cs="Calibri"/>
              </w:rPr>
              <w:t>$34.38</w:t>
            </w:r>
          </w:p>
        </w:tc>
      </w:tr>
      <w:tr w:rsidR="00D12268" w:rsidRPr="00F77E8D" w14:paraId="2C8EF8D0" w14:textId="77777777" w:rsidTr="00E3175C">
        <w:tc>
          <w:tcPr>
            <w:tcW w:w="1429" w:type="pct"/>
          </w:tcPr>
          <w:p w14:paraId="7787A3CF" w14:textId="77777777" w:rsidR="00D12268" w:rsidRPr="003816D8" w:rsidRDefault="00D12268" w:rsidP="00556AB6">
            <w:pPr>
              <w:pStyle w:val="Tabletext1"/>
              <w:rPr>
                <w:snapToGrid w:val="0"/>
                <w:lang w:eastAsia="en-US"/>
              </w:rPr>
            </w:pPr>
            <w:r w:rsidRPr="00E718DB">
              <w:t xml:space="preserve">Cost of loperamide to treat diarrhoea in acute </w:t>
            </w:r>
            <w:r w:rsidRPr="00673F0A">
              <w:rPr>
                <w:snapToGrid w:val="0"/>
                <w:lang w:eastAsia="en-US"/>
              </w:rPr>
              <w:t>toxicity</w:t>
            </w:r>
            <w:r w:rsidRPr="00E718DB">
              <w:t xml:space="preserve"> grade 3 or more</w:t>
            </w:r>
          </w:p>
        </w:tc>
        <w:tc>
          <w:tcPr>
            <w:tcW w:w="843" w:type="pct"/>
            <w:vAlign w:val="center"/>
          </w:tcPr>
          <w:p w14:paraId="29A430F0" w14:textId="77777777" w:rsidR="00D12268" w:rsidRPr="003816D8" w:rsidRDefault="00D12268" w:rsidP="006D1459">
            <w:pPr>
              <w:pStyle w:val="Tabletext1"/>
              <w:jc w:val="center"/>
              <w:rPr>
                <w:snapToGrid w:val="0"/>
                <w:lang w:eastAsia="en-US"/>
              </w:rPr>
            </w:pPr>
            <w:r w:rsidRPr="003816D8">
              <w:rPr>
                <w:snapToGrid w:val="0"/>
                <w:lang w:eastAsia="en-US"/>
              </w:rPr>
              <w:t>9</w:t>
            </w:r>
          </w:p>
        </w:tc>
        <w:tc>
          <w:tcPr>
            <w:tcW w:w="716" w:type="pct"/>
            <w:vAlign w:val="center"/>
          </w:tcPr>
          <w:p w14:paraId="1AF64107" w14:textId="77777777" w:rsidR="00D12268" w:rsidRPr="003816D8" w:rsidRDefault="00D12268" w:rsidP="006D1459">
            <w:pPr>
              <w:pStyle w:val="Tabletext1"/>
              <w:jc w:val="center"/>
            </w:pPr>
            <w:r>
              <w:t>$13.51</w:t>
            </w:r>
          </w:p>
        </w:tc>
        <w:tc>
          <w:tcPr>
            <w:tcW w:w="1182" w:type="pct"/>
            <w:vAlign w:val="center"/>
          </w:tcPr>
          <w:p w14:paraId="74297B36" w14:textId="77777777" w:rsidR="00D12268" w:rsidRPr="003816D8" w:rsidRDefault="00D12268" w:rsidP="006D1459">
            <w:pPr>
              <w:pStyle w:val="Tabletext1"/>
              <w:jc w:val="center"/>
              <w:rPr>
                <w:rFonts w:cs="Calibri"/>
              </w:rPr>
            </w:pPr>
            <w:r w:rsidRPr="003816D8">
              <w:rPr>
                <w:snapToGrid w:val="0"/>
                <w:lang w:eastAsia="en-US"/>
              </w:rPr>
              <w:t>10592L (PBS)</w:t>
            </w:r>
          </w:p>
        </w:tc>
        <w:tc>
          <w:tcPr>
            <w:tcW w:w="830" w:type="pct"/>
            <w:vAlign w:val="center"/>
          </w:tcPr>
          <w:p w14:paraId="7668C65E" w14:textId="77777777" w:rsidR="00D12268" w:rsidRPr="003816D8" w:rsidRDefault="00D12268" w:rsidP="006D1459">
            <w:pPr>
              <w:pStyle w:val="Tabletext1"/>
              <w:jc w:val="center"/>
              <w:rPr>
                <w:rFonts w:cs="Calibri"/>
              </w:rPr>
            </w:pPr>
            <w:r>
              <w:rPr>
                <w:rFonts w:cs="Calibri"/>
              </w:rPr>
              <w:t>$121.59</w:t>
            </w:r>
          </w:p>
        </w:tc>
      </w:tr>
      <w:tr w:rsidR="00D12268" w:rsidRPr="00F77E8D" w14:paraId="72004027" w14:textId="77777777" w:rsidTr="00E3175C">
        <w:tc>
          <w:tcPr>
            <w:tcW w:w="1429" w:type="pct"/>
          </w:tcPr>
          <w:p w14:paraId="03EC165D" w14:textId="77777777" w:rsidR="00D12268" w:rsidRPr="003816D8" w:rsidRDefault="00D12268" w:rsidP="00556AB6">
            <w:pPr>
              <w:pStyle w:val="Tabletext1"/>
              <w:rPr>
                <w:snapToGrid w:val="0"/>
                <w:lang w:eastAsia="en-US"/>
              </w:rPr>
            </w:pPr>
            <w:r w:rsidRPr="00E718DB">
              <w:t>Cost of panadeine forte in acute toxicity grade 3 or more</w:t>
            </w:r>
          </w:p>
        </w:tc>
        <w:tc>
          <w:tcPr>
            <w:tcW w:w="843" w:type="pct"/>
            <w:vAlign w:val="center"/>
          </w:tcPr>
          <w:p w14:paraId="13229640" w14:textId="77777777" w:rsidR="00D12268" w:rsidRPr="003816D8" w:rsidRDefault="00D12268" w:rsidP="006D1459">
            <w:pPr>
              <w:pStyle w:val="Tabletext1"/>
              <w:jc w:val="center"/>
              <w:rPr>
                <w:snapToGrid w:val="0"/>
                <w:lang w:eastAsia="en-US"/>
              </w:rPr>
            </w:pPr>
            <w:r w:rsidRPr="003816D8">
              <w:rPr>
                <w:snapToGrid w:val="0"/>
                <w:lang w:eastAsia="en-US"/>
              </w:rPr>
              <w:t>5</w:t>
            </w:r>
          </w:p>
        </w:tc>
        <w:tc>
          <w:tcPr>
            <w:tcW w:w="716" w:type="pct"/>
            <w:vAlign w:val="center"/>
          </w:tcPr>
          <w:p w14:paraId="30EACC06" w14:textId="77777777" w:rsidR="00D12268" w:rsidRPr="003816D8" w:rsidRDefault="00D12268" w:rsidP="006D1459">
            <w:pPr>
              <w:pStyle w:val="Tabletext1"/>
              <w:jc w:val="center"/>
            </w:pPr>
            <w:r>
              <w:t>$15.73</w:t>
            </w:r>
          </w:p>
        </w:tc>
        <w:tc>
          <w:tcPr>
            <w:tcW w:w="1182" w:type="pct"/>
            <w:vAlign w:val="center"/>
          </w:tcPr>
          <w:p w14:paraId="3AA1D38D" w14:textId="77777777" w:rsidR="00D12268" w:rsidRPr="003816D8" w:rsidRDefault="00D12268" w:rsidP="006D1459">
            <w:pPr>
              <w:pStyle w:val="Tabletext1"/>
              <w:jc w:val="center"/>
              <w:rPr>
                <w:rFonts w:cs="Calibri"/>
              </w:rPr>
            </w:pPr>
            <w:r w:rsidRPr="003816D8">
              <w:rPr>
                <w:snapToGrid w:val="0"/>
                <w:lang w:eastAsia="en-US"/>
              </w:rPr>
              <w:t>4275B (PBS)</w:t>
            </w:r>
          </w:p>
        </w:tc>
        <w:tc>
          <w:tcPr>
            <w:tcW w:w="830" w:type="pct"/>
            <w:vAlign w:val="center"/>
          </w:tcPr>
          <w:p w14:paraId="6D3DAC1A" w14:textId="77777777" w:rsidR="00D12268" w:rsidRPr="003816D8" w:rsidRDefault="00D12268" w:rsidP="006D1459">
            <w:pPr>
              <w:pStyle w:val="Tabletext1"/>
              <w:jc w:val="center"/>
              <w:rPr>
                <w:rFonts w:cs="Calibri"/>
              </w:rPr>
            </w:pPr>
            <w:r>
              <w:rPr>
                <w:rFonts w:cs="Calibri"/>
              </w:rPr>
              <w:t>$78.65</w:t>
            </w:r>
          </w:p>
        </w:tc>
      </w:tr>
      <w:tr w:rsidR="00D12268" w:rsidRPr="00F77E8D" w14:paraId="3DD6C3C9" w14:textId="77777777" w:rsidTr="00E3175C">
        <w:tc>
          <w:tcPr>
            <w:tcW w:w="1429" w:type="pct"/>
          </w:tcPr>
          <w:p w14:paraId="0EAA08CA" w14:textId="77777777" w:rsidR="00D12268" w:rsidRPr="003816D8" w:rsidRDefault="00D12268" w:rsidP="00556AB6">
            <w:pPr>
              <w:pStyle w:val="Tabletext1"/>
              <w:rPr>
                <w:snapToGrid w:val="0"/>
                <w:lang w:eastAsia="en-US"/>
              </w:rPr>
            </w:pPr>
            <w:r w:rsidRPr="00E718DB">
              <w:t>Cost of specialist visits in grade 3 or more acute toxicity</w:t>
            </w:r>
          </w:p>
        </w:tc>
        <w:tc>
          <w:tcPr>
            <w:tcW w:w="843" w:type="pct"/>
            <w:vAlign w:val="center"/>
          </w:tcPr>
          <w:p w14:paraId="2C1FE129" w14:textId="77777777" w:rsidR="00D12268" w:rsidRPr="003816D8" w:rsidRDefault="00D12268" w:rsidP="006D1459">
            <w:pPr>
              <w:pStyle w:val="Tabletext1"/>
              <w:jc w:val="center"/>
              <w:rPr>
                <w:snapToGrid w:val="0"/>
                <w:lang w:eastAsia="en-US"/>
              </w:rPr>
            </w:pPr>
            <w:r w:rsidRPr="003816D8">
              <w:rPr>
                <w:snapToGrid w:val="0"/>
                <w:lang w:eastAsia="en-US"/>
              </w:rPr>
              <w:t>3</w:t>
            </w:r>
          </w:p>
        </w:tc>
        <w:tc>
          <w:tcPr>
            <w:tcW w:w="716" w:type="pct"/>
            <w:vAlign w:val="center"/>
          </w:tcPr>
          <w:p w14:paraId="5E0DA913" w14:textId="77777777" w:rsidR="00D12268" w:rsidRPr="003816D8" w:rsidRDefault="00D12268" w:rsidP="006D1459">
            <w:pPr>
              <w:pStyle w:val="Tabletext1"/>
              <w:jc w:val="center"/>
            </w:pPr>
            <w:r>
              <w:t>$45.00</w:t>
            </w:r>
          </w:p>
        </w:tc>
        <w:tc>
          <w:tcPr>
            <w:tcW w:w="1182" w:type="pct"/>
            <w:vAlign w:val="center"/>
          </w:tcPr>
          <w:p w14:paraId="4D1C2D2C" w14:textId="77777777" w:rsidR="00D12268" w:rsidRPr="003816D8" w:rsidRDefault="00D12268" w:rsidP="006D1459">
            <w:pPr>
              <w:pStyle w:val="Tabletext1"/>
              <w:jc w:val="center"/>
              <w:rPr>
                <w:rFonts w:cs="Calibri"/>
              </w:rPr>
            </w:pPr>
            <w:r w:rsidRPr="003816D8">
              <w:rPr>
                <w:snapToGrid w:val="0"/>
                <w:lang w:eastAsia="en-US"/>
              </w:rPr>
              <w:t>105 (85% MBS)</w:t>
            </w:r>
          </w:p>
        </w:tc>
        <w:tc>
          <w:tcPr>
            <w:tcW w:w="830" w:type="pct"/>
            <w:vAlign w:val="center"/>
          </w:tcPr>
          <w:p w14:paraId="4CFDC0B5" w14:textId="77777777" w:rsidR="00D12268" w:rsidRPr="003816D8" w:rsidRDefault="00D12268" w:rsidP="006D1459">
            <w:pPr>
              <w:pStyle w:val="Tabletext1"/>
              <w:jc w:val="center"/>
              <w:rPr>
                <w:snapToGrid w:val="0"/>
                <w:lang w:eastAsia="en-US"/>
              </w:rPr>
            </w:pPr>
            <w:r>
              <w:rPr>
                <w:snapToGrid w:val="0"/>
                <w:lang w:eastAsia="en-US"/>
              </w:rPr>
              <w:t>$135.00</w:t>
            </w:r>
          </w:p>
        </w:tc>
      </w:tr>
      <w:tr w:rsidR="00D12268" w:rsidRPr="00F77E8D" w14:paraId="0D277731" w14:textId="77777777" w:rsidTr="00E3175C">
        <w:tc>
          <w:tcPr>
            <w:tcW w:w="1429" w:type="pct"/>
          </w:tcPr>
          <w:p w14:paraId="7321BC4D" w14:textId="77777777" w:rsidR="00D12268" w:rsidRPr="003816D8" w:rsidRDefault="00D12268" w:rsidP="00556AB6">
            <w:pPr>
              <w:pStyle w:val="Tabletext1"/>
              <w:rPr>
                <w:snapToGrid w:val="0"/>
                <w:lang w:eastAsia="en-US"/>
              </w:rPr>
            </w:pPr>
            <w:r w:rsidRPr="00E718DB">
              <w:t xml:space="preserve">Cost of Ural sachets in acute </w:t>
            </w:r>
            <w:r w:rsidRPr="00673F0A">
              <w:rPr>
                <w:snapToGrid w:val="0"/>
                <w:lang w:eastAsia="en-US"/>
              </w:rPr>
              <w:t>toxicity</w:t>
            </w:r>
            <w:r w:rsidRPr="00E718DB">
              <w:t xml:space="preserve"> grade 3 and more</w:t>
            </w:r>
          </w:p>
        </w:tc>
        <w:tc>
          <w:tcPr>
            <w:tcW w:w="843" w:type="pct"/>
            <w:vAlign w:val="center"/>
          </w:tcPr>
          <w:p w14:paraId="7041BE58" w14:textId="77777777" w:rsidR="00D12268" w:rsidRPr="003816D8" w:rsidRDefault="00D12268" w:rsidP="006D1459">
            <w:pPr>
              <w:pStyle w:val="Tabletext1"/>
              <w:jc w:val="center"/>
              <w:rPr>
                <w:snapToGrid w:val="0"/>
                <w:lang w:eastAsia="en-US"/>
              </w:rPr>
            </w:pPr>
            <w:r w:rsidRPr="003816D8">
              <w:rPr>
                <w:snapToGrid w:val="0"/>
                <w:lang w:eastAsia="en-US"/>
              </w:rPr>
              <w:t>10</w:t>
            </w:r>
          </w:p>
        </w:tc>
        <w:tc>
          <w:tcPr>
            <w:tcW w:w="716" w:type="pct"/>
            <w:vAlign w:val="center"/>
          </w:tcPr>
          <w:p w14:paraId="25303739" w14:textId="77777777" w:rsidR="00D12268" w:rsidRPr="003816D8" w:rsidRDefault="00D12268" w:rsidP="006D1459">
            <w:pPr>
              <w:pStyle w:val="Tabletext1"/>
              <w:jc w:val="center"/>
            </w:pPr>
            <w:r>
              <w:t>$18.22</w:t>
            </w:r>
          </w:p>
        </w:tc>
        <w:tc>
          <w:tcPr>
            <w:tcW w:w="1182" w:type="pct"/>
            <w:vAlign w:val="center"/>
          </w:tcPr>
          <w:p w14:paraId="45C345EC" w14:textId="77777777" w:rsidR="00D12268" w:rsidRPr="003816D8" w:rsidRDefault="00D12268" w:rsidP="006D1459">
            <w:pPr>
              <w:pStyle w:val="Tabletext1"/>
              <w:jc w:val="center"/>
              <w:rPr>
                <w:rFonts w:cs="Calibri"/>
              </w:rPr>
            </w:pPr>
            <w:r w:rsidRPr="003816D8">
              <w:rPr>
                <w:snapToGrid w:val="0"/>
                <w:lang w:eastAsia="en-US"/>
              </w:rPr>
              <w:t>4049D (PBS)</w:t>
            </w:r>
          </w:p>
        </w:tc>
        <w:tc>
          <w:tcPr>
            <w:tcW w:w="830" w:type="pct"/>
            <w:vAlign w:val="center"/>
          </w:tcPr>
          <w:p w14:paraId="6F5E3BC2" w14:textId="77777777" w:rsidR="00D12268" w:rsidRPr="003816D8" w:rsidRDefault="00D12268" w:rsidP="006D1459">
            <w:pPr>
              <w:pStyle w:val="Tabletext1"/>
              <w:jc w:val="center"/>
              <w:rPr>
                <w:snapToGrid w:val="0"/>
                <w:lang w:eastAsia="en-US"/>
              </w:rPr>
            </w:pPr>
            <w:r>
              <w:rPr>
                <w:snapToGrid w:val="0"/>
                <w:lang w:eastAsia="en-US"/>
              </w:rPr>
              <w:t>$182.20</w:t>
            </w:r>
          </w:p>
        </w:tc>
      </w:tr>
      <w:tr w:rsidR="00D12268" w:rsidRPr="00F77E8D" w14:paraId="0E7F3F87" w14:textId="77777777" w:rsidTr="00E3175C">
        <w:tc>
          <w:tcPr>
            <w:tcW w:w="1429" w:type="pct"/>
          </w:tcPr>
          <w:p w14:paraId="3E145410" w14:textId="77777777" w:rsidR="00D12268" w:rsidRPr="003816D8" w:rsidRDefault="00D12268" w:rsidP="00556AB6">
            <w:pPr>
              <w:pStyle w:val="Tabletext1"/>
              <w:rPr>
                <w:snapToGrid w:val="0"/>
                <w:lang w:eastAsia="en-US"/>
              </w:rPr>
            </w:pPr>
            <w:r w:rsidRPr="00E718DB">
              <w:t>Cost of urine flow study in acute toxicity grade 3 or more</w:t>
            </w:r>
          </w:p>
        </w:tc>
        <w:tc>
          <w:tcPr>
            <w:tcW w:w="843" w:type="pct"/>
            <w:vAlign w:val="center"/>
          </w:tcPr>
          <w:p w14:paraId="2CE9CBAC" w14:textId="77777777" w:rsidR="00D12268" w:rsidRPr="003816D8" w:rsidRDefault="00D12268" w:rsidP="006D1459">
            <w:pPr>
              <w:pStyle w:val="Tabletext1"/>
              <w:jc w:val="center"/>
              <w:rPr>
                <w:snapToGrid w:val="0"/>
                <w:lang w:eastAsia="en-US"/>
              </w:rPr>
            </w:pPr>
            <w:r w:rsidRPr="003816D8">
              <w:rPr>
                <w:snapToGrid w:val="0"/>
                <w:lang w:eastAsia="en-US"/>
              </w:rPr>
              <w:t>1</w:t>
            </w:r>
          </w:p>
        </w:tc>
        <w:tc>
          <w:tcPr>
            <w:tcW w:w="716" w:type="pct"/>
            <w:vAlign w:val="center"/>
          </w:tcPr>
          <w:p w14:paraId="20374181" w14:textId="77777777" w:rsidR="00D12268" w:rsidRPr="003816D8" w:rsidRDefault="00D12268" w:rsidP="006D1459">
            <w:pPr>
              <w:pStyle w:val="Tabletext1"/>
              <w:jc w:val="center"/>
            </w:pPr>
            <w:r>
              <w:t>$24.15</w:t>
            </w:r>
          </w:p>
        </w:tc>
        <w:tc>
          <w:tcPr>
            <w:tcW w:w="1182" w:type="pct"/>
            <w:vAlign w:val="center"/>
          </w:tcPr>
          <w:p w14:paraId="02D8B84D" w14:textId="77777777" w:rsidR="00D12268" w:rsidRPr="003816D8" w:rsidRDefault="00D12268" w:rsidP="006D1459">
            <w:pPr>
              <w:pStyle w:val="Tabletext1"/>
              <w:jc w:val="center"/>
              <w:rPr>
                <w:rFonts w:cs="Calibri"/>
              </w:rPr>
            </w:pPr>
            <w:r w:rsidRPr="003816D8">
              <w:rPr>
                <w:snapToGrid w:val="0"/>
                <w:lang w:eastAsia="en-US"/>
              </w:rPr>
              <w:t>11900 (85% MBS)</w:t>
            </w:r>
          </w:p>
        </w:tc>
        <w:tc>
          <w:tcPr>
            <w:tcW w:w="830" w:type="pct"/>
            <w:vAlign w:val="center"/>
          </w:tcPr>
          <w:p w14:paraId="4F230B8F" w14:textId="77777777" w:rsidR="00D12268" w:rsidRPr="003816D8" w:rsidRDefault="00D12268" w:rsidP="006D1459">
            <w:pPr>
              <w:pStyle w:val="Tabletext1"/>
              <w:jc w:val="center"/>
              <w:rPr>
                <w:snapToGrid w:val="0"/>
                <w:lang w:eastAsia="en-US"/>
              </w:rPr>
            </w:pPr>
            <w:r>
              <w:rPr>
                <w:snapToGrid w:val="0"/>
                <w:lang w:eastAsia="en-US"/>
              </w:rPr>
              <w:t>$24.15</w:t>
            </w:r>
          </w:p>
        </w:tc>
      </w:tr>
      <w:tr w:rsidR="00D12268" w:rsidRPr="00F77E8D" w14:paraId="50CECC8E" w14:textId="77777777" w:rsidTr="00E3175C">
        <w:tc>
          <w:tcPr>
            <w:tcW w:w="1429" w:type="pct"/>
          </w:tcPr>
          <w:p w14:paraId="392B3BDB" w14:textId="77777777" w:rsidR="00D12268" w:rsidRPr="003816D8" w:rsidRDefault="00D12268" w:rsidP="00556AB6">
            <w:pPr>
              <w:pStyle w:val="Tabletext1"/>
              <w:rPr>
                <w:b/>
                <w:snapToGrid w:val="0"/>
                <w:lang w:eastAsia="en-US"/>
              </w:rPr>
            </w:pPr>
            <w:r>
              <w:rPr>
                <w:b/>
                <w:snapToGrid w:val="0"/>
                <w:lang w:eastAsia="en-US"/>
              </w:rPr>
              <w:t>Late GI toxicity grade 2</w:t>
            </w:r>
          </w:p>
        </w:tc>
        <w:tc>
          <w:tcPr>
            <w:tcW w:w="843" w:type="pct"/>
            <w:vAlign w:val="center"/>
          </w:tcPr>
          <w:p w14:paraId="4AA4069E" w14:textId="77777777" w:rsidR="00D12268" w:rsidRPr="003816D8" w:rsidRDefault="00D12268" w:rsidP="006D1459">
            <w:pPr>
              <w:pStyle w:val="Tabletext1"/>
              <w:jc w:val="center"/>
              <w:rPr>
                <w:b/>
                <w:snapToGrid w:val="0"/>
                <w:lang w:eastAsia="en-US"/>
              </w:rPr>
            </w:pPr>
          </w:p>
        </w:tc>
        <w:tc>
          <w:tcPr>
            <w:tcW w:w="716" w:type="pct"/>
            <w:vAlign w:val="center"/>
          </w:tcPr>
          <w:p w14:paraId="119EAEDF" w14:textId="77777777" w:rsidR="00D12268" w:rsidRPr="003816D8" w:rsidRDefault="00D12268" w:rsidP="006D1459">
            <w:pPr>
              <w:pStyle w:val="Tabletext1"/>
              <w:jc w:val="center"/>
              <w:rPr>
                <w:b/>
              </w:rPr>
            </w:pPr>
          </w:p>
        </w:tc>
        <w:tc>
          <w:tcPr>
            <w:tcW w:w="1182" w:type="pct"/>
            <w:vAlign w:val="center"/>
          </w:tcPr>
          <w:p w14:paraId="0FA761D4" w14:textId="77777777" w:rsidR="00D12268" w:rsidRPr="003816D8" w:rsidRDefault="00D12268" w:rsidP="006D1459">
            <w:pPr>
              <w:pStyle w:val="Tabletext1"/>
              <w:jc w:val="center"/>
              <w:rPr>
                <w:rFonts w:cs="Calibri"/>
                <w:b/>
              </w:rPr>
            </w:pPr>
          </w:p>
        </w:tc>
        <w:tc>
          <w:tcPr>
            <w:tcW w:w="830" w:type="pct"/>
            <w:vAlign w:val="center"/>
          </w:tcPr>
          <w:p w14:paraId="2360BA10" w14:textId="77777777" w:rsidR="00D12268" w:rsidRPr="003816D8" w:rsidRDefault="00D12268" w:rsidP="006D1459">
            <w:pPr>
              <w:pStyle w:val="Tabletext1"/>
              <w:jc w:val="center"/>
              <w:rPr>
                <w:rFonts w:cs="Calibri"/>
                <w:b/>
              </w:rPr>
            </w:pPr>
            <w:r>
              <w:rPr>
                <w:rFonts w:cs="Calibri"/>
                <w:b/>
              </w:rPr>
              <w:t>$819.67</w:t>
            </w:r>
          </w:p>
        </w:tc>
      </w:tr>
      <w:tr w:rsidR="00D12268" w:rsidRPr="00F77E8D" w14:paraId="689D270D" w14:textId="77777777" w:rsidTr="00E3175C">
        <w:tc>
          <w:tcPr>
            <w:tcW w:w="1429" w:type="pct"/>
          </w:tcPr>
          <w:p w14:paraId="288A4E23" w14:textId="77777777" w:rsidR="00D12268" w:rsidRPr="00673F0A" w:rsidRDefault="00D12268" w:rsidP="00556AB6">
            <w:pPr>
              <w:pStyle w:val="Tabletext1"/>
              <w:rPr>
                <w:b/>
                <w:snapToGrid w:val="0"/>
                <w:lang w:eastAsia="en-US"/>
              </w:rPr>
            </w:pPr>
            <w:r w:rsidRPr="00673F0A">
              <w:rPr>
                <w:b/>
                <w:snapToGrid w:val="0"/>
                <w:lang w:eastAsia="en-US"/>
              </w:rPr>
              <w:t>Diarrhea</w:t>
            </w:r>
          </w:p>
        </w:tc>
        <w:tc>
          <w:tcPr>
            <w:tcW w:w="843" w:type="pct"/>
            <w:vAlign w:val="center"/>
          </w:tcPr>
          <w:p w14:paraId="5CE4536E" w14:textId="77777777" w:rsidR="00D12268" w:rsidRPr="003816D8" w:rsidRDefault="00D12268" w:rsidP="006D1459">
            <w:pPr>
              <w:pStyle w:val="Tabletext1"/>
              <w:jc w:val="center"/>
              <w:rPr>
                <w:snapToGrid w:val="0"/>
                <w:lang w:eastAsia="en-US"/>
              </w:rPr>
            </w:pPr>
          </w:p>
        </w:tc>
        <w:tc>
          <w:tcPr>
            <w:tcW w:w="716" w:type="pct"/>
            <w:vAlign w:val="center"/>
          </w:tcPr>
          <w:p w14:paraId="3E617E13" w14:textId="77777777" w:rsidR="00D12268" w:rsidRPr="003816D8" w:rsidRDefault="00D12268" w:rsidP="006D1459">
            <w:pPr>
              <w:pStyle w:val="Tabletext1"/>
              <w:jc w:val="center"/>
            </w:pPr>
          </w:p>
        </w:tc>
        <w:tc>
          <w:tcPr>
            <w:tcW w:w="1182" w:type="pct"/>
            <w:vAlign w:val="center"/>
          </w:tcPr>
          <w:p w14:paraId="3D2E73F2" w14:textId="77777777" w:rsidR="00D12268" w:rsidRPr="003816D8" w:rsidRDefault="00D12268" w:rsidP="006D1459">
            <w:pPr>
              <w:pStyle w:val="Tabletext1"/>
              <w:jc w:val="center"/>
              <w:rPr>
                <w:rFonts w:cs="Calibri"/>
              </w:rPr>
            </w:pPr>
          </w:p>
        </w:tc>
        <w:tc>
          <w:tcPr>
            <w:tcW w:w="830" w:type="pct"/>
            <w:vAlign w:val="center"/>
          </w:tcPr>
          <w:p w14:paraId="3A22EAF9" w14:textId="77777777" w:rsidR="00D12268" w:rsidRPr="00673F0A" w:rsidRDefault="00D12268" w:rsidP="006D1459">
            <w:pPr>
              <w:pStyle w:val="Tabletext1"/>
              <w:jc w:val="center"/>
              <w:rPr>
                <w:rFonts w:cs="Calibri"/>
                <w:b/>
              </w:rPr>
            </w:pPr>
            <w:r w:rsidRPr="00673F0A">
              <w:rPr>
                <w:rFonts w:cs="Calibri"/>
                <w:b/>
              </w:rPr>
              <w:t>$1,201.31</w:t>
            </w:r>
          </w:p>
        </w:tc>
      </w:tr>
      <w:tr w:rsidR="00D12268" w:rsidRPr="00F77E8D" w14:paraId="0645E110" w14:textId="77777777" w:rsidTr="00E3175C">
        <w:tc>
          <w:tcPr>
            <w:tcW w:w="1429" w:type="pct"/>
          </w:tcPr>
          <w:p w14:paraId="6FEFFA55" w14:textId="77777777" w:rsidR="00D12268" w:rsidRPr="003816D8" w:rsidRDefault="00D12268" w:rsidP="00556AB6">
            <w:pPr>
              <w:pStyle w:val="Tabletext1"/>
              <w:rPr>
                <w:snapToGrid w:val="0"/>
                <w:lang w:eastAsia="en-US"/>
              </w:rPr>
            </w:pPr>
            <w:r w:rsidRPr="00F65274">
              <w:t>Cost of outpatient visit - GP</w:t>
            </w:r>
          </w:p>
        </w:tc>
        <w:tc>
          <w:tcPr>
            <w:tcW w:w="843" w:type="pct"/>
            <w:vAlign w:val="center"/>
          </w:tcPr>
          <w:p w14:paraId="64637C33" w14:textId="77777777" w:rsidR="00D12268" w:rsidRPr="003816D8" w:rsidRDefault="00D12268" w:rsidP="006D1459">
            <w:pPr>
              <w:pStyle w:val="Tabletext1"/>
              <w:jc w:val="center"/>
              <w:rPr>
                <w:snapToGrid w:val="0"/>
                <w:lang w:eastAsia="en-US"/>
              </w:rPr>
            </w:pPr>
            <w:r w:rsidRPr="004D414A">
              <w:t>3</w:t>
            </w:r>
          </w:p>
        </w:tc>
        <w:tc>
          <w:tcPr>
            <w:tcW w:w="716" w:type="pct"/>
            <w:vAlign w:val="center"/>
          </w:tcPr>
          <w:p w14:paraId="57A08AF7" w14:textId="4E1EB450" w:rsidR="00D12268" w:rsidRPr="003816D8" w:rsidRDefault="00D12268" w:rsidP="006D1459">
            <w:pPr>
              <w:pStyle w:val="Tabletext1"/>
              <w:jc w:val="center"/>
            </w:pPr>
            <w:r w:rsidRPr="00D817B9">
              <w:t>$38.75</w:t>
            </w:r>
          </w:p>
        </w:tc>
        <w:tc>
          <w:tcPr>
            <w:tcW w:w="1182" w:type="pct"/>
            <w:vAlign w:val="center"/>
          </w:tcPr>
          <w:p w14:paraId="450008C9" w14:textId="77777777" w:rsidR="00D12268" w:rsidRPr="003816D8" w:rsidRDefault="00D12268" w:rsidP="006D1459">
            <w:pPr>
              <w:pStyle w:val="Tabletext1"/>
              <w:jc w:val="center"/>
              <w:rPr>
                <w:rFonts w:cs="Calibri"/>
              </w:rPr>
            </w:pPr>
            <w:r w:rsidRPr="000F0E31">
              <w:t>23</w:t>
            </w:r>
          </w:p>
        </w:tc>
        <w:tc>
          <w:tcPr>
            <w:tcW w:w="830" w:type="pct"/>
            <w:vAlign w:val="center"/>
          </w:tcPr>
          <w:p w14:paraId="2D5DE5CE" w14:textId="70D2F7C2" w:rsidR="00D12268" w:rsidRPr="003816D8" w:rsidRDefault="00D12268" w:rsidP="006D1459">
            <w:pPr>
              <w:pStyle w:val="Tabletext1"/>
              <w:jc w:val="center"/>
              <w:rPr>
                <w:rFonts w:cs="Calibri"/>
              </w:rPr>
            </w:pPr>
            <w:r w:rsidRPr="001870EA">
              <w:t>$116.25</w:t>
            </w:r>
          </w:p>
        </w:tc>
      </w:tr>
      <w:tr w:rsidR="00D12268" w:rsidRPr="00F77E8D" w14:paraId="0F121861" w14:textId="77777777" w:rsidTr="00E3175C">
        <w:tc>
          <w:tcPr>
            <w:tcW w:w="1429" w:type="pct"/>
          </w:tcPr>
          <w:p w14:paraId="41D7D264" w14:textId="77777777" w:rsidR="00D12268" w:rsidRPr="003816D8" w:rsidRDefault="00D12268" w:rsidP="00556AB6">
            <w:pPr>
              <w:pStyle w:val="Tabletext1"/>
              <w:rPr>
                <w:snapToGrid w:val="0"/>
                <w:lang w:eastAsia="en-US"/>
              </w:rPr>
            </w:pPr>
            <w:r w:rsidRPr="00F65274">
              <w:t xml:space="preserve">Cost of outpatient visit - specialist </w:t>
            </w:r>
          </w:p>
        </w:tc>
        <w:tc>
          <w:tcPr>
            <w:tcW w:w="843" w:type="pct"/>
            <w:vAlign w:val="center"/>
          </w:tcPr>
          <w:p w14:paraId="0FAF2D48" w14:textId="77777777" w:rsidR="00D12268" w:rsidRPr="003816D8" w:rsidRDefault="00D12268" w:rsidP="006D1459">
            <w:pPr>
              <w:pStyle w:val="Tabletext1"/>
              <w:jc w:val="center"/>
              <w:rPr>
                <w:snapToGrid w:val="0"/>
                <w:lang w:eastAsia="en-US"/>
              </w:rPr>
            </w:pPr>
            <w:r w:rsidRPr="004D414A">
              <w:t>3</w:t>
            </w:r>
          </w:p>
        </w:tc>
        <w:tc>
          <w:tcPr>
            <w:tcW w:w="716" w:type="pct"/>
            <w:vAlign w:val="center"/>
          </w:tcPr>
          <w:p w14:paraId="4E68ECA9" w14:textId="5617A999" w:rsidR="00D12268" w:rsidRPr="003816D8" w:rsidRDefault="00D12268" w:rsidP="006D1459">
            <w:pPr>
              <w:pStyle w:val="Tabletext1"/>
              <w:jc w:val="center"/>
            </w:pPr>
            <w:r w:rsidRPr="00D817B9">
              <w:t>$45.00</w:t>
            </w:r>
          </w:p>
        </w:tc>
        <w:tc>
          <w:tcPr>
            <w:tcW w:w="1182" w:type="pct"/>
            <w:vAlign w:val="center"/>
          </w:tcPr>
          <w:p w14:paraId="2A4BF081" w14:textId="77777777" w:rsidR="00D12268" w:rsidRPr="003816D8" w:rsidRDefault="00D12268" w:rsidP="006D1459">
            <w:pPr>
              <w:pStyle w:val="Tabletext1"/>
              <w:jc w:val="center"/>
              <w:rPr>
                <w:rFonts w:cs="Calibri"/>
              </w:rPr>
            </w:pPr>
            <w:r w:rsidRPr="000F0E31">
              <w:t>105</w:t>
            </w:r>
          </w:p>
        </w:tc>
        <w:tc>
          <w:tcPr>
            <w:tcW w:w="830" w:type="pct"/>
            <w:vAlign w:val="center"/>
          </w:tcPr>
          <w:p w14:paraId="3E5647ED" w14:textId="6D1067A3" w:rsidR="00D12268" w:rsidRPr="003816D8" w:rsidRDefault="00D12268" w:rsidP="006D1459">
            <w:pPr>
              <w:pStyle w:val="Tabletext1"/>
              <w:jc w:val="center"/>
              <w:rPr>
                <w:rFonts w:cs="Calibri"/>
              </w:rPr>
            </w:pPr>
            <w:r w:rsidRPr="001870EA">
              <w:t>$135.00</w:t>
            </w:r>
          </w:p>
        </w:tc>
      </w:tr>
      <w:tr w:rsidR="00D12268" w:rsidRPr="00F77E8D" w14:paraId="29A7E54B" w14:textId="77777777" w:rsidTr="00E3175C">
        <w:tc>
          <w:tcPr>
            <w:tcW w:w="1429" w:type="pct"/>
          </w:tcPr>
          <w:p w14:paraId="443E0D71" w14:textId="77777777" w:rsidR="00D12268" w:rsidRPr="003816D8" w:rsidRDefault="00D12268" w:rsidP="00556AB6">
            <w:pPr>
              <w:pStyle w:val="Tabletext1"/>
              <w:rPr>
                <w:snapToGrid w:val="0"/>
                <w:lang w:eastAsia="en-US"/>
              </w:rPr>
            </w:pPr>
            <w:r w:rsidRPr="00F65274">
              <w:t xml:space="preserve">Cost of Loperamide </w:t>
            </w:r>
          </w:p>
        </w:tc>
        <w:tc>
          <w:tcPr>
            <w:tcW w:w="843" w:type="pct"/>
            <w:vAlign w:val="center"/>
          </w:tcPr>
          <w:p w14:paraId="1B96777A" w14:textId="77777777" w:rsidR="00D12268" w:rsidRPr="003816D8" w:rsidRDefault="00D12268" w:rsidP="006D1459">
            <w:pPr>
              <w:pStyle w:val="Tabletext1"/>
              <w:jc w:val="center"/>
              <w:rPr>
                <w:snapToGrid w:val="0"/>
                <w:lang w:eastAsia="en-US"/>
              </w:rPr>
            </w:pPr>
            <w:r w:rsidRPr="004D414A">
              <w:t>20.00</w:t>
            </w:r>
          </w:p>
        </w:tc>
        <w:tc>
          <w:tcPr>
            <w:tcW w:w="716" w:type="pct"/>
            <w:vAlign w:val="center"/>
          </w:tcPr>
          <w:p w14:paraId="76724B79" w14:textId="1C427908" w:rsidR="00D12268" w:rsidRPr="003816D8" w:rsidRDefault="00D12268" w:rsidP="006D1459">
            <w:pPr>
              <w:pStyle w:val="Tabletext1"/>
              <w:jc w:val="center"/>
            </w:pPr>
            <w:r w:rsidRPr="00D817B9">
              <w:t>$13.51</w:t>
            </w:r>
          </w:p>
        </w:tc>
        <w:tc>
          <w:tcPr>
            <w:tcW w:w="1182" w:type="pct"/>
            <w:vAlign w:val="center"/>
          </w:tcPr>
          <w:p w14:paraId="19C65E17" w14:textId="77777777" w:rsidR="00D12268" w:rsidRPr="003816D8" w:rsidRDefault="00D12268" w:rsidP="006D1459">
            <w:pPr>
              <w:pStyle w:val="Tabletext1"/>
              <w:jc w:val="center"/>
              <w:rPr>
                <w:rFonts w:cs="Calibri"/>
              </w:rPr>
            </w:pPr>
            <w:r w:rsidRPr="000F0E31">
              <w:t>10592L</w:t>
            </w:r>
          </w:p>
        </w:tc>
        <w:tc>
          <w:tcPr>
            <w:tcW w:w="830" w:type="pct"/>
            <w:vAlign w:val="center"/>
          </w:tcPr>
          <w:p w14:paraId="6A145904" w14:textId="0D5B878A" w:rsidR="00D12268" w:rsidRPr="003816D8" w:rsidRDefault="00D12268" w:rsidP="006D1459">
            <w:pPr>
              <w:pStyle w:val="Tabletext1"/>
              <w:jc w:val="center"/>
              <w:rPr>
                <w:snapToGrid w:val="0"/>
                <w:lang w:eastAsia="en-US"/>
              </w:rPr>
            </w:pPr>
            <w:r w:rsidRPr="001870EA">
              <w:t>$493.12</w:t>
            </w:r>
          </w:p>
        </w:tc>
      </w:tr>
      <w:tr w:rsidR="00D12268" w:rsidRPr="00F77E8D" w14:paraId="73480358" w14:textId="77777777" w:rsidTr="00E3175C">
        <w:tc>
          <w:tcPr>
            <w:tcW w:w="1429" w:type="pct"/>
          </w:tcPr>
          <w:p w14:paraId="291424DF" w14:textId="77777777" w:rsidR="00D12268" w:rsidRPr="003816D8" w:rsidRDefault="00D12268" w:rsidP="00556AB6">
            <w:pPr>
              <w:pStyle w:val="Tabletext1"/>
              <w:rPr>
                <w:snapToGrid w:val="0"/>
                <w:lang w:eastAsia="en-US"/>
              </w:rPr>
            </w:pPr>
            <w:r w:rsidRPr="00F65274">
              <w:t>Cost of Magnesium</w:t>
            </w:r>
          </w:p>
        </w:tc>
        <w:tc>
          <w:tcPr>
            <w:tcW w:w="843" w:type="pct"/>
            <w:vAlign w:val="center"/>
          </w:tcPr>
          <w:p w14:paraId="04D74273" w14:textId="77777777" w:rsidR="00D12268" w:rsidRPr="003816D8" w:rsidRDefault="00D12268" w:rsidP="006D1459">
            <w:pPr>
              <w:pStyle w:val="Tabletext1"/>
              <w:jc w:val="center"/>
              <w:rPr>
                <w:snapToGrid w:val="0"/>
                <w:lang w:eastAsia="en-US"/>
              </w:rPr>
            </w:pPr>
            <w:r w:rsidRPr="004D414A">
              <w:t>50</w:t>
            </w:r>
          </w:p>
        </w:tc>
        <w:tc>
          <w:tcPr>
            <w:tcW w:w="716" w:type="pct"/>
            <w:vAlign w:val="center"/>
          </w:tcPr>
          <w:p w14:paraId="511CFB89" w14:textId="340FC463" w:rsidR="00D12268" w:rsidRPr="003816D8" w:rsidRDefault="00D12268" w:rsidP="006D1459">
            <w:pPr>
              <w:pStyle w:val="Tabletext1"/>
              <w:jc w:val="center"/>
            </w:pPr>
            <w:r w:rsidRPr="00D817B9">
              <w:t>$18.04</w:t>
            </w:r>
          </w:p>
        </w:tc>
        <w:tc>
          <w:tcPr>
            <w:tcW w:w="1182" w:type="pct"/>
            <w:vAlign w:val="center"/>
          </w:tcPr>
          <w:p w14:paraId="5FEA94BA" w14:textId="77777777" w:rsidR="00D12268" w:rsidRPr="003816D8" w:rsidRDefault="00D12268" w:rsidP="006D1459">
            <w:pPr>
              <w:pStyle w:val="Tabletext1"/>
              <w:jc w:val="center"/>
              <w:rPr>
                <w:rFonts w:cs="Calibri"/>
              </w:rPr>
            </w:pPr>
            <w:r w:rsidRPr="000F0E31">
              <w:t>4321K</w:t>
            </w:r>
          </w:p>
        </w:tc>
        <w:tc>
          <w:tcPr>
            <w:tcW w:w="830" w:type="pct"/>
            <w:vAlign w:val="center"/>
          </w:tcPr>
          <w:p w14:paraId="45589B3B" w14:textId="4EA85A42" w:rsidR="00D12268" w:rsidRPr="003816D8" w:rsidRDefault="00D12268" w:rsidP="006D1459">
            <w:pPr>
              <w:pStyle w:val="Tabletext1"/>
              <w:jc w:val="center"/>
              <w:rPr>
                <w:snapToGrid w:val="0"/>
                <w:lang w:eastAsia="en-US"/>
              </w:rPr>
            </w:pPr>
            <w:r w:rsidRPr="001870EA">
              <w:t>$131.69</w:t>
            </w:r>
          </w:p>
        </w:tc>
      </w:tr>
      <w:tr w:rsidR="00D12268" w:rsidRPr="00F77E8D" w14:paraId="17658CC9" w14:textId="77777777" w:rsidTr="00E3175C">
        <w:tc>
          <w:tcPr>
            <w:tcW w:w="1429" w:type="pct"/>
          </w:tcPr>
          <w:p w14:paraId="2CB529CD" w14:textId="77777777" w:rsidR="00D12268" w:rsidRPr="003816D8" w:rsidRDefault="00D12268" w:rsidP="00556AB6">
            <w:pPr>
              <w:pStyle w:val="Tabletext1"/>
              <w:rPr>
                <w:snapToGrid w:val="0"/>
                <w:lang w:eastAsia="en-US"/>
              </w:rPr>
            </w:pPr>
            <w:r w:rsidRPr="00F65274">
              <w:t>Cost of Psyllium powder</w:t>
            </w:r>
          </w:p>
        </w:tc>
        <w:tc>
          <w:tcPr>
            <w:tcW w:w="843" w:type="pct"/>
            <w:vAlign w:val="center"/>
          </w:tcPr>
          <w:p w14:paraId="3D11676D" w14:textId="77777777" w:rsidR="00D12268" w:rsidRPr="003816D8" w:rsidRDefault="00D12268" w:rsidP="006D1459">
            <w:pPr>
              <w:pStyle w:val="Tabletext1"/>
              <w:jc w:val="center"/>
              <w:rPr>
                <w:snapToGrid w:val="0"/>
                <w:lang w:eastAsia="en-US"/>
              </w:rPr>
            </w:pPr>
            <w:r w:rsidRPr="004D414A">
              <w:t>10</w:t>
            </w:r>
          </w:p>
        </w:tc>
        <w:tc>
          <w:tcPr>
            <w:tcW w:w="716" w:type="pct"/>
            <w:vAlign w:val="center"/>
          </w:tcPr>
          <w:p w14:paraId="5FB9A526" w14:textId="085C313A" w:rsidR="00D12268" w:rsidRPr="003816D8" w:rsidRDefault="00D12268" w:rsidP="006D1459">
            <w:pPr>
              <w:pStyle w:val="Tabletext1"/>
              <w:jc w:val="center"/>
            </w:pPr>
            <w:r w:rsidRPr="00D817B9">
              <w:t>$25.28</w:t>
            </w:r>
          </w:p>
        </w:tc>
        <w:tc>
          <w:tcPr>
            <w:tcW w:w="1182" w:type="pct"/>
            <w:vAlign w:val="center"/>
          </w:tcPr>
          <w:p w14:paraId="700199DD" w14:textId="77777777" w:rsidR="00D12268" w:rsidRPr="003816D8" w:rsidRDefault="00D12268" w:rsidP="006D1459">
            <w:pPr>
              <w:pStyle w:val="Tabletext1"/>
              <w:jc w:val="center"/>
              <w:rPr>
                <w:rFonts w:cs="Calibri"/>
              </w:rPr>
            </w:pPr>
            <w:r w:rsidRPr="000F0E31">
              <w:t>4422R</w:t>
            </w:r>
          </w:p>
        </w:tc>
        <w:tc>
          <w:tcPr>
            <w:tcW w:w="830" w:type="pct"/>
            <w:vAlign w:val="center"/>
          </w:tcPr>
          <w:p w14:paraId="0878A52E" w14:textId="4DFB3D48" w:rsidR="00D12268" w:rsidRPr="003816D8" w:rsidRDefault="00D12268" w:rsidP="006D1459">
            <w:pPr>
              <w:pStyle w:val="Tabletext1"/>
              <w:jc w:val="center"/>
              <w:rPr>
                <w:snapToGrid w:val="0"/>
                <w:lang w:eastAsia="en-US"/>
              </w:rPr>
            </w:pPr>
            <w:r w:rsidRPr="001870EA">
              <w:t>$252.80</w:t>
            </w:r>
          </w:p>
        </w:tc>
      </w:tr>
      <w:tr w:rsidR="00D12268" w:rsidRPr="00F77E8D" w14:paraId="0E08755A" w14:textId="77777777" w:rsidTr="00E3175C">
        <w:tc>
          <w:tcPr>
            <w:tcW w:w="1429" w:type="pct"/>
          </w:tcPr>
          <w:p w14:paraId="2DD6C1E7" w14:textId="77777777" w:rsidR="00D12268" w:rsidRPr="003816D8" w:rsidRDefault="00D12268" w:rsidP="00556AB6">
            <w:pPr>
              <w:pStyle w:val="Tabletext1"/>
              <w:rPr>
                <w:snapToGrid w:val="0"/>
                <w:lang w:eastAsia="en-US"/>
              </w:rPr>
            </w:pPr>
            <w:r w:rsidRPr="00F65274">
              <w:t>Cell blood count test (CBC)</w:t>
            </w:r>
          </w:p>
        </w:tc>
        <w:tc>
          <w:tcPr>
            <w:tcW w:w="843" w:type="pct"/>
            <w:vAlign w:val="center"/>
          </w:tcPr>
          <w:p w14:paraId="22D98E51" w14:textId="77777777" w:rsidR="00D12268" w:rsidRPr="003816D8" w:rsidRDefault="00D12268" w:rsidP="006D1459">
            <w:pPr>
              <w:pStyle w:val="Tabletext1"/>
              <w:jc w:val="center"/>
              <w:rPr>
                <w:snapToGrid w:val="0"/>
                <w:lang w:eastAsia="en-US"/>
              </w:rPr>
            </w:pPr>
            <w:r w:rsidRPr="004D414A">
              <w:t>1</w:t>
            </w:r>
          </w:p>
        </w:tc>
        <w:tc>
          <w:tcPr>
            <w:tcW w:w="716" w:type="pct"/>
            <w:vAlign w:val="center"/>
          </w:tcPr>
          <w:p w14:paraId="0F357346" w14:textId="2EDF7D75" w:rsidR="00D12268" w:rsidRPr="003816D8" w:rsidRDefault="00D12268" w:rsidP="006D1459">
            <w:pPr>
              <w:pStyle w:val="Tabletext1"/>
              <w:jc w:val="center"/>
            </w:pPr>
            <w:r w:rsidRPr="00D817B9">
              <w:t>$14.45</w:t>
            </w:r>
          </w:p>
        </w:tc>
        <w:tc>
          <w:tcPr>
            <w:tcW w:w="1182" w:type="pct"/>
            <w:vAlign w:val="center"/>
          </w:tcPr>
          <w:p w14:paraId="1094009A" w14:textId="77777777" w:rsidR="00D12268" w:rsidRPr="003816D8" w:rsidRDefault="00D12268" w:rsidP="006D1459">
            <w:pPr>
              <w:pStyle w:val="Tabletext1"/>
              <w:jc w:val="center"/>
              <w:rPr>
                <w:rFonts w:cs="Calibri"/>
              </w:rPr>
            </w:pPr>
            <w:r w:rsidRPr="000F0E31">
              <w:t>65070</w:t>
            </w:r>
          </w:p>
        </w:tc>
        <w:tc>
          <w:tcPr>
            <w:tcW w:w="830" w:type="pct"/>
            <w:vAlign w:val="center"/>
          </w:tcPr>
          <w:p w14:paraId="18E7C1F4" w14:textId="03640F55" w:rsidR="00D12268" w:rsidRPr="003816D8" w:rsidRDefault="00D12268" w:rsidP="006D1459">
            <w:pPr>
              <w:pStyle w:val="Tabletext1"/>
              <w:jc w:val="center"/>
              <w:rPr>
                <w:snapToGrid w:val="0"/>
                <w:lang w:eastAsia="en-US"/>
              </w:rPr>
            </w:pPr>
            <w:r w:rsidRPr="001870EA">
              <w:t>$14.45</w:t>
            </w:r>
          </w:p>
        </w:tc>
      </w:tr>
      <w:tr w:rsidR="00D12268" w:rsidRPr="00F77E8D" w14:paraId="0951DE29" w14:textId="77777777" w:rsidTr="00E3175C">
        <w:tc>
          <w:tcPr>
            <w:tcW w:w="1429" w:type="pct"/>
          </w:tcPr>
          <w:p w14:paraId="758AAAA6" w14:textId="77777777" w:rsidR="00D12268" w:rsidRPr="003816D8" w:rsidRDefault="00D12268" w:rsidP="00556AB6">
            <w:pPr>
              <w:pStyle w:val="Tabletext1"/>
              <w:rPr>
                <w:snapToGrid w:val="0"/>
                <w:lang w:eastAsia="en-US"/>
              </w:rPr>
            </w:pPr>
            <w:r w:rsidRPr="00F65274">
              <w:t>Complete Panel test</w:t>
            </w:r>
          </w:p>
        </w:tc>
        <w:tc>
          <w:tcPr>
            <w:tcW w:w="843" w:type="pct"/>
            <w:vAlign w:val="center"/>
          </w:tcPr>
          <w:p w14:paraId="63C1A1E8" w14:textId="77777777" w:rsidR="00D12268" w:rsidRPr="003816D8" w:rsidRDefault="00D12268" w:rsidP="006D1459">
            <w:pPr>
              <w:pStyle w:val="Tabletext1"/>
              <w:jc w:val="center"/>
              <w:rPr>
                <w:snapToGrid w:val="0"/>
                <w:lang w:eastAsia="en-US"/>
              </w:rPr>
            </w:pPr>
            <w:r w:rsidRPr="004D414A">
              <w:t>1</w:t>
            </w:r>
          </w:p>
        </w:tc>
        <w:tc>
          <w:tcPr>
            <w:tcW w:w="716" w:type="pct"/>
            <w:vAlign w:val="center"/>
          </w:tcPr>
          <w:p w14:paraId="166D2803" w14:textId="7244DB1E" w:rsidR="00D12268" w:rsidRPr="003816D8" w:rsidRDefault="00D12268" w:rsidP="006D1459">
            <w:pPr>
              <w:pStyle w:val="Tabletext1"/>
              <w:jc w:val="center"/>
            </w:pPr>
            <w:r w:rsidRPr="00D817B9">
              <w:t>$58.00</w:t>
            </w:r>
          </w:p>
        </w:tc>
        <w:tc>
          <w:tcPr>
            <w:tcW w:w="1182" w:type="pct"/>
            <w:vAlign w:val="center"/>
          </w:tcPr>
          <w:p w14:paraId="74A4AFB0" w14:textId="77777777" w:rsidR="00D12268" w:rsidRPr="00673F0A" w:rsidRDefault="00D12268" w:rsidP="006D1459">
            <w:pPr>
              <w:pStyle w:val="Tabletext1"/>
              <w:jc w:val="center"/>
            </w:pPr>
            <w:r>
              <w:t>-</w:t>
            </w:r>
          </w:p>
        </w:tc>
        <w:tc>
          <w:tcPr>
            <w:tcW w:w="830" w:type="pct"/>
            <w:vAlign w:val="center"/>
          </w:tcPr>
          <w:p w14:paraId="6CF4E068" w14:textId="7AB47C65" w:rsidR="00D12268" w:rsidRPr="003816D8" w:rsidRDefault="00D12268" w:rsidP="006D1459">
            <w:pPr>
              <w:pStyle w:val="Tabletext1"/>
              <w:jc w:val="center"/>
              <w:rPr>
                <w:snapToGrid w:val="0"/>
                <w:lang w:eastAsia="en-US"/>
              </w:rPr>
            </w:pPr>
            <w:r w:rsidRPr="001870EA">
              <w:t>$58.00</w:t>
            </w:r>
          </w:p>
        </w:tc>
      </w:tr>
      <w:tr w:rsidR="00D12268" w:rsidRPr="00F77E8D" w14:paraId="2D421F63" w14:textId="77777777" w:rsidTr="00E3175C">
        <w:tc>
          <w:tcPr>
            <w:tcW w:w="1429" w:type="pct"/>
          </w:tcPr>
          <w:p w14:paraId="24C47F6C" w14:textId="77777777" w:rsidR="00D12268" w:rsidRPr="00793ED2" w:rsidRDefault="00D12268" w:rsidP="00556AB6">
            <w:pPr>
              <w:pStyle w:val="Tabletext1"/>
              <w:rPr>
                <w:b/>
                <w:snapToGrid w:val="0"/>
                <w:lang w:eastAsia="en-US"/>
              </w:rPr>
            </w:pPr>
            <w:r w:rsidRPr="00793ED2">
              <w:rPr>
                <w:b/>
              </w:rPr>
              <w:t>Anal/rectal haemorrhage</w:t>
            </w:r>
          </w:p>
        </w:tc>
        <w:tc>
          <w:tcPr>
            <w:tcW w:w="843" w:type="pct"/>
            <w:vAlign w:val="center"/>
          </w:tcPr>
          <w:p w14:paraId="21591260" w14:textId="77777777" w:rsidR="00D12268" w:rsidRPr="003816D8" w:rsidRDefault="00D12268" w:rsidP="006D1459">
            <w:pPr>
              <w:pStyle w:val="Tabletext1"/>
              <w:jc w:val="center"/>
              <w:rPr>
                <w:snapToGrid w:val="0"/>
                <w:lang w:eastAsia="en-US"/>
              </w:rPr>
            </w:pPr>
          </w:p>
        </w:tc>
        <w:tc>
          <w:tcPr>
            <w:tcW w:w="716" w:type="pct"/>
            <w:vAlign w:val="center"/>
          </w:tcPr>
          <w:p w14:paraId="7122B2EE" w14:textId="77777777" w:rsidR="00D12268" w:rsidRPr="003816D8" w:rsidRDefault="00D12268" w:rsidP="006D1459">
            <w:pPr>
              <w:pStyle w:val="Tabletext1"/>
              <w:jc w:val="center"/>
            </w:pPr>
          </w:p>
        </w:tc>
        <w:tc>
          <w:tcPr>
            <w:tcW w:w="1182" w:type="pct"/>
            <w:vAlign w:val="center"/>
          </w:tcPr>
          <w:p w14:paraId="5B374E4B" w14:textId="77777777" w:rsidR="00D12268" w:rsidRPr="003816D8" w:rsidRDefault="00D12268" w:rsidP="006D1459">
            <w:pPr>
              <w:pStyle w:val="Tabletext1"/>
              <w:jc w:val="center"/>
              <w:rPr>
                <w:rFonts w:cs="Calibri"/>
              </w:rPr>
            </w:pPr>
          </w:p>
        </w:tc>
        <w:tc>
          <w:tcPr>
            <w:tcW w:w="830" w:type="pct"/>
            <w:vAlign w:val="center"/>
          </w:tcPr>
          <w:p w14:paraId="73C37A92" w14:textId="77777777" w:rsidR="00D12268" w:rsidRPr="0046426F" w:rsidRDefault="00D12268" w:rsidP="006D1459">
            <w:pPr>
              <w:pStyle w:val="Tabletext1"/>
              <w:jc w:val="center"/>
              <w:rPr>
                <w:b/>
                <w:snapToGrid w:val="0"/>
                <w:lang w:eastAsia="en-US"/>
              </w:rPr>
            </w:pPr>
            <w:r w:rsidRPr="0046426F">
              <w:rPr>
                <w:b/>
                <w:snapToGrid w:val="0"/>
                <w:lang w:eastAsia="en-US"/>
              </w:rPr>
              <w:t>$421.35</w:t>
            </w:r>
          </w:p>
        </w:tc>
      </w:tr>
      <w:tr w:rsidR="00D12268" w:rsidRPr="00F77E8D" w14:paraId="1074062F" w14:textId="77777777" w:rsidTr="00E3175C">
        <w:tc>
          <w:tcPr>
            <w:tcW w:w="1429" w:type="pct"/>
          </w:tcPr>
          <w:p w14:paraId="5CBAE59D" w14:textId="77777777" w:rsidR="00D12268" w:rsidRPr="003816D8" w:rsidRDefault="00D12268" w:rsidP="00556AB6">
            <w:pPr>
              <w:pStyle w:val="Tabletext1"/>
              <w:rPr>
                <w:snapToGrid w:val="0"/>
                <w:lang w:eastAsia="en-US"/>
              </w:rPr>
            </w:pPr>
            <w:r w:rsidRPr="00370375">
              <w:lastRenderedPageBreak/>
              <w:t>Cost of outpatient visit - GP</w:t>
            </w:r>
          </w:p>
        </w:tc>
        <w:tc>
          <w:tcPr>
            <w:tcW w:w="843" w:type="pct"/>
            <w:vAlign w:val="center"/>
          </w:tcPr>
          <w:p w14:paraId="0907B146" w14:textId="77777777" w:rsidR="00D12268" w:rsidRPr="003816D8" w:rsidRDefault="00D12268" w:rsidP="006D1459">
            <w:pPr>
              <w:pStyle w:val="Tabletext1"/>
              <w:jc w:val="center"/>
              <w:rPr>
                <w:snapToGrid w:val="0"/>
                <w:lang w:eastAsia="en-US"/>
              </w:rPr>
            </w:pPr>
            <w:r w:rsidRPr="00FC5C14">
              <w:t>3</w:t>
            </w:r>
          </w:p>
        </w:tc>
        <w:tc>
          <w:tcPr>
            <w:tcW w:w="716" w:type="pct"/>
            <w:vAlign w:val="center"/>
          </w:tcPr>
          <w:p w14:paraId="072879DD" w14:textId="3C3EFE51" w:rsidR="00D12268" w:rsidRPr="003816D8" w:rsidRDefault="00D12268" w:rsidP="006D1459">
            <w:pPr>
              <w:pStyle w:val="Tabletext1"/>
              <w:jc w:val="center"/>
            </w:pPr>
            <w:r w:rsidRPr="000F5FB0">
              <w:t>$38.75</w:t>
            </w:r>
          </w:p>
        </w:tc>
        <w:tc>
          <w:tcPr>
            <w:tcW w:w="1182" w:type="pct"/>
            <w:vAlign w:val="center"/>
          </w:tcPr>
          <w:p w14:paraId="36D7C5F0" w14:textId="77777777" w:rsidR="00D12268" w:rsidRPr="003816D8" w:rsidRDefault="00D12268" w:rsidP="006D1459">
            <w:pPr>
              <w:pStyle w:val="Tabletext1"/>
              <w:jc w:val="center"/>
              <w:rPr>
                <w:rFonts w:cs="Calibri"/>
              </w:rPr>
            </w:pPr>
            <w:r w:rsidRPr="0085538A">
              <w:t>23</w:t>
            </w:r>
          </w:p>
        </w:tc>
        <w:tc>
          <w:tcPr>
            <w:tcW w:w="830" w:type="pct"/>
            <w:vAlign w:val="center"/>
          </w:tcPr>
          <w:p w14:paraId="0ED159F0" w14:textId="784FE969" w:rsidR="00D12268" w:rsidRPr="003816D8" w:rsidRDefault="00D12268" w:rsidP="006D1459">
            <w:pPr>
              <w:pStyle w:val="Tabletext1"/>
              <w:jc w:val="center"/>
              <w:rPr>
                <w:snapToGrid w:val="0"/>
                <w:lang w:eastAsia="en-US"/>
              </w:rPr>
            </w:pPr>
            <w:r w:rsidRPr="00D1435E">
              <w:t>$116.25</w:t>
            </w:r>
          </w:p>
        </w:tc>
      </w:tr>
      <w:tr w:rsidR="00D12268" w:rsidRPr="00F77E8D" w14:paraId="1486D72E" w14:textId="77777777" w:rsidTr="00E3175C">
        <w:tc>
          <w:tcPr>
            <w:tcW w:w="1429" w:type="pct"/>
          </w:tcPr>
          <w:p w14:paraId="4E1E032E" w14:textId="77777777" w:rsidR="00D12268" w:rsidRPr="003816D8" w:rsidRDefault="00D12268" w:rsidP="00556AB6">
            <w:pPr>
              <w:pStyle w:val="Tabletext1"/>
              <w:rPr>
                <w:snapToGrid w:val="0"/>
                <w:lang w:eastAsia="en-US"/>
              </w:rPr>
            </w:pPr>
            <w:r w:rsidRPr="00370375">
              <w:t xml:space="preserve">Cost of outpatient visit - specialist </w:t>
            </w:r>
          </w:p>
        </w:tc>
        <w:tc>
          <w:tcPr>
            <w:tcW w:w="843" w:type="pct"/>
            <w:vAlign w:val="center"/>
          </w:tcPr>
          <w:p w14:paraId="706CC7D6" w14:textId="77777777" w:rsidR="00D12268" w:rsidRPr="003816D8" w:rsidRDefault="00D12268" w:rsidP="006D1459">
            <w:pPr>
              <w:pStyle w:val="Tabletext1"/>
              <w:jc w:val="center"/>
              <w:rPr>
                <w:snapToGrid w:val="0"/>
                <w:lang w:eastAsia="en-US"/>
              </w:rPr>
            </w:pPr>
            <w:r w:rsidRPr="00FC5C14">
              <w:t>3</w:t>
            </w:r>
          </w:p>
        </w:tc>
        <w:tc>
          <w:tcPr>
            <w:tcW w:w="716" w:type="pct"/>
            <w:vAlign w:val="center"/>
          </w:tcPr>
          <w:p w14:paraId="183B4B90" w14:textId="013BD2DD" w:rsidR="00D12268" w:rsidRPr="003816D8" w:rsidRDefault="00D12268" w:rsidP="006D1459">
            <w:pPr>
              <w:pStyle w:val="Tabletext1"/>
              <w:jc w:val="center"/>
            </w:pPr>
            <w:r w:rsidRPr="000F5FB0">
              <w:t>$45.00</w:t>
            </w:r>
          </w:p>
        </w:tc>
        <w:tc>
          <w:tcPr>
            <w:tcW w:w="1182" w:type="pct"/>
            <w:vAlign w:val="center"/>
          </w:tcPr>
          <w:p w14:paraId="35CE9FAA" w14:textId="77777777" w:rsidR="00D12268" w:rsidRPr="003816D8" w:rsidRDefault="00D12268" w:rsidP="006D1459">
            <w:pPr>
              <w:pStyle w:val="Tabletext1"/>
              <w:jc w:val="center"/>
              <w:rPr>
                <w:rFonts w:cs="Calibri"/>
              </w:rPr>
            </w:pPr>
            <w:r w:rsidRPr="0085538A">
              <w:t>105</w:t>
            </w:r>
          </w:p>
        </w:tc>
        <w:tc>
          <w:tcPr>
            <w:tcW w:w="830" w:type="pct"/>
            <w:vAlign w:val="center"/>
          </w:tcPr>
          <w:p w14:paraId="52D01A1E" w14:textId="18F92C74" w:rsidR="00D12268" w:rsidRPr="003816D8" w:rsidRDefault="00D12268" w:rsidP="006D1459">
            <w:pPr>
              <w:pStyle w:val="Tabletext1"/>
              <w:jc w:val="center"/>
              <w:rPr>
                <w:snapToGrid w:val="0"/>
                <w:lang w:eastAsia="en-US"/>
              </w:rPr>
            </w:pPr>
            <w:r w:rsidRPr="00D1435E">
              <w:t>$135.00</w:t>
            </w:r>
          </w:p>
        </w:tc>
      </w:tr>
      <w:tr w:rsidR="00D12268" w:rsidRPr="00F77E8D" w14:paraId="4DE8D220" w14:textId="77777777" w:rsidTr="00E3175C">
        <w:tc>
          <w:tcPr>
            <w:tcW w:w="1429" w:type="pct"/>
          </w:tcPr>
          <w:p w14:paraId="13F9B0DE" w14:textId="77777777" w:rsidR="00D12268" w:rsidRPr="003816D8" w:rsidRDefault="00D12268" w:rsidP="00556AB6">
            <w:pPr>
              <w:pStyle w:val="Tabletext1"/>
              <w:rPr>
                <w:snapToGrid w:val="0"/>
                <w:lang w:eastAsia="en-US"/>
              </w:rPr>
            </w:pPr>
            <w:r w:rsidRPr="00370375">
              <w:t>Cell blood count test (CBC)</w:t>
            </w:r>
          </w:p>
        </w:tc>
        <w:tc>
          <w:tcPr>
            <w:tcW w:w="843" w:type="pct"/>
            <w:vAlign w:val="center"/>
          </w:tcPr>
          <w:p w14:paraId="6D02EE1E" w14:textId="77777777" w:rsidR="00D12268" w:rsidRPr="003816D8" w:rsidRDefault="00D12268" w:rsidP="006D1459">
            <w:pPr>
              <w:pStyle w:val="Tabletext1"/>
              <w:jc w:val="center"/>
              <w:rPr>
                <w:snapToGrid w:val="0"/>
                <w:lang w:eastAsia="en-US"/>
              </w:rPr>
            </w:pPr>
            <w:r w:rsidRPr="00FC5C14">
              <w:t>1</w:t>
            </w:r>
          </w:p>
        </w:tc>
        <w:tc>
          <w:tcPr>
            <w:tcW w:w="716" w:type="pct"/>
            <w:vAlign w:val="center"/>
          </w:tcPr>
          <w:p w14:paraId="2475DAF4" w14:textId="53D94ED7" w:rsidR="00D12268" w:rsidRPr="003816D8" w:rsidRDefault="00D12268" w:rsidP="006D1459">
            <w:pPr>
              <w:pStyle w:val="Tabletext1"/>
              <w:jc w:val="center"/>
            </w:pPr>
            <w:r w:rsidRPr="000F5FB0">
              <w:t>$14.45</w:t>
            </w:r>
          </w:p>
        </w:tc>
        <w:tc>
          <w:tcPr>
            <w:tcW w:w="1182" w:type="pct"/>
            <w:vAlign w:val="center"/>
          </w:tcPr>
          <w:p w14:paraId="585D8567" w14:textId="77777777" w:rsidR="00D12268" w:rsidRPr="003816D8" w:rsidRDefault="00D12268" w:rsidP="006D1459">
            <w:pPr>
              <w:pStyle w:val="Tabletext1"/>
              <w:jc w:val="center"/>
              <w:rPr>
                <w:rFonts w:cs="Calibri"/>
              </w:rPr>
            </w:pPr>
            <w:r w:rsidRPr="0085538A">
              <w:t>65070</w:t>
            </w:r>
          </w:p>
        </w:tc>
        <w:tc>
          <w:tcPr>
            <w:tcW w:w="830" w:type="pct"/>
            <w:vAlign w:val="center"/>
          </w:tcPr>
          <w:p w14:paraId="16D39431" w14:textId="2560D183" w:rsidR="00D12268" w:rsidRPr="003816D8" w:rsidRDefault="00D12268" w:rsidP="006D1459">
            <w:pPr>
              <w:pStyle w:val="Tabletext1"/>
              <w:jc w:val="center"/>
              <w:rPr>
                <w:snapToGrid w:val="0"/>
                <w:lang w:eastAsia="en-US"/>
              </w:rPr>
            </w:pPr>
            <w:r w:rsidRPr="00D1435E">
              <w:t>$14.45</w:t>
            </w:r>
          </w:p>
        </w:tc>
      </w:tr>
      <w:tr w:rsidR="00D12268" w:rsidRPr="00F77E8D" w14:paraId="7C3CCC3F" w14:textId="77777777" w:rsidTr="00E3175C">
        <w:tc>
          <w:tcPr>
            <w:tcW w:w="1429" w:type="pct"/>
          </w:tcPr>
          <w:p w14:paraId="77D1E38C" w14:textId="77777777" w:rsidR="00D12268" w:rsidRPr="003816D8" w:rsidRDefault="00D12268" w:rsidP="00556AB6">
            <w:pPr>
              <w:pStyle w:val="Tabletext1"/>
              <w:rPr>
                <w:snapToGrid w:val="0"/>
                <w:lang w:eastAsia="en-US"/>
              </w:rPr>
            </w:pPr>
            <w:r w:rsidRPr="00370375">
              <w:t>Complete Panel test</w:t>
            </w:r>
          </w:p>
        </w:tc>
        <w:tc>
          <w:tcPr>
            <w:tcW w:w="843" w:type="pct"/>
            <w:vAlign w:val="center"/>
          </w:tcPr>
          <w:p w14:paraId="4A136E77" w14:textId="77777777" w:rsidR="00D12268" w:rsidRPr="003816D8" w:rsidRDefault="00D12268" w:rsidP="006D1459">
            <w:pPr>
              <w:pStyle w:val="Tabletext1"/>
              <w:jc w:val="center"/>
              <w:rPr>
                <w:snapToGrid w:val="0"/>
                <w:lang w:eastAsia="en-US"/>
              </w:rPr>
            </w:pPr>
            <w:r w:rsidRPr="00FC5C14">
              <w:t>1</w:t>
            </w:r>
          </w:p>
        </w:tc>
        <w:tc>
          <w:tcPr>
            <w:tcW w:w="716" w:type="pct"/>
            <w:vAlign w:val="center"/>
          </w:tcPr>
          <w:p w14:paraId="6681A7C4" w14:textId="09D65D23" w:rsidR="00D12268" w:rsidRPr="003816D8" w:rsidRDefault="00D12268" w:rsidP="006D1459">
            <w:pPr>
              <w:pStyle w:val="Tabletext1"/>
              <w:jc w:val="center"/>
              <w:rPr>
                <w:snapToGrid w:val="0"/>
                <w:lang w:eastAsia="en-US"/>
              </w:rPr>
            </w:pPr>
            <w:r w:rsidRPr="000F5FB0">
              <w:t>$58.00</w:t>
            </w:r>
          </w:p>
        </w:tc>
        <w:tc>
          <w:tcPr>
            <w:tcW w:w="1182" w:type="pct"/>
            <w:vAlign w:val="center"/>
          </w:tcPr>
          <w:p w14:paraId="170DF08F" w14:textId="77777777" w:rsidR="00D12268" w:rsidRPr="003816D8" w:rsidRDefault="00D12268" w:rsidP="006D1459">
            <w:pPr>
              <w:pStyle w:val="Tabletext1"/>
              <w:jc w:val="center"/>
              <w:rPr>
                <w:snapToGrid w:val="0"/>
                <w:lang w:eastAsia="en-US"/>
              </w:rPr>
            </w:pPr>
            <w:r>
              <w:rPr>
                <w:snapToGrid w:val="0"/>
                <w:lang w:eastAsia="en-US"/>
              </w:rPr>
              <w:t>-</w:t>
            </w:r>
          </w:p>
        </w:tc>
        <w:tc>
          <w:tcPr>
            <w:tcW w:w="830" w:type="pct"/>
            <w:vAlign w:val="center"/>
          </w:tcPr>
          <w:p w14:paraId="0CD25613" w14:textId="7ABF09FC" w:rsidR="00D12268" w:rsidRPr="003816D8" w:rsidRDefault="00D12268" w:rsidP="006D1459">
            <w:pPr>
              <w:pStyle w:val="Tabletext1"/>
              <w:jc w:val="center"/>
              <w:rPr>
                <w:rFonts w:cs="Calibri"/>
              </w:rPr>
            </w:pPr>
            <w:r w:rsidRPr="00D1435E">
              <w:t>$58.00</w:t>
            </w:r>
          </w:p>
        </w:tc>
      </w:tr>
      <w:tr w:rsidR="00D12268" w:rsidRPr="00F77E8D" w14:paraId="0ACDEA9B" w14:textId="77777777" w:rsidTr="00E3175C">
        <w:tc>
          <w:tcPr>
            <w:tcW w:w="1429" w:type="pct"/>
          </w:tcPr>
          <w:p w14:paraId="437499AD" w14:textId="77777777" w:rsidR="00D12268" w:rsidRPr="003816D8" w:rsidRDefault="00D12268" w:rsidP="00556AB6">
            <w:pPr>
              <w:pStyle w:val="Tabletext1"/>
              <w:rPr>
                <w:snapToGrid w:val="0"/>
                <w:lang w:eastAsia="en-US"/>
              </w:rPr>
            </w:pPr>
            <w:r w:rsidRPr="00370375">
              <w:t>Sigmoidoscopy for bleeding</w:t>
            </w:r>
          </w:p>
        </w:tc>
        <w:tc>
          <w:tcPr>
            <w:tcW w:w="843" w:type="pct"/>
            <w:vAlign w:val="center"/>
          </w:tcPr>
          <w:p w14:paraId="6B386760" w14:textId="77777777" w:rsidR="00D12268" w:rsidRPr="003816D8" w:rsidRDefault="00D12268" w:rsidP="006D1459">
            <w:pPr>
              <w:pStyle w:val="Tabletext1"/>
              <w:jc w:val="center"/>
              <w:rPr>
                <w:snapToGrid w:val="0"/>
                <w:lang w:eastAsia="en-US"/>
              </w:rPr>
            </w:pPr>
            <w:r w:rsidRPr="00FC5C14">
              <w:t>1</w:t>
            </w:r>
          </w:p>
        </w:tc>
        <w:tc>
          <w:tcPr>
            <w:tcW w:w="716" w:type="pct"/>
            <w:vAlign w:val="center"/>
          </w:tcPr>
          <w:p w14:paraId="6DE2AC6F" w14:textId="25F60216" w:rsidR="00D12268" w:rsidRPr="003816D8" w:rsidRDefault="00D12268" w:rsidP="006D1459">
            <w:pPr>
              <w:pStyle w:val="Tabletext1"/>
              <w:jc w:val="center"/>
            </w:pPr>
            <w:r w:rsidRPr="000F5FB0">
              <w:t>$97.65</w:t>
            </w:r>
          </w:p>
        </w:tc>
        <w:tc>
          <w:tcPr>
            <w:tcW w:w="1182" w:type="pct"/>
            <w:vAlign w:val="center"/>
          </w:tcPr>
          <w:p w14:paraId="2BFE0128" w14:textId="77777777" w:rsidR="00D12268" w:rsidRPr="003816D8" w:rsidRDefault="00D12268" w:rsidP="006D1459">
            <w:pPr>
              <w:pStyle w:val="Tabletext1"/>
              <w:jc w:val="center"/>
              <w:rPr>
                <w:rFonts w:cs="Calibri"/>
              </w:rPr>
            </w:pPr>
            <w:r w:rsidRPr="0085538A">
              <w:t>32084</w:t>
            </w:r>
          </w:p>
        </w:tc>
        <w:tc>
          <w:tcPr>
            <w:tcW w:w="830" w:type="pct"/>
            <w:vAlign w:val="center"/>
          </w:tcPr>
          <w:p w14:paraId="4A7F257C" w14:textId="3D3E8D30" w:rsidR="00D12268" w:rsidRPr="003816D8" w:rsidRDefault="00D12268" w:rsidP="006D1459">
            <w:pPr>
              <w:pStyle w:val="Tabletext1"/>
              <w:jc w:val="center"/>
              <w:rPr>
                <w:snapToGrid w:val="0"/>
                <w:lang w:eastAsia="en-US"/>
              </w:rPr>
            </w:pPr>
            <w:r w:rsidRPr="00D1435E">
              <w:t>$97.65</w:t>
            </w:r>
          </w:p>
        </w:tc>
      </w:tr>
      <w:tr w:rsidR="00D12268" w:rsidRPr="00F77E8D" w14:paraId="755CAB7F" w14:textId="77777777" w:rsidTr="00E3175C">
        <w:tc>
          <w:tcPr>
            <w:tcW w:w="1429" w:type="pct"/>
          </w:tcPr>
          <w:p w14:paraId="18ADE6A5" w14:textId="77777777" w:rsidR="00D12268" w:rsidRPr="00EE74F4" w:rsidRDefault="00D12268" w:rsidP="008B6FC0">
            <w:pPr>
              <w:pStyle w:val="Tabletext1"/>
              <w:keepNext/>
              <w:rPr>
                <w:b/>
                <w:snapToGrid w:val="0"/>
                <w:lang w:eastAsia="en-US"/>
              </w:rPr>
            </w:pPr>
            <w:r w:rsidRPr="00EE74F4">
              <w:rPr>
                <w:b/>
              </w:rPr>
              <w:t>Constipation</w:t>
            </w:r>
          </w:p>
        </w:tc>
        <w:tc>
          <w:tcPr>
            <w:tcW w:w="843" w:type="pct"/>
            <w:vAlign w:val="center"/>
          </w:tcPr>
          <w:p w14:paraId="62761378" w14:textId="77777777" w:rsidR="00D12268" w:rsidRPr="003816D8" w:rsidRDefault="00D12268" w:rsidP="008B6FC0">
            <w:pPr>
              <w:pStyle w:val="Tabletext1"/>
              <w:keepNext/>
              <w:jc w:val="center"/>
              <w:rPr>
                <w:snapToGrid w:val="0"/>
                <w:lang w:eastAsia="en-US"/>
              </w:rPr>
            </w:pPr>
          </w:p>
        </w:tc>
        <w:tc>
          <w:tcPr>
            <w:tcW w:w="716" w:type="pct"/>
            <w:vAlign w:val="center"/>
          </w:tcPr>
          <w:p w14:paraId="66D5C007" w14:textId="77777777" w:rsidR="00D12268" w:rsidRPr="003816D8" w:rsidRDefault="00D12268" w:rsidP="008B6FC0">
            <w:pPr>
              <w:pStyle w:val="Tabletext1"/>
              <w:keepNext/>
              <w:jc w:val="center"/>
            </w:pPr>
          </w:p>
        </w:tc>
        <w:tc>
          <w:tcPr>
            <w:tcW w:w="1182" w:type="pct"/>
            <w:vAlign w:val="center"/>
          </w:tcPr>
          <w:p w14:paraId="3134B9CA" w14:textId="77777777" w:rsidR="00D12268" w:rsidRPr="003816D8" w:rsidRDefault="00D12268" w:rsidP="008B6FC0">
            <w:pPr>
              <w:pStyle w:val="Tabletext1"/>
              <w:keepNext/>
              <w:jc w:val="center"/>
              <w:rPr>
                <w:rFonts w:cs="Calibri"/>
              </w:rPr>
            </w:pPr>
          </w:p>
        </w:tc>
        <w:tc>
          <w:tcPr>
            <w:tcW w:w="830" w:type="pct"/>
            <w:vAlign w:val="center"/>
          </w:tcPr>
          <w:p w14:paraId="4EC84DC7" w14:textId="77777777" w:rsidR="00D12268" w:rsidRPr="00EE74F4" w:rsidRDefault="00D12268" w:rsidP="008B6FC0">
            <w:pPr>
              <w:pStyle w:val="Tabletext1"/>
              <w:keepNext/>
              <w:jc w:val="center"/>
              <w:rPr>
                <w:b/>
                <w:snapToGrid w:val="0"/>
                <w:lang w:eastAsia="en-US"/>
              </w:rPr>
            </w:pPr>
            <w:r w:rsidRPr="00EE74F4">
              <w:rPr>
                <w:b/>
                <w:snapToGrid w:val="0"/>
                <w:lang w:eastAsia="en-US"/>
              </w:rPr>
              <w:t>$814.94</w:t>
            </w:r>
          </w:p>
        </w:tc>
      </w:tr>
      <w:tr w:rsidR="00D12268" w:rsidRPr="00F77E8D" w14:paraId="3285BD45" w14:textId="77777777" w:rsidTr="00E3175C">
        <w:tc>
          <w:tcPr>
            <w:tcW w:w="1429" w:type="pct"/>
          </w:tcPr>
          <w:p w14:paraId="7F2C3007" w14:textId="77777777" w:rsidR="00D12268" w:rsidRPr="003816D8" w:rsidRDefault="00D12268" w:rsidP="008B6FC0">
            <w:pPr>
              <w:pStyle w:val="Tabletext1"/>
              <w:keepNext/>
              <w:rPr>
                <w:snapToGrid w:val="0"/>
                <w:lang w:eastAsia="en-US"/>
              </w:rPr>
            </w:pPr>
            <w:r w:rsidRPr="00C648DC">
              <w:t>Cost of outpatient visit - GP</w:t>
            </w:r>
          </w:p>
        </w:tc>
        <w:tc>
          <w:tcPr>
            <w:tcW w:w="843" w:type="pct"/>
            <w:vAlign w:val="center"/>
          </w:tcPr>
          <w:p w14:paraId="5D3B7759" w14:textId="77777777" w:rsidR="00D12268" w:rsidRPr="003816D8" w:rsidRDefault="00D12268" w:rsidP="008B6FC0">
            <w:pPr>
              <w:pStyle w:val="Tabletext1"/>
              <w:keepNext/>
              <w:jc w:val="center"/>
              <w:rPr>
                <w:snapToGrid w:val="0"/>
                <w:lang w:eastAsia="en-US"/>
              </w:rPr>
            </w:pPr>
            <w:r w:rsidRPr="005443B5">
              <w:t>3</w:t>
            </w:r>
          </w:p>
        </w:tc>
        <w:tc>
          <w:tcPr>
            <w:tcW w:w="716" w:type="pct"/>
            <w:vAlign w:val="center"/>
          </w:tcPr>
          <w:p w14:paraId="4D5E8672" w14:textId="5F37ABFE" w:rsidR="00D12268" w:rsidRPr="003816D8" w:rsidRDefault="00D12268" w:rsidP="008B6FC0">
            <w:pPr>
              <w:pStyle w:val="Tabletext1"/>
              <w:keepNext/>
              <w:jc w:val="center"/>
            </w:pPr>
            <w:r w:rsidRPr="00B9441B">
              <w:t>$38.75</w:t>
            </w:r>
          </w:p>
        </w:tc>
        <w:tc>
          <w:tcPr>
            <w:tcW w:w="1182" w:type="pct"/>
            <w:vAlign w:val="center"/>
          </w:tcPr>
          <w:p w14:paraId="3E589995" w14:textId="77777777" w:rsidR="00D12268" w:rsidRPr="003816D8" w:rsidRDefault="00D12268" w:rsidP="008B6FC0">
            <w:pPr>
              <w:pStyle w:val="Tabletext1"/>
              <w:keepNext/>
              <w:jc w:val="center"/>
              <w:rPr>
                <w:rFonts w:cs="Calibri"/>
              </w:rPr>
            </w:pPr>
            <w:r w:rsidRPr="00712D2E">
              <w:t>23</w:t>
            </w:r>
          </w:p>
        </w:tc>
        <w:tc>
          <w:tcPr>
            <w:tcW w:w="830" w:type="pct"/>
            <w:vAlign w:val="center"/>
          </w:tcPr>
          <w:p w14:paraId="6808BE9F" w14:textId="001A62DA" w:rsidR="00D12268" w:rsidRPr="003816D8" w:rsidRDefault="00D12268" w:rsidP="008B6FC0">
            <w:pPr>
              <w:pStyle w:val="Tabletext1"/>
              <w:keepNext/>
              <w:jc w:val="center"/>
              <w:rPr>
                <w:snapToGrid w:val="0"/>
                <w:lang w:eastAsia="en-US"/>
              </w:rPr>
            </w:pPr>
            <w:r w:rsidRPr="00863780">
              <w:t>$116.25</w:t>
            </w:r>
          </w:p>
        </w:tc>
      </w:tr>
      <w:tr w:rsidR="00D12268" w:rsidRPr="00F77E8D" w14:paraId="49458636" w14:textId="77777777" w:rsidTr="00E3175C">
        <w:tc>
          <w:tcPr>
            <w:tcW w:w="1429" w:type="pct"/>
          </w:tcPr>
          <w:p w14:paraId="4FBABBEF" w14:textId="77777777" w:rsidR="00D12268" w:rsidRPr="003816D8" w:rsidRDefault="00D12268" w:rsidP="008B6FC0">
            <w:pPr>
              <w:pStyle w:val="Tabletext1"/>
              <w:keepNext/>
              <w:rPr>
                <w:snapToGrid w:val="0"/>
                <w:lang w:eastAsia="en-US"/>
              </w:rPr>
            </w:pPr>
            <w:r w:rsidRPr="00C648DC">
              <w:t xml:space="preserve">Cost of outpatient visit - specialist </w:t>
            </w:r>
          </w:p>
        </w:tc>
        <w:tc>
          <w:tcPr>
            <w:tcW w:w="843" w:type="pct"/>
            <w:vAlign w:val="center"/>
          </w:tcPr>
          <w:p w14:paraId="49C89EAF" w14:textId="77777777" w:rsidR="00D12268" w:rsidRPr="003816D8" w:rsidRDefault="00D12268" w:rsidP="008B6FC0">
            <w:pPr>
              <w:pStyle w:val="Tabletext1"/>
              <w:keepNext/>
              <w:jc w:val="center"/>
              <w:rPr>
                <w:snapToGrid w:val="0"/>
                <w:lang w:eastAsia="en-US"/>
              </w:rPr>
            </w:pPr>
            <w:r w:rsidRPr="005443B5">
              <w:t>3</w:t>
            </w:r>
          </w:p>
        </w:tc>
        <w:tc>
          <w:tcPr>
            <w:tcW w:w="716" w:type="pct"/>
            <w:vAlign w:val="center"/>
          </w:tcPr>
          <w:p w14:paraId="307C77C4" w14:textId="647B6696" w:rsidR="00D12268" w:rsidRPr="003816D8" w:rsidRDefault="00D12268" w:rsidP="008B6FC0">
            <w:pPr>
              <w:pStyle w:val="Tabletext1"/>
              <w:keepNext/>
              <w:jc w:val="center"/>
            </w:pPr>
            <w:r w:rsidRPr="00B9441B">
              <w:t>$45.00</w:t>
            </w:r>
          </w:p>
        </w:tc>
        <w:tc>
          <w:tcPr>
            <w:tcW w:w="1182" w:type="pct"/>
            <w:vAlign w:val="center"/>
          </w:tcPr>
          <w:p w14:paraId="320B6C07" w14:textId="77777777" w:rsidR="00D12268" w:rsidRPr="003816D8" w:rsidRDefault="00D12268" w:rsidP="008B6FC0">
            <w:pPr>
              <w:pStyle w:val="Tabletext1"/>
              <w:keepNext/>
              <w:jc w:val="center"/>
              <w:rPr>
                <w:rFonts w:cs="Calibri"/>
              </w:rPr>
            </w:pPr>
            <w:r w:rsidRPr="00712D2E">
              <w:t>105</w:t>
            </w:r>
          </w:p>
        </w:tc>
        <w:tc>
          <w:tcPr>
            <w:tcW w:w="830" w:type="pct"/>
            <w:vAlign w:val="center"/>
          </w:tcPr>
          <w:p w14:paraId="7B3C0981" w14:textId="50F8D52F" w:rsidR="00D12268" w:rsidRPr="003816D8" w:rsidRDefault="00D12268" w:rsidP="008B6FC0">
            <w:pPr>
              <w:pStyle w:val="Tabletext1"/>
              <w:keepNext/>
              <w:jc w:val="center"/>
              <w:rPr>
                <w:snapToGrid w:val="0"/>
                <w:lang w:eastAsia="en-US"/>
              </w:rPr>
            </w:pPr>
            <w:r w:rsidRPr="00863780">
              <w:t>$135.00</w:t>
            </w:r>
          </w:p>
        </w:tc>
      </w:tr>
      <w:tr w:rsidR="00D12268" w:rsidRPr="00F77E8D" w14:paraId="1FF380DD" w14:textId="77777777" w:rsidTr="00E3175C">
        <w:tc>
          <w:tcPr>
            <w:tcW w:w="1429" w:type="pct"/>
          </w:tcPr>
          <w:p w14:paraId="0B3A9246" w14:textId="77777777" w:rsidR="00D12268" w:rsidRPr="003816D8" w:rsidRDefault="00D12268" w:rsidP="008B6FC0">
            <w:pPr>
              <w:pStyle w:val="Tabletext1"/>
              <w:keepNext/>
              <w:rPr>
                <w:snapToGrid w:val="0"/>
                <w:lang w:eastAsia="en-US"/>
              </w:rPr>
            </w:pPr>
            <w:r w:rsidRPr="00C648DC">
              <w:t>Cell blood count test (CBC)</w:t>
            </w:r>
          </w:p>
        </w:tc>
        <w:tc>
          <w:tcPr>
            <w:tcW w:w="843" w:type="pct"/>
            <w:vAlign w:val="center"/>
          </w:tcPr>
          <w:p w14:paraId="610A33EF" w14:textId="77777777" w:rsidR="00D12268" w:rsidRPr="003816D8" w:rsidRDefault="00D12268" w:rsidP="008B6FC0">
            <w:pPr>
              <w:pStyle w:val="Tabletext1"/>
              <w:keepNext/>
              <w:jc w:val="center"/>
              <w:rPr>
                <w:snapToGrid w:val="0"/>
                <w:lang w:eastAsia="en-US"/>
              </w:rPr>
            </w:pPr>
            <w:r w:rsidRPr="005443B5">
              <w:t>1</w:t>
            </w:r>
          </w:p>
        </w:tc>
        <w:tc>
          <w:tcPr>
            <w:tcW w:w="716" w:type="pct"/>
            <w:vAlign w:val="center"/>
          </w:tcPr>
          <w:p w14:paraId="5F7753FB" w14:textId="1A8B608B" w:rsidR="00D12268" w:rsidRPr="003816D8" w:rsidRDefault="00D12268" w:rsidP="008B6FC0">
            <w:pPr>
              <w:pStyle w:val="Tabletext1"/>
              <w:keepNext/>
              <w:jc w:val="center"/>
            </w:pPr>
            <w:r w:rsidRPr="00B9441B">
              <w:t>$14.45</w:t>
            </w:r>
          </w:p>
        </w:tc>
        <w:tc>
          <w:tcPr>
            <w:tcW w:w="1182" w:type="pct"/>
            <w:vAlign w:val="center"/>
          </w:tcPr>
          <w:p w14:paraId="7FDD9D32" w14:textId="77777777" w:rsidR="00D12268" w:rsidRPr="003816D8" w:rsidRDefault="00D12268" w:rsidP="008B6FC0">
            <w:pPr>
              <w:pStyle w:val="Tabletext1"/>
              <w:keepNext/>
              <w:jc w:val="center"/>
              <w:rPr>
                <w:rFonts w:cs="Calibri"/>
              </w:rPr>
            </w:pPr>
            <w:r w:rsidRPr="00712D2E">
              <w:t>65070</w:t>
            </w:r>
          </w:p>
        </w:tc>
        <w:tc>
          <w:tcPr>
            <w:tcW w:w="830" w:type="pct"/>
            <w:vAlign w:val="center"/>
          </w:tcPr>
          <w:p w14:paraId="73E47F45" w14:textId="4E4286EC" w:rsidR="00D12268" w:rsidRPr="003816D8" w:rsidRDefault="00D12268" w:rsidP="008B6FC0">
            <w:pPr>
              <w:pStyle w:val="Tabletext1"/>
              <w:keepNext/>
              <w:jc w:val="center"/>
              <w:rPr>
                <w:snapToGrid w:val="0"/>
                <w:lang w:eastAsia="en-US"/>
              </w:rPr>
            </w:pPr>
            <w:r w:rsidRPr="00863780">
              <w:t>$14.45</w:t>
            </w:r>
          </w:p>
        </w:tc>
      </w:tr>
      <w:tr w:rsidR="00D12268" w:rsidRPr="00F77E8D" w14:paraId="3753597C" w14:textId="77777777" w:rsidTr="00E3175C">
        <w:tc>
          <w:tcPr>
            <w:tcW w:w="1429" w:type="pct"/>
          </w:tcPr>
          <w:p w14:paraId="5BA36F6E" w14:textId="77777777" w:rsidR="00D12268" w:rsidRPr="003816D8" w:rsidRDefault="00D12268" w:rsidP="008B6FC0">
            <w:pPr>
              <w:pStyle w:val="Tabletext1"/>
              <w:keepNext/>
              <w:rPr>
                <w:b/>
                <w:snapToGrid w:val="0"/>
                <w:lang w:eastAsia="en-US"/>
              </w:rPr>
            </w:pPr>
            <w:r w:rsidRPr="00C648DC">
              <w:t>Complete Panel test</w:t>
            </w:r>
          </w:p>
        </w:tc>
        <w:tc>
          <w:tcPr>
            <w:tcW w:w="843" w:type="pct"/>
            <w:vAlign w:val="center"/>
          </w:tcPr>
          <w:p w14:paraId="27F6C44D" w14:textId="77777777" w:rsidR="00D12268" w:rsidRPr="003816D8" w:rsidRDefault="00D12268" w:rsidP="008B6FC0">
            <w:pPr>
              <w:pStyle w:val="Tabletext1"/>
              <w:keepNext/>
              <w:jc w:val="center"/>
              <w:rPr>
                <w:b/>
                <w:snapToGrid w:val="0"/>
                <w:lang w:eastAsia="en-US"/>
              </w:rPr>
            </w:pPr>
            <w:r w:rsidRPr="005443B5">
              <w:t>1</w:t>
            </w:r>
          </w:p>
        </w:tc>
        <w:tc>
          <w:tcPr>
            <w:tcW w:w="716" w:type="pct"/>
            <w:vAlign w:val="center"/>
          </w:tcPr>
          <w:p w14:paraId="40D582AF" w14:textId="2C0894F0" w:rsidR="00D12268" w:rsidRPr="00EE74F4" w:rsidRDefault="00D12268" w:rsidP="008B6FC0">
            <w:pPr>
              <w:pStyle w:val="Tabletext1"/>
              <w:keepNext/>
              <w:jc w:val="center"/>
            </w:pPr>
            <w:r w:rsidRPr="00B9441B">
              <w:t>$58.00</w:t>
            </w:r>
          </w:p>
        </w:tc>
        <w:tc>
          <w:tcPr>
            <w:tcW w:w="1182" w:type="pct"/>
            <w:vAlign w:val="center"/>
          </w:tcPr>
          <w:p w14:paraId="5A033CB4" w14:textId="77777777" w:rsidR="00D12268" w:rsidRPr="00EE74F4" w:rsidRDefault="00D12268" w:rsidP="008B6FC0">
            <w:pPr>
              <w:pStyle w:val="Tabletext1"/>
              <w:keepNext/>
              <w:jc w:val="center"/>
              <w:rPr>
                <w:rFonts w:cs="Calibri"/>
              </w:rPr>
            </w:pPr>
            <w:r w:rsidRPr="00EE74F4">
              <w:rPr>
                <w:rFonts w:cs="Calibri"/>
              </w:rPr>
              <w:t>-</w:t>
            </w:r>
          </w:p>
        </w:tc>
        <w:tc>
          <w:tcPr>
            <w:tcW w:w="830" w:type="pct"/>
            <w:vAlign w:val="center"/>
          </w:tcPr>
          <w:p w14:paraId="493CAA05" w14:textId="0EE13E71" w:rsidR="00D12268" w:rsidRPr="003816D8" w:rsidRDefault="00D12268" w:rsidP="008B6FC0">
            <w:pPr>
              <w:pStyle w:val="Tabletext1"/>
              <w:keepNext/>
              <w:jc w:val="center"/>
              <w:rPr>
                <w:rFonts w:cs="Calibri"/>
                <w:b/>
              </w:rPr>
            </w:pPr>
            <w:r w:rsidRPr="00863780">
              <w:t>$58.00</w:t>
            </w:r>
          </w:p>
        </w:tc>
      </w:tr>
      <w:tr w:rsidR="00D12268" w:rsidRPr="00F77E8D" w14:paraId="48A42110" w14:textId="77777777" w:rsidTr="00E3175C">
        <w:tc>
          <w:tcPr>
            <w:tcW w:w="1429" w:type="pct"/>
          </w:tcPr>
          <w:p w14:paraId="139CB175" w14:textId="77777777" w:rsidR="00D12268" w:rsidRPr="003816D8" w:rsidRDefault="00D12268" w:rsidP="008B6FC0">
            <w:pPr>
              <w:pStyle w:val="Tabletext1"/>
              <w:keepNext/>
              <w:rPr>
                <w:snapToGrid w:val="0"/>
                <w:lang w:eastAsia="en-US"/>
              </w:rPr>
            </w:pPr>
            <w:r w:rsidRPr="00C648DC">
              <w:t>Thyroid Stimulating Hormone quantification</w:t>
            </w:r>
          </w:p>
        </w:tc>
        <w:tc>
          <w:tcPr>
            <w:tcW w:w="843" w:type="pct"/>
            <w:vAlign w:val="center"/>
          </w:tcPr>
          <w:p w14:paraId="7D508CF3" w14:textId="77777777" w:rsidR="00D12268" w:rsidRPr="003816D8" w:rsidRDefault="00D12268" w:rsidP="008B6FC0">
            <w:pPr>
              <w:pStyle w:val="Tabletext1"/>
              <w:keepNext/>
              <w:jc w:val="center"/>
              <w:rPr>
                <w:snapToGrid w:val="0"/>
                <w:lang w:eastAsia="en-US"/>
              </w:rPr>
            </w:pPr>
            <w:r w:rsidRPr="005443B5">
              <w:t>1</w:t>
            </w:r>
          </w:p>
        </w:tc>
        <w:tc>
          <w:tcPr>
            <w:tcW w:w="716" w:type="pct"/>
            <w:vAlign w:val="center"/>
          </w:tcPr>
          <w:p w14:paraId="163C3001" w14:textId="188A7DF5" w:rsidR="00D12268" w:rsidRPr="003816D8" w:rsidRDefault="00D12268" w:rsidP="008B6FC0">
            <w:pPr>
              <w:pStyle w:val="Tabletext1"/>
              <w:keepNext/>
              <w:jc w:val="center"/>
            </w:pPr>
            <w:r w:rsidRPr="00B9441B">
              <w:t>$21.30</w:t>
            </w:r>
          </w:p>
        </w:tc>
        <w:tc>
          <w:tcPr>
            <w:tcW w:w="1182" w:type="pct"/>
            <w:vAlign w:val="center"/>
          </w:tcPr>
          <w:p w14:paraId="1E0A553B" w14:textId="77777777" w:rsidR="00D12268" w:rsidRPr="003816D8" w:rsidRDefault="00D12268" w:rsidP="008B6FC0">
            <w:pPr>
              <w:pStyle w:val="Tabletext1"/>
              <w:keepNext/>
              <w:jc w:val="center"/>
              <w:rPr>
                <w:rFonts w:cs="Calibri"/>
              </w:rPr>
            </w:pPr>
            <w:r w:rsidRPr="00712D2E">
              <w:t>66716</w:t>
            </w:r>
          </w:p>
        </w:tc>
        <w:tc>
          <w:tcPr>
            <w:tcW w:w="830" w:type="pct"/>
            <w:vAlign w:val="center"/>
          </w:tcPr>
          <w:p w14:paraId="0D747B20" w14:textId="185261AB" w:rsidR="00D12268" w:rsidRPr="003816D8" w:rsidRDefault="00D12268" w:rsidP="008B6FC0">
            <w:pPr>
              <w:pStyle w:val="Tabletext1"/>
              <w:keepNext/>
              <w:jc w:val="center"/>
              <w:rPr>
                <w:snapToGrid w:val="0"/>
                <w:lang w:eastAsia="en-US"/>
              </w:rPr>
            </w:pPr>
            <w:r w:rsidRPr="00863780">
              <w:t>$21.30</w:t>
            </w:r>
          </w:p>
        </w:tc>
      </w:tr>
      <w:tr w:rsidR="00D12268" w:rsidRPr="00F77E8D" w14:paraId="2CBAEDC8" w14:textId="77777777" w:rsidTr="00E3175C">
        <w:tc>
          <w:tcPr>
            <w:tcW w:w="1429" w:type="pct"/>
          </w:tcPr>
          <w:p w14:paraId="5B95439E" w14:textId="77777777" w:rsidR="00D12268" w:rsidRPr="003816D8" w:rsidRDefault="00D12268" w:rsidP="00556AB6">
            <w:pPr>
              <w:pStyle w:val="Tabletext1"/>
              <w:rPr>
                <w:snapToGrid w:val="0"/>
                <w:lang w:eastAsia="en-US"/>
              </w:rPr>
            </w:pPr>
            <w:r w:rsidRPr="00C648DC">
              <w:t>Abdominal X-Ray</w:t>
            </w:r>
          </w:p>
        </w:tc>
        <w:tc>
          <w:tcPr>
            <w:tcW w:w="843" w:type="pct"/>
            <w:vAlign w:val="center"/>
          </w:tcPr>
          <w:p w14:paraId="084FF851" w14:textId="77777777" w:rsidR="00D12268" w:rsidRPr="003816D8" w:rsidRDefault="00D12268" w:rsidP="006D1459">
            <w:pPr>
              <w:pStyle w:val="Tabletext1"/>
              <w:jc w:val="center"/>
              <w:rPr>
                <w:snapToGrid w:val="0"/>
                <w:lang w:eastAsia="en-US"/>
              </w:rPr>
            </w:pPr>
            <w:r w:rsidRPr="005443B5">
              <w:t>1</w:t>
            </w:r>
          </w:p>
        </w:tc>
        <w:tc>
          <w:tcPr>
            <w:tcW w:w="716" w:type="pct"/>
            <w:vAlign w:val="center"/>
          </w:tcPr>
          <w:p w14:paraId="7EF5EED3" w14:textId="732E3DEC" w:rsidR="00D12268" w:rsidRPr="003816D8" w:rsidRDefault="00D12268" w:rsidP="006D1459">
            <w:pPr>
              <w:pStyle w:val="Tabletext1"/>
              <w:jc w:val="center"/>
            </w:pPr>
            <w:r w:rsidRPr="00B9441B">
              <w:t>$30.85</w:t>
            </w:r>
          </w:p>
        </w:tc>
        <w:tc>
          <w:tcPr>
            <w:tcW w:w="1182" w:type="pct"/>
            <w:vAlign w:val="center"/>
          </w:tcPr>
          <w:p w14:paraId="3BD805B8" w14:textId="77777777" w:rsidR="00D12268" w:rsidRPr="003816D8" w:rsidRDefault="00D12268" w:rsidP="006D1459">
            <w:pPr>
              <w:pStyle w:val="Tabletext1"/>
              <w:jc w:val="center"/>
              <w:rPr>
                <w:rFonts w:cs="Calibri"/>
              </w:rPr>
            </w:pPr>
            <w:r w:rsidRPr="00712D2E">
              <w:t>58900</w:t>
            </w:r>
          </w:p>
        </w:tc>
        <w:tc>
          <w:tcPr>
            <w:tcW w:w="830" w:type="pct"/>
            <w:vAlign w:val="center"/>
          </w:tcPr>
          <w:p w14:paraId="6960416D" w14:textId="3C9191D6" w:rsidR="00D12268" w:rsidRPr="003816D8" w:rsidRDefault="00D12268" w:rsidP="006D1459">
            <w:pPr>
              <w:pStyle w:val="Tabletext1"/>
              <w:jc w:val="center"/>
              <w:rPr>
                <w:snapToGrid w:val="0"/>
                <w:lang w:eastAsia="en-US"/>
              </w:rPr>
            </w:pPr>
            <w:r w:rsidRPr="00863780">
              <w:t>$30.85</w:t>
            </w:r>
          </w:p>
        </w:tc>
      </w:tr>
      <w:tr w:rsidR="00D12268" w:rsidRPr="00F77E8D" w14:paraId="396E03EB" w14:textId="77777777" w:rsidTr="00E3175C">
        <w:tc>
          <w:tcPr>
            <w:tcW w:w="1429" w:type="pct"/>
          </w:tcPr>
          <w:p w14:paraId="1A40DCD0" w14:textId="77777777" w:rsidR="00D12268" w:rsidRPr="003816D8" w:rsidRDefault="00D12268" w:rsidP="00556AB6">
            <w:pPr>
              <w:pStyle w:val="Tabletext1"/>
              <w:rPr>
                <w:snapToGrid w:val="0"/>
                <w:lang w:eastAsia="en-US"/>
              </w:rPr>
            </w:pPr>
            <w:r w:rsidRPr="00C648DC">
              <w:t>Magnesium Citrate</w:t>
            </w:r>
          </w:p>
        </w:tc>
        <w:tc>
          <w:tcPr>
            <w:tcW w:w="843" w:type="pct"/>
            <w:vAlign w:val="center"/>
          </w:tcPr>
          <w:p w14:paraId="4563D228" w14:textId="77777777" w:rsidR="00D12268" w:rsidRPr="003816D8" w:rsidRDefault="00D12268" w:rsidP="006D1459">
            <w:pPr>
              <w:pStyle w:val="Tabletext1"/>
              <w:jc w:val="center"/>
              <w:rPr>
                <w:snapToGrid w:val="0"/>
                <w:lang w:eastAsia="en-US"/>
              </w:rPr>
            </w:pPr>
            <w:r w:rsidRPr="005443B5">
              <w:t>50</w:t>
            </w:r>
          </w:p>
        </w:tc>
        <w:tc>
          <w:tcPr>
            <w:tcW w:w="716" w:type="pct"/>
            <w:vAlign w:val="center"/>
          </w:tcPr>
          <w:p w14:paraId="21822405" w14:textId="57E29E00" w:rsidR="00D12268" w:rsidRPr="003816D8" w:rsidRDefault="00D12268" w:rsidP="006D1459">
            <w:pPr>
              <w:pStyle w:val="Tabletext1"/>
              <w:jc w:val="center"/>
            </w:pPr>
            <w:r w:rsidRPr="00B9441B">
              <w:t>$18.04</w:t>
            </w:r>
          </w:p>
        </w:tc>
        <w:tc>
          <w:tcPr>
            <w:tcW w:w="1182" w:type="pct"/>
            <w:vAlign w:val="center"/>
          </w:tcPr>
          <w:p w14:paraId="18ACA557" w14:textId="77777777" w:rsidR="00D12268" w:rsidRPr="003816D8" w:rsidRDefault="00D12268" w:rsidP="006D1459">
            <w:pPr>
              <w:pStyle w:val="Tabletext1"/>
              <w:jc w:val="center"/>
              <w:rPr>
                <w:rFonts w:cs="Calibri"/>
              </w:rPr>
            </w:pPr>
            <w:r w:rsidRPr="00712D2E">
              <w:t>4321K</w:t>
            </w:r>
          </w:p>
        </w:tc>
        <w:tc>
          <w:tcPr>
            <w:tcW w:w="830" w:type="pct"/>
            <w:vAlign w:val="center"/>
          </w:tcPr>
          <w:p w14:paraId="324FC60F" w14:textId="0CDD9C06" w:rsidR="00D12268" w:rsidRPr="003816D8" w:rsidRDefault="00D12268" w:rsidP="006D1459">
            <w:pPr>
              <w:pStyle w:val="Tabletext1"/>
              <w:jc w:val="center"/>
              <w:rPr>
                <w:snapToGrid w:val="0"/>
                <w:lang w:eastAsia="en-US"/>
              </w:rPr>
            </w:pPr>
            <w:r w:rsidRPr="00863780">
              <w:t>$131.69</w:t>
            </w:r>
          </w:p>
        </w:tc>
      </w:tr>
      <w:tr w:rsidR="00D12268" w:rsidRPr="00F77E8D" w14:paraId="4C4A1785" w14:textId="77777777" w:rsidTr="00E3175C">
        <w:tc>
          <w:tcPr>
            <w:tcW w:w="1429" w:type="pct"/>
          </w:tcPr>
          <w:p w14:paraId="4C991960" w14:textId="77777777" w:rsidR="00D12268" w:rsidRPr="003816D8" w:rsidRDefault="00D12268" w:rsidP="00556AB6">
            <w:pPr>
              <w:pStyle w:val="Tabletext1"/>
              <w:rPr>
                <w:snapToGrid w:val="0"/>
                <w:lang w:eastAsia="en-US"/>
              </w:rPr>
            </w:pPr>
            <w:r w:rsidRPr="00C648DC">
              <w:t>Psyllium Powder</w:t>
            </w:r>
          </w:p>
        </w:tc>
        <w:tc>
          <w:tcPr>
            <w:tcW w:w="843" w:type="pct"/>
            <w:vAlign w:val="center"/>
          </w:tcPr>
          <w:p w14:paraId="286F4AE6" w14:textId="77777777" w:rsidR="00D12268" w:rsidRPr="003816D8" w:rsidRDefault="00D12268" w:rsidP="006D1459">
            <w:pPr>
              <w:pStyle w:val="Tabletext1"/>
              <w:jc w:val="center"/>
              <w:rPr>
                <w:snapToGrid w:val="0"/>
                <w:lang w:eastAsia="en-US"/>
              </w:rPr>
            </w:pPr>
            <w:r w:rsidRPr="005443B5">
              <w:t>10</w:t>
            </w:r>
          </w:p>
        </w:tc>
        <w:tc>
          <w:tcPr>
            <w:tcW w:w="716" w:type="pct"/>
            <w:vAlign w:val="center"/>
          </w:tcPr>
          <w:p w14:paraId="509916EC" w14:textId="10C98F3F" w:rsidR="00D12268" w:rsidRPr="003816D8" w:rsidRDefault="00D12268" w:rsidP="006D1459">
            <w:pPr>
              <w:pStyle w:val="Tabletext1"/>
              <w:jc w:val="center"/>
            </w:pPr>
            <w:r w:rsidRPr="00B9441B">
              <w:t>$25.28</w:t>
            </w:r>
          </w:p>
        </w:tc>
        <w:tc>
          <w:tcPr>
            <w:tcW w:w="1182" w:type="pct"/>
            <w:vAlign w:val="center"/>
          </w:tcPr>
          <w:p w14:paraId="1C112C82" w14:textId="77777777" w:rsidR="00D12268" w:rsidRPr="003816D8" w:rsidRDefault="00D12268" w:rsidP="006D1459">
            <w:pPr>
              <w:pStyle w:val="Tabletext1"/>
              <w:jc w:val="center"/>
              <w:rPr>
                <w:rFonts w:cs="Calibri"/>
              </w:rPr>
            </w:pPr>
            <w:r w:rsidRPr="00712D2E">
              <w:t>4422R</w:t>
            </w:r>
          </w:p>
        </w:tc>
        <w:tc>
          <w:tcPr>
            <w:tcW w:w="830" w:type="pct"/>
            <w:vAlign w:val="center"/>
          </w:tcPr>
          <w:p w14:paraId="59E549B9" w14:textId="69777AC6" w:rsidR="00D12268" w:rsidRPr="003816D8" w:rsidRDefault="00D12268" w:rsidP="006D1459">
            <w:pPr>
              <w:pStyle w:val="Tabletext1"/>
              <w:jc w:val="center"/>
              <w:rPr>
                <w:snapToGrid w:val="0"/>
                <w:lang w:eastAsia="en-US"/>
              </w:rPr>
            </w:pPr>
            <w:r w:rsidRPr="00863780">
              <w:t>$252.80</w:t>
            </w:r>
          </w:p>
        </w:tc>
      </w:tr>
      <w:tr w:rsidR="00D12268" w:rsidRPr="00F77E8D" w14:paraId="0343EBD7" w14:textId="77777777" w:rsidTr="00E3175C">
        <w:tc>
          <w:tcPr>
            <w:tcW w:w="1429" w:type="pct"/>
          </w:tcPr>
          <w:p w14:paraId="517536F0" w14:textId="77777777" w:rsidR="00D12268" w:rsidRPr="003816D8" w:rsidRDefault="00D12268" w:rsidP="00556AB6">
            <w:pPr>
              <w:pStyle w:val="Tabletext1"/>
              <w:rPr>
                <w:snapToGrid w:val="0"/>
                <w:lang w:eastAsia="en-US"/>
              </w:rPr>
            </w:pPr>
            <w:r w:rsidRPr="00C648DC">
              <w:t>Dietician consult</w:t>
            </w:r>
          </w:p>
        </w:tc>
        <w:tc>
          <w:tcPr>
            <w:tcW w:w="843" w:type="pct"/>
            <w:vAlign w:val="center"/>
          </w:tcPr>
          <w:p w14:paraId="18C96510" w14:textId="77777777" w:rsidR="00D12268" w:rsidRPr="003816D8" w:rsidRDefault="00D12268" w:rsidP="006D1459">
            <w:pPr>
              <w:pStyle w:val="Tabletext1"/>
              <w:jc w:val="center"/>
              <w:rPr>
                <w:snapToGrid w:val="0"/>
                <w:lang w:eastAsia="en-US"/>
              </w:rPr>
            </w:pPr>
            <w:r w:rsidRPr="005443B5">
              <w:t>1</w:t>
            </w:r>
          </w:p>
        </w:tc>
        <w:tc>
          <w:tcPr>
            <w:tcW w:w="716" w:type="pct"/>
            <w:vAlign w:val="center"/>
          </w:tcPr>
          <w:p w14:paraId="0136E26B" w14:textId="56A26B0D" w:rsidR="00D12268" w:rsidRPr="003816D8" w:rsidRDefault="00D12268" w:rsidP="006D1459">
            <w:pPr>
              <w:pStyle w:val="Tabletext1"/>
              <w:jc w:val="center"/>
            </w:pPr>
            <w:r w:rsidRPr="00B9441B">
              <w:t>$54.60</w:t>
            </w:r>
          </w:p>
        </w:tc>
        <w:tc>
          <w:tcPr>
            <w:tcW w:w="1182" w:type="pct"/>
            <w:vAlign w:val="center"/>
          </w:tcPr>
          <w:p w14:paraId="3198E0EA" w14:textId="77777777" w:rsidR="00D12268" w:rsidRPr="003816D8" w:rsidRDefault="00D12268" w:rsidP="006D1459">
            <w:pPr>
              <w:pStyle w:val="Tabletext1"/>
              <w:jc w:val="center"/>
              <w:rPr>
                <w:rFonts w:cs="Calibri"/>
              </w:rPr>
            </w:pPr>
            <w:r w:rsidRPr="00712D2E">
              <w:t>10954</w:t>
            </w:r>
          </w:p>
        </w:tc>
        <w:tc>
          <w:tcPr>
            <w:tcW w:w="830" w:type="pct"/>
            <w:vAlign w:val="center"/>
          </w:tcPr>
          <w:p w14:paraId="50F933C5" w14:textId="67D647E2" w:rsidR="00D12268" w:rsidRPr="003816D8" w:rsidRDefault="00D12268" w:rsidP="006D1459">
            <w:pPr>
              <w:pStyle w:val="Tabletext1"/>
              <w:jc w:val="center"/>
              <w:rPr>
                <w:snapToGrid w:val="0"/>
                <w:lang w:eastAsia="en-US"/>
              </w:rPr>
            </w:pPr>
            <w:r w:rsidRPr="00863780">
              <w:t>$54.60</w:t>
            </w:r>
          </w:p>
        </w:tc>
      </w:tr>
      <w:tr w:rsidR="00D12268" w:rsidRPr="00F77E8D" w14:paraId="68628078" w14:textId="77777777" w:rsidTr="00E3175C">
        <w:tc>
          <w:tcPr>
            <w:tcW w:w="1429" w:type="pct"/>
          </w:tcPr>
          <w:p w14:paraId="5FBB5C0A" w14:textId="77777777" w:rsidR="00D12268" w:rsidRPr="00EE74F4" w:rsidRDefault="00D12268" w:rsidP="00556AB6">
            <w:pPr>
              <w:pStyle w:val="Tabletext1"/>
              <w:rPr>
                <w:b/>
                <w:snapToGrid w:val="0"/>
                <w:lang w:eastAsia="en-US"/>
              </w:rPr>
            </w:pPr>
            <w:r w:rsidRPr="00EE74F4">
              <w:rPr>
                <w:b/>
              </w:rPr>
              <w:t>Anal Pain</w:t>
            </w:r>
          </w:p>
        </w:tc>
        <w:tc>
          <w:tcPr>
            <w:tcW w:w="843" w:type="pct"/>
            <w:vAlign w:val="center"/>
          </w:tcPr>
          <w:p w14:paraId="31C6C9AC" w14:textId="77777777" w:rsidR="00D12268" w:rsidRPr="003816D8" w:rsidRDefault="00D12268" w:rsidP="006D1459">
            <w:pPr>
              <w:pStyle w:val="Tabletext1"/>
              <w:jc w:val="center"/>
              <w:rPr>
                <w:snapToGrid w:val="0"/>
                <w:lang w:eastAsia="en-US"/>
              </w:rPr>
            </w:pPr>
          </w:p>
        </w:tc>
        <w:tc>
          <w:tcPr>
            <w:tcW w:w="716" w:type="pct"/>
            <w:vAlign w:val="center"/>
          </w:tcPr>
          <w:p w14:paraId="32339464" w14:textId="77777777" w:rsidR="00D12268" w:rsidRPr="003816D8" w:rsidRDefault="00D12268" w:rsidP="006D1459">
            <w:pPr>
              <w:pStyle w:val="Tabletext1"/>
              <w:jc w:val="center"/>
            </w:pPr>
          </w:p>
        </w:tc>
        <w:tc>
          <w:tcPr>
            <w:tcW w:w="1182" w:type="pct"/>
            <w:vAlign w:val="center"/>
          </w:tcPr>
          <w:p w14:paraId="7FD0900C" w14:textId="77777777" w:rsidR="00D12268" w:rsidRPr="003816D8" w:rsidRDefault="00D12268" w:rsidP="006D1459">
            <w:pPr>
              <w:pStyle w:val="Tabletext1"/>
              <w:jc w:val="center"/>
              <w:rPr>
                <w:rFonts w:cs="Calibri"/>
              </w:rPr>
            </w:pPr>
          </w:p>
        </w:tc>
        <w:tc>
          <w:tcPr>
            <w:tcW w:w="830" w:type="pct"/>
            <w:vAlign w:val="center"/>
          </w:tcPr>
          <w:p w14:paraId="7F3326C0" w14:textId="77777777" w:rsidR="00D12268" w:rsidRPr="00D72D17" w:rsidRDefault="00D12268" w:rsidP="006D1459">
            <w:pPr>
              <w:pStyle w:val="Tabletext1"/>
              <w:jc w:val="center"/>
              <w:rPr>
                <w:b/>
                <w:snapToGrid w:val="0"/>
                <w:lang w:eastAsia="en-US"/>
              </w:rPr>
            </w:pPr>
            <w:r w:rsidRPr="00D72D17">
              <w:rPr>
                <w:b/>
                <w:snapToGrid w:val="0"/>
                <w:lang w:eastAsia="en-US"/>
              </w:rPr>
              <w:t>$841.10</w:t>
            </w:r>
          </w:p>
        </w:tc>
      </w:tr>
      <w:tr w:rsidR="00D12268" w:rsidRPr="00F77E8D" w14:paraId="0AC0D5D3" w14:textId="77777777" w:rsidTr="00E3175C">
        <w:tc>
          <w:tcPr>
            <w:tcW w:w="1429" w:type="pct"/>
          </w:tcPr>
          <w:p w14:paraId="25E76B04" w14:textId="77777777" w:rsidR="00D12268" w:rsidRPr="003816D8" w:rsidRDefault="00D12268" w:rsidP="00556AB6">
            <w:pPr>
              <w:pStyle w:val="Tabletext1"/>
              <w:rPr>
                <w:snapToGrid w:val="0"/>
                <w:lang w:eastAsia="en-US"/>
              </w:rPr>
            </w:pPr>
            <w:r w:rsidRPr="00A24E33">
              <w:t>Cost of outpatient visit - GP</w:t>
            </w:r>
          </w:p>
        </w:tc>
        <w:tc>
          <w:tcPr>
            <w:tcW w:w="843" w:type="pct"/>
            <w:vAlign w:val="center"/>
          </w:tcPr>
          <w:p w14:paraId="3A012FC0" w14:textId="77777777" w:rsidR="00D12268" w:rsidRPr="003816D8" w:rsidRDefault="00D12268" w:rsidP="006D1459">
            <w:pPr>
              <w:pStyle w:val="Tabletext1"/>
              <w:jc w:val="center"/>
              <w:rPr>
                <w:snapToGrid w:val="0"/>
                <w:lang w:eastAsia="en-US"/>
              </w:rPr>
            </w:pPr>
            <w:r w:rsidRPr="0052240E">
              <w:t>3</w:t>
            </w:r>
          </w:p>
        </w:tc>
        <w:tc>
          <w:tcPr>
            <w:tcW w:w="716" w:type="pct"/>
            <w:vAlign w:val="center"/>
          </w:tcPr>
          <w:p w14:paraId="5A91B489" w14:textId="21B0930A" w:rsidR="00D12268" w:rsidRPr="003816D8" w:rsidRDefault="00D12268" w:rsidP="006D1459">
            <w:pPr>
              <w:pStyle w:val="Tabletext1"/>
              <w:jc w:val="center"/>
            </w:pPr>
            <w:r w:rsidRPr="00862ACA">
              <w:t>$38.75</w:t>
            </w:r>
          </w:p>
        </w:tc>
        <w:tc>
          <w:tcPr>
            <w:tcW w:w="1182" w:type="pct"/>
            <w:vAlign w:val="center"/>
          </w:tcPr>
          <w:p w14:paraId="22C7D92B" w14:textId="77777777" w:rsidR="00D12268" w:rsidRPr="003816D8" w:rsidRDefault="00D12268" w:rsidP="006D1459">
            <w:pPr>
              <w:pStyle w:val="Tabletext1"/>
              <w:jc w:val="center"/>
              <w:rPr>
                <w:rFonts w:cs="Calibri"/>
              </w:rPr>
            </w:pPr>
            <w:r w:rsidRPr="008F3F9A">
              <w:t>23</w:t>
            </w:r>
          </w:p>
        </w:tc>
        <w:tc>
          <w:tcPr>
            <w:tcW w:w="830" w:type="pct"/>
            <w:vAlign w:val="center"/>
          </w:tcPr>
          <w:p w14:paraId="67E30196" w14:textId="07D65745" w:rsidR="00D12268" w:rsidRPr="003816D8" w:rsidRDefault="00D12268" w:rsidP="006D1459">
            <w:pPr>
              <w:pStyle w:val="Tabletext1"/>
              <w:jc w:val="center"/>
              <w:rPr>
                <w:snapToGrid w:val="0"/>
                <w:lang w:eastAsia="en-US"/>
              </w:rPr>
            </w:pPr>
            <w:r w:rsidRPr="00FA463C">
              <w:t>$116.25</w:t>
            </w:r>
          </w:p>
        </w:tc>
      </w:tr>
      <w:tr w:rsidR="00D12268" w:rsidRPr="00F77E8D" w14:paraId="4A5C0BC5" w14:textId="77777777" w:rsidTr="00E3175C">
        <w:tc>
          <w:tcPr>
            <w:tcW w:w="1429" w:type="pct"/>
          </w:tcPr>
          <w:p w14:paraId="22D7BC92" w14:textId="77777777" w:rsidR="00D12268" w:rsidRPr="003816D8" w:rsidRDefault="00D12268" w:rsidP="00556AB6">
            <w:pPr>
              <w:pStyle w:val="Tabletext1"/>
              <w:rPr>
                <w:snapToGrid w:val="0"/>
                <w:lang w:eastAsia="en-US"/>
              </w:rPr>
            </w:pPr>
            <w:r w:rsidRPr="00A24E33">
              <w:t xml:space="preserve">Cost of outpatient visit - specialist </w:t>
            </w:r>
          </w:p>
        </w:tc>
        <w:tc>
          <w:tcPr>
            <w:tcW w:w="843" w:type="pct"/>
            <w:vAlign w:val="center"/>
          </w:tcPr>
          <w:p w14:paraId="4969FA5D" w14:textId="77777777" w:rsidR="00D12268" w:rsidRPr="003816D8" w:rsidRDefault="00D12268" w:rsidP="006D1459">
            <w:pPr>
              <w:pStyle w:val="Tabletext1"/>
              <w:jc w:val="center"/>
              <w:rPr>
                <w:snapToGrid w:val="0"/>
                <w:lang w:eastAsia="en-US"/>
              </w:rPr>
            </w:pPr>
            <w:r w:rsidRPr="0052240E">
              <w:t>3</w:t>
            </w:r>
          </w:p>
        </w:tc>
        <w:tc>
          <w:tcPr>
            <w:tcW w:w="716" w:type="pct"/>
            <w:vAlign w:val="center"/>
          </w:tcPr>
          <w:p w14:paraId="01B6AD03" w14:textId="2D7BABEB" w:rsidR="00D12268" w:rsidRPr="003816D8" w:rsidRDefault="00D12268" w:rsidP="006D1459">
            <w:pPr>
              <w:pStyle w:val="Tabletext1"/>
              <w:jc w:val="center"/>
            </w:pPr>
            <w:r w:rsidRPr="00862ACA">
              <w:t>$45.00</w:t>
            </w:r>
          </w:p>
        </w:tc>
        <w:tc>
          <w:tcPr>
            <w:tcW w:w="1182" w:type="pct"/>
            <w:vAlign w:val="center"/>
          </w:tcPr>
          <w:p w14:paraId="5817FCCB" w14:textId="77777777" w:rsidR="00D12268" w:rsidRPr="003816D8" w:rsidRDefault="00D12268" w:rsidP="006D1459">
            <w:pPr>
              <w:pStyle w:val="Tabletext1"/>
              <w:jc w:val="center"/>
              <w:rPr>
                <w:rFonts w:cs="Calibri"/>
              </w:rPr>
            </w:pPr>
            <w:r w:rsidRPr="008F3F9A">
              <w:t>105</w:t>
            </w:r>
          </w:p>
        </w:tc>
        <w:tc>
          <w:tcPr>
            <w:tcW w:w="830" w:type="pct"/>
            <w:vAlign w:val="center"/>
          </w:tcPr>
          <w:p w14:paraId="2B49D423" w14:textId="345B50F5" w:rsidR="00D12268" w:rsidRPr="003816D8" w:rsidRDefault="00D12268" w:rsidP="006D1459">
            <w:pPr>
              <w:pStyle w:val="Tabletext1"/>
              <w:jc w:val="center"/>
              <w:rPr>
                <w:snapToGrid w:val="0"/>
                <w:lang w:eastAsia="en-US"/>
              </w:rPr>
            </w:pPr>
            <w:r w:rsidRPr="00FA463C">
              <w:t>$135.00</w:t>
            </w:r>
          </w:p>
        </w:tc>
      </w:tr>
      <w:tr w:rsidR="00D12268" w:rsidRPr="00F77E8D" w14:paraId="11A30F84" w14:textId="77777777" w:rsidTr="00E3175C">
        <w:tc>
          <w:tcPr>
            <w:tcW w:w="1429" w:type="pct"/>
          </w:tcPr>
          <w:p w14:paraId="483C623A" w14:textId="77777777" w:rsidR="00D12268" w:rsidRPr="003816D8" w:rsidRDefault="00D12268" w:rsidP="00556AB6">
            <w:pPr>
              <w:pStyle w:val="Tabletext1"/>
              <w:rPr>
                <w:snapToGrid w:val="0"/>
                <w:lang w:eastAsia="en-US"/>
              </w:rPr>
            </w:pPr>
            <w:r w:rsidRPr="00A24E33">
              <w:t>Anoscopy (Used Colonoscopy instead)</w:t>
            </w:r>
          </w:p>
        </w:tc>
        <w:tc>
          <w:tcPr>
            <w:tcW w:w="843" w:type="pct"/>
            <w:vAlign w:val="center"/>
          </w:tcPr>
          <w:p w14:paraId="4F9126DB" w14:textId="77777777" w:rsidR="00D12268" w:rsidRPr="003816D8" w:rsidRDefault="00D12268" w:rsidP="006D1459">
            <w:pPr>
              <w:pStyle w:val="Tabletext1"/>
              <w:jc w:val="center"/>
              <w:rPr>
                <w:snapToGrid w:val="0"/>
                <w:lang w:eastAsia="en-US"/>
              </w:rPr>
            </w:pPr>
            <w:r w:rsidRPr="0052240E">
              <w:t>1</w:t>
            </w:r>
          </w:p>
        </w:tc>
        <w:tc>
          <w:tcPr>
            <w:tcW w:w="716" w:type="pct"/>
            <w:vAlign w:val="center"/>
          </w:tcPr>
          <w:p w14:paraId="0E8C8CF5" w14:textId="0B4AE76C" w:rsidR="00D12268" w:rsidRPr="003816D8" w:rsidRDefault="00D12268" w:rsidP="006D1459">
            <w:pPr>
              <w:pStyle w:val="Tabletext1"/>
              <w:jc w:val="center"/>
            </w:pPr>
            <w:r w:rsidRPr="00862ACA">
              <w:t>$97.65</w:t>
            </w:r>
          </w:p>
        </w:tc>
        <w:tc>
          <w:tcPr>
            <w:tcW w:w="1182" w:type="pct"/>
            <w:vAlign w:val="center"/>
          </w:tcPr>
          <w:p w14:paraId="41084DF9" w14:textId="77777777" w:rsidR="00D12268" w:rsidRPr="003816D8" w:rsidRDefault="00D12268" w:rsidP="006D1459">
            <w:pPr>
              <w:pStyle w:val="Tabletext1"/>
              <w:jc w:val="center"/>
              <w:rPr>
                <w:rFonts w:cs="Calibri"/>
              </w:rPr>
            </w:pPr>
            <w:r w:rsidRPr="008F3F9A">
              <w:t>32084</w:t>
            </w:r>
          </w:p>
        </w:tc>
        <w:tc>
          <w:tcPr>
            <w:tcW w:w="830" w:type="pct"/>
            <w:vAlign w:val="center"/>
          </w:tcPr>
          <w:p w14:paraId="76A4216B" w14:textId="4369BB52" w:rsidR="00D12268" w:rsidRPr="003816D8" w:rsidRDefault="00D12268" w:rsidP="006D1459">
            <w:pPr>
              <w:pStyle w:val="Tabletext1"/>
              <w:jc w:val="center"/>
              <w:rPr>
                <w:rFonts w:cs="Calibri"/>
              </w:rPr>
            </w:pPr>
            <w:r w:rsidRPr="00FA463C">
              <w:t>$97.65</w:t>
            </w:r>
          </w:p>
        </w:tc>
      </w:tr>
      <w:tr w:rsidR="00D12268" w:rsidRPr="00F77E8D" w14:paraId="022FA64A" w14:textId="77777777" w:rsidTr="00E3175C">
        <w:tc>
          <w:tcPr>
            <w:tcW w:w="1429" w:type="pct"/>
          </w:tcPr>
          <w:p w14:paraId="3797085B" w14:textId="77777777" w:rsidR="00D12268" w:rsidRPr="003816D8" w:rsidRDefault="00D12268" w:rsidP="00556AB6">
            <w:pPr>
              <w:pStyle w:val="Tabletext1"/>
              <w:rPr>
                <w:snapToGrid w:val="0"/>
                <w:lang w:eastAsia="en-US"/>
              </w:rPr>
            </w:pPr>
            <w:r w:rsidRPr="00A24E33">
              <w:t>Psyllium Powder</w:t>
            </w:r>
          </w:p>
        </w:tc>
        <w:tc>
          <w:tcPr>
            <w:tcW w:w="843" w:type="pct"/>
            <w:vAlign w:val="center"/>
          </w:tcPr>
          <w:p w14:paraId="382856E3" w14:textId="77777777" w:rsidR="00D12268" w:rsidRPr="003816D8" w:rsidRDefault="00D12268" w:rsidP="006D1459">
            <w:pPr>
              <w:pStyle w:val="Tabletext1"/>
              <w:jc w:val="center"/>
              <w:rPr>
                <w:snapToGrid w:val="0"/>
                <w:lang w:eastAsia="en-US"/>
              </w:rPr>
            </w:pPr>
            <w:r w:rsidRPr="0052240E">
              <w:t>10</w:t>
            </w:r>
          </w:p>
        </w:tc>
        <w:tc>
          <w:tcPr>
            <w:tcW w:w="716" w:type="pct"/>
            <w:vAlign w:val="center"/>
          </w:tcPr>
          <w:p w14:paraId="7E9A1568" w14:textId="317171D1" w:rsidR="00D12268" w:rsidRPr="003816D8" w:rsidRDefault="00D12268" w:rsidP="006D1459">
            <w:pPr>
              <w:pStyle w:val="Tabletext1"/>
              <w:jc w:val="center"/>
            </w:pPr>
            <w:r w:rsidRPr="00862ACA">
              <w:t>$25.28</w:t>
            </w:r>
          </w:p>
        </w:tc>
        <w:tc>
          <w:tcPr>
            <w:tcW w:w="1182" w:type="pct"/>
            <w:vAlign w:val="center"/>
          </w:tcPr>
          <w:p w14:paraId="783439E7" w14:textId="77777777" w:rsidR="00D12268" w:rsidRPr="003816D8" w:rsidRDefault="00D12268" w:rsidP="006D1459">
            <w:pPr>
              <w:pStyle w:val="Tabletext1"/>
              <w:jc w:val="center"/>
              <w:rPr>
                <w:rFonts w:cs="Calibri"/>
              </w:rPr>
            </w:pPr>
            <w:r w:rsidRPr="008F3F9A">
              <w:t>4422R</w:t>
            </w:r>
          </w:p>
        </w:tc>
        <w:tc>
          <w:tcPr>
            <w:tcW w:w="830" w:type="pct"/>
            <w:vAlign w:val="center"/>
          </w:tcPr>
          <w:p w14:paraId="069E4E54" w14:textId="669B70F7" w:rsidR="00D12268" w:rsidRPr="003816D8" w:rsidRDefault="00D12268" w:rsidP="006D1459">
            <w:pPr>
              <w:pStyle w:val="Tabletext1"/>
              <w:jc w:val="center"/>
              <w:rPr>
                <w:rFonts w:cs="Calibri"/>
              </w:rPr>
            </w:pPr>
            <w:r w:rsidRPr="00FA463C">
              <w:t>$252.80</w:t>
            </w:r>
          </w:p>
        </w:tc>
      </w:tr>
      <w:tr w:rsidR="00D12268" w:rsidRPr="00F77E8D" w14:paraId="72C70303" w14:textId="77777777" w:rsidTr="00E3175C">
        <w:tc>
          <w:tcPr>
            <w:tcW w:w="1429" w:type="pct"/>
          </w:tcPr>
          <w:p w14:paraId="790B1A14" w14:textId="77777777" w:rsidR="00D12268" w:rsidRPr="003816D8" w:rsidRDefault="00D12268" w:rsidP="00556AB6">
            <w:pPr>
              <w:pStyle w:val="Tabletext1"/>
              <w:rPr>
                <w:snapToGrid w:val="0"/>
                <w:lang w:eastAsia="en-US"/>
              </w:rPr>
            </w:pPr>
            <w:r w:rsidRPr="00A24E33">
              <w:t>Lidocaine tube</w:t>
            </w:r>
          </w:p>
        </w:tc>
        <w:tc>
          <w:tcPr>
            <w:tcW w:w="843" w:type="pct"/>
            <w:vAlign w:val="center"/>
          </w:tcPr>
          <w:p w14:paraId="39F4701F" w14:textId="77777777" w:rsidR="00D12268" w:rsidRPr="003816D8" w:rsidRDefault="00D12268" w:rsidP="006D1459">
            <w:pPr>
              <w:pStyle w:val="Tabletext1"/>
              <w:jc w:val="center"/>
              <w:rPr>
                <w:snapToGrid w:val="0"/>
                <w:lang w:eastAsia="en-US"/>
              </w:rPr>
            </w:pPr>
            <w:r w:rsidRPr="0052240E">
              <w:t>12</w:t>
            </w:r>
          </w:p>
        </w:tc>
        <w:tc>
          <w:tcPr>
            <w:tcW w:w="716" w:type="pct"/>
            <w:vAlign w:val="center"/>
          </w:tcPr>
          <w:p w14:paraId="717E3398" w14:textId="46725892" w:rsidR="00D12268" w:rsidRPr="003816D8" w:rsidRDefault="00D12268" w:rsidP="006D1459">
            <w:pPr>
              <w:pStyle w:val="Tabletext1"/>
              <w:jc w:val="center"/>
            </w:pPr>
            <w:r w:rsidRPr="00862ACA">
              <w:t>$19.95</w:t>
            </w:r>
          </w:p>
        </w:tc>
        <w:tc>
          <w:tcPr>
            <w:tcW w:w="1182" w:type="pct"/>
            <w:vAlign w:val="center"/>
          </w:tcPr>
          <w:p w14:paraId="118E425C" w14:textId="77777777" w:rsidR="00D12268" w:rsidRPr="003816D8" w:rsidRDefault="00D12268" w:rsidP="006D1459">
            <w:pPr>
              <w:pStyle w:val="Tabletext1"/>
              <w:jc w:val="center"/>
              <w:rPr>
                <w:rFonts w:cs="Calibri"/>
              </w:rPr>
            </w:pPr>
            <w:r>
              <w:t>-</w:t>
            </w:r>
          </w:p>
        </w:tc>
        <w:tc>
          <w:tcPr>
            <w:tcW w:w="830" w:type="pct"/>
            <w:vAlign w:val="center"/>
          </w:tcPr>
          <w:p w14:paraId="19948BE1" w14:textId="01B12D35" w:rsidR="00D12268" w:rsidRPr="003816D8" w:rsidRDefault="00D12268" w:rsidP="006D1459">
            <w:pPr>
              <w:pStyle w:val="Tabletext1"/>
              <w:jc w:val="center"/>
              <w:rPr>
                <w:rFonts w:cs="Calibri"/>
              </w:rPr>
            </w:pPr>
            <w:r w:rsidRPr="00FA463C">
              <w:t>$239.40</w:t>
            </w:r>
          </w:p>
        </w:tc>
      </w:tr>
      <w:tr w:rsidR="00D12268" w:rsidRPr="00F77E8D" w14:paraId="5C743095" w14:textId="77777777" w:rsidTr="00E3175C">
        <w:tc>
          <w:tcPr>
            <w:tcW w:w="1429" w:type="pct"/>
          </w:tcPr>
          <w:p w14:paraId="66B33572" w14:textId="77777777" w:rsidR="00D12268" w:rsidRPr="003816D8" w:rsidRDefault="00D12268" w:rsidP="00556AB6">
            <w:pPr>
              <w:pStyle w:val="Tabletext1"/>
              <w:rPr>
                <w:snapToGrid w:val="0"/>
                <w:lang w:eastAsia="en-US"/>
              </w:rPr>
            </w:pPr>
            <w:r>
              <w:rPr>
                <w:b/>
                <w:snapToGrid w:val="0"/>
                <w:lang w:eastAsia="en-US"/>
              </w:rPr>
              <w:t>Late GI toxicity grade 3 and +</w:t>
            </w:r>
          </w:p>
        </w:tc>
        <w:tc>
          <w:tcPr>
            <w:tcW w:w="843" w:type="pct"/>
            <w:vAlign w:val="center"/>
          </w:tcPr>
          <w:p w14:paraId="04163820" w14:textId="77777777" w:rsidR="00D12268" w:rsidRPr="003816D8" w:rsidRDefault="00D12268" w:rsidP="006D1459">
            <w:pPr>
              <w:pStyle w:val="Tabletext1"/>
              <w:jc w:val="center"/>
              <w:rPr>
                <w:snapToGrid w:val="0"/>
                <w:lang w:eastAsia="en-US"/>
              </w:rPr>
            </w:pPr>
          </w:p>
        </w:tc>
        <w:tc>
          <w:tcPr>
            <w:tcW w:w="716" w:type="pct"/>
            <w:vAlign w:val="center"/>
          </w:tcPr>
          <w:p w14:paraId="6373D1B4" w14:textId="77777777" w:rsidR="00D12268" w:rsidRPr="003816D8" w:rsidRDefault="00D12268" w:rsidP="006D1459">
            <w:pPr>
              <w:pStyle w:val="Tabletext1"/>
              <w:jc w:val="center"/>
            </w:pPr>
          </w:p>
        </w:tc>
        <w:tc>
          <w:tcPr>
            <w:tcW w:w="1182" w:type="pct"/>
            <w:vAlign w:val="center"/>
          </w:tcPr>
          <w:p w14:paraId="6D40DB6D" w14:textId="77777777" w:rsidR="00D12268" w:rsidRPr="003816D8" w:rsidRDefault="00D12268" w:rsidP="006D1459">
            <w:pPr>
              <w:pStyle w:val="Tabletext1"/>
              <w:jc w:val="center"/>
              <w:rPr>
                <w:rFonts w:cs="Calibri"/>
              </w:rPr>
            </w:pPr>
          </w:p>
        </w:tc>
        <w:tc>
          <w:tcPr>
            <w:tcW w:w="830" w:type="pct"/>
            <w:vAlign w:val="center"/>
          </w:tcPr>
          <w:p w14:paraId="6C2EDA28" w14:textId="77777777" w:rsidR="00D12268" w:rsidRPr="00AE37CD" w:rsidRDefault="00D12268" w:rsidP="006D1459">
            <w:pPr>
              <w:pStyle w:val="Tabletext1"/>
              <w:jc w:val="center"/>
              <w:rPr>
                <w:rFonts w:cs="Calibri"/>
                <w:b/>
              </w:rPr>
            </w:pPr>
            <w:r w:rsidRPr="00AE37CD">
              <w:rPr>
                <w:rFonts w:cs="Calibri"/>
                <w:b/>
              </w:rPr>
              <w:t>$4,058.81</w:t>
            </w:r>
          </w:p>
        </w:tc>
      </w:tr>
      <w:tr w:rsidR="00D12268" w:rsidRPr="00F77E8D" w14:paraId="0EAD4D35" w14:textId="77777777" w:rsidTr="00E3175C">
        <w:tc>
          <w:tcPr>
            <w:tcW w:w="1429" w:type="pct"/>
          </w:tcPr>
          <w:p w14:paraId="7078AE4D" w14:textId="77777777" w:rsidR="00D12268" w:rsidRPr="00D72D17" w:rsidRDefault="00D12268" w:rsidP="00556AB6">
            <w:pPr>
              <w:pStyle w:val="Tabletext1"/>
              <w:rPr>
                <w:b/>
                <w:snapToGrid w:val="0"/>
                <w:lang w:eastAsia="en-US"/>
              </w:rPr>
            </w:pPr>
            <w:r w:rsidRPr="00D72D17">
              <w:rPr>
                <w:b/>
              </w:rPr>
              <w:t>Diarrhea</w:t>
            </w:r>
          </w:p>
        </w:tc>
        <w:tc>
          <w:tcPr>
            <w:tcW w:w="843" w:type="pct"/>
            <w:vAlign w:val="center"/>
          </w:tcPr>
          <w:p w14:paraId="60C3A892" w14:textId="77777777" w:rsidR="00D12268" w:rsidRPr="003816D8" w:rsidRDefault="00D12268" w:rsidP="006D1459">
            <w:pPr>
              <w:pStyle w:val="Tabletext1"/>
              <w:jc w:val="center"/>
              <w:rPr>
                <w:snapToGrid w:val="0"/>
                <w:lang w:eastAsia="en-US"/>
              </w:rPr>
            </w:pPr>
          </w:p>
        </w:tc>
        <w:tc>
          <w:tcPr>
            <w:tcW w:w="716" w:type="pct"/>
            <w:vAlign w:val="center"/>
          </w:tcPr>
          <w:p w14:paraId="4D26D8C2" w14:textId="77777777" w:rsidR="00D12268" w:rsidRPr="003816D8" w:rsidRDefault="00D12268" w:rsidP="006D1459">
            <w:pPr>
              <w:pStyle w:val="Tabletext1"/>
              <w:jc w:val="center"/>
            </w:pPr>
          </w:p>
        </w:tc>
        <w:tc>
          <w:tcPr>
            <w:tcW w:w="1182" w:type="pct"/>
            <w:vAlign w:val="center"/>
          </w:tcPr>
          <w:p w14:paraId="66565DA5" w14:textId="77777777" w:rsidR="00D12268" w:rsidRPr="003816D8" w:rsidRDefault="00D12268" w:rsidP="006D1459">
            <w:pPr>
              <w:pStyle w:val="Tabletext1"/>
              <w:jc w:val="center"/>
              <w:rPr>
                <w:rFonts w:cs="Calibri"/>
              </w:rPr>
            </w:pPr>
          </w:p>
        </w:tc>
        <w:tc>
          <w:tcPr>
            <w:tcW w:w="830" w:type="pct"/>
            <w:vAlign w:val="center"/>
          </w:tcPr>
          <w:p w14:paraId="1A53749C" w14:textId="77777777" w:rsidR="00D12268" w:rsidRPr="00AE37CD" w:rsidRDefault="00D12268" w:rsidP="006D1459">
            <w:pPr>
              <w:pStyle w:val="Tabletext1"/>
              <w:jc w:val="center"/>
              <w:rPr>
                <w:rFonts w:cs="Calibri"/>
                <w:b/>
              </w:rPr>
            </w:pPr>
            <w:r w:rsidRPr="00AE37CD">
              <w:rPr>
                <w:b/>
              </w:rPr>
              <w:t>$3,275.03</w:t>
            </w:r>
          </w:p>
        </w:tc>
      </w:tr>
      <w:tr w:rsidR="00D12268" w:rsidRPr="00F77E8D" w14:paraId="5427B940" w14:textId="77777777" w:rsidTr="00E3175C">
        <w:tc>
          <w:tcPr>
            <w:tcW w:w="1429" w:type="pct"/>
          </w:tcPr>
          <w:p w14:paraId="29779723" w14:textId="77777777" w:rsidR="00D12268" w:rsidRPr="003816D8" w:rsidRDefault="00D12268" w:rsidP="00556AB6">
            <w:pPr>
              <w:pStyle w:val="Tabletext1"/>
              <w:rPr>
                <w:snapToGrid w:val="0"/>
                <w:lang w:eastAsia="en-US"/>
              </w:rPr>
            </w:pPr>
            <w:r w:rsidRPr="00A429E8">
              <w:t>Cost of outpatient visit - GP</w:t>
            </w:r>
          </w:p>
        </w:tc>
        <w:tc>
          <w:tcPr>
            <w:tcW w:w="843" w:type="pct"/>
            <w:vAlign w:val="center"/>
          </w:tcPr>
          <w:p w14:paraId="6BEDEBFC" w14:textId="77777777" w:rsidR="00D12268" w:rsidRPr="003816D8" w:rsidRDefault="00D12268" w:rsidP="006D1459">
            <w:pPr>
              <w:pStyle w:val="Tabletext1"/>
              <w:jc w:val="center"/>
              <w:rPr>
                <w:snapToGrid w:val="0"/>
                <w:lang w:eastAsia="en-US"/>
              </w:rPr>
            </w:pPr>
            <w:r w:rsidRPr="008D0710">
              <w:t>4</w:t>
            </w:r>
          </w:p>
        </w:tc>
        <w:tc>
          <w:tcPr>
            <w:tcW w:w="716" w:type="pct"/>
            <w:vAlign w:val="center"/>
          </w:tcPr>
          <w:p w14:paraId="21830D52" w14:textId="365E8BBB" w:rsidR="00D12268" w:rsidRPr="003816D8" w:rsidRDefault="00D12268" w:rsidP="006D1459">
            <w:pPr>
              <w:pStyle w:val="Tabletext1"/>
              <w:jc w:val="center"/>
            </w:pPr>
            <w:r w:rsidRPr="00245AE2">
              <w:t>$38.75</w:t>
            </w:r>
          </w:p>
        </w:tc>
        <w:tc>
          <w:tcPr>
            <w:tcW w:w="1182" w:type="pct"/>
            <w:vAlign w:val="center"/>
          </w:tcPr>
          <w:p w14:paraId="3BA2D67C" w14:textId="77777777" w:rsidR="00D12268" w:rsidRPr="003816D8" w:rsidRDefault="00D12268" w:rsidP="006D1459">
            <w:pPr>
              <w:pStyle w:val="Tabletext1"/>
              <w:jc w:val="center"/>
              <w:rPr>
                <w:rFonts w:cs="Calibri"/>
              </w:rPr>
            </w:pPr>
            <w:r w:rsidRPr="00CC49EF">
              <w:t>23</w:t>
            </w:r>
          </w:p>
        </w:tc>
        <w:tc>
          <w:tcPr>
            <w:tcW w:w="830" w:type="pct"/>
            <w:vAlign w:val="center"/>
          </w:tcPr>
          <w:p w14:paraId="710B28C3" w14:textId="3AF7731A" w:rsidR="00D12268" w:rsidRPr="003816D8" w:rsidRDefault="00D12268" w:rsidP="006D1459">
            <w:pPr>
              <w:pStyle w:val="Tabletext1"/>
              <w:jc w:val="center"/>
              <w:rPr>
                <w:rFonts w:cs="Calibri"/>
              </w:rPr>
            </w:pPr>
            <w:r w:rsidRPr="00AD062C">
              <w:t>$155.00</w:t>
            </w:r>
          </w:p>
        </w:tc>
      </w:tr>
      <w:tr w:rsidR="00D12268" w:rsidRPr="00F77E8D" w14:paraId="073D052B" w14:textId="77777777" w:rsidTr="00E3175C">
        <w:tc>
          <w:tcPr>
            <w:tcW w:w="1429" w:type="pct"/>
          </w:tcPr>
          <w:p w14:paraId="12FAA232" w14:textId="77777777" w:rsidR="00D12268" w:rsidRPr="003816D8" w:rsidRDefault="00D12268" w:rsidP="00556AB6">
            <w:pPr>
              <w:pStyle w:val="Tabletext1"/>
              <w:rPr>
                <w:snapToGrid w:val="0"/>
                <w:lang w:eastAsia="en-US"/>
              </w:rPr>
            </w:pPr>
            <w:r w:rsidRPr="00A429E8">
              <w:t xml:space="preserve">Cost of outpatient visit - specialist </w:t>
            </w:r>
          </w:p>
        </w:tc>
        <w:tc>
          <w:tcPr>
            <w:tcW w:w="843" w:type="pct"/>
            <w:vAlign w:val="center"/>
          </w:tcPr>
          <w:p w14:paraId="342D18C1" w14:textId="77777777" w:rsidR="00D12268" w:rsidRPr="003816D8" w:rsidRDefault="00D12268" w:rsidP="006D1459">
            <w:pPr>
              <w:pStyle w:val="Tabletext1"/>
              <w:jc w:val="center"/>
              <w:rPr>
                <w:snapToGrid w:val="0"/>
                <w:lang w:eastAsia="en-US"/>
              </w:rPr>
            </w:pPr>
            <w:r w:rsidRPr="008D0710">
              <w:t>4</w:t>
            </w:r>
          </w:p>
        </w:tc>
        <w:tc>
          <w:tcPr>
            <w:tcW w:w="716" w:type="pct"/>
            <w:vAlign w:val="center"/>
          </w:tcPr>
          <w:p w14:paraId="411B6D9E" w14:textId="32CEF1B0" w:rsidR="00D12268" w:rsidRPr="003816D8" w:rsidRDefault="00D12268" w:rsidP="006D1459">
            <w:pPr>
              <w:pStyle w:val="Tabletext1"/>
              <w:jc w:val="center"/>
            </w:pPr>
            <w:r w:rsidRPr="00245AE2">
              <w:t>$45.00</w:t>
            </w:r>
          </w:p>
        </w:tc>
        <w:tc>
          <w:tcPr>
            <w:tcW w:w="1182" w:type="pct"/>
            <w:vAlign w:val="center"/>
          </w:tcPr>
          <w:p w14:paraId="54492781" w14:textId="77777777" w:rsidR="00D12268" w:rsidRPr="003816D8" w:rsidRDefault="00D12268" w:rsidP="006D1459">
            <w:pPr>
              <w:pStyle w:val="Tabletext1"/>
              <w:jc w:val="center"/>
              <w:rPr>
                <w:rFonts w:cs="Calibri"/>
              </w:rPr>
            </w:pPr>
            <w:r w:rsidRPr="00CC49EF">
              <w:t>105</w:t>
            </w:r>
          </w:p>
        </w:tc>
        <w:tc>
          <w:tcPr>
            <w:tcW w:w="830" w:type="pct"/>
            <w:vAlign w:val="center"/>
          </w:tcPr>
          <w:p w14:paraId="157D694A" w14:textId="4531BE82" w:rsidR="00D12268" w:rsidRPr="003816D8" w:rsidRDefault="00D12268" w:rsidP="006D1459">
            <w:pPr>
              <w:pStyle w:val="Tabletext1"/>
              <w:jc w:val="center"/>
              <w:rPr>
                <w:rFonts w:cs="Calibri"/>
              </w:rPr>
            </w:pPr>
            <w:r w:rsidRPr="00AD062C">
              <w:t>$180.00</w:t>
            </w:r>
          </w:p>
        </w:tc>
      </w:tr>
      <w:tr w:rsidR="00D12268" w:rsidRPr="00F77E8D" w14:paraId="76A954EA" w14:textId="77777777" w:rsidTr="00E3175C">
        <w:tc>
          <w:tcPr>
            <w:tcW w:w="1429" w:type="pct"/>
          </w:tcPr>
          <w:p w14:paraId="4AFBE876" w14:textId="77777777" w:rsidR="00D12268" w:rsidRPr="003816D8" w:rsidRDefault="00D12268" w:rsidP="00556AB6">
            <w:pPr>
              <w:pStyle w:val="Tabletext1"/>
              <w:rPr>
                <w:snapToGrid w:val="0"/>
                <w:lang w:eastAsia="en-US"/>
              </w:rPr>
            </w:pPr>
            <w:r w:rsidRPr="00A429E8">
              <w:t xml:space="preserve">Cost of Loperamide </w:t>
            </w:r>
          </w:p>
        </w:tc>
        <w:tc>
          <w:tcPr>
            <w:tcW w:w="843" w:type="pct"/>
            <w:vAlign w:val="center"/>
          </w:tcPr>
          <w:p w14:paraId="3D11C64B" w14:textId="77777777" w:rsidR="00D12268" w:rsidRPr="003816D8" w:rsidRDefault="00D12268" w:rsidP="006D1459">
            <w:pPr>
              <w:pStyle w:val="Tabletext1"/>
              <w:jc w:val="center"/>
              <w:rPr>
                <w:snapToGrid w:val="0"/>
                <w:lang w:eastAsia="en-US"/>
              </w:rPr>
            </w:pPr>
            <w:r>
              <w:t>20</w:t>
            </w:r>
          </w:p>
        </w:tc>
        <w:tc>
          <w:tcPr>
            <w:tcW w:w="716" w:type="pct"/>
            <w:vAlign w:val="center"/>
          </w:tcPr>
          <w:p w14:paraId="6DF0F366" w14:textId="141931D2" w:rsidR="00D12268" w:rsidRPr="003816D8" w:rsidRDefault="00D12268" w:rsidP="006D1459">
            <w:pPr>
              <w:pStyle w:val="Tabletext1"/>
              <w:jc w:val="center"/>
            </w:pPr>
            <w:r w:rsidRPr="00245AE2">
              <w:t>$13.51</w:t>
            </w:r>
          </w:p>
        </w:tc>
        <w:tc>
          <w:tcPr>
            <w:tcW w:w="1182" w:type="pct"/>
            <w:vAlign w:val="center"/>
          </w:tcPr>
          <w:p w14:paraId="4FB68D2F" w14:textId="77777777" w:rsidR="00D12268" w:rsidRPr="003816D8" w:rsidRDefault="00D12268" w:rsidP="006D1459">
            <w:pPr>
              <w:pStyle w:val="Tabletext1"/>
              <w:jc w:val="center"/>
              <w:rPr>
                <w:rFonts w:cs="Calibri"/>
              </w:rPr>
            </w:pPr>
            <w:r w:rsidRPr="00CC49EF">
              <w:t>10592L</w:t>
            </w:r>
          </w:p>
        </w:tc>
        <w:tc>
          <w:tcPr>
            <w:tcW w:w="830" w:type="pct"/>
            <w:vAlign w:val="center"/>
          </w:tcPr>
          <w:p w14:paraId="29532B1A" w14:textId="7BA2C54F" w:rsidR="00D12268" w:rsidRPr="003816D8" w:rsidRDefault="00D12268" w:rsidP="006D1459">
            <w:pPr>
              <w:pStyle w:val="Tabletext1"/>
              <w:jc w:val="center"/>
              <w:rPr>
                <w:rFonts w:cs="Calibri"/>
              </w:rPr>
            </w:pPr>
            <w:r w:rsidRPr="00AD062C">
              <w:t>$493.12</w:t>
            </w:r>
          </w:p>
        </w:tc>
      </w:tr>
      <w:tr w:rsidR="00D12268" w:rsidRPr="00F77E8D" w14:paraId="7467714E" w14:textId="77777777" w:rsidTr="00E3175C">
        <w:tc>
          <w:tcPr>
            <w:tcW w:w="1429" w:type="pct"/>
          </w:tcPr>
          <w:p w14:paraId="592B985B" w14:textId="77777777" w:rsidR="00D12268" w:rsidRPr="003816D8" w:rsidRDefault="00D12268" w:rsidP="00556AB6">
            <w:pPr>
              <w:pStyle w:val="Tabletext1"/>
              <w:rPr>
                <w:snapToGrid w:val="0"/>
                <w:lang w:eastAsia="en-US"/>
              </w:rPr>
            </w:pPr>
            <w:r w:rsidRPr="00A429E8">
              <w:t>Cost of Magnesium</w:t>
            </w:r>
          </w:p>
        </w:tc>
        <w:tc>
          <w:tcPr>
            <w:tcW w:w="843" w:type="pct"/>
            <w:vAlign w:val="center"/>
          </w:tcPr>
          <w:p w14:paraId="7880C4EE" w14:textId="77777777" w:rsidR="00D12268" w:rsidRPr="003816D8" w:rsidRDefault="00D12268" w:rsidP="006D1459">
            <w:pPr>
              <w:pStyle w:val="Tabletext1"/>
              <w:jc w:val="center"/>
              <w:rPr>
                <w:snapToGrid w:val="0"/>
                <w:lang w:eastAsia="en-US"/>
              </w:rPr>
            </w:pPr>
            <w:r w:rsidRPr="008D0710">
              <w:t>50</w:t>
            </w:r>
          </w:p>
        </w:tc>
        <w:tc>
          <w:tcPr>
            <w:tcW w:w="716" w:type="pct"/>
            <w:vAlign w:val="center"/>
          </w:tcPr>
          <w:p w14:paraId="7F0FD18C" w14:textId="59095F30" w:rsidR="00D12268" w:rsidRPr="003816D8" w:rsidRDefault="00D12268" w:rsidP="006D1459">
            <w:pPr>
              <w:pStyle w:val="Tabletext1"/>
              <w:jc w:val="center"/>
            </w:pPr>
            <w:r w:rsidRPr="00245AE2">
              <w:t>$18.04</w:t>
            </w:r>
          </w:p>
        </w:tc>
        <w:tc>
          <w:tcPr>
            <w:tcW w:w="1182" w:type="pct"/>
            <w:vAlign w:val="center"/>
          </w:tcPr>
          <w:p w14:paraId="1CE6E810" w14:textId="77777777" w:rsidR="00D12268" w:rsidRPr="003816D8" w:rsidRDefault="00D12268" w:rsidP="006D1459">
            <w:pPr>
              <w:pStyle w:val="Tabletext1"/>
              <w:jc w:val="center"/>
              <w:rPr>
                <w:rFonts w:cs="Calibri"/>
              </w:rPr>
            </w:pPr>
            <w:r w:rsidRPr="00CC49EF">
              <w:t>4321K</w:t>
            </w:r>
          </w:p>
        </w:tc>
        <w:tc>
          <w:tcPr>
            <w:tcW w:w="830" w:type="pct"/>
            <w:vAlign w:val="center"/>
          </w:tcPr>
          <w:p w14:paraId="61617F8F" w14:textId="21BC11BB" w:rsidR="00D12268" w:rsidRPr="003816D8" w:rsidRDefault="00D12268" w:rsidP="006D1459">
            <w:pPr>
              <w:pStyle w:val="Tabletext1"/>
              <w:jc w:val="center"/>
              <w:rPr>
                <w:rFonts w:cs="Calibri"/>
              </w:rPr>
            </w:pPr>
            <w:r w:rsidRPr="00AD062C">
              <w:t>$131.69</w:t>
            </w:r>
          </w:p>
        </w:tc>
      </w:tr>
      <w:tr w:rsidR="00D12268" w:rsidRPr="00F77E8D" w14:paraId="5E50D1C8" w14:textId="77777777" w:rsidTr="00E3175C">
        <w:tc>
          <w:tcPr>
            <w:tcW w:w="1429" w:type="pct"/>
          </w:tcPr>
          <w:p w14:paraId="3F72ADCE" w14:textId="77777777" w:rsidR="00D12268" w:rsidRPr="003816D8" w:rsidRDefault="00D12268" w:rsidP="00556AB6">
            <w:pPr>
              <w:pStyle w:val="Tabletext1"/>
              <w:rPr>
                <w:snapToGrid w:val="0"/>
                <w:lang w:eastAsia="en-US"/>
              </w:rPr>
            </w:pPr>
            <w:r w:rsidRPr="00A429E8">
              <w:t>Cost of Psyllium powder</w:t>
            </w:r>
          </w:p>
        </w:tc>
        <w:tc>
          <w:tcPr>
            <w:tcW w:w="843" w:type="pct"/>
            <w:vAlign w:val="center"/>
          </w:tcPr>
          <w:p w14:paraId="2D82840A" w14:textId="77777777" w:rsidR="00D12268" w:rsidRPr="003816D8" w:rsidRDefault="00D12268" w:rsidP="006D1459">
            <w:pPr>
              <w:pStyle w:val="Tabletext1"/>
              <w:jc w:val="center"/>
              <w:rPr>
                <w:snapToGrid w:val="0"/>
                <w:lang w:eastAsia="en-US"/>
              </w:rPr>
            </w:pPr>
            <w:r w:rsidRPr="008D0710">
              <w:t>10</w:t>
            </w:r>
          </w:p>
        </w:tc>
        <w:tc>
          <w:tcPr>
            <w:tcW w:w="716" w:type="pct"/>
            <w:vAlign w:val="center"/>
          </w:tcPr>
          <w:p w14:paraId="03104310" w14:textId="0C17D357" w:rsidR="00D12268" w:rsidRPr="003816D8" w:rsidRDefault="00D12268" w:rsidP="006D1459">
            <w:pPr>
              <w:pStyle w:val="Tabletext1"/>
              <w:jc w:val="center"/>
            </w:pPr>
            <w:r w:rsidRPr="00245AE2">
              <w:t>$25.28</w:t>
            </w:r>
          </w:p>
        </w:tc>
        <w:tc>
          <w:tcPr>
            <w:tcW w:w="1182" w:type="pct"/>
            <w:vAlign w:val="center"/>
          </w:tcPr>
          <w:p w14:paraId="21E95E9B" w14:textId="77777777" w:rsidR="00D12268" w:rsidRPr="003816D8" w:rsidRDefault="00D12268" w:rsidP="006D1459">
            <w:pPr>
              <w:pStyle w:val="Tabletext1"/>
              <w:jc w:val="center"/>
              <w:rPr>
                <w:rFonts w:cs="Calibri"/>
              </w:rPr>
            </w:pPr>
            <w:r w:rsidRPr="00CC49EF">
              <w:t>4422R</w:t>
            </w:r>
          </w:p>
        </w:tc>
        <w:tc>
          <w:tcPr>
            <w:tcW w:w="830" w:type="pct"/>
            <w:vAlign w:val="center"/>
          </w:tcPr>
          <w:p w14:paraId="10DF3715" w14:textId="4A0CD31E" w:rsidR="00D12268" w:rsidRPr="003816D8" w:rsidRDefault="00D12268" w:rsidP="006D1459">
            <w:pPr>
              <w:pStyle w:val="Tabletext1"/>
              <w:jc w:val="center"/>
              <w:rPr>
                <w:rFonts w:cs="Calibri"/>
              </w:rPr>
            </w:pPr>
            <w:r w:rsidRPr="00AD062C">
              <w:t>$252.80</w:t>
            </w:r>
          </w:p>
        </w:tc>
      </w:tr>
      <w:tr w:rsidR="00D12268" w:rsidRPr="00F77E8D" w14:paraId="4AD7D3FC" w14:textId="77777777" w:rsidTr="00E3175C">
        <w:tc>
          <w:tcPr>
            <w:tcW w:w="1429" w:type="pct"/>
          </w:tcPr>
          <w:p w14:paraId="5D8CC57D" w14:textId="77777777" w:rsidR="00D12268" w:rsidRPr="003816D8" w:rsidRDefault="00D12268" w:rsidP="00556AB6">
            <w:pPr>
              <w:pStyle w:val="Tabletext1"/>
              <w:rPr>
                <w:snapToGrid w:val="0"/>
                <w:lang w:eastAsia="en-US"/>
              </w:rPr>
            </w:pPr>
            <w:r w:rsidRPr="00A429E8">
              <w:t>Hospital admission for diarrhea</w:t>
            </w:r>
          </w:p>
        </w:tc>
        <w:tc>
          <w:tcPr>
            <w:tcW w:w="843" w:type="pct"/>
            <w:vAlign w:val="center"/>
          </w:tcPr>
          <w:p w14:paraId="7C813276" w14:textId="77777777" w:rsidR="00D12268" w:rsidRPr="003816D8" w:rsidRDefault="00D12268" w:rsidP="006D1459">
            <w:pPr>
              <w:pStyle w:val="Tabletext1"/>
              <w:jc w:val="center"/>
              <w:rPr>
                <w:snapToGrid w:val="0"/>
                <w:lang w:eastAsia="en-US"/>
              </w:rPr>
            </w:pPr>
            <w:r w:rsidRPr="008D0710">
              <w:t>1</w:t>
            </w:r>
          </w:p>
        </w:tc>
        <w:tc>
          <w:tcPr>
            <w:tcW w:w="716" w:type="pct"/>
            <w:vAlign w:val="center"/>
          </w:tcPr>
          <w:p w14:paraId="0379C1D9" w14:textId="0BCC2DEE" w:rsidR="00D12268" w:rsidRPr="003816D8" w:rsidRDefault="00D12268" w:rsidP="006D1459">
            <w:pPr>
              <w:pStyle w:val="Tabletext1"/>
              <w:jc w:val="center"/>
            </w:pPr>
            <w:r w:rsidRPr="00245AE2">
              <w:t>$2,062.42</w:t>
            </w:r>
          </w:p>
        </w:tc>
        <w:tc>
          <w:tcPr>
            <w:tcW w:w="1182" w:type="pct"/>
            <w:vAlign w:val="center"/>
          </w:tcPr>
          <w:p w14:paraId="710E4160" w14:textId="77777777" w:rsidR="00D12268" w:rsidRPr="003816D8" w:rsidRDefault="00D12268" w:rsidP="006D1459">
            <w:pPr>
              <w:pStyle w:val="Tabletext1"/>
              <w:jc w:val="center"/>
              <w:rPr>
                <w:rFonts w:cs="Calibri"/>
              </w:rPr>
            </w:pPr>
            <w:r w:rsidRPr="00CC49EF">
              <w:t>G67A/G67B</w:t>
            </w:r>
          </w:p>
        </w:tc>
        <w:tc>
          <w:tcPr>
            <w:tcW w:w="830" w:type="pct"/>
            <w:vAlign w:val="center"/>
          </w:tcPr>
          <w:p w14:paraId="4AEEEBC5" w14:textId="3FC7E7F3" w:rsidR="00D12268" w:rsidRPr="003816D8" w:rsidRDefault="00D12268" w:rsidP="006D1459">
            <w:pPr>
              <w:pStyle w:val="Tabletext1"/>
              <w:jc w:val="center"/>
              <w:rPr>
                <w:rFonts w:cs="Calibri"/>
              </w:rPr>
            </w:pPr>
            <w:r w:rsidRPr="00AD062C">
              <w:t>$2,062.42</w:t>
            </w:r>
          </w:p>
        </w:tc>
      </w:tr>
      <w:tr w:rsidR="00D12268" w:rsidRPr="00F77E8D" w14:paraId="08F94CE4" w14:textId="77777777" w:rsidTr="00E3175C">
        <w:tc>
          <w:tcPr>
            <w:tcW w:w="1429" w:type="pct"/>
          </w:tcPr>
          <w:p w14:paraId="54EC4835" w14:textId="77777777" w:rsidR="00D12268" w:rsidRPr="00D72D17" w:rsidRDefault="00D12268" w:rsidP="00556AB6">
            <w:pPr>
              <w:pStyle w:val="Tabletext1"/>
              <w:rPr>
                <w:b/>
                <w:snapToGrid w:val="0"/>
                <w:lang w:eastAsia="en-US"/>
              </w:rPr>
            </w:pPr>
            <w:r w:rsidRPr="00D72D17">
              <w:rPr>
                <w:b/>
              </w:rPr>
              <w:t>Anal/rectal haemorrhage</w:t>
            </w:r>
          </w:p>
        </w:tc>
        <w:tc>
          <w:tcPr>
            <w:tcW w:w="843" w:type="pct"/>
            <w:vAlign w:val="center"/>
          </w:tcPr>
          <w:p w14:paraId="079AF50B" w14:textId="77777777" w:rsidR="00D12268" w:rsidRPr="003816D8" w:rsidRDefault="00D12268" w:rsidP="006D1459">
            <w:pPr>
              <w:pStyle w:val="Tabletext1"/>
              <w:jc w:val="center"/>
              <w:rPr>
                <w:snapToGrid w:val="0"/>
                <w:lang w:eastAsia="en-US"/>
              </w:rPr>
            </w:pPr>
          </w:p>
        </w:tc>
        <w:tc>
          <w:tcPr>
            <w:tcW w:w="716" w:type="pct"/>
            <w:vAlign w:val="center"/>
          </w:tcPr>
          <w:p w14:paraId="5EB76E07" w14:textId="77777777" w:rsidR="00D12268" w:rsidRPr="003816D8" w:rsidRDefault="00D12268" w:rsidP="006D1459">
            <w:pPr>
              <w:pStyle w:val="Tabletext1"/>
              <w:jc w:val="center"/>
            </w:pPr>
          </w:p>
        </w:tc>
        <w:tc>
          <w:tcPr>
            <w:tcW w:w="1182" w:type="pct"/>
            <w:vAlign w:val="center"/>
          </w:tcPr>
          <w:p w14:paraId="3E04E3E0" w14:textId="77777777" w:rsidR="00D12268" w:rsidRPr="003816D8" w:rsidRDefault="00D12268" w:rsidP="006D1459">
            <w:pPr>
              <w:pStyle w:val="Tabletext1"/>
              <w:jc w:val="center"/>
              <w:rPr>
                <w:rFonts w:cs="Calibri"/>
              </w:rPr>
            </w:pPr>
          </w:p>
        </w:tc>
        <w:tc>
          <w:tcPr>
            <w:tcW w:w="830" w:type="pct"/>
            <w:vAlign w:val="center"/>
          </w:tcPr>
          <w:p w14:paraId="5CA6E057" w14:textId="77777777" w:rsidR="00D12268" w:rsidRPr="00AE37CD" w:rsidRDefault="00D12268" w:rsidP="006D1459">
            <w:pPr>
              <w:pStyle w:val="Tabletext1"/>
              <w:jc w:val="center"/>
              <w:rPr>
                <w:rFonts w:cs="Calibri"/>
                <w:b/>
              </w:rPr>
            </w:pPr>
            <w:r w:rsidRPr="00AE37CD">
              <w:rPr>
                <w:b/>
              </w:rPr>
              <w:t>$3,561.08</w:t>
            </w:r>
          </w:p>
        </w:tc>
      </w:tr>
      <w:tr w:rsidR="00D12268" w:rsidRPr="00F77E8D" w14:paraId="0967D1D8" w14:textId="77777777" w:rsidTr="00E3175C">
        <w:tc>
          <w:tcPr>
            <w:tcW w:w="1429" w:type="pct"/>
          </w:tcPr>
          <w:p w14:paraId="5F076DCA" w14:textId="77777777" w:rsidR="00D12268" w:rsidRPr="003816D8" w:rsidRDefault="00D12268" w:rsidP="00556AB6">
            <w:pPr>
              <w:pStyle w:val="Tabletext1"/>
              <w:rPr>
                <w:snapToGrid w:val="0"/>
                <w:lang w:eastAsia="en-US"/>
              </w:rPr>
            </w:pPr>
            <w:r w:rsidRPr="00A429E8">
              <w:t>Cost of outpatient visit - GP</w:t>
            </w:r>
          </w:p>
        </w:tc>
        <w:tc>
          <w:tcPr>
            <w:tcW w:w="843" w:type="pct"/>
            <w:vAlign w:val="center"/>
          </w:tcPr>
          <w:p w14:paraId="3B0BC99B" w14:textId="77777777" w:rsidR="00D12268" w:rsidRPr="003816D8" w:rsidRDefault="00D12268" w:rsidP="006D1459">
            <w:pPr>
              <w:pStyle w:val="Tabletext1"/>
              <w:jc w:val="center"/>
              <w:rPr>
                <w:snapToGrid w:val="0"/>
                <w:lang w:eastAsia="en-US"/>
              </w:rPr>
            </w:pPr>
            <w:r w:rsidRPr="008D0710">
              <w:t>4</w:t>
            </w:r>
          </w:p>
        </w:tc>
        <w:tc>
          <w:tcPr>
            <w:tcW w:w="716" w:type="pct"/>
            <w:vAlign w:val="center"/>
          </w:tcPr>
          <w:p w14:paraId="4E421660" w14:textId="505D2EC0" w:rsidR="00D12268" w:rsidRPr="003816D8" w:rsidRDefault="00D12268" w:rsidP="006D1459">
            <w:pPr>
              <w:pStyle w:val="Tabletext1"/>
              <w:jc w:val="center"/>
            </w:pPr>
            <w:r w:rsidRPr="00245AE2">
              <w:t>$38.75</w:t>
            </w:r>
          </w:p>
        </w:tc>
        <w:tc>
          <w:tcPr>
            <w:tcW w:w="1182" w:type="pct"/>
            <w:vAlign w:val="center"/>
          </w:tcPr>
          <w:p w14:paraId="58613D43" w14:textId="77777777" w:rsidR="00D12268" w:rsidRPr="003816D8" w:rsidRDefault="00D12268" w:rsidP="006D1459">
            <w:pPr>
              <w:pStyle w:val="Tabletext1"/>
              <w:jc w:val="center"/>
              <w:rPr>
                <w:rFonts w:cs="Calibri"/>
              </w:rPr>
            </w:pPr>
            <w:r w:rsidRPr="00CC49EF">
              <w:t>23</w:t>
            </w:r>
          </w:p>
        </w:tc>
        <w:tc>
          <w:tcPr>
            <w:tcW w:w="830" w:type="pct"/>
            <w:vAlign w:val="center"/>
          </w:tcPr>
          <w:p w14:paraId="25780BC2" w14:textId="5B3AE7B3" w:rsidR="00D12268" w:rsidRPr="003816D8" w:rsidRDefault="00D12268" w:rsidP="006D1459">
            <w:pPr>
              <w:pStyle w:val="Tabletext1"/>
              <w:jc w:val="center"/>
              <w:rPr>
                <w:rFonts w:cs="Calibri"/>
              </w:rPr>
            </w:pPr>
            <w:r w:rsidRPr="00AD062C">
              <w:t>$155.00</w:t>
            </w:r>
          </w:p>
        </w:tc>
      </w:tr>
      <w:tr w:rsidR="00D12268" w:rsidRPr="00F77E8D" w14:paraId="5EFCEEEB" w14:textId="77777777" w:rsidTr="00E3175C">
        <w:tc>
          <w:tcPr>
            <w:tcW w:w="1429" w:type="pct"/>
          </w:tcPr>
          <w:p w14:paraId="6EEA0011" w14:textId="77777777" w:rsidR="00D12268" w:rsidRPr="003816D8" w:rsidRDefault="00D12268" w:rsidP="00556AB6">
            <w:pPr>
              <w:pStyle w:val="Tabletext1"/>
              <w:rPr>
                <w:snapToGrid w:val="0"/>
                <w:lang w:eastAsia="en-US"/>
              </w:rPr>
            </w:pPr>
            <w:r w:rsidRPr="00A429E8">
              <w:t xml:space="preserve">Cost of outpatient visit - specialist </w:t>
            </w:r>
          </w:p>
        </w:tc>
        <w:tc>
          <w:tcPr>
            <w:tcW w:w="843" w:type="pct"/>
            <w:vAlign w:val="center"/>
          </w:tcPr>
          <w:p w14:paraId="221179A6" w14:textId="77777777" w:rsidR="00D12268" w:rsidRPr="003816D8" w:rsidRDefault="00D12268" w:rsidP="006D1459">
            <w:pPr>
              <w:pStyle w:val="Tabletext1"/>
              <w:jc w:val="center"/>
              <w:rPr>
                <w:snapToGrid w:val="0"/>
                <w:lang w:eastAsia="en-US"/>
              </w:rPr>
            </w:pPr>
            <w:r w:rsidRPr="008D0710">
              <w:t>4</w:t>
            </w:r>
          </w:p>
        </w:tc>
        <w:tc>
          <w:tcPr>
            <w:tcW w:w="716" w:type="pct"/>
            <w:vAlign w:val="center"/>
          </w:tcPr>
          <w:p w14:paraId="13749752" w14:textId="5733FFEB" w:rsidR="00D12268" w:rsidRPr="003816D8" w:rsidRDefault="00D12268" w:rsidP="006D1459">
            <w:pPr>
              <w:pStyle w:val="Tabletext1"/>
              <w:jc w:val="center"/>
            </w:pPr>
            <w:r w:rsidRPr="00245AE2">
              <w:t>$45.00</w:t>
            </w:r>
          </w:p>
        </w:tc>
        <w:tc>
          <w:tcPr>
            <w:tcW w:w="1182" w:type="pct"/>
            <w:vAlign w:val="center"/>
          </w:tcPr>
          <w:p w14:paraId="7ADDD93C" w14:textId="77777777" w:rsidR="00D12268" w:rsidRPr="003816D8" w:rsidRDefault="00D12268" w:rsidP="006D1459">
            <w:pPr>
              <w:pStyle w:val="Tabletext1"/>
              <w:jc w:val="center"/>
              <w:rPr>
                <w:rFonts w:cs="Calibri"/>
              </w:rPr>
            </w:pPr>
            <w:r w:rsidRPr="00CC49EF">
              <w:t>105</w:t>
            </w:r>
          </w:p>
        </w:tc>
        <w:tc>
          <w:tcPr>
            <w:tcW w:w="830" w:type="pct"/>
            <w:vAlign w:val="center"/>
          </w:tcPr>
          <w:p w14:paraId="2BE3D8B2" w14:textId="39E25065" w:rsidR="00D12268" w:rsidRPr="003816D8" w:rsidRDefault="00D12268" w:rsidP="006D1459">
            <w:pPr>
              <w:pStyle w:val="Tabletext1"/>
              <w:jc w:val="center"/>
              <w:rPr>
                <w:rFonts w:cs="Calibri"/>
              </w:rPr>
            </w:pPr>
            <w:r w:rsidRPr="00AD062C">
              <w:t>$180.00</w:t>
            </w:r>
          </w:p>
        </w:tc>
      </w:tr>
      <w:tr w:rsidR="00D12268" w:rsidRPr="00F77E8D" w14:paraId="07A459C3" w14:textId="77777777" w:rsidTr="00E3175C">
        <w:tc>
          <w:tcPr>
            <w:tcW w:w="1429" w:type="pct"/>
          </w:tcPr>
          <w:p w14:paraId="28668770" w14:textId="77777777" w:rsidR="00D12268" w:rsidRPr="003816D8" w:rsidRDefault="00D12268" w:rsidP="00556AB6">
            <w:pPr>
              <w:pStyle w:val="Tabletext1"/>
              <w:rPr>
                <w:snapToGrid w:val="0"/>
                <w:lang w:eastAsia="en-US"/>
              </w:rPr>
            </w:pPr>
            <w:r w:rsidRPr="00A429E8">
              <w:t>Cell blood count test (CBC)</w:t>
            </w:r>
          </w:p>
        </w:tc>
        <w:tc>
          <w:tcPr>
            <w:tcW w:w="843" w:type="pct"/>
            <w:vAlign w:val="center"/>
          </w:tcPr>
          <w:p w14:paraId="006693E8" w14:textId="77777777" w:rsidR="00D12268" w:rsidRPr="003816D8" w:rsidRDefault="00D12268" w:rsidP="006D1459">
            <w:pPr>
              <w:pStyle w:val="Tabletext1"/>
              <w:jc w:val="center"/>
              <w:rPr>
                <w:snapToGrid w:val="0"/>
                <w:lang w:eastAsia="en-US"/>
              </w:rPr>
            </w:pPr>
            <w:r w:rsidRPr="008D0710">
              <w:t>1</w:t>
            </w:r>
          </w:p>
        </w:tc>
        <w:tc>
          <w:tcPr>
            <w:tcW w:w="716" w:type="pct"/>
            <w:vAlign w:val="center"/>
          </w:tcPr>
          <w:p w14:paraId="7A44D1F1" w14:textId="50F67740" w:rsidR="00D12268" w:rsidRPr="003816D8" w:rsidRDefault="00D12268" w:rsidP="006D1459">
            <w:pPr>
              <w:pStyle w:val="Tabletext1"/>
              <w:jc w:val="center"/>
            </w:pPr>
            <w:r w:rsidRPr="00245AE2">
              <w:t>$14.45</w:t>
            </w:r>
          </w:p>
        </w:tc>
        <w:tc>
          <w:tcPr>
            <w:tcW w:w="1182" w:type="pct"/>
            <w:vAlign w:val="center"/>
          </w:tcPr>
          <w:p w14:paraId="3D370044" w14:textId="77777777" w:rsidR="00D12268" w:rsidRPr="003816D8" w:rsidRDefault="00D12268" w:rsidP="006D1459">
            <w:pPr>
              <w:pStyle w:val="Tabletext1"/>
              <w:jc w:val="center"/>
              <w:rPr>
                <w:rFonts w:cs="Calibri"/>
              </w:rPr>
            </w:pPr>
            <w:r w:rsidRPr="00CC49EF">
              <w:t>65070</w:t>
            </w:r>
          </w:p>
        </w:tc>
        <w:tc>
          <w:tcPr>
            <w:tcW w:w="830" w:type="pct"/>
            <w:vAlign w:val="center"/>
          </w:tcPr>
          <w:p w14:paraId="0212005B" w14:textId="1AF67684" w:rsidR="00D12268" w:rsidRPr="003816D8" w:rsidRDefault="00D12268" w:rsidP="006D1459">
            <w:pPr>
              <w:pStyle w:val="Tabletext1"/>
              <w:jc w:val="center"/>
              <w:rPr>
                <w:rFonts w:cs="Calibri"/>
              </w:rPr>
            </w:pPr>
            <w:r w:rsidRPr="00AD062C">
              <w:t>$14.45</w:t>
            </w:r>
          </w:p>
        </w:tc>
      </w:tr>
      <w:tr w:rsidR="00D12268" w:rsidRPr="00F77E8D" w14:paraId="3C367355" w14:textId="77777777" w:rsidTr="00E3175C">
        <w:tc>
          <w:tcPr>
            <w:tcW w:w="1429" w:type="pct"/>
          </w:tcPr>
          <w:p w14:paraId="471431E2" w14:textId="77777777" w:rsidR="00D12268" w:rsidRPr="003816D8" w:rsidRDefault="00D12268" w:rsidP="00556AB6">
            <w:pPr>
              <w:pStyle w:val="Tabletext1"/>
              <w:rPr>
                <w:snapToGrid w:val="0"/>
                <w:lang w:eastAsia="en-US"/>
              </w:rPr>
            </w:pPr>
            <w:r w:rsidRPr="00A429E8">
              <w:t>Complete Panel test</w:t>
            </w:r>
          </w:p>
        </w:tc>
        <w:tc>
          <w:tcPr>
            <w:tcW w:w="843" w:type="pct"/>
            <w:vAlign w:val="center"/>
          </w:tcPr>
          <w:p w14:paraId="6CCA83BB" w14:textId="77777777" w:rsidR="00D12268" w:rsidRPr="003816D8" w:rsidRDefault="00D12268" w:rsidP="006D1459">
            <w:pPr>
              <w:pStyle w:val="Tabletext1"/>
              <w:jc w:val="center"/>
              <w:rPr>
                <w:snapToGrid w:val="0"/>
                <w:lang w:eastAsia="en-US"/>
              </w:rPr>
            </w:pPr>
            <w:r w:rsidRPr="008D0710">
              <w:t>1</w:t>
            </w:r>
          </w:p>
        </w:tc>
        <w:tc>
          <w:tcPr>
            <w:tcW w:w="716" w:type="pct"/>
            <w:vAlign w:val="center"/>
          </w:tcPr>
          <w:p w14:paraId="302C8948" w14:textId="75B52122" w:rsidR="00D12268" w:rsidRPr="003816D8" w:rsidRDefault="00D12268" w:rsidP="006D1459">
            <w:pPr>
              <w:pStyle w:val="Tabletext1"/>
              <w:jc w:val="center"/>
            </w:pPr>
            <w:r w:rsidRPr="00245AE2">
              <w:t>$58.00</w:t>
            </w:r>
          </w:p>
        </w:tc>
        <w:tc>
          <w:tcPr>
            <w:tcW w:w="1182" w:type="pct"/>
            <w:vAlign w:val="center"/>
          </w:tcPr>
          <w:p w14:paraId="379B5BCF" w14:textId="77777777" w:rsidR="00D12268" w:rsidRPr="003816D8" w:rsidRDefault="00D12268" w:rsidP="006D1459">
            <w:pPr>
              <w:pStyle w:val="Tabletext1"/>
              <w:jc w:val="center"/>
              <w:rPr>
                <w:rFonts w:cs="Calibri"/>
              </w:rPr>
            </w:pPr>
          </w:p>
        </w:tc>
        <w:tc>
          <w:tcPr>
            <w:tcW w:w="830" w:type="pct"/>
            <w:vAlign w:val="center"/>
          </w:tcPr>
          <w:p w14:paraId="5E1DE712" w14:textId="64CFEF35" w:rsidR="00D12268" w:rsidRPr="003816D8" w:rsidRDefault="00D12268" w:rsidP="006D1459">
            <w:pPr>
              <w:pStyle w:val="Tabletext1"/>
              <w:jc w:val="center"/>
              <w:rPr>
                <w:rFonts w:cs="Calibri"/>
              </w:rPr>
            </w:pPr>
            <w:r w:rsidRPr="00AD062C">
              <w:t>$58.00</w:t>
            </w:r>
          </w:p>
        </w:tc>
      </w:tr>
      <w:tr w:rsidR="00D12268" w:rsidRPr="00F77E8D" w14:paraId="2927F861" w14:textId="77777777" w:rsidTr="00E3175C">
        <w:tc>
          <w:tcPr>
            <w:tcW w:w="1429" w:type="pct"/>
          </w:tcPr>
          <w:p w14:paraId="0FF35CE6" w14:textId="77777777" w:rsidR="00D12268" w:rsidRPr="003816D8" w:rsidRDefault="00D12268" w:rsidP="00556AB6">
            <w:pPr>
              <w:pStyle w:val="Tabletext1"/>
              <w:rPr>
                <w:snapToGrid w:val="0"/>
                <w:lang w:eastAsia="en-US"/>
              </w:rPr>
            </w:pPr>
            <w:r w:rsidRPr="00A429E8">
              <w:lastRenderedPageBreak/>
              <w:t>Hospital admission for rectal bleeding</w:t>
            </w:r>
          </w:p>
        </w:tc>
        <w:tc>
          <w:tcPr>
            <w:tcW w:w="843" w:type="pct"/>
            <w:vAlign w:val="center"/>
          </w:tcPr>
          <w:p w14:paraId="063F8EF1" w14:textId="77777777" w:rsidR="00D12268" w:rsidRPr="003816D8" w:rsidRDefault="00D12268" w:rsidP="006D1459">
            <w:pPr>
              <w:pStyle w:val="Tabletext1"/>
              <w:jc w:val="center"/>
              <w:rPr>
                <w:snapToGrid w:val="0"/>
                <w:lang w:eastAsia="en-US"/>
              </w:rPr>
            </w:pPr>
            <w:r w:rsidRPr="008D0710">
              <w:t>1</w:t>
            </w:r>
          </w:p>
        </w:tc>
        <w:tc>
          <w:tcPr>
            <w:tcW w:w="716" w:type="pct"/>
            <w:vAlign w:val="center"/>
          </w:tcPr>
          <w:p w14:paraId="4F5B6D8B" w14:textId="08D0F2B5" w:rsidR="00D12268" w:rsidRPr="003816D8" w:rsidRDefault="00D12268" w:rsidP="006D1459">
            <w:pPr>
              <w:pStyle w:val="Tabletext1"/>
              <w:jc w:val="center"/>
            </w:pPr>
            <w:r w:rsidRPr="00245AE2">
              <w:t>$3,153.63</w:t>
            </w:r>
          </w:p>
        </w:tc>
        <w:tc>
          <w:tcPr>
            <w:tcW w:w="1182" w:type="pct"/>
            <w:vAlign w:val="center"/>
          </w:tcPr>
          <w:p w14:paraId="01865DF8" w14:textId="77777777" w:rsidR="00D12268" w:rsidRPr="003816D8" w:rsidRDefault="00D12268" w:rsidP="006D1459">
            <w:pPr>
              <w:pStyle w:val="Tabletext1"/>
              <w:jc w:val="center"/>
              <w:rPr>
                <w:rFonts w:cs="Calibri"/>
              </w:rPr>
            </w:pPr>
            <w:r w:rsidRPr="00CC49EF">
              <w:t>G61A/G61B</w:t>
            </w:r>
          </w:p>
        </w:tc>
        <w:tc>
          <w:tcPr>
            <w:tcW w:w="830" w:type="pct"/>
            <w:vAlign w:val="center"/>
          </w:tcPr>
          <w:p w14:paraId="1ACF98DC" w14:textId="1D2482CA" w:rsidR="00D12268" w:rsidRPr="003816D8" w:rsidRDefault="00D12268" w:rsidP="006D1459">
            <w:pPr>
              <w:pStyle w:val="Tabletext1"/>
              <w:jc w:val="center"/>
              <w:rPr>
                <w:rFonts w:cs="Calibri"/>
              </w:rPr>
            </w:pPr>
            <w:r w:rsidRPr="00AD062C">
              <w:t>$3,153.63</w:t>
            </w:r>
          </w:p>
        </w:tc>
      </w:tr>
      <w:tr w:rsidR="00D12268" w:rsidRPr="00F77E8D" w14:paraId="526EDEF9" w14:textId="77777777" w:rsidTr="00E3175C">
        <w:tc>
          <w:tcPr>
            <w:tcW w:w="1429" w:type="pct"/>
          </w:tcPr>
          <w:p w14:paraId="7D707903" w14:textId="77777777" w:rsidR="00D12268" w:rsidRPr="00D72D17" w:rsidRDefault="00D12268" w:rsidP="00556AB6">
            <w:pPr>
              <w:pStyle w:val="Tabletext1"/>
              <w:rPr>
                <w:b/>
                <w:snapToGrid w:val="0"/>
                <w:lang w:eastAsia="en-US"/>
              </w:rPr>
            </w:pPr>
            <w:r w:rsidRPr="00D72D17">
              <w:rPr>
                <w:b/>
              </w:rPr>
              <w:t>Constipation</w:t>
            </w:r>
          </w:p>
        </w:tc>
        <w:tc>
          <w:tcPr>
            <w:tcW w:w="843" w:type="pct"/>
            <w:vAlign w:val="center"/>
          </w:tcPr>
          <w:p w14:paraId="5EDF737E" w14:textId="77777777" w:rsidR="00D12268" w:rsidRPr="003816D8" w:rsidRDefault="00D12268" w:rsidP="006D1459">
            <w:pPr>
              <w:pStyle w:val="Tabletext1"/>
              <w:jc w:val="center"/>
              <w:rPr>
                <w:snapToGrid w:val="0"/>
                <w:lang w:eastAsia="en-US"/>
              </w:rPr>
            </w:pPr>
          </w:p>
        </w:tc>
        <w:tc>
          <w:tcPr>
            <w:tcW w:w="716" w:type="pct"/>
            <w:vAlign w:val="center"/>
          </w:tcPr>
          <w:p w14:paraId="3D5E93B2" w14:textId="77777777" w:rsidR="00D12268" w:rsidRPr="003816D8" w:rsidRDefault="00D12268" w:rsidP="006D1459">
            <w:pPr>
              <w:pStyle w:val="Tabletext1"/>
              <w:jc w:val="center"/>
            </w:pPr>
          </w:p>
        </w:tc>
        <w:tc>
          <w:tcPr>
            <w:tcW w:w="1182" w:type="pct"/>
            <w:vAlign w:val="center"/>
          </w:tcPr>
          <w:p w14:paraId="7054F538" w14:textId="77777777" w:rsidR="00D12268" w:rsidRPr="003816D8" w:rsidRDefault="00D12268" w:rsidP="006D1459">
            <w:pPr>
              <w:pStyle w:val="Tabletext1"/>
              <w:jc w:val="center"/>
              <w:rPr>
                <w:rFonts w:cs="Calibri"/>
              </w:rPr>
            </w:pPr>
          </w:p>
        </w:tc>
        <w:tc>
          <w:tcPr>
            <w:tcW w:w="830" w:type="pct"/>
            <w:vAlign w:val="center"/>
          </w:tcPr>
          <w:p w14:paraId="06505238" w14:textId="77777777" w:rsidR="00D12268" w:rsidRPr="00AE37CD" w:rsidRDefault="00D12268" w:rsidP="006D1459">
            <w:pPr>
              <w:pStyle w:val="Tabletext1"/>
              <w:jc w:val="center"/>
              <w:rPr>
                <w:rFonts w:cs="Calibri"/>
                <w:b/>
              </w:rPr>
            </w:pPr>
            <w:r w:rsidRPr="00AE37CD">
              <w:rPr>
                <w:b/>
              </w:rPr>
              <w:t>$5,892.03</w:t>
            </w:r>
          </w:p>
        </w:tc>
      </w:tr>
      <w:tr w:rsidR="00D12268" w:rsidRPr="00F77E8D" w14:paraId="73982C51" w14:textId="77777777" w:rsidTr="00E3175C">
        <w:tc>
          <w:tcPr>
            <w:tcW w:w="1429" w:type="pct"/>
          </w:tcPr>
          <w:p w14:paraId="026CCBE1" w14:textId="77777777" w:rsidR="00D12268" w:rsidRPr="003816D8" w:rsidRDefault="00D12268" w:rsidP="00556AB6">
            <w:pPr>
              <w:pStyle w:val="Tabletext1"/>
              <w:rPr>
                <w:snapToGrid w:val="0"/>
                <w:lang w:eastAsia="en-US"/>
              </w:rPr>
            </w:pPr>
            <w:r w:rsidRPr="00A429E8">
              <w:t>Cost of outpatient visit - GP</w:t>
            </w:r>
          </w:p>
        </w:tc>
        <w:tc>
          <w:tcPr>
            <w:tcW w:w="843" w:type="pct"/>
            <w:vAlign w:val="center"/>
          </w:tcPr>
          <w:p w14:paraId="22D62CEA" w14:textId="77777777" w:rsidR="00D12268" w:rsidRPr="003816D8" w:rsidRDefault="00D12268" w:rsidP="006D1459">
            <w:pPr>
              <w:pStyle w:val="Tabletext1"/>
              <w:jc w:val="center"/>
              <w:rPr>
                <w:snapToGrid w:val="0"/>
                <w:lang w:eastAsia="en-US"/>
              </w:rPr>
            </w:pPr>
            <w:r w:rsidRPr="008D0710">
              <w:t>4</w:t>
            </w:r>
          </w:p>
        </w:tc>
        <w:tc>
          <w:tcPr>
            <w:tcW w:w="716" w:type="pct"/>
            <w:vAlign w:val="center"/>
          </w:tcPr>
          <w:p w14:paraId="0D85CD01" w14:textId="331A9B99" w:rsidR="00D12268" w:rsidRPr="003816D8" w:rsidRDefault="00D12268" w:rsidP="006D1459">
            <w:pPr>
              <w:pStyle w:val="Tabletext1"/>
              <w:jc w:val="center"/>
            </w:pPr>
            <w:r w:rsidRPr="00245AE2">
              <w:t>$38.75</w:t>
            </w:r>
          </w:p>
        </w:tc>
        <w:tc>
          <w:tcPr>
            <w:tcW w:w="1182" w:type="pct"/>
            <w:vAlign w:val="center"/>
          </w:tcPr>
          <w:p w14:paraId="6116481F" w14:textId="77777777" w:rsidR="00D12268" w:rsidRPr="003816D8" w:rsidRDefault="00D12268" w:rsidP="006D1459">
            <w:pPr>
              <w:pStyle w:val="Tabletext1"/>
              <w:jc w:val="center"/>
              <w:rPr>
                <w:rFonts w:cs="Calibri"/>
              </w:rPr>
            </w:pPr>
            <w:r w:rsidRPr="00CC49EF">
              <w:t>23</w:t>
            </w:r>
          </w:p>
        </w:tc>
        <w:tc>
          <w:tcPr>
            <w:tcW w:w="830" w:type="pct"/>
            <w:vAlign w:val="center"/>
          </w:tcPr>
          <w:p w14:paraId="2ED9C646" w14:textId="2CF3C1B2" w:rsidR="00D12268" w:rsidRPr="003816D8" w:rsidRDefault="00D12268" w:rsidP="006D1459">
            <w:pPr>
              <w:pStyle w:val="Tabletext1"/>
              <w:jc w:val="center"/>
              <w:rPr>
                <w:rFonts w:cs="Calibri"/>
              </w:rPr>
            </w:pPr>
            <w:r w:rsidRPr="00AD062C">
              <w:t>$155.00</w:t>
            </w:r>
          </w:p>
        </w:tc>
      </w:tr>
      <w:tr w:rsidR="00D12268" w:rsidRPr="00F77E8D" w14:paraId="1375BFEC" w14:textId="77777777" w:rsidTr="00E3175C">
        <w:tc>
          <w:tcPr>
            <w:tcW w:w="1429" w:type="pct"/>
          </w:tcPr>
          <w:p w14:paraId="2FE904CE" w14:textId="77777777" w:rsidR="00D12268" w:rsidRPr="003816D8" w:rsidRDefault="00D12268" w:rsidP="00556AB6">
            <w:pPr>
              <w:pStyle w:val="Tabletext1"/>
              <w:rPr>
                <w:snapToGrid w:val="0"/>
                <w:lang w:eastAsia="en-US"/>
              </w:rPr>
            </w:pPr>
            <w:r w:rsidRPr="00A429E8">
              <w:t xml:space="preserve">Cost of outpatient visit - specialist </w:t>
            </w:r>
          </w:p>
        </w:tc>
        <w:tc>
          <w:tcPr>
            <w:tcW w:w="843" w:type="pct"/>
            <w:vAlign w:val="center"/>
          </w:tcPr>
          <w:p w14:paraId="196A2389" w14:textId="77777777" w:rsidR="00D12268" w:rsidRPr="003816D8" w:rsidRDefault="00D12268" w:rsidP="006D1459">
            <w:pPr>
              <w:pStyle w:val="Tabletext1"/>
              <w:jc w:val="center"/>
              <w:rPr>
                <w:snapToGrid w:val="0"/>
                <w:lang w:eastAsia="en-US"/>
              </w:rPr>
            </w:pPr>
            <w:r w:rsidRPr="008D0710">
              <w:t>4</w:t>
            </w:r>
          </w:p>
        </w:tc>
        <w:tc>
          <w:tcPr>
            <w:tcW w:w="716" w:type="pct"/>
            <w:vAlign w:val="center"/>
          </w:tcPr>
          <w:p w14:paraId="17E20A4D" w14:textId="1595C52B" w:rsidR="00D12268" w:rsidRPr="003816D8" w:rsidRDefault="00D12268" w:rsidP="006D1459">
            <w:pPr>
              <w:pStyle w:val="Tabletext1"/>
              <w:jc w:val="center"/>
            </w:pPr>
            <w:r w:rsidRPr="00245AE2">
              <w:t>$45.00</w:t>
            </w:r>
          </w:p>
        </w:tc>
        <w:tc>
          <w:tcPr>
            <w:tcW w:w="1182" w:type="pct"/>
            <w:vAlign w:val="center"/>
          </w:tcPr>
          <w:p w14:paraId="55B1E30B" w14:textId="77777777" w:rsidR="00D12268" w:rsidRPr="003816D8" w:rsidRDefault="00D12268" w:rsidP="006D1459">
            <w:pPr>
              <w:pStyle w:val="Tabletext1"/>
              <w:jc w:val="center"/>
              <w:rPr>
                <w:rFonts w:cs="Calibri"/>
              </w:rPr>
            </w:pPr>
            <w:r w:rsidRPr="00CC49EF">
              <w:t>105</w:t>
            </w:r>
          </w:p>
        </w:tc>
        <w:tc>
          <w:tcPr>
            <w:tcW w:w="830" w:type="pct"/>
            <w:vAlign w:val="center"/>
          </w:tcPr>
          <w:p w14:paraId="24600A3E" w14:textId="4A6BB928" w:rsidR="00D12268" w:rsidRPr="003816D8" w:rsidRDefault="00D12268" w:rsidP="006D1459">
            <w:pPr>
              <w:pStyle w:val="Tabletext1"/>
              <w:jc w:val="center"/>
              <w:rPr>
                <w:rFonts w:cs="Calibri"/>
              </w:rPr>
            </w:pPr>
            <w:r w:rsidRPr="00AD062C">
              <w:t>$180.00</w:t>
            </w:r>
          </w:p>
        </w:tc>
      </w:tr>
      <w:tr w:rsidR="00D12268" w:rsidRPr="00F77E8D" w14:paraId="14DA49EB" w14:textId="77777777" w:rsidTr="00E3175C">
        <w:tc>
          <w:tcPr>
            <w:tcW w:w="1429" w:type="pct"/>
          </w:tcPr>
          <w:p w14:paraId="27507A95" w14:textId="77777777" w:rsidR="00D12268" w:rsidRPr="003816D8" w:rsidRDefault="00D12268" w:rsidP="00556AB6">
            <w:pPr>
              <w:pStyle w:val="Tabletext1"/>
              <w:rPr>
                <w:snapToGrid w:val="0"/>
                <w:lang w:eastAsia="en-US"/>
              </w:rPr>
            </w:pPr>
            <w:r w:rsidRPr="00A429E8">
              <w:t>Cost of Magnesium</w:t>
            </w:r>
          </w:p>
        </w:tc>
        <w:tc>
          <w:tcPr>
            <w:tcW w:w="843" w:type="pct"/>
            <w:vAlign w:val="center"/>
          </w:tcPr>
          <w:p w14:paraId="557B624C" w14:textId="77777777" w:rsidR="00D12268" w:rsidRPr="003816D8" w:rsidRDefault="00D12268" w:rsidP="006D1459">
            <w:pPr>
              <w:pStyle w:val="Tabletext1"/>
              <w:jc w:val="center"/>
              <w:rPr>
                <w:snapToGrid w:val="0"/>
                <w:lang w:eastAsia="en-US"/>
              </w:rPr>
            </w:pPr>
            <w:r w:rsidRPr="008D0710">
              <w:t>50</w:t>
            </w:r>
          </w:p>
        </w:tc>
        <w:tc>
          <w:tcPr>
            <w:tcW w:w="716" w:type="pct"/>
            <w:vAlign w:val="center"/>
          </w:tcPr>
          <w:p w14:paraId="7976D1FA" w14:textId="3A74A3F3" w:rsidR="00D12268" w:rsidRPr="003816D8" w:rsidRDefault="00D12268" w:rsidP="006D1459">
            <w:pPr>
              <w:pStyle w:val="Tabletext1"/>
              <w:jc w:val="center"/>
            </w:pPr>
            <w:r w:rsidRPr="00245AE2">
              <w:t>$18.04</w:t>
            </w:r>
          </w:p>
        </w:tc>
        <w:tc>
          <w:tcPr>
            <w:tcW w:w="1182" w:type="pct"/>
            <w:vAlign w:val="center"/>
          </w:tcPr>
          <w:p w14:paraId="5E6251E3" w14:textId="77777777" w:rsidR="00D12268" w:rsidRPr="003816D8" w:rsidRDefault="00D12268" w:rsidP="006D1459">
            <w:pPr>
              <w:pStyle w:val="Tabletext1"/>
              <w:jc w:val="center"/>
              <w:rPr>
                <w:rFonts w:cs="Calibri"/>
              </w:rPr>
            </w:pPr>
            <w:r w:rsidRPr="00CC49EF">
              <w:t>4321K</w:t>
            </w:r>
          </w:p>
        </w:tc>
        <w:tc>
          <w:tcPr>
            <w:tcW w:w="830" w:type="pct"/>
            <w:vAlign w:val="center"/>
          </w:tcPr>
          <w:p w14:paraId="7CEC6B38" w14:textId="6CB78B86" w:rsidR="00D12268" w:rsidRPr="003816D8" w:rsidRDefault="00D12268" w:rsidP="006D1459">
            <w:pPr>
              <w:pStyle w:val="Tabletext1"/>
              <w:jc w:val="center"/>
              <w:rPr>
                <w:rFonts w:cs="Calibri"/>
              </w:rPr>
            </w:pPr>
            <w:r w:rsidRPr="00AD062C">
              <w:t>$131.69</w:t>
            </w:r>
          </w:p>
        </w:tc>
      </w:tr>
      <w:tr w:rsidR="00D12268" w:rsidRPr="00F77E8D" w14:paraId="11A52E0D" w14:textId="77777777" w:rsidTr="00E3175C">
        <w:tc>
          <w:tcPr>
            <w:tcW w:w="1429" w:type="pct"/>
          </w:tcPr>
          <w:p w14:paraId="1552788B" w14:textId="77777777" w:rsidR="00D12268" w:rsidRPr="003816D8" w:rsidRDefault="00D12268" w:rsidP="00556AB6">
            <w:pPr>
              <w:pStyle w:val="Tabletext1"/>
              <w:rPr>
                <w:snapToGrid w:val="0"/>
                <w:lang w:eastAsia="en-US"/>
              </w:rPr>
            </w:pPr>
            <w:r w:rsidRPr="00A429E8">
              <w:t>Cost of Psyllium powder</w:t>
            </w:r>
          </w:p>
        </w:tc>
        <w:tc>
          <w:tcPr>
            <w:tcW w:w="843" w:type="pct"/>
            <w:vAlign w:val="center"/>
          </w:tcPr>
          <w:p w14:paraId="17E71A81" w14:textId="77777777" w:rsidR="00D12268" w:rsidRPr="003816D8" w:rsidRDefault="00D12268" w:rsidP="006D1459">
            <w:pPr>
              <w:pStyle w:val="Tabletext1"/>
              <w:jc w:val="center"/>
              <w:rPr>
                <w:snapToGrid w:val="0"/>
                <w:lang w:eastAsia="en-US"/>
              </w:rPr>
            </w:pPr>
            <w:r w:rsidRPr="008D0710">
              <w:t>10</w:t>
            </w:r>
          </w:p>
        </w:tc>
        <w:tc>
          <w:tcPr>
            <w:tcW w:w="716" w:type="pct"/>
            <w:vAlign w:val="center"/>
          </w:tcPr>
          <w:p w14:paraId="17F08E93" w14:textId="6E17A29D" w:rsidR="00D12268" w:rsidRPr="003816D8" w:rsidRDefault="00D12268" w:rsidP="006D1459">
            <w:pPr>
              <w:pStyle w:val="Tabletext1"/>
              <w:jc w:val="center"/>
            </w:pPr>
            <w:r w:rsidRPr="00245AE2">
              <w:t>$25.28</w:t>
            </w:r>
          </w:p>
        </w:tc>
        <w:tc>
          <w:tcPr>
            <w:tcW w:w="1182" w:type="pct"/>
            <w:vAlign w:val="center"/>
          </w:tcPr>
          <w:p w14:paraId="029A4A5D" w14:textId="77777777" w:rsidR="00D12268" w:rsidRPr="003816D8" w:rsidRDefault="00D12268" w:rsidP="006D1459">
            <w:pPr>
              <w:pStyle w:val="Tabletext1"/>
              <w:jc w:val="center"/>
              <w:rPr>
                <w:rFonts w:cs="Calibri"/>
              </w:rPr>
            </w:pPr>
            <w:r w:rsidRPr="00CC49EF">
              <w:t>4422R</w:t>
            </w:r>
          </w:p>
        </w:tc>
        <w:tc>
          <w:tcPr>
            <w:tcW w:w="830" w:type="pct"/>
            <w:vAlign w:val="center"/>
          </w:tcPr>
          <w:p w14:paraId="742384A9" w14:textId="21207A6E" w:rsidR="00D12268" w:rsidRPr="003816D8" w:rsidRDefault="00D12268" w:rsidP="006D1459">
            <w:pPr>
              <w:pStyle w:val="Tabletext1"/>
              <w:jc w:val="center"/>
              <w:rPr>
                <w:rFonts w:cs="Calibri"/>
              </w:rPr>
            </w:pPr>
            <w:r w:rsidRPr="00AD062C">
              <w:t>$252.80</w:t>
            </w:r>
          </w:p>
        </w:tc>
      </w:tr>
      <w:tr w:rsidR="00D12268" w:rsidRPr="00F77E8D" w14:paraId="7604E0B3" w14:textId="77777777" w:rsidTr="00E3175C">
        <w:tc>
          <w:tcPr>
            <w:tcW w:w="1429" w:type="pct"/>
          </w:tcPr>
          <w:p w14:paraId="08E46D70" w14:textId="77777777" w:rsidR="00D12268" w:rsidRPr="003816D8" w:rsidRDefault="00D12268" w:rsidP="00556AB6">
            <w:pPr>
              <w:pStyle w:val="Tabletext1"/>
              <w:rPr>
                <w:snapToGrid w:val="0"/>
                <w:lang w:eastAsia="en-US"/>
              </w:rPr>
            </w:pPr>
            <w:r w:rsidRPr="00A429E8">
              <w:t>Dietician consult</w:t>
            </w:r>
          </w:p>
        </w:tc>
        <w:tc>
          <w:tcPr>
            <w:tcW w:w="843" w:type="pct"/>
            <w:vAlign w:val="center"/>
          </w:tcPr>
          <w:p w14:paraId="3E470474" w14:textId="77777777" w:rsidR="00D12268" w:rsidRPr="003816D8" w:rsidRDefault="00D12268" w:rsidP="006D1459">
            <w:pPr>
              <w:pStyle w:val="Tabletext1"/>
              <w:jc w:val="center"/>
              <w:rPr>
                <w:snapToGrid w:val="0"/>
                <w:lang w:eastAsia="en-US"/>
              </w:rPr>
            </w:pPr>
            <w:r w:rsidRPr="008D0710">
              <w:t>1</w:t>
            </w:r>
          </w:p>
        </w:tc>
        <w:tc>
          <w:tcPr>
            <w:tcW w:w="716" w:type="pct"/>
            <w:vAlign w:val="center"/>
          </w:tcPr>
          <w:p w14:paraId="4582BAC5" w14:textId="4CED0FBB" w:rsidR="00D12268" w:rsidRPr="003816D8" w:rsidRDefault="00D12268" w:rsidP="006D1459">
            <w:pPr>
              <w:pStyle w:val="Tabletext1"/>
              <w:jc w:val="center"/>
            </w:pPr>
            <w:r w:rsidRPr="00245AE2">
              <w:t>$54.60</w:t>
            </w:r>
          </w:p>
        </w:tc>
        <w:tc>
          <w:tcPr>
            <w:tcW w:w="1182" w:type="pct"/>
            <w:vAlign w:val="center"/>
          </w:tcPr>
          <w:p w14:paraId="4343EF3C" w14:textId="77777777" w:rsidR="00D12268" w:rsidRPr="003816D8" w:rsidRDefault="00D12268" w:rsidP="006D1459">
            <w:pPr>
              <w:pStyle w:val="Tabletext1"/>
              <w:jc w:val="center"/>
              <w:rPr>
                <w:rFonts w:cs="Calibri"/>
              </w:rPr>
            </w:pPr>
            <w:r w:rsidRPr="00CC49EF">
              <w:t>10954</w:t>
            </w:r>
          </w:p>
        </w:tc>
        <w:tc>
          <w:tcPr>
            <w:tcW w:w="830" w:type="pct"/>
            <w:vAlign w:val="center"/>
          </w:tcPr>
          <w:p w14:paraId="203D9835" w14:textId="23519EA0" w:rsidR="00D12268" w:rsidRPr="003816D8" w:rsidRDefault="00D12268" w:rsidP="006D1459">
            <w:pPr>
              <w:pStyle w:val="Tabletext1"/>
              <w:jc w:val="center"/>
              <w:rPr>
                <w:rFonts w:cs="Calibri"/>
              </w:rPr>
            </w:pPr>
            <w:r w:rsidRPr="00AD062C">
              <w:t>$54.60</w:t>
            </w:r>
          </w:p>
        </w:tc>
      </w:tr>
      <w:tr w:rsidR="00D12268" w:rsidRPr="00F77E8D" w14:paraId="58B82610" w14:textId="77777777" w:rsidTr="00E3175C">
        <w:tc>
          <w:tcPr>
            <w:tcW w:w="1429" w:type="pct"/>
          </w:tcPr>
          <w:p w14:paraId="342D1CC1" w14:textId="77777777" w:rsidR="00D12268" w:rsidRPr="003816D8" w:rsidRDefault="00D12268" w:rsidP="00556AB6">
            <w:pPr>
              <w:pStyle w:val="Tabletext1"/>
              <w:rPr>
                <w:snapToGrid w:val="0"/>
                <w:lang w:eastAsia="en-US"/>
              </w:rPr>
            </w:pPr>
            <w:r w:rsidRPr="00A429E8">
              <w:t>Hospital admission for constipation</w:t>
            </w:r>
          </w:p>
        </w:tc>
        <w:tc>
          <w:tcPr>
            <w:tcW w:w="843" w:type="pct"/>
            <w:vAlign w:val="center"/>
          </w:tcPr>
          <w:p w14:paraId="41B4D6FA" w14:textId="77777777" w:rsidR="00D12268" w:rsidRPr="003816D8" w:rsidRDefault="00D12268" w:rsidP="006D1459">
            <w:pPr>
              <w:pStyle w:val="Tabletext1"/>
              <w:jc w:val="center"/>
              <w:rPr>
                <w:snapToGrid w:val="0"/>
                <w:lang w:eastAsia="en-US"/>
              </w:rPr>
            </w:pPr>
            <w:r w:rsidRPr="008D0710">
              <w:t>1</w:t>
            </w:r>
          </w:p>
        </w:tc>
        <w:tc>
          <w:tcPr>
            <w:tcW w:w="716" w:type="pct"/>
            <w:vAlign w:val="center"/>
          </w:tcPr>
          <w:p w14:paraId="51A81DDE" w14:textId="4880C560" w:rsidR="00D12268" w:rsidRPr="003816D8" w:rsidRDefault="00D12268" w:rsidP="006D1459">
            <w:pPr>
              <w:pStyle w:val="Tabletext1"/>
              <w:jc w:val="center"/>
            </w:pPr>
            <w:r w:rsidRPr="00245AE2">
              <w:t>$5,117.94</w:t>
            </w:r>
          </w:p>
        </w:tc>
        <w:tc>
          <w:tcPr>
            <w:tcW w:w="1182" w:type="pct"/>
            <w:vAlign w:val="center"/>
          </w:tcPr>
          <w:p w14:paraId="398EC0D0" w14:textId="77777777" w:rsidR="00D12268" w:rsidRPr="003816D8" w:rsidRDefault="00D12268" w:rsidP="006D1459">
            <w:pPr>
              <w:pStyle w:val="Tabletext1"/>
              <w:jc w:val="center"/>
              <w:rPr>
                <w:rFonts w:cs="Calibri"/>
              </w:rPr>
            </w:pPr>
            <w:r w:rsidRPr="00CC49EF">
              <w:t>G70A/G70B</w:t>
            </w:r>
          </w:p>
        </w:tc>
        <w:tc>
          <w:tcPr>
            <w:tcW w:w="830" w:type="pct"/>
            <w:vAlign w:val="center"/>
          </w:tcPr>
          <w:p w14:paraId="3487CC5F" w14:textId="785878F6" w:rsidR="00D12268" w:rsidRPr="003816D8" w:rsidRDefault="00D12268" w:rsidP="006D1459">
            <w:pPr>
              <w:pStyle w:val="Tabletext1"/>
              <w:jc w:val="center"/>
              <w:rPr>
                <w:rFonts w:cs="Calibri"/>
              </w:rPr>
            </w:pPr>
            <w:r w:rsidRPr="00AD062C">
              <w:t>$5,117.94</w:t>
            </w:r>
          </w:p>
        </w:tc>
      </w:tr>
      <w:tr w:rsidR="00D12268" w:rsidRPr="00F77E8D" w14:paraId="062FF9B5" w14:textId="77777777" w:rsidTr="00E3175C">
        <w:tc>
          <w:tcPr>
            <w:tcW w:w="1429" w:type="pct"/>
          </w:tcPr>
          <w:p w14:paraId="2B990D94" w14:textId="77777777" w:rsidR="00D12268" w:rsidRPr="00D72D17" w:rsidRDefault="00D12268" w:rsidP="00556AB6">
            <w:pPr>
              <w:pStyle w:val="Tabletext1"/>
              <w:rPr>
                <w:b/>
                <w:snapToGrid w:val="0"/>
                <w:lang w:eastAsia="en-US"/>
              </w:rPr>
            </w:pPr>
            <w:r w:rsidRPr="00D72D17">
              <w:rPr>
                <w:b/>
              </w:rPr>
              <w:t>Radiation Proctitis</w:t>
            </w:r>
          </w:p>
        </w:tc>
        <w:tc>
          <w:tcPr>
            <w:tcW w:w="843" w:type="pct"/>
            <w:vAlign w:val="center"/>
          </w:tcPr>
          <w:p w14:paraId="29AAB179" w14:textId="77777777" w:rsidR="00D12268" w:rsidRPr="003816D8" w:rsidRDefault="00D12268" w:rsidP="006D1459">
            <w:pPr>
              <w:pStyle w:val="Tabletext1"/>
              <w:jc w:val="center"/>
              <w:rPr>
                <w:snapToGrid w:val="0"/>
                <w:lang w:eastAsia="en-US"/>
              </w:rPr>
            </w:pPr>
          </w:p>
        </w:tc>
        <w:tc>
          <w:tcPr>
            <w:tcW w:w="716" w:type="pct"/>
            <w:vAlign w:val="center"/>
          </w:tcPr>
          <w:p w14:paraId="1467261B" w14:textId="77777777" w:rsidR="00D12268" w:rsidRPr="003816D8" w:rsidRDefault="00D12268" w:rsidP="006D1459">
            <w:pPr>
              <w:pStyle w:val="Tabletext1"/>
              <w:jc w:val="center"/>
            </w:pPr>
          </w:p>
        </w:tc>
        <w:tc>
          <w:tcPr>
            <w:tcW w:w="1182" w:type="pct"/>
            <w:vAlign w:val="center"/>
          </w:tcPr>
          <w:p w14:paraId="542DA7A8" w14:textId="77777777" w:rsidR="00D12268" w:rsidRPr="003816D8" w:rsidRDefault="00D12268" w:rsidP="006D1459">
            <w:pPr>
              <w:pStyle w:val="Tabletext1"/>
              <w:jc w:val="center"/>
              <w:rPr>
                <w:rFonts w:cs="Calibri"/>
              </w:rPr>
            </w:pPr>
          </w:p>
        </w:tc>
        <w:tc>
          <w:tcPr>
            <w:tcW w:w="830" w:type="pct"/>
            <w:vAlign w:val="center"/>
          </w:tcPr>
          <w:p w14:paraId="7685CDAA" w14:textId="77777777" w:rsidR="00D12268" w:rsidRPr="00AE37CD" w:rsidRDefault="00D12268" w:rsidP="006D1459">
            <w:pPr>
              <w:pStyle w:val="Tabletext1"/>
              <w:jc w:val="center"/>
              <w:rPr>
                <w:rFonts w:cs="Calibri"/>
                <w:b/>
              </w:rPr>
            </w:pPr>
            <w:r w:rsidRPr="00AE37CD">
              <w:rPr>
                <w:rFonts w:cs="Calibri"/>
                <w:b/>
              </w:rPr>
              <w:t>$3,507.10</w:t>
            </w:r>
          </w:p>
        </w:tc>
      </w:tr>
      <w:tr w:rsidR="00D12268" w:rsidRPr="00F77E8D" w14:paraId="79AFDCF7" w14:textId="77777777" w:rsidTr="00E3175C">
        <w:tc>
          <w:tcPr>
            <w:tcW w:w="1429" w:type="pct"/>
          </w:tcPr>
          <w:p w14:paraId="798B4D79" w14:textId="77777777" w:rsidR="00D12268" w:rsidRPr="003816D8" w:rsidRDefault="00D12268" w:rsidP="00556AB6">
            <w:pPr>
              <w:pStyle w:val="Tabletext1"/>
              <w:rPr>
                <w:snapToGrid w:val="0"/>
                <w:lang w:eastAsia="en-US"/>
              </w:rPr>
            </w:pPr>
            <w:r w:rsidRPr="00A429E8">
              <w:t>Cost of outpatient visit - GP</w:t>
            </w:r>
          </w:p>
        </w:tc>
        <w:tc>
          <w:tcPr>
            <w:tcW w:w="843" w:type="pct"/>
            <w:vAlign w:val="center"/>
          </w:tcPr>
          <w:p w14:paraId="7028080D" w14:textId="77777777" w:rsidR="00D12268" w:rsidRPr="003816D8" w:rsidRDefault="00D12268" w:rsidP="006D1459">
            <w:pPr>
              <w:pStyle w:val="Tabletext1"/>
              <w:jc w:val="center"/>
              <w:rPr>
                <w:snapToGrid w:val="0"/>
                <w:lang w:eastAsia="en-US"/>
              </w:rPr>
            </w:pPr>
            <w:r w:rsidRPr="008D0710">
              <w:t>4</w:t>
            </w:r>
          </w:p>
        </w:tc>
        <w:tc>
          <w:tcPr>
            <w:tcW w:w="716" w:type="pct"/>
            <w:vAlign w:val="center"/>
          </w:tcPr>
          <w:p w14:paraId="4AC9C68B" w14:textId="3630D569" w:rsidR="00D12268" w:rsidRPr="003816D8" w:rsidRDefault="00D12268" w:rsidP="006D1459">
            <w:pPr>
              <w:pStyle w:val="Tabletext1"/>
              <w:jc w:val="center"/>
            </w:pPr>
            <w:r w:rsidRPr="00245AE2">
              <w:t>$38.75</w:t>
            </w:r>
          </w:p>
        </w:tc>
        <w:tc>
          <w:tcPr>
            <w:tcW w:w="1182" w:type="pct"/>
            <w:vAlign w:val="center"/>
          </w:tcPr>
          <w:p w14:paraId="39D2AB06" w14:textId="77777777" w:rsidR="00D12268" w:rsidRPr="003816D8" w:rsidRDefault="00D12268" w:rsidP="006D1459">
            <w:pPr>
              <w:pStyle w:val="Tabletext1"/>
              <w:jc w:val="center"/>
              <w:rPr>
                <w:rFonts w:cs="Calibri"/>
              </w:rPr>
            </w:pPr>
            <w:r w:rsidRPr="00CC49EF">
              <w:t>23</w:t>
            </w:r>
          </w:p>
        </w:tc>
        <w:tc>
          <w:tcPr>
            <w:tcW w:w="830" w:type="pct"/>
            <w:vAlign w:val="center"/>
          </w:tcPr>
          <w:p w14:paraId="61F7C790" w14:textId="37E06C7F" w:rsidR="00D12268" w:rsidRPr="003816D8" w:rsidRDefault="00D12268" w:rsidP="006D1459">
            <w:pPr>
              <w:pStyle w:val="Tabletext1"/>
              <w:jc w:val="center"/>
              <w:rPr>
                <w:rFonts w:cs="Calibri"/>
              </w:rPr>
            </w:pPr>
            <w:r w:rsidRPr="00AD062C">
              <w:t>$155.00</w:t>
            </w:r>
          </w:p>
        </w:tc>
      </w:tr>
      <w:tr w:rsidR="00D12268" w:rsidRPr="00F77E8D" w14:paraId="46FA6AD1" w14:textId="77777777" w:rsidTr="00E3175C">
        <w:tc>
          <w:tcPr>
            <w:tcW w:w="1429" w:type="pct"/>
          </w:tcPr>
          <w:p w14:paraId="6ABCE105" w14:textId="77777777" w:rsidR="00D12268" w:rsidRPr="003816D8" w:rsidRDefault="00D12268" w:rsidP="00556AB6">
            <w:pPr>
              <w:pStyle w:val="Tabletext1"/>
              <w:rPr>
                <w:snapToGrid w:val="0"/>
                <w:lang w:eastAsia="en-US"/>
              </w:rPr>
            </w:pPr>
            <w:r w:rsidRPr="00A429E8">
              <w:t xml:space="preserve">Cost of outpatient visit - specialist </w:t>
            </w:r>
          </w:p>
        </w:tc>
        <w:tc>
          <w:tcPr>
            <w:tcW w:w="843" w:type="pct"/>
            <w:vAlign w:val="center"/>
          </w:tcPr>
          <w:p w14:paraId="6B116F3B" w14:textId="77777777" w:rsidR="00D12268" w:rsidRPr="003816D8" w:rsidRDefault="00D12268" w:rsidP="006D1459">
            <w:pPr>
              <w:pStyle w:val="Tabletext1"/>
              <w:jc w:val="center"/>
              <w:rPr>
                <w:snapToGrid w:val="0"/>
                <w:lang w:eastAsia="en-US"/>
              </w:rPr>
            </w:pPr>
            <w:r w:rsidRPr="008D0710">
              <w:t>4</w:t>
            </w:r>
          </w:p>
        </w:tc>
        <w:tc>
          <w:tcPr>
            <w:tcW w:w="716" w:type="pct"/>
            <w:vAlign w:val="center"/>
          </w:tcPr>
          <w:p w14:paraId="16E51249" w14:textId="50AE3911" w:rsidR="00D12268" w:rsidRPr="003816D8" w:rsidRDefault="00D12268" w:rsidP="006D1459">
            <w:pPr>
              <w:pStyle w:val="Tabletext1"/>
              <w:jc w:val="center"/>
            </w:pPr>
            <w:r w:rsidRPr="00245AE2">
              <w:t>$45.00</w:t>
            </w:r>
          </w:p>
        </w:tc>
        <w:tc>
          <w:tcPr>
            <w:tcW w:w="1182" w:type="pct"/>
            <w:vAlign w:val="center"/>
          </w:tcPr>
          <w:p w14:paraId="6CFB4B11" w14:textId="77777777" w:rsidR="00D12268" w:rsidRPr="003816D8" w:rsidRDefault="00D12268" w:rsidP="006D1459">
            <w:pPr>
              <w:pStyle w:val="Tabletext1"/>
              <w:jc w:val="center"/>
              <w:rPr>
                <w:rFonts w:cs="Calibri"/>
              </w:rPr>
            </w:pPr>
            <w:r w:rsidRPr="00CC49EF">
              <w:t>105</w:t>
            </w:r>
          </w:p>
        </w:tc>
        <w:tc>
          <w:tcPr>
            <w:tcW w:w="830" w:type="pct"/>
            <w:vAlign w:val="center"/>
          </w:tcPr>
          <w:p w14:paraId="7F7BAF20" w14:textId="37DA4370" w:rsidR="00D12268" w:rsidRPr="003816D8" w:rsidRDefault="00D12268" w:rsidP="006D1459">
            <w:pPr>
              <w:pStyle w:val="Tabletext1"/>
              <w:jc w:val="center"/>
              <w:rPr>
                <w:rFonts w:cs="Calibri"/>
              </w:rPr>
            </w:pPr>
            <w:r w:rsidRPr="00AD062C">
              <w:t>$180.00</w:t>
            </w:r>
          </w:p>
        </w:tc>
      </w:tr>
      <w:tr w:rsidR="00D12268" w:rsidRPr="00F77E8D" w14:paraId="70D4E691" w14:textId="77777777" w:rsidTr="00E3175C">
        <w:tc>
          <w:tcPr>
            <w:tcW w:w="1429" w:type="pct"/>
          </w:tcPr>
          <w:p w14:paraId="0FE0A813" w14:textId="77777777" w:rsidR="00D12268" w:rsidRPr="003816D8" w:rsidRDefault="00D12268" w:rsidP="00556AB6">
            <w:pPr>
              <w:pStyle w:val="Tabletext1"/>
              <w:rPr>
                <w:snapToGrid w:val="0"/>
                <w:lang w:eastAsia="en-US"/>
              </w:rPr>
            </w:pPr>
            <w:r w:rsidRPr="00A429E8">
              <w:t>Cost of Sucralfate</w:t>
            </w:r>
          </w:p>
        </w:tc>
        <w:tc>
          <w:tcPr>
            <w:tcW w:w="843" w:type="pct"/>
            <w:vAlign w:val="center"/>
          </w:tcPr>
          <w:p w14:paraId="389C93B4" w14:textId="77777777" w:rsidR="00D12268" w:rsidRPr="003816D8" w:rsidRDefault="00D12268" w:rsidP="006D1459">
            <w:pPr>
              <w:pStyle w:val="Tabletext1"/>
              <w:jc w:val="center"/>
              <w:rPr>
                <w:snapToGrid w:val="0"/>
                <w:lang w:eastAsia="en-US"/>
              </w:rPr>
            </w:pPr>
            <w:r w:rsidRPr="008D0710">
              <w:t>120</w:t>
            </w:r>
          </w:p>
        </w:tc>
        <w:tc>
          <w:tcPr>
            <w:tcW w:w="716" w:type="pct"/>
            <w:vAlign w:val="center"/>
          </w:tcPr>
          <w:p w14:paraId="69DB4012" w14:textId="542E5414" w:rsidR="00D12268" w:rsidRPr="003816D8" w:rsidRDefault="00D12268" w:rsidP="006D1459">
            <w:pPr>
              <w:pStyle w:val="Tabletext1"/>
              <w:jc w:val="center"/>
            </w:pPr>
            <w:r w:rsidRPr="00245AE2">
              <w:t>$27.61</w:t>
            </w:r>
          </w:p>
        </w:tc>
        <w:tc>
          <w:tcPr>
            <w:tcW w:w="1182" w:type="pct"/>
            <w:vAlign w:val="center"/>
          </w:tcPr>
          <w:p w14:paraId="1B35F105" w14:textId="77777777" w:rsidR="00D12268" w:rsidRPr="003816D8" w:rsidRDefault="00D12268" w:rsidP="006D1459">
            <w:pPr>
              <w:pStyle w:val="Tabletext1"/>
              <w:jc w:val="center"/>
              <w:rPr>
                <w:rFonts w:cs="Calibri"/>
              </w:rPr>
            </w:pPr>
            <w:r w:rsidRPr="00CC49EF">
              <w:t>2055E</w:t>
            </w:r>
          </w:p>
        </w:tc>
        <w:tc>
          <w:tcPr>
            <w:tcW w:w="830" w:type="pct"/>
            <w:vAlign w:val="center"/>
          </w:tcPr>
          <w:p w14:paraId="7F6C17AB" w14:textId="43D11672" w:rsidR="00D12268" w:rsidRPr="003816D8" w:rsidRDefault="00D12268" w:rsidP="006D1459">
            <w:pPr>
              <w:pStyle w:val="Tabletext1"/>
              <w:jc w:val="center"/>
              <w:rPr>
                <w:rFonts w:cs="Calibri"/>
              </w:rPr>
            </w:pPr>
            <w:r w:rsidRPr="00AD062C">
              <w:t>$83.98</w:t>
            </w:r>
          </w:p>
        </w:tc>
      </w:tr>
      <w:tr w:rsidR="00D12268" w:rsidRPr="00F77E8D" w14:paraId="39784988" w14:textId="77777777" w:rsidTr="00E3175C">
        <w:tc>
          <w:tcPr>
            <w:tcW w:w="1429" w:type="pct"/>
          </w:tcPr>
          <w:p w14:paraId="329E34CC" w14:textId="77777777" w:rsidR="00D12268" w:rsidRPr="003816D8" w:rsidRDefault="00D12268" w:rsidP="00556AB6">
            <w:pPr>
              <w:pStyle w:val="Tabletext1"/>
              <w:rPr>
                <w:snapToGrid w:val="0"/>
                <w:lang w:eastAsia="en-US"/>
              </w:rPr>
            </w:pPr>
            <w:r w:rsidRPr="00A429E8">
              <w:t>Hospital admission for radiation proctitis</w:t>
            </w:r>
          </w:p>
        </w:tc>
        <w:tc>
          <w:tcPr>
            <w:tcW w:w="843" w:type="pct"/>
            <w:vAlign w:val="center"/>
          </w:tcPr>
          <w:p w14:paraId="7A5C5424" w14:textId="77777777" w:rsidR="00D12268" w:rsidRPr="003816D8" w:rsidRDefault="00D12268" w:rsidP="006D1459">
            <w:pPr>
              <w:pStyle w:val="Tabletext1"/>
              <w:jc w:val="center"/>
              <w:rPr>
                <w:snapToGrid w:val="0"/>
                <w:lang w:eastAsia="en-US"/>
              </w:rPr>
            </w:pPr>
            <w:r w:rsidRPr="008D0710">
              <w:t>1</w:t>
            </w:r>
          </w:p>
        </w:tc>
        <w:tc>
          <w:tcPr>
            <w:tcW w:w="716" w:type="pct"/>
            <w:vAlign w:val="center"/>
          </w:tcPr>
          <w:p w14:paraId="4314E7B5" w14:textId="6AEFFE45" w:rsidR="00D12268" w:rsidRPr="003816D8" w:rsidRDefault="00D12268" w:rsidP="006D1459">
            <w:pPr>
              <w:pStyle w:val="Tabletext1"/>
              <w:jc w:val="center"/>
            </w:pPr>
            <w:r w:rsidRPr="00245AE2">
              <w:t>$3,088.12</w:t>
            </w:r>
          </w:p>
        </w:tc>
        <w:tc>
          <w:tcPr>
            <w:tcW w:w="1182" w:type="pct"/>
            <w:vAlign w:val="center"/>
          </w:tcPr>
          <w:p w14:paraId="1409E3B2" w14:textId="77777777" w:rsidR="00D12268" w:rsidRPr="003816D8" w:rsidRDefault="00D12268" w:rsidP="006D1459">
            <w:pPr>
              <w:pStyle w:val="Tabletext1"/>
              <w:jc w:val="center"/>
              <w:rPr>
                <w:rFonts w:cs="Calibri"/>
              </w:rPr>
            </w:pPr>
            <w:r w:rsidRPr="00CC49EF">
              <w:t>G46A/G46B</w:t>
            </w:r>
          </w:p>
        </w:tc>
        <w:tc>
          <w:tcPr>
            <w:tcW w:w="830" w:type="pct"/>
            <w:vAlign w:val="center"/>
          </w:tcPr>
          <w:p w14:paraId="5A70EE71" w14:textId="0C20637A" w:rsidR="00D12268" w:rsidRPr="003816D8" w:rsidRDefault="00D12268" w:rsidP="006D1459">
            <w:pPr>
              <w:pStyle w:val="Tabletext1"/>
              <w:jc w:val="center"/>
              <w:rPr>
                <w:rFonts w:cs="Calibri"/>
              </w:rPr>
            </w:pPr>
            <w:r w:rsidRPr="00AD062C">
              <w:t>$3,088.12</w:t>
            </w:r>
          </w:p>
        </w:tc>
      </w:tr>
      <w:tr w:rsidR="00D12268" w:rsidRPr="00F77E8D" w14:paraId="4AFD4E3E" w14:textId="77777777" w:rsidTr="00E3175C">
        <w:tc>
          <w:tcPr>
            <w:tcW w:w="1429" w:type="pct"/>
          </w:tcPr>
          <w:p w14:paraId="44E79D31" w14:textId="77777777" w:rsidR="00D12268" w:rsidRPr="003816D8" w:rsidRDefault="00D12268" w:rsidP="00556AB6">
            <w:pPr>
              <w:pStyle w:val="Tabletext1"/>
              <w:rPr>
                <w:snapToGrid w:val="0"/>
                <w:lang w:eastAsia="en-US"/>
              </w:rPr>
            </w:pPr>
            <w:r>
              <w:rPr>
                <w:b/>
                <w:snapToGrid w:val="0"/>
                <w:lang w:eastAsia="en-US"/>
              </w:rPr>
              <w:t>Late GU toxicity grade 2</w:t>
            </w:r>
          </w:p>
        </w:tc>
        <w:tc>
          <w:tcPr>
            <w:tcW w:w="843" w:type="pct"/>
            <w:vAlign w:val="center"/>
          </w:tcPr>
          <w:p w14:paraId="0486291C" w14:textId="77777777" w:rsidR="00D12268" w:rsidRPr="003816D8" w:rsidRDefault="00D12268" w:rsidP="006D1459">
            <w:pPr>
              <w:pStyle w:val="Tabletext1"/>
              <w:jc w:val="center"/>
              <w:rPr>
                <w:snapToGrid w:val="0"/>
                <w:lang w:eastAsia="en-US"/>
              </w:rPr>
            </w:pPr>
          </w:p>
        </w:tc>
        <w:tc>
          <w:tcPr>
            <w:tcW w:w="716" w:type="pct"/>
            <w:vAlign w:val="center"/>
          </w:tcPr>
          <w:p w14:paraId="29E3D584" w14:textId="77777777" w:rsidR="00D12268" w:rsidRPr="003816D8" w:rsidRDefault="00D12268" w:rsidP="006D1459">
            <w:pPr>
              <w:pStyle w:val="Tabletext1"/>
              <w:jc w:val="center"/>
            </w:pPr>
          </w:p>
        </w:tc>
        <w:tc>
          <w:tcPr>
            <w:tcW w:w="1182" w:type="pct"/>
            <w:vAlign w:val="center"/>
          </w:tcPr>
          <w:p w14:paraId="2482E13A" w14:textId="77777777" w:rsidR="00D12268" w:rsidRPr="003816D8" w:rsidRDefault="00D12268" w:rsidP="006D1459">
            <w:pPr>
              <w:pStyle w:val="Tabletext1"/>
              <w:jc w:val="center"/>
              <w:rPr>
                <w:rFonts w:cs="Calibri"/>
              </w:rPr>
            </w:pPr>
          </w:p>
        </w:tc>
        <w:tc>
          <w:tcPr>
            <w:tcW w:w="830" w:type="pct"/>
            <w:vAlign w:val="center"/>
          </w:tcPr>
          <w:p w14:paraId="4C07315B" w14:textId="77777777" w:rsidR="00D12268" w:rsidRPr="00E94125" w:rsidRDefault="00D12268" w:rsidP="006D1459">
            <w:pPr>
              <w:pStyle w:val="Tabletext1"/>
              <w:jc w:val="center"/>
              <w:rPr>
                <w:rFonts w:cs="Calibri"/>
                <w:b/>
              </w:rPr>
            </w:pPr>
            <w:r w:rsidRPr="00E94125">
              <w:rPr>
                <w:rFonts w:cs="Calibri"/>
                <w:b/>
              </w:rPr>
              <w:t>$1,393.81</w:t>
            </w:r>
          </w:p>
        </w:tc>
      </w:tr>
      <w:tr w:rsidR="00D12268" w:rsidRPr="00F77E8D" w14:paraId="5D17F8DE" w14:textId="77777777" w:rsidTr="00E3175C">
        <w:tc>
          <w:tcPr>
            <w:tcW w:w="1429" w:type="pct"/>
          </w:tcPr>
          <w:p w14:paraId="72AF86B9" w14:textId="77777777" w:rsidR="00D12268" w:rsidRPr="00D50F67" w:rsidRDefault="00D12268" w:rsidP="00556AB6">
            <w:pPr>
              <w:pStyle w:val="Tabletext1"/>
              <w:rPr>
                <w:b/>
                <w:snapToGrid w:val="0"/>
                <w:lang w:eastAsia="en-US"/>
              </w:rPr>
            </w:pPr>
            <w:r w:rsidRPr="00D50F67">
              <w:rPr>
                <w:b/>
              </w:rPr>
              <w:t>Urinary Retention</w:t>
            </w:r>
          </w:p>
        </w:tc>
        <w:tc>
          <w:tcPr>
            <w:tcW w:w="843" w:type="pct"/>
            <w:vAlign w:val="center"/>
          </w:tcPr>
          <w:p w14:paraId="52D05E1E" w14:textId="77777777" w:rsidR="00D12268" w:rsidRPr="003816D8" w:rsidRDefault="00D12268" w:rsidP="006D1459">
            <w:pPr>
              <w:pStyle w:val="Tabletext1"/>
              <w:jc w:val="center"/>
              <w:rPr>
                <w:snapToGrid w:val="0"/>
                <w:lang w:eastAsia="en-US"/>
              </w:rPr>
            </w:pPr>
          </w:p>
        </w:tc>
        <w:tc>
          <w:tcPr>
            <w:tcW w:w="716" w:type="pct"/>
            <w:vAlign w:val="center"/>
          </w:tcPr>
          <w:p w14:paraId="1EB788EE" w14:textId="77777777" w:rsidR="00D12268" w:rsidRPr="003816D8" w:rsidRDefault="00D12268" w:rsidP="006D1459">
            <w:pPr>
              <w:pStyle w:val="Tabletext1"/>
              <w:jc w:val="center"/>
            </w:pPr>
          </w:p>
        </w:tc>
        <w:tc>
          <w:tcPr>
            <w:tcW w:w="1182" w:type="pct"/>
            <w:vAlign w:val="center"/>
          </w:tcPr>
          <w:p w14:paraId="020CD8BF" w14:textId="77777777" w:rsidR="00D12268" w:rsidRPr="003816D8" w:rsidRDefault="00D12268" w:rsidP="006D1459">
            <w:pPr>
              <w:pStyle w:val="Tabletext1"/>
              <w:jc w:val="center"/>
              <w:rPr>
                <w:rFonts w:cs="Calibri"/>
              </w:rPr>
            </w:pPr>
          </w:p>
        </w:tc>
        <w:tc>
          <w:tcPr>
            <w:tcW w:w="830" w:type="pct"/>
            <w:vAlign w:val="center"/>
          </w:tcPr>
          <w:p w14:paraId="41E3D966" w14:textId="77777777" w:rsidR="00D12268" w:rsidRPr="00DE2C76" w:rsidRDefault="00D12268" w:rsidP="006D1459">
            <w:pPr>
              <w:pStyle w:val="Tabletext1"/>
              <w:jc w:val="center"/>
              <w:rPr>
                <w:rFonts w:cs="Calibri"/>
                <w:b/>
              </w:rPr>
            </w:pPr>
            <w:r w:rsidRPr="00DE2C76">
              <w:rPr>
                <w:b/>
              </w:rPr>
              <w:t>$2,285.64</w:t>
            </w:r>
          </w:p>
        </w:tc>
      </w:tr>
      <w:tr w:rsidR="00D12268" w:rsidRPr="00F77E8D" w14:paraId="18899C2D" w14:textId="77777777" w:rsidTr="00E3175C">
        <w:tc>
          <w:tcPr>
            <w:tcW w:w="1429" w:type="pct"/>
          </w:tcPr>
          <w:p w14:paraId="7BB3532F" w14:textId="77777777" w:rsidR="00D12268" w:rsidRPr="003816D8" w:rsidRDefault="00D12268" w:rsidP="00556AB6">
            <w:pPr>
              <w:pStyle w:val="Tabletext1"/>
              <w:rPr>
                <w:snapToGrid w:val="0"/>
                <w:lang w:eastAsia="en-US"/>
              </w:rPr>
            </w:pPr>
            <w:r w:rsidRPr="009870A2">
              <w:t>Cost of outpatient visit - GP</w:t>
            </w:r>
          </w:p>
        </w:tc>
        <w:tc>
          <w:tcPr>
            <w:tcW w:w="843" w:type="pct"/>
            <w:vAlign w:val="center"/>
          </w:tcPr>
          <w:p w14:paraId="298B198D" w14:textId="77777777" w:rsidR="00D12268" w:rsidRPr="003816D8" w:rsidRDefault="00D12268" w:rsidP="006D1459">
            <w:pPr>
              <w:pStyle w:val="Tabletext1"/>
              <w:jc w:val="center"/>
              <w:rPr>
                <w:snapToGrid w:val="0"/>
                <w:lang w:eastAsia="en-US"/>
              </w:rPr>
            </w:pPr>
            <w:r w:rsidRPr="009546A5">
              <w:t>3</w:t>
            </w:r>
          </w:p>
        </w:tc>
        <w:tc>
          <w:tcPr>
            <w:tcW w:w="716" w:type="pct"/>
            <w:vAlign w:val="center"/>
          </w:tcPr>
          <w:p w14:paraId="58600A37" w14:textId="5C9D51FA" w:rsidR="00D12268" w:rsidRPr="003816D8" w:rsidRDefault="00D12268" w:rsidP="006D1459">
            <w:pPr>
              <w:pStyle w:val="Tabletext1"/>
              <w:jc w:val="center"/>
            </w:pPr>
            <w:r w:rsidRPr="00A35CF0">
              <w:t>$38.75</w:t>
            </w:r>
          </w:p>
        </w:tc>
        <w:tc>
          <w:tcPr>
            <w:tcW w:w="1182" w:type="pct"/>
            <w:vAlign w:val="center"/>
          </w:tcPr>
          <w:p w14:paraId="7774D192" w14:textId="77777777" w:rsidR="00D12268" w:rsidRPr="003816D8" w:rsidRDefault="00D12268" w:rsidP="006D1459">
            <w:pPr>
              <w:pStyle w:val="Tabletext1"/>
              <w:jc w:val="center"/>
              <w:rPr>
                <w:rFonts w:cs="Calibri"/>
              </w:rPr>
            </w:pPr>
            <w:r w:rsidRPr="00B314A4">
              <w:t>23</w:t>
            </w:r>
          </w:p>
        </w:tc>
        <w:tc>
          <w:tcPr>
            <w:tcW w:w="830" w:type="pct"/>
            <w:vAlign w:val="center"/>
          </w:tcPr>
          <w:p w14:paraId="5798B5F7" w14:textId="3F00B52E" w:rsidR="00D12268" w:rsidRPr="003816D8" w:rsidRDefault="00D12268" w:rsidP="006D1459">
            <w:pPr>
              <w:pStyle w:val="Tabletext1"/>
              <w:jc w:val="center"/>
              <w:rPr>
                <w:rFonts w:cs="Calibri"/>
              </w:rPr>
            </w:pPr>
            <w:r w:rsidRPr="007354D1">
              <w:t>$116.25</w:t>
            </w:r>
          </w:p>
        </w:tc>
      </w:tr>
      <w:tr w:rsidR="00D12268" w:rsidRPr="00F77E8D" w14:paraId="3CA86FD7" w14:textId="77777777" w:rsidTr="00E3175C">
        <w:tc>
          <w:tcPr>
            <w:tcW w:w="1429" w:type="pct"/>
          </w:tcPr>
          <w:p w14:paraId="72391CD9" w14:textId="77777777" w:rsidR="00D12268" w:rsidRPr="003816D8" w:rsidRDefault="00D12268" w:rsidP="00556AB6">
            <w:pPr>
              <w:pStyle w:val="Tabletext1"/>
              <w:rPr>
                <w:snapToGrid w:val="0"/>
                <w:lang w:eastAsia="en-US"/>
              </w:rPr>
            </w:pPr>
            <w:r w:rsidRPr="009870A2">
              <w:t xml:space="preserve">Cost of outpatient visit - specialist </w:t>
            </w:r>
          </w:p>
        </w:tc>
        <w:tc>
          <w:tcPr>
            <w:tcW w:w="843" w:type="pct"/>
            <w:vAlign w:val="center"/>
          </w:tcPr>
          <w:p w14:paraId="14149B02" w14:textId="77777777" w:rsidR="00D12268" w:rsidRPr="003816D8" w:rsidRDefault="00D12268" w:rsidP="006D1459">
            <w:pPr>
              <w:pStyle w:val="Tabletext1"/>
              <w:jc w:val="center"/>
              <w:rPr>
                <w:snapToGrid w:val="0"/>
                <w:lang w:eastAsia="en-US"/>
              </w:rPr>
            </w:pPr>
            <w:r w:rsidRPr="009546A5">
              <w:t>3</w:t>
            </w:r>
          </w:p>
        </w:tc>
        <w:tc>
          <w:tcPr>
            <w:tcW w:w="716" w:type="pct"/>
            <w:vAlign w:val="center"/>
          </w:tcPr>
          <w:p w14:paraId="758B5E09" w14:textId="6718BCBF" w:rsidR="00D12268" w:rsidRPr="003816D8" w:rsidRDefault="00D12268" w:rsidP="006D1459">
            <w:pPr>
              <w:pStyle w:val="Tabletext1"/>
              <w:jc w:val="center"/>
            </w:pPr>
            <w:r w:rsidRPr="00A35CF0">
              <w:t>$45.00</w:t>
            </w:r>
          </w:p>
        </w:tc>
        <w:tc>
          <w:tcPr>
            <w:tcW w:w="1182" w:type="pct"/>
            <w:vAlign w:val="center"/>
          </w:tcPr>
          <w:p w14:paraId="7EA375F4" w14:textId="77777777" w:rsidR="00D12268" w:rsidRPr="003816D8" w:rsidRDefault="00D12268" w:rsidP="006D1459">
            <w:pPr>
              <w:pStyle w:val="Tabletext1"/>
              <w:jc w:val="center"/>
              <w:rPr>
                <w:rFonts w:cs="Calibri"/>
              </w:rPr>
            </w:pPr>
            <w:r w:rsidRPr="00B314A4">
              <w:t>105</w:t>
            </w:r>
          </w:p>
        </w:tc>
        <w:tc>
          <w:tcPr>
            <w:tcW w:w="830" w:type="pct"/>
            <w:vAlign w:val="center"/>
          </w:tcPr>
          <w:p w14:paraId="5FF1070D" w14:textId="1E3F469C" w:rsidR="00D12268" w:rsidRPr="003816D8" w:rsidRDefault="00D12268" w:rsidP="006D1459">
            <w:pPr>
              <w:pStyle w:val="Tabletext1"/>
              <w:jc w:val="center"/>
              <w:rPr>
                <w:rFonts w:cs="Calibri"/>
              </w:rPr>
            </w:pPr>
            <w:r w:rsidRPr="007354D1">
              <w:t>$135.00</w:t>
            </w:r>
          </w:p>
        </w:tc>
      </w:tr>
      <w:tr w:rsidR="00D12268" w:rsidRPr="00F77E8D" w14:paraId="637BC780" w14:textId="77777777" w:rsidTr="00E3175C">
        <w:tc>
          <w:tcPr>
            <w:tcW w:w="1429" w:type="pct"/>
          </w:tcPr>
          <w:p w14:paraId="24D75716" w14:textId="77777777" w:rsidR="00D12268" w:rsidRPr="003816D8" w:rsidRDefault="00D12268" w:rsidP="00556AB6">
            <w:pPr>
              <w:pStyle w:val="Tabletext1"/>
              <w:rPr>
                <w:snapToGrid w:val="0"/>
                <w:lang w:eastAsia="en-US"/>
              </w:rPr>
            </w:pPr>
            <w:r w:rsidRPr="009870A2">
              <w:t>Cost of Tamsulosin</w:t>
            </w:r>
          </w:p>
        </w:tc>
        <w:tc>
          <w:tcPr>
            <w:tcW w:w="843" w:type="pct"/>
            <w:vAlign w:val="center"/>
          </w:tcPr>
          <w:p w14:paraId="7434A182" w14:textId="77777777" w:rsidR="00D12268" w:rsidRPr="003816D8" w:rsidRDefault="00D12268" w:rsidP="006D1459">
            <w:pPr>
              <w:pStyle w:val="Tabletext1"/>
              <w:jc w:val="center"/>
              <w:rPr>
                <w:snapToGrid w:val="0"/>
                <w:lang w:eastAsia="en-US"/>
              </w:rPr>
            </w:pPr>
            <w:r w:rsidRPr="009546A5">
              <w:t>30</w:t>
            </w:r>
          </w:p>
        </w:tc>
        <w:tc>
          <w:tcPr>
            <w:tcW w:w="716" w:type="pct"/>
            <w:vAlign w:val="center"/>
          </w:tcPr>
          <w:p w14:paraId="2224F31C" w14:textId="055EBC81" w:rsidR="00D12268" w:rsidRPr="003816D8" w:rsidRDefault="00D12268" w:rsidP="006D1459">
            <w:pPr>
              <w:pStyle w:val="Tabletext1"/>
              <w:jc w:val="center"/>
            </w:pPr>
            <w:r w:rsidRPr="00A35CF0">
              <w:t>$63.78</w:t>
            </w:r>
          </w:p>
        </w:tc>
        <w:tc>
          <w:tcPr>
            <w:tcW w:w="1182" w:type="pct"/>
            <w:vAlign w:val="center"/>
          </w:tcPr>
          <w:p w14:paraId="7E8F4ED0" w14:textId="77777777" w:rsidR="00D12268" w:rsidRPr="003816D8" w:rsidRDefault="00D12268" w:rsidP="006D1459">
            <w:pPr>
              <w:pStyle w:val="Tabletext1"/>
              <w:jc w:val="center"/>
              <w:rPr>
                <w:rFonts w:cs="Calibri"/>
              </w:rPr>
            </w:pPr>
            <w:r w:rsidRPr="00B314A4">
              <w:t>4070F</w:t>
            </w:r>
          </w:p>
        </w:tc>
        <w:tc>
          <w:tcPr>
            <w:tcW w:w="830" w:type="pct"/>
            <w:vAlign w:val="center"/>
          </w:tcPr>
          <w:p w14:paraId="5ACF7301" w14:textId="20CA39EC" w:rsidR="00D12268" w:rsidRPr="003816D8" w:rsidRDefault="00D12268" w:rsidP="006D1459">
            <w:pPr>
              <w:pStyle w:val="Tabletext1"/>
              <w:jc w:val="center"/>
              <w:rPr>
                <w:rFonts w:cs="Calibri"/>
              </w:rPr>
            </w:pPr>
            <w:r w:rsidRPr="007354D1">
              <w:t>$775.99</w:t>
            </w:r>
          </w:p>
        </w:tc>
      </w:tr>
      <w:tr w:rsidR="00D12268" w:rsidRPr="00F77E8D" w14:paraId="4F1ABCF1" w14:textId="77777777" w:rsidTr="00E3175C">
        <w:tc>
          <w:tcPr>
            <w:tcW w:w="1429" w:type="pct"/>
          </w:tcPr>
          <w:p w14:paraId="1EA1670C" w14:textId="77777777" w:rsidR="00D12268" w:rsidRPr="003816D8" w:rsidRDefault="00D12268" w:rsidP="00556AB6">
            <w:pPr>
              <w:pStyle w:val="Tabletext1"/>
              <w:rPr>
                <w:snapToGrid w:val="0"/>
                <w:lang w:eastAsia="en-US"/>
              </w:rPr>
            </w:pPr>
            <w:r w:rsidRPr="009870A2">
              <w:t xml:space="preserve">Cost of catheterisation with lubrication </w:t>
            </w:r>
          </w:p>
        </w:tc>
        <w:tc>
          <w:tcPr>
            <w:tcW w:w="843" w:type="pct"/>
            <w:vAlign w:val="center"/>
          </w:tcPr>
          <w:p w14:paraId="30FB0044" w14:textId="77777777" w:rsidR="00D12268" w:rsidRPr="003816D8" w:rsidRDefault="00D12268" w:rsidP="006D1459">
            <w:pPr>
              <w:pStyle w:val="Tabletext1"/>
              <w:jc w:val="center"/>
              <w:rPr>
                <w:snapToGrid w:val="0"/>
                <w:lang w:eastAsia="en-US"/>
              </w:rPr>
            </w:pPr>
            <w:r w:rsidRPr="009546A5">
              <w:t>52</w:t>
            </w:r>
          </w:p>
        </w:tc>
        <w:tc>
          <w:tcPr>
            <w:tcW w:w="716" w:type="pct"/>
            <w:vAlign w:val="center"/>
          </w:tcPr>
          <w:p w14:paraId="2846006E" w14:textId="30994F88" w:rsidR="00D12268" w:rsidRPr="003816D8" w:rsidRDefault="00D12268" w:rsidP="006D1459">
            <w:pPr>
              <w:pStyle w:val="Tabletext1"/>
              <w:jc w:val="center"/>
            </w:pPr>
            <w:r w:rsidRPr="00A35CF0">
              <w:t>$24.20</w:t>
            </w:r>
          </w:p>
        </w:tc>
        <w:tc>
          <w:tcPr>
            <w:tcW w:w="1182" w:type="pct"/>
            <w:vAlign w:val="center"/>
          </w:tcPr>
          <w:p w14:paraId="208B39A1" w14:textId="77777777" w:rsidR="00D12268" w:rsidRPr="003816D8" w:rsidRDefault="00D12268" w:rsidP="006D1459">
            <w:pPr>
              <w:pStyle w:val="Tabletext1"/>
              <w:jc w:val="center"/>
              <w:rPr>
                <w:rFonts w:cs="Calibri"/>
              </w:rPr>
            </w:pPr>
            <w:r w:rsidRPr="00B314A4">
              <w:t>36800</w:t>
            </w:r>
          </w:p>
        </w:tc>
        <w:tc>
          <w:tcPr>
            <w:tcW w:w="830" w:type="pct"/>
            <w:vAlign w:val="center"/>
          </w:tcPr>
          <w:p w14:paraId="182E9BC6" w14:textId="2AFC16D3" w:rsidR="00D12268" w:rsidRPr="003816D8" w:rsidRDefault="00D12268" w:rsidP="006D1459">
            <w:pPr>
              <w:pStyle w:val="Tabletext1"/>
              <w:jc w:val="center"/>
              <w:rPr>
                <w:rFonts w:cs="Calibri"/>
              </w:rPr>
            </w:pPr>
            <w:r w:rsidRPr="007354D1">
              <w:t>$1,258.40</w:t>
            </w:r>
          </w:p>
        </w:tc>
      </w:tr>
      <w:tr w:rsidR="00D12268" w:rsidRPr="00F77E8D" w14:paraId="5722D562" w14:textId="77777777" w:rsidTr="00E3175C">
        <w:tc>
          <w:tcPr>
            <w:tcW w:w="1429" w:type="pct"/>
          </w:tcPr>
          <w:p w14:paraId="50D39F05" w14:textId="77777777" w:rsidR="00D12268" w:rsidRPr="00D50F67" w:rsidRDefault="00D12268" w:rsidP="00556AB6">
            <w:pPr>
              <w:pStyle w:val="Tabletext1"/>
              <w:rPr>
                <w:b/>
                <w:snapToGrid w:val="0"/>
                <w:lang w:eastAsia="en-US"/>
              </w:rPr>
            </w:pPr>
            <w:r w:rsidRPr="00D50F67">
              <w:rPr>
                <w:b/>
              </w:rPr>
              <w:t>Urinary Incontinence</w:t>
            </w:r>
          </w:p>
        </w:tc>
        <w:tc>
          <w:tcPr>
            <w:tcW w:w="843" w:type="pct"/>
            <w:vAlign w:val="center"/>
          </w:tcPr>
          <w:p w14:paraId="61886412" w14:textId="77777777" w:rsidR="00D12268" w:rsidRPr="003816D8" w:rsidRDefault="00D12268" w:rsidP="006D1459">
            <w:pPr>
              <w:pStyle w:val="Tabletext1"/>
              <w:jc w:val="center"/>
              <w:rPr>
                <w:snapToGrid w:val="0"/>
                <w:lang w:eastAsia="en-US"/>
              </w:rPr>
            </w:pPr>
          </w:p>
        </w:tc>
        <w:tc>
          <w:tcPr>
            <w:tcW w:w="716" w:type="pct"/>
            <w:vAlign w:val="center"/>
          </w:tcPr>
          <w:p w14:paraId="4873FDE6" w14:textId="77777777" w:rsidR="00D12268" w:rsidRPr="003816D8" w:rsidRDefault="00D12268" w:rsidP="006D1459">
            <w:pPr>
              <w:pStyle w:val="Tabletext1"/>
              <w:jc w:val="center"/>
            </w:pPr>
          </w:p>
        </w:tc>
        <w:tc>
          <w:tcPr>
            <w:tcW w:w="1182" w:type="pct"/>
            <w:vAlign w:val="center"/>
          </w:tcPr>
          <w:p w14:paraId="24E047F5" w14:textId="77777777" w:rsidR="00D12268" w:rsidRPr="003816D8" w:rsidRDefault="00D12268" w:rsidP="006D1459">
            <w:pPr>
              <w:pStyle w:val="Tabletext1"/>
              <w:jc w:val="center"/>
              <w:rPr>
                <w:rFonts w:cs="Calibri"/>
              </w:rPr>
            </w:pPr>
          </w:p>
        </w:tc>
        <w:tc>
          <w:tcPr>
            <w:tcW w:w="830" w:type="pct"/>
            <w:vAlign w:val="center"/>
          </w:tcPr>
          <w:p w14:paraId="4B354EF4" w14:textId="77777777" w:rsidR="00D12268" w:rsidRPr="00DE2C76" w:rsidRDefault="00D12268" w:rsidP="006D1459">
            <w:pPr>
              <w:pStyle w:val="Tabletext1"/>
              <w:jc w:val="center"/>
              <w:rPr>
                <w:rFonts w:cs="Calibri"/>
                <w:b/>
              </w:rPr>
            </w:pPr>
            <w:r w:rsidRPr="00DE2C76">
              <w:rPr>
                <w:rFonts w:cs="Calibri"/>
                <w:b/>
              </w:rPr>
              <w:t>$501.98</w:t>
            </w:r>
          </w:p>
        </w:tc>
      </w:tr>
      <w:tr w:rsidR="00D12268" w:rsidRPr="00F77E8D" w14:paraId="12202F5B" w14:textId="77777777" w:rsidTr="00E3175C">
        <w:tc>
          <w:tcPr>
            <w:tcW w:w="1429" w:type="pct"/>
          </w:tcPr>
          <w:p w14:paraId="6E60FC45" w14:textId="77777777" w:rsidR="00D12268" w:rsidRPr="003816D8" w:rsidRDefault="00D12268" w:rsidP="00556AB6">
            <w:pPr>
              <w:pStyle w:val="Tabletext1"/>
              <w:rPr>
                <w:snapToGrid w:val="0"/>
                <w:lang w:eastAsia="en-US"/>
              </w:rPr>
            </w:pPr>
            <w:r w:rsidRPr="009870A2">
              <w:t>Cost of outpatient visit - GP</w:t>
            </w:r>
          </w:p>
        </w:tc>
        <w:tc>
          <w:tcPr>
            <w:tcW w:w="843" w:type="pct"/>
            <w:vAlign w:val="center"/>
          </w:tcPr>
          <w:p w14:paraId="19BAE3F2" w14:textId="77777777" w:rsidR="00D12268" w:rsidRPr="003816D8" w:rsidRDefault="00D12268" w:rsidP="006D1459">
            <w:pPr>
              <w:pStyle w:val="Tabletext1"/>
              <w:jc w:val="center"/>
              <w:rPr>
                <w:snapToGrid w:val="0"/>
                <w:lang w:eastAsia="en-US"/>
              </w:rPr>
            </w:pPr>
            <w:r w:rsidRPr="009546A5">
              <w:t>4</w:t>
            </w:r>
          </w:p>
        </w:tc>
        <w:tc>
          <w:tcPr>
            <w:tcW w:w="716" w:type="pct"/>
            <w:vAlign w:val="center"/>
          </w:tcPr>
          <w:p w14:paraId="31C77E93" w14:textId="553ACB62" w:rsidR="00D12268" w:rsidRPr="003816D8" w:rsidRDefault="00D12268" w:rsidP="006D1459">
            <w:pPr>
              <w:pStyle w:val="Tabletext1"/>
              <w:jc w:val="center"/>
            </w:pPr>
            <w:r w:rsidRPr="00A35CF0">
              <w:t>$38.75</w:t>
            </w:r>
          </w:p>
        </w:tc>
        <w:tc>
          <w:tcPr>
            <w:tcW w:w="1182" w:type="pct"/>
            <w:vAlign w:val="center"/>
          </w:tcPr>
          <w:p w14:paraId="4D4FA811" w14:textId="77777777" w:rsidR="00D12268" w:rsidRPr="003816D8" w:rsidRDefault="00D12268" w:rsidP="006D1459">
            <w:pPr>
              <w:pStyle w:val="Tabletext1"/>
              <w:jc w:val="center"/>
              <w:rPr>
                <w:rFonts w:cs="Calibri"/>
              </w:rPr>
            </w:pPr>
            <w:r w:rsidRPr="00B314A4">
              <w:t>23</w:t>
            </w:r>
          </w:p>
        </w:tc>
        <w:tc>
          <w:tcPr>
            <w:tcW w:w="830" w:type="pct"/>
            <w:vAlign w:val="center"/>
          </w:tcPr>
          <w:p w14:paraId="03EF65C7" w14:textId="5323A139" w:rsidR="00D12268" w:rsidRPr="003816D8" w:rsidRDefault="00D12268" w:rsidP="006D1459">
            <w:pPr>
              <w:pStyle w:val="Tabletext1"/>
              <w:jc w:val="center"/>
              <w:rPr>
                <w:rFonts w:cs="Calibri"/>
              </w:rPr>
            </w:pPr>
            <w:r w:rsidRPr="007354D1">
              <w:t>$155.00</w:t>
            </w:r>
          </w:p>
        </w:tc>
      </w:tr>
      <w:tr w:rsidR="00D12268" w:rsidRPr="00F77E8D" w14:paraId="7B698256" w14:textId="77777777" w:rsidTr="00E3175C">
        <w:tc>
          <w:tcPr>
            <w:tcW w:w="1429" w:type="pct"/>
          </w:tcPr>
          <w:p w14:paraId="77C5620A" w14:textId="77777777" w:rsidR="00D12268" w:rsidRPr="003816D8" w:rsidRDefault="00D12268" w:rsidP="00556AB6">
            <w:pPr>
              <w:pStyle w:val="Tabletext1"/>
              <w:rPr>
                <w:snapToGrid w:val="0"/>
                <w:lang w:eastAsia="en-US"/>
              </w:rPr>
            </w:pPr>
            <w:r w:rsidRPr="009870A2">
              <w:t xml:space="preserve">Cost of outpatient visit - specialist </w:t>
            </w:r>
          </w:p>
        </w:tc>
        <w:tc>
          <w:tcPr>
            <w:tcW w:w="843" w:type="pct"/>
            <w:vAlign w:val="center"/>
          </w:tcPr>
          <w:p w14:paraId="6A4F0B5F" w14:textId="77777777" w:rsidR="00D12268" w:rsidRPr="003816D8" w:rsidRDefault="00D12268" w:rsidP="006D1459">
            <w:pPr>
              <w:pStyle w:val="Tabletext1"/>
              <w:jc w:val="center"/>
              <w:rPr>
                <w:snapToGrid w:val="0"/>
                <w:lang w:eastAsia="en-US"/>
              </w:rPr>
            </w:pPr>
            <w:r w:rsidRPr="009546A5">
              <w:t>4</w:t>
            </w:r>
          </w:p>
        </w:tc>
        <w:tc>
          <w:tcPr>
            <w:tcW w:w="716" w:type="pct"/>
            <w:vAlign w:val="center"/>
          </w:tcPr>
          <w:p w14:paraId="75743185" w14:textId="51311991" w:rsidR="00D12268" w:rsidRPr="003816D8" w:rsidRDefault="00D12268" w:rsidP="006D1459">
            <w:pPr>
              <w:pStyle w:val="Tabletext1"/>
              <w:jc w:val="center"/>
            </w:pPr>
            <w:r w:rsidRPr="00A35CF0">
              <w:t>$45.00</w:t>
            </w:r>
          </w:p>
        </w:tc>
        <w:tc>
          <w:tcPr>
            <w:tcW w:w="1182" w:type="pct"/>
            <w:vAlign w:val="center"/>
          </w:tcPr>
          <w:p w14:paraId="059CBEBF" w14:textId="77777777" w:rsidR="00D12268" w:rsidRPr="003816D8" w:rsidRDefault="00D12268" w:rsidP="006D1459">
            <w:pPr>
              <w:pStyle w:val="Tabletext1"/>
              <w:jc w:val="center"/>
              <w:rPr>
                <w:rFonts w:cs="Calibri"/>
              </w:rPr>
            </w:pPr>
            <w:r w:rsidRPr="00B314A4">
              <w:t>105</w:t>
            </w:r>
          </w:p>
        </w:tc>
        <w:tc>
          <w:tcPr>
            <w:tcW w:w="830" w:type="pct"/>
            <w:vAlign w:val="center"/>
          </w:tcPr>
          <w:p w14:paraId="694E4993" w14:textId="40702A31" w:rsidR="00D12268" w:rsidRPr="003816D8" w:rsidRDefault="00D12268" w:rsidP="006D1459">
            <w:pPr>
              <w:pStyle w:val="Tabletext1"/>
              <w:jc w:val="center"/>
              <w:rPr>
                <w:rFonts w:cs="Calibri"/>
              </w:rPr>
            </w:pPr>
            <w:r w:rsidRPr="007354D1">
              <w:t>$180.00</w:t>
            </w:r>
          </w:p>
        </w:tc>
      </w:tr>
      <w:tr w:rsidR="00D12268" w:rsidRPr="00F77E8D" w14:paraId="346CB597" w14:textId="77777777" w:rsidTr="00E3175C">
        <w:tc>
          <w:tcPr>
            <w:tcW w:w="1429" w:type="pct"/>
          </w:tcPr>
          <w:p w14:paraId="19BA19B3" w14:textId="77777777" w:rsidR="00D12268" w:rsidRPr="003816D8" w:rsidRDefault="00D12268" w:rsidP="00556AB6">
            <w:pPr>
              <w:pStyle w:val="Tabletext1"/>
              <w:rPr>
                <w:snapToGrid w:val="0"/>
                <w:lang w:eastAsia="en-US"/>
              </w:rPr>
            </w:pPr>
            <w:r w:rsidRPr="009870A2">
              <w:t>Cost of Oxybutynin</w:t>
            </w:r>
          </w:p>
        </w:tc>
        <w:tc>
          <w:tcPr>
            <w:tcW w:w="843" w:type="pct"/>
            <w:vAlign w:val="center"/>
          </w:tcPr>
          <w:p w14:paraId="1378B6A1" w14:textId="77777777" w:rsidR="00D12268" w:rsidRPr="003816D8" w:rsidRDefault="00D12268" w:rsidP="006D1459">
            <w:pPr>
              <w:pStyle w:val="Tabletext1"/>
              <w:jc w:val="center"/>
              <w:rPr>
                <w:snapToGrid w:val="0"/>
                <w:lang w:eastAsia="en-US"/>
              </w:rPr>
            </w:pPr>
            <w:r w:rsidRPr="009546A5">
              <w:t>100</w:t>
            </w:r>
          </w:p>
        </w:tc>
        <w:tc>
          <w:tcPr>
            <w:tcW w:w="716" w:type="pct"/>
            <w:vAlign w:val="center"/>
          </w:tcPr>
          <w:p w14:paraId="190306B9" w14:textId="2DEB2B37" w:rsidR="00D12268" w:rsidRPr="003816D8" w:rsidRDefault="00D12268" w:rsidP="006D1459">
            <w:pPr>
              <w:pStyle w:val="Tabletext1"/>
              <w:jc w:val="center"/>
            </w:pPr>
            <w:r w:rsidRPr="00A35CF0">
              <w:t>$15.83</w:t>
            </w:r>
          </w:p>
        </w:tc>
        <w:tc>
          <w:tcPr>
            <w:tcW w:w="1182" w:type="pct"/>
            <w:vAlign w:val="center"/>
          </w:tcPr>
          <w:p w14:paraId="24259E95" w14:textId="77777777" w:rsidR="00D12268" w:rsidRPr="003816D8" w:rsidRDefault="00D12268" w:rsidP="006D1459">
            <w:pPr>
              <w:pStyle w:val="Tabletext1"/>
              <w:jc w:val="center"/>
              <w:rPr>
                <w:rFonts w:cs="Calibri"/>
              </w:rPr>
            </w:pPr>
            <w:r w:rsidRPr="00B314A4">
              <w:t>8039D</w:t>
            </w:r>
          </w:p>
        </w:tc>
        <w:tc>
          <w:tcPr>
            <w:tcW w:w="830" w:type="pct"/>
            <w:vAlign w:val="center"/>
          </w:tcPr>
          <w:p w14:paraId="52417685" w14:textId="55611F6D" w:rsidR="00D12268" w:rsidRPr="003816D8" w:rsidRDefault="00D12268" w:rsidP="006D1459">
            <w:pPr>
              <w:pStyle w:val="Tabletext1"/>
              <w:jc w:val="center"/>
              <w:rPr>
                <w:rFonts w:cs="Calibri"/>
              </w:rPr>
            </w:pPr>
            <w:r w:rsidRPr="007354D1">
              <w:t>$57.78</w:t>
            </w:r>
          </w:p>
        </w:tc>
      </w:tr>
      <w:tr w:rsidR="00D12268" w:rsidRPr="00F77E8D" w14:paraId="4EEA61F8" w14:textId="77777777" w:rsidTr="00E3175C">
        <w:tc>
          <w:tcPr>
            <w:tcW w:w="1429" w:type="pct"/>
          </w:tcPr>
          <w:p w14:paraId="497F4390" w14:textId="77777777" w:rsidR="00D12268" w:rsidRPr="003816D8" w:rsidRDefault="00D12268" w:rsidP="00556AB6">
            <w:pPr>
              <w:pStyle w:val="Tabletext1"/>
              <w:rPr>
                <w:snapToGrid w:val="0"/>
                <w:lang w:eastAsia="en-US"/>
              </w:rPr>
            </w:pPr>
            <w:r w:rsidRPr="009870A2">
              <w:t>Cost of Physical therapy</w:t>
            </w:r>
          </w:p>
        </w:tc>
        <w:tc>
          <w:tcPr>
            <w:tcW w:w="843" w:type="pct"/>
            <w:vAlign w:val="center"/>
          </w:tcPr>
          <w:p w14:paraId="324FBFC2" w14:textId="77777777" w:rsidR="00D12268" w:rsidRPr="003816D8" w:rsidRDefault="00D12268" w:rsidP="006D1459">
            <w:pPr>
              <w:pStyle w:val="Tabletext1"/>
              <w:jc w:val="center"/>
              <w:rPr>
                <w:snapToGrid w:val="0"/>
                <w:lang w:eastAsia="en-US"/>
              </w:rPr>
            </w:pPr>
            <w:r w:rsidRPr="009546A5">
              <w:t>2</w:t>
            </w:r>
          </w:p>
        </w:tc>
        <w:tc>
          <w:tcPr>
            <w:tcW w:w="716" w:type="pct"/>
            <w:vAlign w:val="center"/>
          </w:tcPr>
          <w:p w14:paraId="387C4427" w14:textId="27408B16" w:rsidR="00D12268" w:rsidRPr="003816D8" w:rsidRDefault="00D12268" w:rsidP="006D1459">
            <w:pPr>
              <w:pStyle w:val="Tabletext1"/>
              <w:jc w:val="center"/>
            </w:pPr>
            <w:r w:rsidRPr="00A35CF0">
              <w:t>$54.60</w:t>
            </w:r>
          </w:p>
        </w:tc>
        <w:tc>
          <w:tcPr>
            <w:tcW w:w="1182" w:type="pct"/>
            <w:vAlign w:val="center"/>
          </w:tcPr>
          <w:p w14:paraId="124F5B5F" w14:textId="77777777" w:rsidR="00D12268" w:rsidRPr="003816D8" w:rsidRDefault="00D12268" w:rsidP="006D1459">
            <w:pPr>
              <w:pStyle w:val="Tabletext1"/>
              <w:jc w:val="center"/>
              <w:rPr>
                <w:rFonts w:cs="Calibri"/>
              </w:rPr>
            </w:pPr>
            <w:r w:rsidRPr="00B314A4">
              <w:t>10960</w:t>
            </w:r>
          </w:p>
        </w:tc>
        <w:tc>
          <w:tcPr>
            <w:tcW w:w="830" w:type="pct"/>
            <w:vAlign w:val="center"/>
          </w:tcPr>
          <w:p w14:paraId="0970FEC4" w14:textId="0061AD3F" w:rsidR="00D12268" w:rsidRPr="003816D8" w:rsidRDefault="00D12268" w:rsidP="006D1459">
            <w:pPr>
              <w:pStyle w:val="Tabletext1"/>
              <w:jc w:val="center"/>
              <w:rPr>
                <w:rFonts w:cs="Calibri"/>
              </w:rPr>
            </w:pPr>
            <w:r w:rsidRPr="007354D1">
              <w:t>$109.20</w:t>
            </w:r>
          </w:p>
        </w:tc>
      </w:tr>
      <w:tr w:rsidR="00D12268" w:rsidRPr="00F77E8D" w14:paraId="0CF01820" w14:textId="77777777" w:rsidTr="00E3175C">
        <w:tc>
          <w:tcPr>
            <w:tcW w:w="1429" w:type="pct"/>
          </w:tcPr>
          <w:p w14:paraId="351EE825" w14:textId="77777777" w:rsidR="00D12268" w:rsidRPr="003816D8" w:rsidRDefault="00D12268" w:rsidP="00556AB6">
            <w:pPr>
              <w:pStyle w:val="Tabletext1"/>
              <w:rPr>
                <w:snapToGrid w:val="0"/>
                <w:lang w:eastAsia="en-US"/>
              </w:rPr>
            </w:pPr>
            <w:r>
              <w:rPr>
                <w:b/>
                <w:snapToGrid w:val="0"/>
                <w:lang w:eastAsia="en-US"/>
              </w:rPr>
              <w:t>Late GU toxicity grade 3 and +</w:t>
            </w:r>
          </w:p>
        </w:tc>
        <w:tc>
          <w:tcPr>
            <w:tcW w:w="843" w:type="pct"/>
            <w:vAlign w:val="center"/>
          </w:tcPr>
          <w:p w14:paraId="7DBCA8C8" w14:textId="77777777" w:rsidR="00D12268" w:rsidRPr="003816D8" w:rsidRDefault="00D12268" w:rsidP="006D1459">
            <w:pPr>
              <w:pStyle w:val="Tabletext1"/>
              <w:jc w:val="center"/>
              <w:rPr>
                <w:snapToGrid w:val="0"/>
                <w:lang w:eastAsia="en-US"/>
              </w:rPr>
            </w:pPr>
          </w:p>
        </w:tc>
        <w:tc>
          <w:tcPr>
            <w:tcW w:w="716" w:type="pct"/>
            <w:vAlign w:val="center"/>
          </w:tcPr>
          <w:p w14:paraId="49A3FC96" w14:textId="77777777" w:rsidR="00D12268" w:rsidRPr="003816D8" w:rsidRDefault="00D12268" w:rsidP="006D1459">
            <w:pPr>
              <w:pStyle w:val="Tabletext1"/>
              <w:jc w:val="center"/>
            </w:pPr>
          </w:p>
        </w:tc>
        <w:tc>
          <w:tcPr>
            <w:tcW w:w="1182" w:type="pct"/>
            <w:vAlign w:val="center"/>
          </w:tcPr>
          <w:p w14:paraId="331DF11E" w14:textId="77777777" w:rsidR="00D12268" w:rsidRPr="003816D8" w:rsidRDefault="00D12268" w:rsidP="006D1459">
            <w:pPr>
              <w:pStyle w:val="Tabletext1"/>
              <w:jc w:val="center"/>
              <w:rPr>
                <w:rFonts w:cs="Calibri"/>
              </w:rPr>
            </w:pPr>
          </w:p>
        </w:tc>
        <w:tc>
          <w:tcPr>
            <w:tcW w:w="830" w:type="pct"/>
            <w:vAlign w:val="center"/>
          </w:tcPr>
          <w:p w14:paraId="1EB7D196" w14:textId="77777777" w:rsidR="00D12268" w:rsidRPr="00DC2A15" w:rsidRDefault="00D12268" w:rsidP="006D1459">
            <w:pPr>
              <w:pStyle w:val="Tabletext1"/>
              <w:jc w:val="center"/>
              <w:rPr>
                <w:rFonts w:cs="Calibri"/>
                <w:b/>
              </w:rPr>
            </w:pPr>
            <w:r w:rsidRPr="00DC2A15">
              <w:rPr>
                <w:rFonts w:cs="Calibri"/>
                <w:b/>
              </w:rPr>
              <w:t>$4,221.35</w:t>
            </w:r>
          </w:p>
        </w:tc>
      </w:tr>
      <w:tr w:rsidR="00D12268" w:rsidRPr="00F77E8D" w14:paraId="663EF4CC" w14:textId="77777777" w:rsidTr="00E3175C">
        <w:tc>
          <w:tcPr>
            <w:tcW w:w="1429" w:type="pct"/>
          </w:tcPr>
          <w:p w14:paraId="71DA32AD" w14:textId="77777777" w:rsidR="00D12268" w:rsidRPr="00DC2A15" w:rsidRDefault="00D12268" w:rsidP="00556AB6">
            <w:pPr>
              <w:pStyle w:val="Tabletext1"/>
              <w:rPr>
                <w:b/>
                <w:snapToGrid w:val="0"/>
                <w:lang w:eastAsia="en-US"/>
              </w:rPr>
            </w:pPr>
            <w:r w:rsidRPr="00DC2A15">
              <w:rPr>
                <w:b/>
              </w:rPr>
              <w:t>Urinary Retention</w:t>
            </w:r>
          </w:p>
        </w:tc>
        <w:tc>
          <w:tcPr>
            <w:tcW w:w="843" w:type="pct"/>
            <w:vAlign w:val="center"/>
          </w:tcPr>
          <w:p w14:paraId="5AD719BF" w14:textId="77777777" w:rsidR="00D12268" w:rsidRPr="003816D8" w:rsidRDefault="00D12268" w:rsidP="006D1459">
            <w:pPr>
              <w:pStyle w:val="Tabletext1"/>
              <w:jc w:val="center"/>
              <w:rPr>
                <w:snapToGrid w:val="0"/>
                <w:lang w:eastAsia="en-US"/>
              </w:rPr>
            </w:pPr>
          </w:p>
        </w:tc>
        <w:tc>
          <w:tcPr>
            <w:tcW w:w="716" w:type="pct"/>
            <w:vAlign w:val="center"/>
          </w:tcPr>
          <w:p w14:paraId="09039AD1" w14:textId="77777777" w:rsidR="00D12268" w:rsidRPr="003816D8" w:rsidRDefault="00D12268" w:rsidP="006D1459">
            <w:pPr>
              <w:pStyle w:val="Tabletext1"/>
              <w:jc w:val="center"/>
            </w:pPr>
          </w:p>
        </w:tc>
        <w:tc>
          <w:tcPr>
            <w:tcW w:w="1182" w:type="pct"/>
            <w:vAlign w:val="center"/>
          </w:tcPr>
          <w:p w14:paraId="6A570303" w14:textId="77777777" w:rsidR="00D12268" w:rsidRPr="003816D8" w:rsidRDefault="00D12268" w:rsidP="006D1459">
            <w:pPr>
              <w:pStyle w:val="Tabletext1"/>
              <w:jc w:val="center"/>
              <w:rPr>
                <w:rFonts w:cs="Calibri"/>
              </w:rPr>
            </w:pPr>
          </w:p>
        </w:tc>
        <w:tc>
          <w:tcPr>
            <w:tcW w:w="830" w:type="pct"/>
            <w:vAlign w:val="center"/>
          </w:tcPr>
          <w:p w14:paraId="271B880C" w14:textId="77777777" w:rsidR="00D12268" w:rsidRPr="00DC2A15" w:rsidRDefault="00D12268" w:rsidP="006D1459">
            <w:pPr>
              <w:pStyle w:val="Tabletext1"/>
              <w:jc w:val="center"/>
              <w:rPr>
                <w:rFonts w:cs="Calibri"/>
                <w:b/>
              </w:rPr>
            </w:pPr>
            <w:r w:rsidRPr="00DC2A15">
              <w:rPr>
                <w:b/>
              </w:rPr>
              <w:t>$2,980.84</w:t>
            </w:r>
          </w:p>
        </w:tc>
      </w:tr>
      <w:tr w:rsidR="00D12268" w:rsidRPr="00F77E8D" w14:paraId="6B8966DD" w14:textId="77777777" w:rsidTr="00E3175C">
        <w:tc>
          <w:tcPr>
            <w:tcW w:w="1429" w:type="pct"/>
          </w:tcPr>
          <w:p w14:paraId="1842180B" w14:textId="77777777" w:rsidR="00D12268" w:rsidRPr="003816D8" w:rsidRDefault="00D12268" w:rsidP="00556AB6">
            <w:pPr>
              <w:pStyle w:val="Tabletext1"/>
              <w:rPr>
                <w:snapToGrid w:val="0"/>
                <w:lang w:eastAsia="en-US"/>
              </w:rPr>
            </w:pPr>
            <w:r w:rsidRPr="008C2C30">
              <w:t>Cost of outpatient visit - GP</w:t>
            </w:r>
          </w:p>
        </w:tc>
        <w:tc>
          <w:tcPr>
            <w:tcW w:w="843" w:type="pct"/>
            <w:vAlign w:val="center"/>
          </w:tcPr>
          <w:p w14:paraId="3AA120FC" w14:textId="77777777" w:rsidR="00D12268" w:rsidRPr="003816D8" w:rsidRDefault="00D12268" w:rsidP="006D1459">
            <w:pPr>
              <w:pStyle w:val="Tabletext1"/>
              <w:jc w:val="center"/>
              <w:rPr>
                <w:snapToGrid w:val="0"/>
                <w:lang w:eastAsia="en-US"/>
              </w:rPr>
            </w:pPr>
            <w:r w:rsidRPr="00C75A89">
              <w:t>4</w:t>
            </w:r>
          </w:p>
        </w:tc>
        <w:tc>
          <w:tcPr>
            <w:tcW w:w="716" w:type="pct"/>
            <w:vAlign w:val="center"/>
          </w:tcPr>
          <w:p w14:paraId="527B25DC" w14:textId="3A3D8F8F" w:rsidR="00D12268" w:rsidRPr="003816D8" w:rsidRDefault="00D12268" w:rsidP="006D1459">
            <w:pPr>
              <w:pStyle w:val="Tabletext1"/>
              <w:jc w:val="center"/>
            </w:pPr>
            <w:r w:rsidRPr="004C584A">
              <w:t>$38.75</w:t>
            </w:r>
          </w:p>
        </w:tc>
        <w:tc>
          <w:tcPr>
            <w:tcW w:w="1182" w:type="pct"/>
            <w:vAlign w:val="center"/>
          </w:tcPr>
          <w:p w14:paraId="5968393E" w14:textId="77777777" w:rsidR="00D12268" w:rsidRPr="003816D8" w:rsidRDefault="00D12268" w:rsidP="006D1459">
            <w:pPr>
              <w:pStyle w:val="Tabletext1"/>
              <w:jc w:val="center"/>
              <w:rPr>
                <w:rFonts w:cs="Calibri"/>
              </w:rPr>
            </w:pPr>
            <w:r w:rsidRPr="00C45C50">
              <w:t>23</w:t>
            </w:r>
          </w:p>
        </w:tc>
        <w:tc>
          <w:tcPr>
            <w:tcW w:w="830" w:type="pct"/>
            <w:vAlign w:val="center"/>
          </w:tcPr>
          <w:p w14:paraId="0E68F4F0" w14:textId="6B2DE7C2" w:rsidR="00D12268" w:rsidRPr="003816D8" w:rsidRDefault="00D12268" w:rsidP="006D1459">
            <w:pPr>
              <w:pStyle w:val="Tabletext1"/>
              <w:jc w:val="center"/>
              <w:rPr>
                <w:rFonts w:cs="Calibri"/>
                <w:b/>
              </w:rPr>
            </w:pPr>
            <w:r w:rsidRPr="00F2561A">
              <w:t>$155.00</w:t>
            </w:r>
          </w:p>
        </w:tc>
      </w:tr>
      <w:tr w:rsidR="00D12268" w:rsidRPr="00F77E8D" w14:paraId="6447201B" w14:textId="77777777" w:rsidTr="00E3175C">
        <w:tc>
          <w:tcPr>
            <w:tcW w:w="1429" w:type="pct"/>
          </w:tcPr>
          <w:p w14:paraId="113C17A9" w14:textId="77777777" w:rsidR="00D12268" w:rsidRPr="003816D8" w:rsidRDefault="00D12268" w:rsidP="00556AB6">
            <w:pPr>
              <w:pStyle w:val="Tabletext1"/>
              <w:rPr>
                <w:b/>
                <w:snapToGrid w:val="0"/>
                <w:lang w:eastAsia="en-US"/>
              </w:rPr>
            </w:pPr>
            <w:r w:rsidRPr="008C2C30">
              <w:t xml:space="preserve">Cost of outpatient visit - specialist </w:t>
            </w:r>
          </w:p>
        </w:tc>
        <w:tc>
          <w:tcPr>
            <w:tcW w:w="843" w:type="pct"/>
            <w:vAlign w:val="center"/>
          </w:tcPr>
          <w:p w14:paraId="49646D1C" w14:textId="77777777" w:rsidR="00D12268" w:rsidRPr="003816D8" w:rsidRDefault="00D12268" w:rsidP="006D1459">
            <w:pPr>
              <w:pStyle w:val="Tabletext1"/>
              <w:jc w:val="center"/>
              <w:rPr>
                <w:snapToGrid w:val="0"/>
                <w:lang w:eastAsia="en-US"/>
              </w:rPr>
            </w:pPr>
            <w:r w:rsidRPr="00C75A89">
              <w:t>4</w:t>
            </w:r>
          </w:p>
        </w:tc>
        <w:tc>
          <w:tcPr>
            <w:tcW w:w="716" w:type="pct"/>
            <w:vAlign w:val="center"/>
          </w:tcPr>
          <w:p w14:paraId="2CBAA649" w14:textId="1B3253A7" w:rsidR="00D12268" w:rsidRPr="003816D8" w:rsidRDefault="00D12268" w:rsidP="006D1459">
            <w:pPr>
              <w:pStyle w:val="Tabletext1"/>
              <w:jc w:val="center"/>
            </w:pPr>
            <w:r w:rsidRPr="004C584A">
              <w:t>$45.00</w:t>
            </w:r>
          </w:p>
        </w:tc>
        <w:tc>
          <w:tcPr>
            <w:tcW w:w="1182" w:type="pct"/>
            <w:vAlign w:val="center"/>
          </w:tcPr>
          <w:p w14:paraId="0F8A1391" w14:textId="77777777" w:rsidR="00D12268" w:rsidRPr="003816D8" w:rsidRDefault="00D12268" w:rsidP="006D1459">
            <w:pPr>
              <w:pStyle w:val="Tabletext1"/>
              <w:jc w:val="center"/>
              <w:rPr>
                <w:rFonts w:cs="Calibri"/>
              </w:rPr>
            </w:pPr>
            <w:r w:rsidRPr="00C45C50">
              <w:t>105</w:t>
            </w:r>
          </w:p>
        </w:tc>
        <w:tc>
          <w:tcPr>
            <w:tcW w:w="830" w:type="pct"/>
            <w:vAlign w:val="center"/>
          </w:tcPr>
          <w:p w14:paraId="3F1D5B5F" w14:textId="7F94C0F7" w:rsidR="00D12268" w:rsidRPr="003816D8" w:rsidRDefault="00D12268" w:rsidP="006D1459">
            <w:pPr>
              <w:pStyle w:val="Tabletext1"/>
              <w:jc w:val="center"/>
              <w:rPr>
                <w:rFonts w:cs="Calibri"/>
                <w:b/>
              </w:rPr>
            </w:pPr>
            <w:r w:rsidRPr="00F2561A">
              <w:t>$180.00</w:t>
            </w:r>
          </w:p>
        </w:tc>
      </w:tr>
      <w:tr w:rsidR="00D12268" w:rsidRPr="00F77E8D" w14:paraId="3D372318" w14:textId="77777777" w:rsidTr="00E3175C">
        <w:tc>
          <w:tcPr>
            <w:tcW w:w="1429" w:type="pct"/>
          </w:tcPr>
          <w:p w14:paraId="17A7886C" w14:textId="77777777" w:rsidR="00D12268" w:rsidRPr="003816D8" w:rsidRDefault="00D12268" w:rsidP="00556AB6">
            <w:pPr>
              <w:pStyle w:val="Tabletext1"/>
              <w:rPr>
                <w:b/>
                <w:snapToGrid w:val="0"/>
                <w:lang w:eastAsia="en-US"/>
              </w:rPr>
            </w:pPr>
            <w:r w:rsidRPr="008C2C30">
              <w:t>Cost of Tamsulosin</w:t>
            </w:r>
          </w:p>
        </w:tc>
        <w:tc>
          <w:tcPr>
            <w:tcW w:w="843" w:type="pct"/>
            <w:vAlign w:val="center"/>
          </w:tcPr>
          <w:p w14:paraId="11295E32" w14:textId="77777777" w:rsidR="00D12268" w:rsidRPr="003816D8" w:rsidRDefault="00D12268" w:rsidP="006D1459">
            <w:pPr>
              <w:pStyle w:val="Tabletext1"/>
              <w:jc w:val="center"/>
              <w:rPr>
                <w:snapToGrid w:val="0"/>
                <w:lang w:eastAsia="en-US"/>
              </w:rPr>
            </w:pPr>
            <w:r w:rsidRPr="00C75A89">
              <w:t>30</w:t>
            </w:r>
          </w:p>
        </w:tc>
        <w:tc>
          <w:tcPr>
            <w:tcW w:w="716" w:type="pct"/>
            <w:vAlign w:val="center"/>
          </w:tcPr>
          <w:p w14:paraId="7B0F5829" w14:textId="2486CE86" w:rsidR="00D12268" w:rsidRPr="003816D8" w:rsidRDefault="00D12268" w:rsidP="006D1459">
            <w:pPr>
              <w:pStyle w:val="Tabletext1"/>
              <w:jc w:val="center"/>
            </w:pPr>
            <w:r w:rsidRPr="004C584A">
              <w:t>$63.78</w:t>
            </w:r>
          </w:p>
        </w:tc>
        <w:tc>
          <w:tcPr>
            <w:tcW w:w="1182" w:type="pct"/>
            <w:vAlign w:val="center"/>
          </w:tcPr>
          <w:p w14:paraId="16B61F59" w14:textId="77777777" w:rsidR="00D12268" w:rsidRPr="003816D8" w:rsidRDefault="00D12268" w:rsidP="006D1459">
            <w:pPr>
              <w:pStyle w:val="Tabletext1"/>
              <w:jc w:val="center"/>
              <w:rPr>
                <w:rFonts w:cs="Calibri"/>
              </w:rPr>
            </w:pPr>
            <w:r w:rsidRPr="00C45C50">
              <w:t>4070F</w:t>
            </w:r>
          </w:p>
        </w:tc>
        <w:tc>
          <w:tcPr>
            <w:tcW w:w="830" w:type="pct"/>
            <w:vAlign w:val="center"/>
          </w:tcPr>
          <w:p w14:paraId="63DD55F2" w14:textId="3CE37050" w:rsidR="00D12268" w:rsidRPr="003816D8" w:rsidRDefault="00D12268" w:rsidP="006D1459">
            <w:pPr>
              <w:pStyle w:val="Tabletext1"/>
              <w:jc w:val="center"/>
              <w:rPr>
                <w:rFonts w:cs="Calibri"/>
                <w:b/>
              </w:rPr>
            </w:pPr>
            <w:r w:rsidRPr="00F2561A">
              <w:t>$775.99</w:t>
            </w:r>
          </w:p>
        </w:tc>
      </w:tr>
      <w:tr w:rsidR="00D12268" w:rsidRPr="00F77E8D" w14:paraId="29C3C402" w14:textId="77777777" w:rsidTr="00E3175C">
        <w:tc>
          <w:tcPr>
            <w:tcW w:w="1429" w:type="pct"/>
          </w:tcPr>
          <w:p w14:paraId="074A2511" w14:textId="77777777" w:rsidR="00D12268" w:rsidRPr="003816D8" w:rsidRDefault="00D12268" w:rsidP="00556AB6">
            <w:pPr>
              <w:pStyle w:val="Tabletext1"/>
              <w:rPr>
                <w:b/>
                <w:snapToGrid w:val="0"/>
                <w:lang w:eastAsia="en-US"/>
              </w:rPr>
            </w:pPr>
            <w:r w:rsidRPr="008C2C30">
              <w:t xml:space="preserve">Cost of catheterisation with lubrication </w:t>
            </w:r>
          </w:p>
        </w:tc>
        <w:tc>
          <w:tcPr>
            <w:tcW w:w="843" w:type="pct"/>
            <w:vAlign w:val="center"/>
          </w:tcPr>
          <w:p w14:paraId="427CAC61" w14:textId="77777777" w:rsidR="00D12268" w:rsidRPr="003816D8" w:rsidRDefault="00D12268" w:rsidP="006D1459">
            <w:pPr>
              <w:pStyle w:val="Tabletext1"/>
              <w:jc w:val="center"/>
              <w:rPr>
                <w:snapToGrid w:val="0"/>
                <w:lang w:eastAsia="en-US"/>
              </w:rPr>
            </w:pPr>
            <w:r w:rsidRPr="00C75A89">
              <w:t>52</w:t>
            </w:r>
          </w:p>
        </w:tc>
        <w:tc>
          <w:tcPr>
            <w:tcW w:w="716" w:type="pct"/>
            <w:vAlign w:val="center"/>
          </w:tcPr>
          <w:p w14:paraId="43EDEFB6" w14:textId="68705DCA" w:rsidR="00D12268" w:rsidRPr="003816D8" w:rsidRDefault="00D12268" w:rsidP="006D1459">
            <w:pPr>
              <w:pStyle w:val="Tabletext1"/>
              <w:jc w:val="center"/>
            </w:pPr>
            <w:r w:rsidRPr="004C584A">
              <w:t>$24.20</w:t>
            </w:r>
          </w:p>
        </w:tc>
        <w:tc>
          <w:tcPr>
            <w:tcW w:w="1182" w:type="pct"/>
            <w:vAlign w:val="center"/>
          </w:tcPr>
          <w:p w14:paraId="1A11F73B" w14:textId="77777777" w:rsidR="00D12268" w:rsidRPr="003816D8" w:rsidRDefault="00D12268" w:rsidP="006D1459">
            <w:pPr>
              <w:pStyle w:val="Tabletext1"/>
              <w:jc w:val="center"/>
              <w:rPr>
                <w:rFonts w:cs="Calibri"/>
              </w:rPr>
            </w:pPr>
            <w:r w:rsidRPr="00C45C50">
              <w:t>36800</w:t>
            </w:r>
          </w:p>
        </w:tc>
        <w:tc>
          <w:tcPr>
            <w:tcW w:w="830" w:type="pct"/>
            <w:vAlign w:val="center"/>
          </w:tcPr>
          <w:p w14:paraId="3E464B4E" w14:textId="3C7A337F" w:rsidR="00D12268" w:rsidRPr="003816D8" w:rsidRDefault="00D12268" w:rsidP="006D1459">
            <w:pPr>
              <w:pStyle w:val="Tabletext1"/>
              <w:jc w:val="center"/>
              <w:rPr>
                <w:rFonts w:cs="Calibri"/>
                <w:b/>
              </w:rPr>
            </w:pPr>
            <w:r w:rsidRPr="00F2561A">
              <w:t>$1,258.40</w:t>
            </w:r>
          </w:p>
        </w:tc>
      </w:tr>
      <w:tr w:rsidR="00D12268" w:rsidRPr="00F77E8D" w14:paraId="7575DCDF" w14:textId="77777777" w:rsidTr="00E3175C">
        <w:tc>
          <w:tcPr>
            <w:tcW w:w="1429" w:type="pct"/>
          </w:tcPr>
          <w:p w14:paraId="56433DF1" w14:textId="77777777" w:rsidR="00D12268" w:rsidRPr="003816D8" w:rsidRDefault="00D12268" w:rsidP="00556AB6">
            <w:pPr>
              <w:pStyle w:val="Tabletext1"/>
              <w:rPr>
                <w:b/>
                <w:snapToGrid w:val="0"/>
                <w:lang w:eastAsia="en-US"/>
              </w:rPr>
            </w:pPr>
            <w:r w:rsidRPr="008C2C30">
              <w:t>Cost of Renal Ultrasound</w:t>
            </w:r>
          </w:p>
        </w:tc>
        <w:tc>
          <w:tcPr>
            <w:tcW w:w="843" w:type="pct"/>
            <w:vAlign w:val="center"/>
          </w:tcPr>
          <w:p w14:paraId="6CAC2FBF" w14:textId="77777777" w:rsidR="00D12268" w:rsidRPr="003816D8" w:rsidRDefault="00D12268" w:rsidP="006D1459">
            <w:pPr>
              <w:pStyle w:val="Tabletext1"/>
              <w:jc w:val="center"/>
              <w:rPr>
                <w:snapToGrid w:val="0"/>
                <w:lang w:eastAsia="en-US"/>
              </w:rPr>
            </w:pPr>
            <w:r w:rsidRPr="00C75A89">
              <w:t>1</w:t>
            </w:r>
          </w:p>
        </w:tc>
        <w:tc>
          <w:tcPr>
            <w:tcW w:w="716" w:type="pct"/>
            <w:vAlign w:val="center"/>
          </w:tcPr>
          <w:p w14:paraId="24B0B37D" w14:textId="6E39B95B" w:rsidR="00D12268" w:rsidRPr="003816D8" w:rsidRDefault="00D12268" w:rsidP="006D1459">
            <w:pPr>
              <w:pStyle w:val="Tabletext1"/>
              <w:jc w:val="center"/>
            </w:pPr>
            <w:r w:rsidRPr="004C584A">
              <w:t>$146.25</w:t>
            </w:r>
          </w:p>
        </w:tc>
        <w:tc>
          <w:tcPr>
            <w:tcW w:w="1182" w:type="pct"/>
            <w:vAlign w:val="center"/>
          </w:tcPr>
          <w:p w14:paraId="29E29B0D" w14:textId="77777777" w:rsidR="00D12268" w:rsidRPr="003816D8" w:rsidRDefault="00D12268" w:rsidP="006D1459">
            <w:pPr>
              <w:pStyle w:val="Tabletext1"/>
              <w:jc w:val="center"/>
              <w:rPr>
                <w:rFonts w:cs="Calibri"/>
              </w:rPr>
            </w:pPr>
            <w:r w:rsidRPr="00C45C50">
              <w:t>55278</w:t>
            </w:r>
          </w:p>
        </w:tc>
        <w:tc>
          <w:tcPr>
            <w:tcW w:w="830" w:type="pct"/>
            <w:vAlign w:val="center"/>
          </w:tcPr>
          <w:p w14:paraId="756316FD" w14:textId="177B987D" w:rsidR="00D12268" w:rsidRPr="003816D8" w:rsidRDefault="00D12268" w:rsidP="006D1459">
            <w:pPr>
              <w:pStyle w:val="Tabletext1"/>
              <w:jc w:val="center"/>
              <w:rPr>
                <w:rFonts w:cs="Calibri"/>
                <w:b/>
              </w:rPr>
            </w:pPr>
            <w:r w:rsidRPr="00F2561A">
              <w:t>$146.25</w:t>
            </w:r>
          </w:p>
        </w:tc>
      </w:tr>
      <w:tr w:rsidR="00D12268" w:rsidRPr="00F77E8D" w14:paraId="54DDC62F" w14:textId="77777777" w:rsidTr="00E3175C">
        <w:tc>
          <w:tcPr>
            <w:tcW w:w="1429" w:type="pct"/>
          </w:tcPr>
          <w:p w14:paraId="45A745AE" w14:textId="77777777" w:rsidR="00D12268" w:rsidRPr="003816D8" w:rsidRDefault="00D12268" w:rsidP="00556AB6">
            <w:pPr>
              <w:pStyle w:val="Tabletext1"/>
              <w:rPr>
                <w:b/>
                <w:snapToGrid w:val="0"/>
                <w:lang w:eastAsia="en-US"/>
              </w:rPr>
            </w:pPr>
            <w:r w:rsidRPr="008C2C30">
              <w:t>Cost of Cystoscopy with stent</w:t>
            </w:r>
          </w:p>
        </w:tc>
        <w:tc>
          <w:tcPr>
            <w:tcW w:w="843" w:type="pct"/>
            <w:vAlign w:val="center"/>
          </w:tcPr>
          <w:p w14:paraId="3D2908FD" w14:textId="77777777" w:rsidR="00D12268" w:rsidRPr="003816D8" w:rsidRDefault="00D12268" w:rsidP="006D1459">
            <w:pPr>
              <w:pStyle w:val="Tabletext1"/>
              <w:jc w:val="center"/>
              <w:rPr>
                <w:snapToGrid w:val="0"/>
                <w:lang w:eastAsia="en-US"/>
              </w:rPr>
            </w:pPr>
            <w:r w:rsidRPr="00C75A89">
              <w:t>1</w:t>
            </w:r>
          </w:p>
        </w:tc>
        <w:tc>
          <w:tcPr>
            <w:tcW w:w="716" w:type="pct"/>
            <w:vAlign w:val="center"/>
          </w:tcPr>
          <w:p w14:paraId="6A4AB783" w14:textId="362A8FE8" w:rsidR="00D12268" w:rsidRPr="003816D8" w:rsidRDefault="00D12268" w:rsidP="006D1459">
            <w:pPr>
              <w:pStyle w:val="Tabletext1"/>
              <w:jc w:val="center"/>
            </w:pPr>
            <w:r w:rsidRPr="004C584A">
              <w:t>$465.20</w:t>
            </w:r>
          </w:p>
        </w:tc>
        <w:tc>
          <w:tcPr>
            <w:tcW w:w="1182" w:type="pct"/>
            <w:vAlign w:val="center"/>
          </w:tcPr>
          <w:p w14:paraId="4F6F021E" w14:textId="77777777" w:rsidR="00D12268" w:rsidRPr="003816D8" w:rsidRDefault="00D12268" w:rsidP="006D1459">
            <w:pPr>
              <w:pStyle w:val="Tabletext1"/>
              <w:jc w:val="center"/>
              <w:rPr>
                <w:rFonts w:cs="Calibri"/>
              </w:rPr>
            </w:pPr>
            <w:r w:rsidRPr="00C45C50">
              <w:t>36823</w:t>
            </w:r>
          </w:p>
        </w:tc>
        <w:tc>
          <w:tcPr>
            <w:tcW w:w="830" w:type="pct"/>
            <w:vAlign w:val="center"/>
          </w:tcPr>
          <w:p w14:paraId="70B11775" w14:textId="2F763374" w:rsidR="00D12268" w:rsidRPr="003816D8" w:rsidRDefault="00D12268" w:rsidP="006D1459">
            <w:pPr>
              <w:pStyle w:val="Tabletext1"/>
              <w:jc w:val="center"/>
              <w:rPr>
                <w:rFonts w:cs="Calibri"/>
                <w:b/>
              </w:rPr>
            </w:pPr>
            <w:r w:rsidRPr="00F2561A">
              <w:t>$465.20</w:t>
            </w:r>
          </w:p>
        </w:tc>
      </w:tr>
      <w:tr w:rsidR="00D12268" w:rsidRPr="00F77E8D" w14:paraId="74855CC9" w14:textId="77777777" w:rsidTr="00E3175C">
        <w:tc>
          <w:tcPr>
            <w:tcW w:w="1429" w:type="pct"/>
          </w:tcPr>
          <w:p w14:paraId="1929A2E9" w14:textId="77777777" w:rsidR="00D12268" w:rsidRPr="00DC2A15" w:rsidRDefault="00D12268" w:rsidP="008B6FC0">
            <w:pPr>
              <w:pStyle w:val="Tabletext1"/>
              <w:keepNext/>
              <w:rPr>
                <w:b/>
                <w:snapToGrid w:val="0"/>
                <w:lang w:eastAsia="en-US"/>
              </w:rPr>
            </w:pPr>
            <w:r w:rsidRPr="00DC2A15">
              <w:rPr>
                <w:b/>
              </w:rPr>
              <w:lastRenderedPageBreak/>
              <w:t>Urinary Incontinence</w:t>
            </w:r>
          </w:p>
        </w:tc>
        <w:tc>
          <w:tcPr>
            <w:tcW w:w="843" w:type="pct"/>
            <w:vAlign w:val="center"/>
          </w:tcPr>
          <w:p w14:paraId="6D5B8934" w14:textId="77777777" w:rsidR="00D12268" w:rsidRPr="003816D8" w:rsidRDefault="00D12268" w:rsidP="008B6FC0">
            <w:pPr>
              <w:pStyle w:val="Tabletext1"/>
              <w:keepNext/>
              <w:jc w:val="center"/>
              <w:rPr>
                <w:snapToGrid w:val="0"/>
                <w:lang w:eastAsia="en-US"/>
              </w:rPr>
            </w:pPr>
          </w:p>
        </w:tc>
        <w:tc>
          <w:tcPr>
            <w:tcW w:w="716" w:type="pct"/>
            <w:vAlign w:val="center"/>
          </w:tcPr>
          <w:p w14:paraId="6BAB7172" w14:textId="77777777" w:rsidR="00D12268" w:rsidRPr="003816D8" w:rsidRDefault="00D12268" w:rsidP="008B6FC0">
            <w:pPr>
              <w:pStyle w:val="Tabletext1"/>
              <w:keepNext/>
              <w:jc w:val="center"/>
            </w:pPr>
          </w:p>
        </w:tc>
        <w:tc>
          <w:tcPr>
            <w:tcW w:w="1182" w:type="pct"/>
            <w:vAlign w:val="center"/>
          </w:tcPr>
          <w:p w14:paraId="2B2C0F70" w14:textId="77777777" w:rsidR="00D12268" w:rsidRPr="003816D8" w:rsidRDefault="00D12268" w:rsidP="008B6FC0">
            <w:pPr>
              <w:pStyle w:val="Tabletext1"/>
              <w:keepNext/>
              <w:jc w:val="center"/>
              <w:rPr>
                <w:rFonts w:cs="Calibri"/>
              </w:rPr>
            </w:pPr>
          </w:p>
        </w:tc>
        <w:tc>
          <w:tcPr>
            <w:tcW w:w="830" w:type="pct"/>
            <w:vAlign w:val="center"/>
          </w:tcPr>
          <w:p w14:paraId="5458FA40" w14:textId="77777777" w:rsidR="00D12268" w:rsidRPr="003816D8" w:rsidRDefault="00D12268" w:rsidP="008B6FC0">
            <w:pPr>
              <w:pStyle w:val="Tabletext1"/>
              <w:keepNext/>
              <w:jc w:val="center"/>
              <w:rPr>
                <w:rFonts w:cs="Calibri"/>
                <w:b/>
              </w:rPr>
            </w:pPr>
            <w:r w:rsidRPr="00DC2A15">
              <w:rPr>
                <w:rFonts w:cs="Calibri"/>
                <w:b/>
              </w:rPr>
              <w:t>$5,461.85</w:t>
            </w:r>
          </w:p>
        </w:tc>
      </w:tr>
      <w:tr w:rsidR="00D12268" w:rsidRPr="00F77E8D" w14:paraId="71BA91D6" w14:textId="77777777" w:rsidTr="00E3175C">
        <w:tc>
          <w:tcPr>
            <w:tcW w:w="1429" w:type="pct"/>
          </w:tcPr>
          <w:p w14:paraId="3B458EAB" w14:textId="77777777" w:rsidR="00D12268" w:rsidRPr="003816D8" w:rsidRDefault="00D12268" w:rsidP="008B6FC0">
            <w:pPr>
              <w:pStyle w:val="Tabletext1"/>
              <w:keepNext/>
              <w:rPr>
                <w:b/>
                <w:snapToGrid w:val="0"/>
                <w:lang w:eastAsia="en-US"/>
              </w:rPr>
            </w:pPr>
            <w:r w:rsidRPr="008C2C30">
              <w:t>Cost of outpatient visit - GP</w:t>
            </w:r>
          </w:p>
        </w:tc>
        <w:tc>
          <w:tcPr>
            <w:tcW w:w="843" w:type="pct"/>
            <w:vAlign w:val="center"/>
          </w:tcPr>
          <w:p w14:paraId="767F1580" w14:textId="77777777" w:rsidR="00D12268" w:rsidRPr="003816D8" w:rsidRDefault="00D12268" w:rsidP="008B6FC0">
            <w:pPr>
              <w:pStyle w:val="Tabletext1"/>
              <w:keepNext/>
              <w:jc w:val="center"/>
              <w:rPr>
                <w:snapToGrid w:val="0"/>
                <w:lang w:eastAsia="en-US"/>
              </w:rPr>
            </w:pPr>
            <w:r w:rsidRPr="00C75A89">
              <w:t>4</w:t>
            </w:r>
          </w:p>
        </w:tc>
        <w:tc>
          <w:tcPr>
            <w:tcW w:w="716" w:type="pct"/>
            <w:vAlign w:val="center"/>
          </w:tcPr>
          <w:p w14:paraId="0468D879" w14:textId="33384DBA" w:rsidR="00D12268" w:rsidRPr="003816D8" w:rsidRDefault="00D12268" w:rsidP="008B6FC0">
            <w:pPr>
              <w:pStyle w:val="Tabletext1"/>
              <w:keepNext/>
              <w:jc w:val="center"/>
            </w:pPr>
            <w:r w:rsidRPr="004C584A">
              <w:t>$38.75</w:t>
            </w:r>
          </w:p>
        </w:tc>
        <w:tc>
          <w:tcPr>
            <w:tcW w:w="1182" w:type="pct"/>
            <w:vAlign w:val="center"/>
          </w:tcPr>
          <w:p w14:paraId="45454EEE" w14:textId="77777777" w:rsidR="00D12268" w:rsidRPr="003816D8" w:rsidRDefault="00D12268" w:rsidP="008B6FC0">
            <w:pPr>
              <w:pStyle w:val="Tabletext1"/>
              <w:keepNext/>
              <w:jc w:val="center"/>
              <w:rPr>
                <w:rFonts w:cs="Calibri"/>
              </w:rPr>
            </w:pPr>
            <w:r w:rsidRPr="00C45C50">
              <w:t>23</w:t>
            </w:r>
          </w:p>
        </w:tc>
        <w:tc>
          <w:tcPr>
            <w:tcW w:w="830" w:type="pct"/>
            <w:vAlign w:val="center"/>
          </w:tcPr>
          <w:p w14:paraId="0EF1EA6A" w14:textId="3FF251BD" w:rsidR="00D12268" w:rsidRPr="003816D8" w:rsidRDefault="00D12268" w:rsidP="008B6FC0">
            <w:pPr>
              <w:pStyle w:val="Tabletext1"/>
              <w:keepNext/>
              <w:jc w:val="center"/>
              <w:rPr>
                <w:rFonts w:cs="Calibri"/>
                <w:b/>
              </w:rPr>
            </w:pPr>
            <w:r w:rsidRPr="00F2561A">
              <w:t>$155.00</w:t>
            </w:r>
          </w:p>
        </w:tc>
      </w:tr>
      <w:tr w:rsidR="00D12268" w:rsidRPr="00F77E8D" w14:paraId="3BCF1331" w14:textId="77777777" w:rsidTr="00E3175C">
        <w:tc>
          <w:tcPr>
            <w:tcW w:w="1429" w:type="pct"/>
          </w:tcPr>
          <w:p w14:paraId="1D79BAD3" w14:textId="77777777" w:rsidR="00D12268" w:rsidRPr="003816D8" w:rsidRDefault="00D12268" w:rsidP="008B6FC0">
            <w:pPr>
              <w:pStyle w:val="Tabletext1"/>
              <w:keepNext/>
              <w:rPr>
                <w:b/>
                <w:snapToGrid w:val="0"/>
                <w:lang w:eastAsia="en-US"/>
              </w:rPr>
            </w:pPr>
            <w:r w:rsidRPr="008C2C30">
              <w:t xml:space="preserve">Cost of outpatient visit - specialist </w:t>
            </w:r>
          </w:p>
        </w:tc>
        <w:tc>
          <w:tcPr>
            <w:tcW w:w="843" w:type="pct"/>
            <w:vAlign w:val="center"/>
          </w:tcPr>
          <w:p w14:paraId="620102B2" w14:textId="77777777" w:rsidR="00D12268" w:rsidRPr="003816D8" w:rsidRDefault="00D12268" w:rsidP="008B6FC0">
            <w:pPr>
              <w:pStyle w:val="Tabletext1"/>
              <w:keepNext/>
              <w:jc w:val="center"/>
              <w:rPr>
                <w:snapToGrid w:val="0"/>
                <w:lang w:eastAsia="en-US"/>
              </w:rPr>
            </w:pPr>
            <w:r w:rsidRPr="00C75A89">
              <w:t>4</w:t>
            </w:r>
          </w:p>
        </w:tc>
        <w:tc>
          <w:tcPr>
            <w:tcW w:w="716" w:type="pct"/>
            <w:vAlign w:val="center"/>
          </w:tcPr>
          <w:p w14:paraId="5BD162E5" w14:textId="1F52792F" w:rsidR="00D12268" w:rsidRPr="003816D8" w:rsidRDefault="00D12268" w:rsidP="008B6FC0">
            <w:pPr>
              <w:pStyle w:val="Tabletext1"/>
              <w:keepNext/>
              <w:jc w:val="center"/>
            </w:pPr>
            <w:r w:rsidRPr="004C584A">
              <w:t>$45.00</w:t>
            </w:r>
          </w:p>
        </w:tc>
        <w:tc>
          <w:tcPr>
            <w:tcW w:w="1182" w:type="pct"/>
            <w:vAlign w:val="center"/>
          </w:tcPr>
          <w:p w14:paraId="0ACBCB2E" w14:textId="77777777" w:rsidR="00D12268" w:rsidRPr="003816D8" w:rsidRDefault="00D12268" w:rsidP="008B6FC0">
            <w:pPr>
              <w:pStyle w:val="Tabletext1"/>
              <w:keepNext/>
              <w:jc w:val="center"/>
              <w:rPr>
                <w:rFonts w:cs="Calibri"/>
              </w:rPr>
            </w:pPr>
            <w:r w:rsidRPr="00C45C50">
              <w:t>105</w:t>
            </w:r>
          </w:p>
        </w:tc>
        <w:tc>
          <w:tcPr>
            <w:tcW w:w="830" w:type="pct"/>
            <w:vAlign w:val="center"/>
          </w:tcPr>
          <w:p w14:paraId="473E4AF9" w14:textId="236C84D1" w:rsidR="00D12268" w:rsidRPr="003816D8" w:rsidRDefault="00D12268" w:rsidP="008B6FC0">
            <w:pPr>
              <w:pStyle w:val="Tabletext1"/>
              <w:keepNext/>
              <w:jc w:val="center"/>
              <w:rPr>
                <w:rFonts w:cs="Calibri"/>
                <w:b/>
              </w:rPr>
            </w:pPr>
            <w:r w:rsidRPr="00F2561A">
              <w:t>$180.00</w:t>
            </w:r>
          </w:p>
        </w:tc>
      </w:tr>
      <w:tr w:rsidR="00D12268" w:rsidRPr="00F77E8D" w14:paraId="6BFA0A06" w14:textId="77777777" w:rsidTr="00E3175C">
        <w:tc>
          <w:tcPr>
            <w:tcW w:w="1429" w:type="pct"/>
          </w:tcPr>
          <w:p w14:paraId="12200563" w14:textId="77777777" w:rsidR="00D12268" w:rsidRPr="003816D8" w:rsidRDefault="00D12268" w:rsidP="00556AB6">
            <w:pPr>
              <w:pStyle w:val="Tabletext1"/>
              <w:rPr>
                <w:b/>
                <w:snapToGrid w:val="0"/>
                <w:lang w:eastAsia="en-US"/>
              </w:rPr>
            </w:pPr>
            <w:r w:rsidRPr="008C2C30">
              <w:t>Cost of Oxybutynin</w:t>
            </w:r>
          </w:p>
        </w:tc>
        <w:tc>
          <w:tcPr>
            <w:tcW w:w="843" w:type="pct"/>
            <w:vAlign w:val="center"/>
          </w:tcPr>
          <w:p w14:paraId="717B5E7C" w14:textId="77777777" w:rsidR="00D12268" w:rsidRPr="003816D8" w:rsidRDefault="00D12268" w:rsidP="006D1459">
            <w:pPr>
              <w:pStyle w:val="Tabletext1"/>
              <w:jc w:val="center"/>
              <w:rPr>
                <w:snapToGrid w:val="0"/>
                <w:lang w:eastAsia="en-US"/>
              </w:rPr>
            </w:pPr>
            <w:r w:rsidRPr="00C75A89">
              <w:t>100</w:t>
            </w:r>
          </w:p>
        </w:tc>
        <w:tc>
          <w:tcPr>
            <w:tcW w:w="716" w:type="pct"/>
            <w:vAlign w:val="center"/>
          </w:tcPr>
          <w:p w14:paraId="24E4ABBE" w14:textId="6F3FF667" w:rsidR="00D12268" w:rsidRPr="003816D8" w:rsidRDefault="00D12268" w:rsidP="006D1459">
            <w:pPr>
              <w:pStyle w:val="Tabletext1"/>
              <w:jc w:val="center"/>
            </w:pPr>
            <w:r w:rsidRPr="004C584A">
              <w:t>$15.83</w:t>
            </w:r>
          </w:p>
        </w:tc>
        <w:tc>
          <w:tcPr>
            <w:tcW w:w="1182" w:type="pct"/>
            <w:vAlign w:val="center"/>
          </w:tcPr>
          <w:p w14:paraId="739D52B1" w14:textId="77777777" w:rsidR="00D12268" w:rsidRPr="003816D8" w:rsidRDefault="00D12268" w:rsidP="006D1459">
            <w:pPr>
              <w:pStyle w:val="Tabletext1"/>
              <w:jc w:val="center"/>
              <w:rPr>
                <w:rFonts w:cs="Calibri"/>
              </w:rPr>
            </w:pPr>
            <w:r w:rsidRPr="00C45C50">
              <w:t>8039D</w:t>
            </w:r>
          </w:p>
        </w:tc>
        <w:tc>
          <w:tcPr>
            <w:tcW w:w="830" w:type="pct"/>
            <w:vAlign w:val="center"/>
          </w:tcPr>
          <w:p w14:paraId="757A32C1" w14:textId="46E35470" w:rsidR="00D12268" w:rsidRPr="003816D8" w:rsidRDefault="00D12268" w:rsidP="006D1459">
            <w:pPr>
              <w:pStyle w:val="Tabletext1"/>
              <w:jc w:val="center"/>
              <w:rPr>
                <w:rFonts w:cs="Calibri"/>
                <w:b/>
              </w:rPr>
            </w:pPr>
            <w:r w:rsidRPr="00F2561A">
              <w:t>$57.78</w:t>
            </w:r>
          </w:p>
        </w:tc>
      </w:tr>
      <w:tr w:rsidR="00D12268" w:rsidRPr="00F77E8D" w14:paraId="067E574F" w14:textId="77777777" w:rsidTr="00E3175C">
        <w:tc>
          <w:tcPr>
            <w:tcW w:w="1429" w:type="pct"/>
          </w:tcPr>
          <w:p w14:paraId="725F8861" w14:textId="77777777" w:rsidR="00D12268" w:rsidRPr="003816D8" w:rsidRDefault="00D12268" w:rsidP="00556AB6">
            <w:pPr>
              <w:pStyle w:val="Tabletext1"/>
              <w:rPr>
                <w:b/>
                <w:snapToGrid w:val="0"/>
                <w:lang w:eastAsia="en-US"/>
              </w:rPr>
            </w:pPr>
            <w:r w:rsidRPr="008C2C30">
              <w:t>Cost of Physical therapy</w:t>
            </w:r>
          </w:p>
        </w:tc>
        <w:tc>
          <w:tcPr>
            <w:tcW w:w="843" w:type="pct"/>
            <w:vAlign w:val="center"/>
          </w:tcPr>
          <w:p w14:paraId="55FFE959" w14:textId="77777777" w:rsidR="00D12268" w:rsidRPr="003816D8" w:rsidRDefault="00D12268" w:rsidP="006D1459">
            <w:pPr>
              <w:pStyle w:val="Tabletext1"/>
              <w:jc w:val="center"/>
              <w:rPr>
                <w:snapToGrid w:val="0"/>
                <w:lang w:eastAsia="en-US"/>
              </w:rPr>
            </w:pPr>
            <w:r w:rsidRPr="00C75A89">
              <w:t>2</w:t>
            </w:r>
          </w:p>
        </w:tc>
        <w:tc>
          <w:tcPr>
            <w:tcW w:w="716" w:type="pct"/>
            <w:vAlign w:val="center"/>
          </w:tcPr>
          <w:p w14:paraId="55A7DBC4" w14:textId="075A5939" w:rsidR="00D12268" w:rsidRPr="003816D8" w:rsidRDefault="00D12268" w:rsidP="006D1459">
            <w:pPr>
              <w:pStyle w:val="Tabletext1"/>
              <w:jc w:val="center"/>
            </w:pPr>
            <w:r w:rsidRPr="004C584A">
              <w:t>$54.60</w:t>
            </w:r>
          </w:p>
        </w:tc>
        <w:tc>
          <w:tcPr>
            <w:tcW w:w="1182" w:type="pct"/>
            <w:vAlign w:val="center"/>
          </w:tcPr>
          <w:p w14:paraId="23A6BF47" w14:textId="77777777" w:rsidR="00D12268" w:rsidRPr="003816D8" w:rsidRDefault="00D12268" w:rsidP="006D1459">
            <w:pPr>
              <w:pStyle w:val="Tabletext1"/>
              <w:jc w:val="center"/>
              <w:rPr>
                <w:rFonts w:cs="Calibri"/>
              </w:rPr>
            </w:pPr>
            <w:r w:rsidRPr="00C45C50">
              <w:t>10960</w:t>
            </w:r>
          </w:p>
        </w:tc>
        <w:tc>
          <w:tcPr>
            <w:tcW w:w="830" w:type="pct"/>
            <w:vAlign w:val="center"/>
          </w:tcPr>
          <w:p w14:paraId="4F04CECC" w14:textId="7A9898C0" w:rsidR="00D12268" w:rsidRPr="003816D8" w:rsidRDefault="00D12268" w:rsidP="006D1459">
            <w:pPr>
              <w:pStyle w:val="Tabletext1"/>
              <w:jc w:val="center"/>
              <w:rPr>
                <w:rFonts w:cs="Calibri"/>
                <w:b/>
              </w:rPr>
            </w:pPr>
            <w:r w:rsidRPr="00F2561A">
              <w:t>$109.20</w:t>
            </w:r>
          </w:p>
        </w:tc>
      </w:tr>
      <w:tr w:rsidR="00D12268" w:rsidRPr="00F77E8D" w14:paraId="5115D4FF" w14:textId="77777777" w:rsidTr="00E3175C">
        <w:tc>
          <w:tcPr>
            <w:tcW w:w="1429" w:type="pct"/>
          </w:tcPr>
          <w:p w14:paraId="37E81418" w14:textId="77777777" w:rsidR="00D12268" w:rsidRPr="003816D8" w:rsidRDefault="00D12268" w:rsidP="00556AB6">
            <w:pPr>
              <w:pStyle w:val="Tabletext1"/>
              <w:rPr>
                <w:b/>
                <w:snapToGrid w:val="0"/>
                <w:lang w:eastAsia="en-US"/>
              </w:rPr>
            </w:pPr>
            <w:r w:rsidRPr="008C2C30">
              <w:t>Cost of Artificial Urinary Sphincter</w:t>
            </w:r>
          </w:p>
        </w:tc>
        <w:tc>
          <w:tcPr>
            <w:tcW w:w="843" w:type="pct"/>
            <w:vAlign w:val="center"/>
          </w:tcPr>
          <w:p w14:paraId="5D579E81" w14:textId="77777777" w:rsidR="00D12268" w:rsidRPr="003816D8" w:rsidRDefault="00D12268" w:rsidP="006D1459">
            <w:pPr>
              <w:pStyle w:val="Tabletext1"/>
              <w:jc w:val="center"/>
              <w:rPr>
                <w:snapToGrid w:val="0"/>
                <w:lang w:eastAsia="en-US"/>
              </w:rPr>
            </w:pPr>
            <w:r w:rsidRPr="00C75A89">
              <w:t>1</w:t>
            </w:r>
          </w:p>
        </w:tc>
        <w:tc>
          <w:tcPr>
            <w:tcW w:w="716" w:type="pct"/>
            <w:vAlign w:val="center"/>
          </w:tcPr>
          <w:p w14:paraId="0568A723" w14:textId="7DD174E6" w:rsidR="00D12268" w:rsidRPr="003816D8" w:rsidRDefault="00D12268" w:rsidP="006D1459">
            <w:pPr>
              <w:pStyle w:val="Tabletext1"/>
              <w:jc w:val="center"/>
            </w:pPr>
            <w:r w:rsidRPr="004C584A">
              <w:t>$4,959.87</w:t>
            </w:r>
          </w:p>
        </w:tc>
        <w:tc>
          <w:tcPr>
            <w:tcW w:w="1182" w:type="pct"/>
            <w:vAlign w:val="center"/>
          </w:tcPr>
          <w:p w14:paraId="1AE0AF40" w14:textId="77777777" w:rsidR="00D12268" w:rsidRPr="003816D8" w:rsidRDefault="00D12268" w:rsidP="006D1459">
            <w:pPr>
              <w:pStyle w:val="Tabletext1"/>
              <w:jc w:val="center"/>
              <w:rPr>
                <w:rFonts w:cs="Calibri"/>
              </w:rPr>
            </w:pPr>
            <w:r w:rsidRPr="00C45C50">
              <w:t>L08A/L08B</w:t>
            </w:r>
          </w:p>
        </w:tc>
        <w:tc>
          <w:tcPr>
            <w:tcW w:w="830" w:type="pct"/>
            <w:vAlign w:val="center"/>
          </w:tcPr>
          <w:p w14:paraId="38AFF34E" w14:textId="0046C680" w:rsidR="00D12268" w:rsidRPr="003816D8" w:rsidRDefault="00D12268" w:rsidP="006D1459">
            <w:pPr>
              <w:pStyle w:val="Tabletext1"/>
              <w:jc w:val="center"/>
              <w:rPr>
                <w:rFonts w:cs="Calibri"/>
                <w:b/>
              </w:rPr>
            </w:pPr>
            <w:r w:rsidRPr="00F2561A">
              <w:t>$4,959.87</w:t>
            </w:r>
          </w:p>
        </w:tc>
      </w:tr>
    </w:tbl>
    <w:p w14:paraId="6AA3F424" w14:textId="77777777" w:rsidR="00D12268" w:rsidRDefault="00D12268" w:rsidP="00D12268">
      <w:pPr>
        <w:pStyle w:val="Tablenotes0"/>
        <w:spacing w:after="240" w:line="312" w:lineRule="auto"/>
      </w:pPr>
      <w:r>
        <w:t xml:space="preserve">Abbreviations: AR-DRG= Australian refined-diagnosis related groups; </w:t>
      </w:r>
      <w:r w:rsidRPr="008104DA">
        <w:t xml:space="preserve">GI=Gastrointestinal; GU=Genitourinary; </w:t>
      </w:r>
      <w:r>
        <w:t>MBS=Medicare benefits schedule; PBS=Pharmaceutical benefits schedule; GP=General Practitioner</w:t>
      </w:r>
    </w:p>
    <w:p w14:paraId="2ED9FD38" w14:textId="77777777" w:rsidR="00D12268" w:rsidRDefault="00D12268" w:rsidP="00D12268">
      <w:pPr>
        <w:pStyle w:val="Heading4"/>
      </w:pPr>
      <w:r>
        <w:t>Capital costs</w:t>
      </w:r>
    </w:p>
    <w:p w14:paraId="7BD415A5" w14:textId="30AC082C" w:rsidR="00D12268" w:rsidRDefault="00D12268" w:rsidP="00D12268">
      <w:r>
        <w:t xml:space="preserve">The cost of equipment including cost of installation, software, imaging, Linac, professional development, training and accreditation was provided by the </w:t>
      </w:r>
      <w:r w:rsidR="008F4472">
        <w:t>Applicant</w:t>
      </w:r>
      <w:r>
        <w:t xml:space="preserve">. The cost of annual service contract (for 8 years, first 2 years included in the cost of equipment) were also provided by the </w:t>
      </w:r>
      <w:r w:rsidR="008F4472">
        <w:t>Applicant</w:t>
      </w:r>
      <w:r>
        <w:t>. The depreciation (10% per annum) and cost of borrowing (interest of 5% per annum) were added to the total capital costs. A depreciation of 10% annually was assumed for the cost of equipment, however this rate may be lower or higher than the current accounting practice and might impact the overall capital costs. An interest rate of 5% for capital to purchase the equipment was assumed, however this rate may be lower or higher than the current market rate and might impact the overall capital costs. A half-cycle correction was applied to account for any overestimation of cost.</w:t>
      </w:r>
    </w:p>
    <w:p w14:paraId="124F6603" w14:textId="77777777" w:rsidR="00D12268" w:rsidRDefault="00D12268" w:rsidP="00D12268">
      <w:pPr>
        <w:pStyle w:val="Heading4"/>
      </w:pPr>
      <w:r>
        <w:t>Costs of delivering MR-IGRT and CBCT-guided radiation therapy estimated from Parikh et al</w:t>
      </w:r>
    </w:p>
    <w:p w14:paraId="0B09395D" w14:textId="69E02307" w:rsidR="00D12268" w:rsidRPr="00103BBB" w:rsidRDefault="00211285" w:rsidP="00D12268">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rsidR="00D12268">
        <w:t xml:space="preserve"> presented time-driven activity-based costing at an academic referral center to compare the direct costs of SBRT using MR-IGRT and CBCT-guided radiation therapy. The analysis was focussed on patients with localized unresectable hepatocellular carcinoma. In both the settings, patients were treated with 50 Gy over 5 fractions. They presented the process maps and their subcomponents, including the probability of time spent during the activity, were formulated and validated on the basis of input from nurses, dosimetrist, physicists, attending physicians from radiation oncology and interventional radiology, front office personnel, and radiation therapists. In addition, they validated the treatment times for MR-IGRT and CBCT-IGRT with patient level data. </w:t>
      </w:r>
      <w:r w:rsidR="00DC2E6E">
        <w:t>The DCAR</w:t>
      </w:r>
      <w:r w:rsidR="00D12268">
        <w:t xml:space="preserve"> estimated hourly wage of all the professional staff involved in delivering radiation therapy relevant within the Australian setting and multiplied with the probability and time estimates provided in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rsidR="00D12268">
        <w:t xml:space="preserve"> to estimate Australian specific costs. This method was applied to estimate the cost of new patient consultation; fiducial marker placement (for CBCT-IGRT); simulation step; planning step; treatment step; follow-up; and quality assurance. </w:t>
      </w:r>
    </w:p>
    <w:p w14:paraId="7BEA6811" w14:textId="77777777" w:rsidR="00D12268" w:rsidRDefault="00D12268" w:rsidP="00D12268">
      <w:pPr>
        <w:pStyle w:val="Heading4"/>
      </w:pPr>
      <w:r>
        <w:lastRenderedPageBreak/>
        <w:t>Costs of delivering MR-IGRT and CBCT-guided radiation therapy estimated from Schumacher et al</w:t>
      </w:r>
    </w:p>
    <w:p w14:paraId="6AA758B9" w14:textId="3A0428E8" w:rsidR="00D12268" w:rsidRDefault="00211285" w:rsidP="00D12268">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rsidR="00D12268">
        <w:t xml:space="preserve"> presented time-driven activity-based costing to determine the costs of all steps of patient care including: consultation, simulation, planning, treatment, on-treatment visits, and follow-up visits (over 15 years). The analysis was focussed on patients with prostate cancer. The costs of MRI-IGRT and CBCT-IGRT were obtained by conducting interviews with staff at two academic institutions in the United States. They presented time estimate for each healthcare professional at each step of the activity. </w:t>
      </w:r>
      <w:r w:rsidR="00DC2E6E">
        <w:t xml:space="preserve">The DCAR </w:t>
      </w:r>
      <w:r w:rsidR="00D12268">
        <w:t xml:space="preserve">estimated hourly wage of all the professional staff involved in delivering radiation therapy relevant within the Australian setting and multiplied with the time estimates provided in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rsidR="00D12268">
        <w:t xml:space="preserve"> to estimate Australian specific costs.</w:t>
      </w:r>
      <w:r w:rsidR="00D12268" w:rsidRPr="0014716D">
        <w:t xml:space="preserve"> </w:t>
      </w:r>
    </w:p>
    <w:p w14:paraId="3103977C" w14:textId="77777777" w:rsidR="00D12268" w:rsidRDefault="00D12268" w:rsidP="00D12268">
      <w:pPr>
        <w:pStyle w:val="Heading4"/>
      </w:pPr>
      <w:r>
        <w:t>Cost of MR-IGRT and CBCT-guided radiation therapy</w:t>
      </w:r>
    </w:p>
    <w:p w14:paraId="71D7478F" w14:textId="052FB2D5" w:rsidR="00D12268" w:rsidRDefault="00D12268" w:rsidP="00D12268">
      <w:r>
        <w:t xml:space="preserve">An average of the cost derived from </w:t>
      </w:r>
      <w:hyperlink w:anchor="_ENREF_57" w:tooltip="Parikh, 2020 #92" w:history="1">
        <w:r w:rsidR="008B6FC0">
          <w:fldChar w:fldCharType="begin"/>
        </w:r>
        <w:r w:rsidR="008B6FC0">
          <w:instrText xml:space="preserve"> ADDIN EN.CITE &lt;EndNote&gt;&lt;Cite AuthorYear="1"&gt;&lt;Author&gt;Parikh&lt;/Author&gt;&lt;Year&gt;2020&lt;/Year&gt;&lt;RecNum&gt;92&lt;/RecNum&gt;&lt;DisplayText&gt;Parikh et al. (2020)&lt;/DisplayText&gt;&lt;record&gt;&lt;rec-number&gt;92&lt;/rec-number&gt;&lt;foreign-keys&gt;&lt;key app="EN" db-id="sx5wsdwv795wvue959xxw0ptaewvdezxxp05" timestamp="1608080434"&gt;92&lt;/key&gt;&lt;/foreign-keys&gt;&lt;ref-type name="Journal Article"&gt;17&lt;/ref-type&gt;&lt;contributors&gt;&lt;authors&gt;&lt;author&gt;Parikh, Neil R&lt;/author&gt;&lt;author&gt;Lee, Percy P&lt;/author&gt;&lt;author&gt;Raman, Steven S&lt;/author&gt;&lt;author&gt;Cao, Minsong&lt;/author&gt;&lt;author&gt;Lamb, James&lt;/author&gt;&lt;author&gt;Tyran, Marguerite&lt;/author&gt;&lt;author&gt;Chin, Walter&lt;/author&gt;&lt;author&gt;Gilchrist, Travis&lt;/author&gt;&lt;author&gt;Agazaryan, Nzhde&lt;/author&gt;&lt;author&gt;Mittauer, Kathryn&lt;/author&gt;&lt;/authors&gt;&lt;/contributors&gt;&lt;titles&gt;&lt;title&gt;Time-Driven Activity-Based Costing Comparison of CT-Guided Versus MR-Guided SBRT&lt;/title&gt;&lt;secondary-title&gt;JCO Oncology Practice&lt;/secondary-title&gt;&lt;/titles&gt;&lt;pages&gt;e1378-e1385&lt;/pages&gt;&lt;volume&gt;16&lt;/volume&gt;&lt;number&gt;11&lt;/number&gt;&lt;dates&gt;&lt;year&gt;2020&lt;/year&gt;&lt;/dates&gt;&lt;isbn&gt;2688-1527&lt;/isbn&gt;&lt;urls&gt;&lt;/urls&gt;&lt;/record&gt;&lt;/Cite&gt;&lt;/EndNote&gt;</w:instrText>
        </w:r>
        <w:r w:rsidR="008B6FC0">
          <w:fldChar w:fldCharType="separate"/>
        </w:r>
        <w:r w:rsidR="008B6FC0">
          <w:rPr>
            <w:noProof/>
          </w:rPr>
          <w:t>Parikh et al. (2020)</w:t>
        </w:r>
        <w:r w:rsidR="008B6FC0">
          <w:fldChar w:fldCharType="end"/>
        </w:r>
      </w:hyperlink>
      <w:r>
        <w:t xml:space="preserve"> and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t xml:space="preserve"> was taken to arrive at the cost of MRI-guided SBRT and CBCT-guided SBRT. This cost was used in the cost-minimisation model.</w:t>
      </w:r>
    </w:p>
    <w:p w14:paraId="6AE13F25" w14:textId="459C0D60" w:rsidR="00D12268" w:rsidRDefault="00D12268" w:rsidP="00D12268">
      <w:pPr>
        <w:pStyle w:val="Heading4"/>
      </w:pPr>
      <w:r>
        <w:t>Cost of Acute toxicity</w:t>
      </w:r>
      <w:r w:rsidR="00694EBF">
        <w:t xml:space="preserve"> in prostate cancer</w:t>
      </w:r>
    </w:p>
    <w:p w14:paraId="5E405491" w14:textId="77777777" w:rsidR="00D12268" w:rsidRPr="009F4C45" w:rsidRDefault="00D12268" w:rsidP="00D12268">
      <w:r>
        <w:t>The cost of acute GI/GU toxicity grade 1-2 and grade 3 and above are provided below.</w:t>
      </w:r>
    </w:p>
    <w:p w14:paraId="64F92EB1" w14:textId="77777777" w:rsidR="00D12268" w:rsidRDefault="00D12268" w:rsidP="00D12268">
      <w:pPr>
        <w:pStyle w:val="Heading5"/>
      </w:pPr>
      <w:r>
        <w:t>Cost of Acute toxicity 1-2 grade (GI/GU)</w:t>
      </w:r>
    </w:p>
    <w:p w14:paraId="46812B58" w14:textId="11EC46E9" w:rsidR="00D12268" w:rsidRPr="00950B48" w:rsidRDefault="00D12268" w:rsidP="00D12268">
      <w:pPr>
        <w:pStyle w:val="Heading5"/>
      </w:pPr>
      <w:r w:rsidRPr="00950B48">
        <w:rPr>
          <w:b w:val="0"/>
          <w:i w:val="0"/>
        </w:rPr>
        <w:t>The healthcare resource utilisation in the acute toxicity health state was determined based on published data</w:t>
      </w:r>
      <w:r>
        <w:rPr>
          <w:b w:val="0"/>
          <w:i w:val="0"/>
        </w:rPr>
        <w:t xml:space="preserve"> </w:t>
      </w:r>
      <w:r w:rsidR="000C77B0">
        <w:rPr>
          <w:b w:val="0"/>
          <w:i w:val="0"/>
        </w:rPr>
        <w:fldChar w:fldCharType="begin"/>
      </w:r>
      <w:r w:rsidR="000C77B0">
        <w:rPr>
          <w:b w:val="0"/>
          <w:i w:val="0"/>
        </w:rPr>
        <w:instrText xml:space="preserve"> ADDIN EN.CITE &lt;EndNote&gt;&lt;Cite&gt;&lt;Author&gt;Carter&lt;/Author&gt;&lt;Year&gt;2014&lt;/Year&gt;&lt;RecNum&gt;94&lt;/RecNum&gt;&lt;DisplayText&gt;(Carter et al., 2014)&lt;/DisplayText&gt;&lt;record&gt;&lt;rec-number&gt;94&lt;/rec-number&gt;&lt;foreign-keys&gt;&lt;key app="EN" db-id="sx5wsdwv795wvue959xxw0ptaewvdezxxp05" timestamp="1608080518"&gt;94&lt;/key&gt;&lt;/foreign-keys&gt;&lt;ref-type name="Journal Article"&gt;17&lt;/ref-type&gt;&lt;contributors&gt;&lt;authors&gt;&lt;author&gt;Carter, Hannah E&lt;/author&gt;&lt;author&gt;Martin, Andrew&lt;/author&gt;&lt;author&gt;Schofield, Deborah&lt;/author&gt;&lt;author&gt;Duchesne, Gillian&lt;/author&gt;&lt;author&gt;Haworth, Annette&lt;/author&gt;&lt;author&gt;Hornby, Colin&lt;/author&gt;&lt;author&gt;Sidhom, Mark&lt;/author&gt;&lt;author&gt;Jackson, Michael&lt;/author&gt;&lt;/authors&gt;&lt;/contributors&gt;&lt;titles&gt;&lt;title&gt;A decision model to estimate the cost-effectiveness of intensity modulated radiation therapy (IMRT) compared to three dimensional conformal radiation therapy (3DCRT) in patients receiving radiotherapy to the prostate bed&lt;/title&gt;&lt;secondary-title&gt;Radiotherapy and Oncology&lt;/secondary-title&gt;&lt;/titles&gt;&lt;pages&gt;187-193&lt;/pages&gt;&lt;volume&gt;112&lt;/volume&gt;&lt;number&gt;2&lt;/number&gt;&lt;dates&gt;&lt;year&gt;2014&lt;/year&gt;&lt;/dates&gt;&lt;isbn&gt;0167-8140&lt;/isbn&gt;&lt;urls&gt;&lt;/urls&gt;&lt;/record&gt;&lt;/Cite&gt;&lt;/EndNote&gt;</w:instrText>
      </w:r>
      <w:r w:rsidR="000C77B0">
        <w:rPr>
          <w:b w:val="0"/>
          <w:i w:val="0"/>
        </w:rPr>
        <w:fldChar w:fldCharType="separate"/>
      </w:r>
      <w:r w:rsidR="000C77B0">
        <w:rPr>
          <w:b w:val="0"/>
          <w:i w:val="0"/>
          <w:noProof/>
        </w:rPr>
        <w:t>(</w:t>
      </w:r>
      <w:hyperlink w:anchor="_ENREF_19" w:tooltip="Carter, 2014 #94" w:history="1">
        <w:r w:rsidR="008B6FC0">
          <w:rPr>
            <w:b w:val="0"/>
            <w:i w:val="0"/>
            <w:noProof/>
          </w:rPr>
          <w:t>Carter et al., 2014</w:t>
        </w:r>
      </w:hyperlink>
      <w:r w:rsidR="000C77B0">
        <w:rPr>
          <w:b w:val="0"/>
          <w:i w:val="0"/>
          <w:noProof/>
        </w:rPr>
        <w:t>)</w:t>
      </w:r>
      <w:r w:rsidR="000C77B0">
        <w:rPr>
          <w:b w:val="0"/>
          <w:i w:val="0"/>
        </w:rPr>
        <w:fldChar w:fldCharType="end"/>
      </w:r>
      <w:r w:rsidRPr="00950B48">
        <w:rPr>
          <w:b w:val="0"/>
          <w:i w:val="0"/>
        </w:rPr>
        <w:t>. The value of the healthcare resources (costs) were updated</w:t>
      </w:r>
      <w:r>
        <w:rPr>
          <w:b w:val="0"/>
          <w:i w:val="0"/>
        </w:rPr>
        <w:t xml:space="preserve"> using MBS and PBS 2020</w:t>
      </w:r>
      <w:r w:rsidRPr="009E3B12">
        <w:rPr>
          <w:b w:val="0"/>
          <w:i w:val="0"/>
        </w:rPr>
        <w:t>. The frequency of visits to the general practitioner (GP) and specialists and medication use were calculated based on estimates provided in Carter et al.</w:t>
      </w:r>
      <w:r>
        <w:t xml:space="preserve"> </w:t>
      </w:r>
      <w:r>
        <w:rPr>
          <w:b w:val="0"/>
          <w:i w:val="0"/>
        </w:rPr>
        <w:t>The cost was assumed to be similar for patients with acute and late GI/GU toxicity grade 0, and late GI/GU toxicity grade 1.</w:t>
      </w:r>
    </w:p>
    <w:p w14:paraId="6468B026" w14:textId="77777777" w:rsidR="00D12268" w:rsidRDefault="00D12268" w:rsidP="00D12268">
      <w:pPr>
        <w:pStyle w:val="Heading5"/>
      </w:pPr>
      <w:r>
        <w:t>Cost of Acute toxicity grade 3 and above (GI/GU)</w:t>
      </w:r>
    </w:p>
    <w:p w14:paraId="1F3A9233" w14:textId="4961AEAA" w:rsidR="00D12268" w:rsidRDefault="00D12268" w:rsidP="00D12268">
      <w:r w:rsidRPr="004247CD">
        <w:t xml:space="preserve">The healthcare resource utilisation in the acute toxicity health state was determined based on published data </w:t>
      </w:r>
      <w:r w:rsidR="000C77B0">
        <w:fldChar w:fldCharType="begin"/>
      </w:r>
      <w:r w:rsidR="000C77B0">
        <w:instrText xml:space="preserve"> ADDIN EN.CITE &lt;EndNote&gt;&lt;Cite&gt;&lt;Author&gt;Carter&lt;/Author&gt;&lt;Year&gt;2014&lt;/Year&gt;&lt;RecNum&gt;94&lt;/RecNum&gt;&lt;DisplayText&gt;(Carter et al., 2014)&lt;/DisplayText&gt;&lt;record&gt;&lt;rec-number&gt;94&lt;/rec-number&gt;&lt;foreign-keys&gt;&lt;key app="EN" db-id="sx5wsdwv795wvue959xxw0ptaewvdezxxp05" timestamp="1608080518"&gt;94&lt;/key&gt;&lt;/foreign-keys&gt;&lt;ref-type name="Journal Article"&gt;17&lt;/ref-type&gt;&lt;contributors&gt;&lt;authors&gt;&lt;author&gt;Carter, Hannah E&lt;/author&gt;&lt;author&gt;Martin, Andrew&lt;/author&gt;&lt;author&gt;Schofield, Deborah&lt;/author&gt;&lt;author&gt;Duchesne, Gillian&lt;/author&gt;&lt;author&gt;Haworth, Annette&lt;/author&gt;&lt;author&gt;Hornby, Colin&lt;/author&gt;&lt;author&gt;Sidhom, Mark&lt;/author&gt;&lt;author&gt;Jackson, Michael&lt;/author&gt;&lt;/authors&gt;&lt;/contributors&gt;&lt;titles&gt;&lt;title&gt;A decision model to estimate the cost-effectiveness of intensity modulated radiation therapy (IMRT) compared to three dimensional conformal radiation therapy (3DCRT) in patients receiving radiotherapy to the prostate bed&lt;/title&gt;&lt;secondary-title&gt;Radiotherapy and Oncology&lt;/secondary-title&gt;&lt;/titles&gt;&lt;pages&gt;187-193&lt;/pages&gt;&lt;volume&gt;112&lt;/volume&gt;&lt;number&gt;2&lt;/number&gt;&lt;dates&gt;&lt;year&gt;2014&lt;/year&gt;&lt;/dates&gt;&lt;isbn&gt;0167-8140&lt;/isbn&gt;&lt;urls&gt;&lt;/urls&gt;&lt;/record&gt;&lt;/Cite&gt;&lt;/EndNote&gt;</w:instrText>
      </w:r>
      <w:r w:rsidR="000C77B0">
        <w:fldChar w:fldCharType="separate"/>
      </w:r>
      <w:r w:rsidR="000C77B0">
        <w:rPr>
          <w:noProof/>
        </w:rPr>
        <w:t>(</w:t>
      </w:r>
      <w:hyperlink w:anchor="_ENREF_19" w:tooltip="Carter, 2014 #94" w:history="1">
        <w:r w:rsidR="008B6FC0">
          <w:rPr>
            <w:noProof/>
          </w:rPr>
          <w:t>Carter et al., 2014</w:t>
        </w:r>
      </w:hyperlink>
      <w:r w:rsidR="000C77B0">
        <w:rPr>
          <w:noProof/>
        </w:rPr>
        <w:t>)</w:t>
      </w:r>
      <w:r w:rsidR="000C77B0">
        <w:fldChar w:fldCharType="end"/>
      </w:r>
      <w:r w:rsidRPr="004247CD">
        <w:t xml:space="preserve">. The value of the healthcare resources (costs) were updated using MBS and PBS 2020. The frequency of visits to the general practitioner (GP) and specialists and medication use were calculated based on </w:t>
      </w:r>
      <w:r>
        <w:t>estimates</w:t>
      </w:r>
      <w:r w:rsidRPr="004247CD">
        <w:t xml:space="preserve"> provided in </w:t>
      </w:r>
      <w:hyperlink w:anchor="_ENREF_19" w:tooltip="Carter, 2014 #94" w:history="1">
        <w:r w:rsidR="008B6FC0">
          <w:fldChar w:fldCharType="begin"/>
        </w:r>
        <w:r w:rsidR="008B6FC0">
          <w:instrText xml:space="preserve"> ADDIN EN.CITE &lt;EndNote&gt;&lt;Cite AuthorYear="1"&gt;&lt;Author&gt;Carter&lt;/Author&gt;&lt;Year&gt;2014&lt;/Year&gt;&lt;RecNum&gt;94&lt;/RecNum&gt;&lt;DisplayText&gt;Carter et al. (2014)&lt;/DisplayText&gt;&lt;record&gt;&lt;rec-number&gt;94&lt;/rec-number&gt;&lt;foreign-keys&gt;&lt;key app="EN" db-id="sx5wsdwv795wvue959xxw0ptaewvdezxxp05" timestamp="1608080518"&gt;94&lt;/key&gt;&lt;/foreign-keys&gt;&lt;ref-type name="Journal Article"&gt;17&lt;/ref-type&gt;&lt;contributors&gt;&lt;authors&gt;&lt;author&gt;Carter, Hannah E&lt;/author&gt;&lt;author&gt;Martin, Andrew&lt;/author&gt;&lt;author&gt;Schofield, Deborah&lt;/author&gt;&lt;author&gt;Duchesne, Gillian&lt;/author&gt;&lt;author&gt;Haworth, Annette&lt;/author&gt;&lt;author&gt;Hornby, Colin&lt;/author&gt;&lt;author&gt;Sidhom, Mark&lt;/author&gt;&lt;author&gt;Jackson, Michael&lt;/author&gt;&lt;/authors&gt;&lt;/contributors&gt;&lt;titles&gt;&lt;title&gt;A decision model to estimate the cost-effectiveness of intensity modulated radiation therapy (IMRT) compared to three dimensional conformal radiation therapy (3DCRT) in patients receiving radiotherapy to the prostate bed&lt;/title&gt;&lt;secondary-title&gt;Radiotherapy and Oncology&lt;/secondary-title&gt;&lt;/titles&gt;&lt;pages&gt;187-193&lt;/pages&gt;&lt;volume&gt;112&lt;/volume&gt;&lt;number&gt;2&lt;/number&gt;&lt;dates&gt;&lt;year&gt;2014&lt;/year&gt;&lt;/dates&gt;&lt;isbn&gt;0167-8140&lt;/isbn&gt;&lt;urls&gt;&lt;/urls&gt;&lt;/record&gt;&lt;/Cite&gt;&lt;/EndNote&gt;</w:instrText>
        </w:r>
        <w:r w:rsidR="008B6FC0">
          <w:fldChar w:fldCharType="separate"/>
        </w:r>
        <w:r w:rsidR="008B6FC0">
          <w:rPr>
            <w:noProof/>
          </w:rPr>
          <w:t>Carter et al. (2014)</w:t>
        </w:r>
        <w:r w:rsidR="008B6FC0">
          <w:fldChar w:fldCharType="end"/>
        </w:r>
      </w:hyperlink>
      <w:r w:rsidR="0005279C">
        <w:t>.</w:t>
      </w:r>
    </w:p>
    <w:p w14:paraId="250773B0" w14:textId="234CE03C" w:rsidR="00D12268" w:rsidRDefault="00D12268" w:rsidP="00D12268">
      <w:pPr>
        <w:pStyle w:val="Heading4"/>
      </w:pPr>
      <w:r w:rsidRPr="0059432D">
        <w:t>Cost of Late toxicity</w:t>
      </w:r>
      <w:r w:rsidR="00653076">
        <w:t xml:space="preserve"> in prostate cancer</w:t>
      </w:r>
    </w:p>
    <w:p w14:paraId="29EDF384" w14:textId="77777777" w:rsidR="00D12268" w:rsidRDefault="00D12268" w:rsidP="00D12268">
      <w:r>
        <w:t>The cost of late GI/GU toxicity grade 2 and grade 3 and above are provided below:</w:t>
      </w:r>
    </w:p>
    <w:p w14:paraId="28A3DADB" w14:textId="77777777" w:rsidR="00D12268" w:rsidRDefault="00D12268" w:rsidP="00D12268">
      <w:pPr>
        <w:pStyle w:val="Heading5"/>
      </w:pPr>
      <w:r>
        <w:t>Cost of Late GI toxicity (grade 2 and grade 3 +)</w:t>
      </w:r>
    </w:p>
    <w:p w14:paraId="310FDD79" w14:textId="381606E6" w:rsidR="00D12268" w:rsidRDefault="00D12268" w:rsidP="00D12268">
      <w:r w:rsidRPr="004247CD">
        <w:t xml:space="preserve">The healthcare resource utilisation in the acute toxicity health state was determined based on published data </w:t>
      </w:r>
      <w:r w:rsidR="000C77B0">
        <w:fldChar w:fldCharType="begin"/>
      </w:r>
      <w:r w:rsidR="000C77B0">
        <w:instrText xml:space="preserve"> ADDIN EN.CITE &lt;EndNote&gt;&lt;Cite&gt;&lt;Author&gt;Schumacher&lt;/Author&gt;&lt;Year&gt;2020&lt;/Year&gt;&lt;RecNum&gt;93&lt;/RecNum&gt;&lt;DisplayText&gt;(Schumacher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0C77B0">
        <w:fldChar w:fldCharType="separate"/>
      </w:r>
      <w:r w:rsidR="000C77B0">
        <w:rPr>
          <w:noProof/>
        </w:rPr>
        <w:t>(</w:t>
      </w:r>
      <w:hyperlink w:anchor="_ENREF_62" w:tooltip="Schumacher, 2020 #93" w:history="1">
        <w:r w:rsidR="008B6FC0">
          <w:rPr>
            <w:noProof/>
          </w:rPr>
          <w:t>Schumacher et al., 2020</w:t>
        </w:r>
      </w:hyperlink>
      <w:r w:rsidR="000C77B0">
        <w:rPr>
          <w:noProof/>
        </w:rPr>
        <w:t>)</w:t>
      </w:r>
      <w:r w:rsidR="000C77B0">
        <w:fldChar w:fldCharType="end"/>
      </w:r>
      <w:r w:rsidRPr="004247CD">
        <w:t xml:space="preserve">. The value of the healthcare resources (costs) were </w:t>
      </w:r>
      <w:r w:rsidRPr="004247CD">
        <w:lastRenderedPageBreak/>
        <w:t>updated using MBS and PBS 2020</w:t>
      </w:r>
      <w:r>
        <w:t>, published literature, and online resources</w:t>
      </w:r>
      <w:r w:rsidRPr="004247CD">
        <w:t xml:space="preserve">. The frequency of visits to the general practitioner (GP) and specialists and medication use were calculated based on the </w:t>
      </w:r>
      <w:r>
        <w:t xml:space="preserve">estimates provided in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AuthorYear="1"&gt;&lt;Author&gt;Schumacher&lt;/Author&gt;&lt;Year&gt;2020&lt;/Year&gt;&lt;RecNum&gt;93&lt;/RecNum&gt;&lt;Suffix&gt; &lt;/Suffix&gt;&lt;DisplayText&gt;Schumacher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rsidRPr="004247CD">
        <w:t>.</w:t>
      </w:r>
    </w:p>
    <w:p w14:paraId="48B04399" w14:textId="77777777" w:rsidR="00D12268" w:rsidRDefault="00D12268" w:rsidP="00D12268">
      <w:pPr>
        <w:pStyle w:val="Heading5"/>
      </w:pPr>
      <w:r>
        <w:t>Cost of Late GU toxicity (grade 2 and grade 3 +)</w:t>
      </w:r>
    </w:p>
    <w:p w14:paraId="2D1E19DA" w14:textId="44C3919E" w:rsidR="00D12268" w:rsidRDefault="00D12268" w:rsidP="00D12268">
      <w:r w:rsidRPr="004247CD">
        <w:t xml:space="preserve">The healthcare resource utilisation in the acute toxicity health state was determined based on published data </w:t>
      </w:r>
      <w:r w:rsidR="000C77B0">
        <w:fldChar w:fldCharType="begin"/>
      </w:r>
      <w:r w:rsidR="000C77B0">
        <w:instrText xml:space="preserve"> ADDIN EN.CITE &lt;EndNote&gt;&lt;Cite&gt;&lt;Author&gt;Schumacher&lt;/Author&gt;&lt;Year&gt;2020&lt;/Year&gt;&lt;RecNum&gt;93&lt;/RecNum&gt;&lt;DisplayText&gt;(Schumacher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0C77B0">
        <w:fldChar w:fldCharType="separate"/>
      </w:r>
      <w:r w:rsidR="000C77B0">
        <w:rPr>
          <w:noProof/>
        </w:rPr>
        <w:t>(</w:t>
      </w:r>
      <w:hyperlink w:anchor="_ENREF_62" w:tooltip="Schumacher, 2020 #93" w:history="1">
        <w:r w:rsidR="008B6FC0">
          <w:rPr>
            <w:noProof/>
          </w:rPr>
          <w:t>Schumacher et al., 2020</w:t>
        </w:r>
      </w:hyperlink>
      <w:r w:rsidR="000C77B0">
        <w:rPr>
          <w:noProof/>
        </w:rPr>
        <w:t>)</w:t>
      </w:r>
      <w:r w:rsidR="000C77B0">
        <w:fldChar w:fldCharType="end"/>
      </w:r>
      <w:r w:rsidRPr="004247CD">
        <w:t xml:space="preserve">. The value of the healthcare resources (costs) were updated using MBS and PBS 2020. The frequency of visits to the general practitioner (GP) and specialists and medication use were calculated based on the </w:t>
      </w:r>
      <w:r>
        <w:t xml:space="preserve">estimates provided in </w:t>
      </w:r>
      <w:hyperlink w:anchor="_ENREF_62" w:tooltip="Schumacher, 2020 #93" w:history="1">
        <w:r w:rsidR="008B6FC0">
          <w:fldChar w:fldCharType="begin"/>
        </w:r>
        <w:r w:rsidR="008B6FC0">
          <w:instrText xml:space="preserve"> ADDIN EN.CITE &lt;EndNote&gt;&lt;Cite AuthorYear="1"&gt;&lt;Author&gt;Schumacher&lt;/Author&gt;&lt;Year&gt;2020&lt;/Year&gt;&lt;RecNum&gt;93&lt;/RecNum&gt;&lt;DisplayText&gt;Schumacher et al. (2020)&lt;/DisplayText&gt;&lt;record&gt;&lt;rec-number&gt;93&lt;/rec-number&gt;&lt;foreign-keys&gt;&lt;key app="EN" db-id="sx5wsdwv795wvue959xxw0ptaewvdezxxp05" timestamp="1608080464"&gt;93&lt;/key&gt;&lt;/foreign-keys&gt;&lt;ref-type name="Journal Article"&gt;17&lt;/ref-type&gt;&lt;contributors&gt;&lt;authors&gt;&lt;author&gt;Schumacher, Leif-Erik D&lt;/author&gt;&lt;author&gt;Dal Pra, Alan&lt;/author&gt;&lt;author&gt;Hoffe, Sarah E&lt;/author&gt;&lt;author&gt;Mellon, Eric A&lt;/author&gt;&lt;/authors&gt;&lt;/contributors&gt;&lt;titles&gt;&lt;title&gt;Toxicity reduction required for MRI-guided radiotherapy to be cost-effective in the treatment of localized prostate cancer&lt;/title&gt;&lt;secondary-title&gt;The British journal of radiology&lt;/secondary-title&gt;&lt;/titles&gt;&lt;pages&gt;20200028&lt;/pages&gt;&lt;volume&gt;93&lt;/volume&gt;&lt;number&gt;1114&lt;/number&gt;&lt;dates&gt;&lt;year&gt;2020&lt;/year&gt;&lt;/dates&gt;&lt;isbn&gt;0007-1285&lt;/isbn&gt;&lt;urls&gt;&lt;/urls&gt;&lt;/record&gt;&lt;/Cite&gt;&lt;/EndNote&gt;</w:instrText>
        </w:r>
        <w:r w:rsidR="008B6FC0">
          <w:fldChar w:fldCharType="separate"/>
        </w:r>
        <w:r w:rsidR="008B6FC0">
          <w:rPr>
            <w:noProof/>
          </w:rPr>
          <w:t>Schumacher et al. (2020)</w:t>
        </w:r>
        <w:r w:rsidR="008B6FC0">
          <w:fldChar w:fldCharType="end"/>
        </w:r>
      </w:hyperlink>
      <w:r w:rsidR="00653076">
        <w:t>.</w:t>
      </w:r>
    </w:p>
    <w:p w14:paraId="76D28ECB" w14:textId="77777777" w:rsidR="00D12268" w:rsidRDefault="00D12268" w:rsidP="00D12268">
      <w:pPr>
        <w:pStyle w:val="Heading3"/>
      </w:pPr>
      <w:bookmarkStart w:id="549" w:name="_Toc59018800"/>
      <w:bookmarkStart w:id="550" w:name="_Toc59020344"/>
      <w:bookmarkStart w:id="551" w:name="_Toc59439566"/>
      <w:bookmarkStart w:id="552" w:name="_Toc89857838"/>
      <w:r>
        <w:t>Clinical inputs</w:t>
      </w:r>
      <w:bookmarkEnd w:id="549"/>
      <w:bookmarkEnd w:id="550"/>
      <w:bookmarkEnd w:id="551"/>
      <w:bookmarkEnd w:id="552"/>
    </w:p>
    <w:p w14:paraId="06BCF058" w14:textId="0D957F9F" w:rsidR="00D12268" w:rsidRDefault="00D12268" w:rsidP="00D12268">
      <w:r>
        <w:t xml:space="preserve">The clinical inputs used for modelling prostate cancer related toxicities are provided in </w:t>
      </w:r>
      <w:r>
        <w:fldChar w:fldCharType="begin"/>
      </w:r>
      <w:r>
        <w:instrText xml:space="preserve"> REF _Ref55823918 \h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fldChar w:fldCharType="separate"/>
      </w:r>
      <w:r w:rsidR="00451350" w:rsidRPr="00E86441">
        <w:t xml:space="preserve">Table </w:t>
      </w:r>
      <w:r w:rsidR="00451350">
        <w:rPr>
          <w:noProof/>
        </w:rPr>
        <w:t>21</w:t>
      </w:r>
      <w:r>
        <w:fldChar w:fldCharType="end"/>
      </w:r>
      <w:r>
        <w:t xml:space="preserve">. An average was taken where more than one estimate was available across different studies. This simplifying assumption was considered to be appropriate. Sensitivity analysis was performed on the GI/GU toxicity rate. The base case toxicity rates used in the economic model are provided in </w:t>
      </w:r>
      <w:r>
        <w:fldChar w:fldCharType="begin"/>
      </w:r>
      <w:r>
        <w:instrText xml:space="preserve"> REF _Ref58247109 \h </w:instrText>
      </w:r>
      <w:r>
        <w:fldChar w:fldCharType="separate"/>
      </w:r>
      <w:r w:rsidR="00451350">
        <w:t xml:space="preserve">Table </w:t>
      </w:r>
      <w:r w:rsidR="00451350">
        <w:rPr>
          <w:noProof/>
        </w:rPr>
        <w:t>50</w:t>
      </w:r>
      <w:r>
        <w:fldChar w:fldCharType="end"/>
      </w:r>
      <w:r>
        <w:t>.</w:t>
      </w:r>
    </w:p>
    <w:p w14:paraId="195D1758" w14:textId="77777777" w:rsidR="00D12268" w:rsidRDefault="00D12268" w:rsidP="00D12268">
      <w:pPr>
        <w:pStyle w:val="Heading4"/>
      </w:pPr>
      <w:r>
        <w:t>Acute GI/GU toxicity related to MRI-guided radiation therapy</w:t>
      </w:r>
    </w:p>
    <w:p w14:paraId="2355475D" w14:textId="3B4DA85D" w:rsidR="00D12268" w:rsidRDefault="00D12268" w:rsidP="00D12268">
      <w:r>
        <w:t xml:space="preserve">Acute GI/GU toxicity grade 1-2 rates were obtained from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t xml:space="preserve">. These were multiplied with the relevant treatment cost to calculate cost of acute GI/GU toxicity. </w:t>
      </w:r>
    </w:p>
    <w:p w14:paraId="199F7DB3" w14:textId="77777777" w:rsidR="00D12268" w:rsidRDefault="00D12268" w:rsidP="00D12268">
      <w:pPr>
        <w:pStyle w:val="Heading4"/>
      </w:pPr>
      <w:r>
        <w:t>Acute GI/GU toxicity related to CBCT-guided radiation therapy</w:t>
      </w:r>
    </w:p>
    <w:p w14:paraId="16A5F760" w14:textId="560F6248" w:rsidR="00D12268" w:rsidRDefault="00D12268" w:rsidP="00D12268">
      <w:r>
        <w:t xml:space="preserve">Multiple studies were identified in </w:t>
      </w:r>
      <w:r>
        <w:fldChar w:fldCharType="begin"/>
      </w:r>
      <w:r>
        <w:instrText xml:space="preserve"> REF _Ref55823918 \h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fldChar w:fldCharType="separate"/>
      </w:r>
      <w:r w:rsidR="00451350" w:rsidRPr="00E86441">
        <w:t xml:space="preserve">Table </w:t>
      </w:r>
      <w:r w:rsidR="00451350">
        <w:rPr>
          <w:noProof/>
        </w:rPr>
        <w:t>21</w:t>
      </w:r>
      <w:r>
        <w:fldChar w:fldCharType="end"/>
      </w:r>
      <w:r>
        <w:t xml:space="preserve"> reporting toxicities related to CBCT-guided radiation therapy in prostate cancer. However, </w:t>
      </w:r>
      <w:r w:rsidR="00DC2E6E">
        <w:t>the DCAR</w:t>
      </w:r>
      <w:r>
        <w:t xml:space="preserve"> </w:t>
      </w:r>
      <w:r w:rsidR="00DC2E6E">
        <w:t>took</w:t>
      </w:r>
      <w:r>
        <w:t xml:space="preserve"> estimates from studies with sample size of 100 or more and studies published in 2015 or later to get robust estimates. This was reasonable. Grade 0 toxicity was obtained from </w:t>
      </w:r>
      <w:hyperlink w:anchor="_ENREF_11" w:tooltip="Becker-Schiebe, 2016 #33" w:history="1">
        <w:r w:rsidR="008B6FC0">
          <w:fldChar w:fldCharType="begin"/>
        </w:r>
        <w:r w:rsidR="008B6FC0">
          <w:instrText xml:space="preserve"> ADDIN EN.CITE &lt;EndNote&gt;&lt;Cite AuthorYear="1"&gt;&lt;Author&gt;Becker-Schiebe&lt;/Author&gt;&lt;Year&gt;2016&lt;/Year&gt;&lt;RecNum&gt;33&lt;/RecNum&gt;&lt;DisplayText&gt;Becker-Schiebe et al. (2016)&lt;/DisplayText&gt;&lt;record&gt;&lt;rec-number&gt;33&lt;/rec-number&gt;&lt;foreign-keys&gt;&lt;key app="EN" db-id="sx5wsdwv795wvue959xxw0ptaewvdezxxp05" timestamp="1604876375"&gt;33&lt;/key&gt;&lt;/foreign-keys&gt;&lt;ref-type name="Journal Article"&gt;17&lt;/ref-type&gt;&lt;contributors&gt;&lt;authors&gt;&lt;author&gt;Becker-Schiebe, M.&lt;/author&gt;&lt;author&gt;Abaci, A.&lt;/author&gt;&lt;author&gt;Ahmad, T.&lt;/author&gt;&lt;author&gt;Hoffmann, W.&lt;/author&gt;&lt;/authors&gt;&lt;/contributors&gt;&lt;titles&gt;&lt;title&gt;Reducing radiation-associated toxicity using online image guidance (IGRT) in prostate cancer patients undergoing dose-escalated radiation therapy&lt;/title&gt;&lt;secondary-title&gt;Reports of Practical Oncology and Radiotherapy&lt;/secondary-title&gt;&lt;/titles&gt;&lt;pages&gt;188-194&lt;/pages&gt;&lt;volume&gt;21&lt;/volume&gt;&lt;number&gt;3&lt;/number&gt;&lt;dates&gt;&lt;year&gt;2016&lt;/year&gt;&lt;/dates&gt;&lt;accession-num&gt;609035683&lt;/accession-num&gt;&lt;urls&gt;&lt;related-urls&gt;&lt;url&gt;http://www.elsevier.com/wps/find/journaldescription.cws_home/719699/description#descriptionhttp://ezproxy.library.usyd.edu.au/login?url=http://ovidsp.ovid.com/ovidweb.cgi?T=JS&amp;amp;CSC=Y&amp;amp;NEWS=N&amp;amp;PAGE=fulltext&amp;amp;D=emed17&amp;amp;AN=609035683https://sydney.alma.exlibrisgro&lt;/url&gt;&lt;url&gt;https://www.ncbi.nlm.nih.gov/pmc/articles/PMC5002020/pdf/main.pdf&lt;/url&gt;&lt;/related-urls&gt;&lt;/urls&gt;&lt;electronic-resource-num&gt;http://dx.doi.org/10.1016/j.rpor.2016.01.005&lt;/electronic-resource-num&gt;&lt;/record&gt;&lt;/Cite&gt;&lt;/EndNote&gt;</w:instrText>
        </w:r>
        <w:r w:rsidR="008B6FC0">
          <w:fldChar w:fldCharType="separate"/>
        </w:r>
        <w:r w:rsidR="008B6FC0">
          <w:rPr>
            <w:noProof/>
          </w:rPr>
          <w:t>Becker-Schiebe et al. (2016)</w:t>
        </w:r>
        <w:r w:rsidR="008B6FC0">
          <w:fldChar w:fldCharType="end"/>
        </w:r>
      </w:hyperlink>
      <w:r>
        <w:t xml:space="preserve">, </w:t>
      </w:r>
      <w:hyperlink w:anchor="_ENREF_26" w:tooltip="Faria, 2016 #42" w:history="1">
        <w:r w:rsidR="008B6FC0">
          <w:fldChar w:fldCharType="begin"/>
        </w:r>
        <w:r w:rsidR="008B6FC0">
          <w:instrText xml:space="preserve"> ADDIN EN.CITE &lt;EndNote&gt;&lt;Cite AuthorYear="1"&gt;&lt;Author&gt;Faria&lt;/Author&gt;&lt;Year&gt;2016&lt;/Year&gt;&lt;RecNum&gt;42&lt;/RecNum&gt;&lt;DisplayText&gt;Faria et al. (2016)&lt;/DisplayText&gt;&lt;record&gt;&lt;rec-number&gt;42&lt;/rec-number&gt;&lt;foreign-keys&gt;&lt;key app="EN" db-id="sx5wsdwv795wvue959xxw0ptaewvdezxxp05" timestamp="1604876376"&gt;42&lt;/key&gt;&lt;/foreign-keys&gt;&lt;ref-type name="Journal Article"&gt;17&lt;/ref-type&gt;&lt;contributors&gt;&lt;authors&gt;&lt;author&gt;Faria, S.&lt;/author&gt;&lt;author&gt;Petrucelli, M.&lt;/author&gt;&lt;author&gt;Cury, F.&lt;/author&gt;&lt;author&gt;Duclos, M.&lt;/author&gt;&lt;author&gt;Souhami, L.&lt;/author&gt;&lt;/authors&gt;&lt;/contributors&gt;&lt;titles&gt;&lt;title&gt;Acute and late toxicity in high-risk prostate cancer patients treated with androgen suppression and hypofractionated radiotherapy (HypoRT) to the prostate and pelvic nodes&lt;/title&gt;&lt;secondary-title&gt;Radiotherapy and oncology&lt;/secondary-title&gt;&lt;/titles&gt;&lt;volume&gt;120&lt;/volume&gt;&lt;dates&gt;&lt;year&gt;2016&lt;/year&gt;&lt;/dates&gt;&lt;accession-num&gt;CN-01252399&lt;/accession-num&gt;&lt;urls&gt;&lt;related-urls&gt;&lt;url&gt;http://ezproxy.library.usyd.edu.au/login?url=http://ovidsp.ovid.com/ovidweb.cgi?T=JS&amp;amp;CSC=Y&amp;amp;NEWS=N&amp;amp;PAGE=fulltext&amp;amp;D=cctr&amp;amp;AN=CN-01252399https://sydney.alma.exlibrisgroup.com/openurl/61USYD_INST/61USYD_INST:sydney?sid=OVID:cctrdb&amp;amp;id=pmid:5118516&amp;amp;id=doi:&amp;amp;issn=&lt;/url&gt;&lt;/related-urls&gt;&lt;/urls&gt;&lt;/record&gt;&lt;/Cite&gt;&lt;/EndNote&gt;</w:instrText>
        </w:r>
        <w:r w:rsidR="008B6FC0">
          <w:fldChar w:fldCharType="separate"/>
        </w:r>
        <w:r w:rsidR="008B6FC0">
          <w:rPr>
            <w:noProof/>
          </w:rPr>
          <w:t>Faria et al. (2016)</w:t>
        </w:r>
        <w:r w:rsidR="008B6FC0">
          <w:fldChar w:fldCharType="end"/>
        </w:r>
      </w:hyperlink>
      <w:r>
        <w:t xml:space="preserve">. Grade 1-3 toxicity were obtained from </w:t>
      </w:r>
      <w:hyperlink w:anchor="_ENREF_11" w:tooltip="Becker-Schiebe, 2016 #33" w:history="1">
        <w:r w:rsidR="008B6FC0">
          <w:fldChar w:fldCharType="begin"/>
        </w:r>
        <w:r w:rsidR="008B6FC0">
          <w:instrText xml:space="preserve"> ADDIN EN.CITE &lt;EndNote&gt;&lt;Cite AuthorYear="1"&gt;&lt;Author&gt;Becker-Schiebe&lt;/Author&gt;&lt;Year&gt;2016&lt;/Year&gt;&lt;RecNum&gt;33&lt;/RecNum&gt;&lt;DisplayText&gt;Becker-Schiebe et al. (2016)&lt;/DisplayText&gt;&lt;record&gt;&lt;rec-number&gt;33&lt;/rec-number&gt;&lt;foreign-keys&gt;&lt;key app="EN" db-id="sx5wsdwv795wvue959xxw0ptaewvdezxxp05" timestamp="1604876375"&gt;33&lt;/key&gt;&lt;/foreign-keys&gt;&lt;ref-type name="Journal Article"&gt;17&lt;/ref-type&gt;&lt;contributors&gt;&lt;authors&gt;&lt;author&gt;Becker-Schiebe, M.&lt;/author&gt;&lt;author&gt;Abaci, A.&lt;/author&gt;&lt;author&gt;Ahmad, T.&lt;/author&gt;&lt;author&gt;Hoffmann, W.&lt;/author&gt;&lt;/authors&gt;&lt;/contributors&gt;&lt;titles&gt;&lt;title&gt;Reducing radiation-associated toxicity using online image guidance (IGRT) in prostate cancer patients undergoing dose-escalated radiation therapy&lt;/title&gt;&lt;secondary-title&gt;Reports of Practical Oncology and Radiotherapy&lt;/secondary-title&gt;&lt;/titles&gt;&lt;pages&gt;188-194&lt;/pages&gt;&lt;volume&gt;21&lt;/volume&gt;&lt;number&gt;3&lt;/number&gt;&lt;dates&gt;&lt;year&gt;2016&lt;/year&gt;&lt;/dates&gt;&lt;accession-num&gt;609035683&lt;/accession-num&gt;&lt;urls&gt;&lt;related-urls&gt;&lt;url&gt;http://www.elsevier.com/wps/find/journaldescription.cws_home/719699/description#descriptionhttp://ezproxy.library.usyd.edu.au/login?url=http://ovidsp.ovid.com/ovidweb.cgi?T=JS&amp;amp;CSC=Y&amp;amp;NEWS=N&amp;amp;PAGE=fulltext&amp;amp;D=emed17&amp;amp;AN=609035683https://sydney.alma.exlibrisgro&lt;/url&gt;&lt;url&gt;https://www.ncbi.nlm.nih.gov/pmc/articles/PMC5002020/pdf/main.pdf&lt;/url&gt;&lt;/related-urls&gt;&lt;/urls&gt;&lt;electronic-resource-num&gt;http://dx.doi.org/10.1016/j.rpor.2016.01.005&lt;/electronic-resource-num&gt;&lt;/record&gt;&lt;/Cite&gt;&lt;/EndNote&gt;</w:instrText>
        </w:r>
        <w:r w:rsidR="008B6FC0">
          <w:fldChar w:fldCharType="separate"/>
        </w:r>
        <w:r w:rsidR="008B6FC0">
          <w:rPr>
            <w:noProof/>
          </w:rPr>
          <w:t>Becker-Schiebe et al. (2016)</w:t>
        </w:r>
        <w:r w:rsidR="008B6FC0">
          <w:fldChar w:fldCharType="end"/>
        </w:r>
      </w:hyperlink>
      <w:r w:rsidR="00A72F41">
        <w:t xml:space="preserve">, </w:t>
      </w:r>
      <w:hyperlink w:anchor="_ENREF_15" w:tooltip="Byun, 2018 #37" w:history="1">
        <w:r w:rsidR="008B6FC0">
          <w:fldChar w:fldCharType="begin"/>
        </w:r>
        <w:r w:rsidR="008B6FC0">
          <w:instrText xml:space="preserve"> ADDIN EN.CITE &lt;EndNote&gt;&lt;Cite AuthorYear="1"&gt;&lt;Author&gt;Byun&lt;/Author&gt;&lt;Year&gt;2018&lt;/Year&gt;&lt;RecNum&gt;37&lt;/RecNum&gt;&lt;DisplayText&gt;Byun et al. (2018)&lt;/DisplayText&gt;&lt;record&gt;&lt;rec-number&gt;37&lt;/rec-number&gt;&lt;foreign-keys&gt;&lt;key app="EN" db-id="sx5wsdwv795wvue959xxw0ptaewvdezxxp05" timestamp="1604876375"&gt;37&lt;/key&gt;&lt;/foreign-keys&gt;&lt;ref-type name="Journal Article"&gt;17&lt;/ref-type&gt;&lt;contributors&gt;&lt;authors&gt;&lt;author&gt;Byun, S. J.&lt;/author&gt;&lt;author&gt;Kim, Y. S.&lt;/author&gt;&lt;author&gt;Ahn, H.&lt;/author&gt;&lt;author&gt;Kim, C. S.&lt;/author&gt;&lt;/authors&gt;&lt;/contributors&gt;&lt;titles&gt;&lt;title&gt;Image-guided, whole-pelvic, intensity-modulated radiotherapy for biochemical recurrence following radical prostatectomy in high-risk prostate cancer patients&lt;/title&gt;&lt;secondary-title&gt;PLoS ONE&lt;/secondary-title&gt;&lt;/titles&gt;&lt;pages&gt;e0190479&lt;/pages&gt;&lt;volume&gt;13&lt;/volume&gt;&lt;number&gt;1&lt;/number&gt;&lt;dates&gt;&lt;year&gt;2018&lt;/year&gt;&lt;/dates&gt;&lt;accession-num&gt;29320570&lt;/accession-num&gt;&lt;urls&gt;&lt;related-urls&gt;&lt;url&gt;http://ezproxy.library.usyd.edu.au/login?url=http://ovidsp.ovid.com/ovidweb.cgi?T=JS&amp;amp;CSC=Y&amp;amp;NEWS=N&amp;amp;PAGE=fulltext&amp;amp;D=med15&amp;amp;AN=29320570https://sydney.alma.exlibrisgroup.com/openurl/61USYD_INST/61USYD_INST:sydney?sid=OVID:medline&amp;amp;id=pmid:29320570&amp;amp;id=doi:10.137&lt;/url&gt;&lt;url&gt;https://www.ncbi.nlm.nih.gov/pmc/articles/PMC5761863/pdf/pone.0190479.pdf&lt;/url&gt;&lt;/related-urls&gt;&lt;/urls&gt;&lt;electronic-resource-num&gt;https://dx.doi.org/10.1371/journal.pone.0190479&lt;/electronic-resource-num&gt;&lt;/record&gt;&lt;/Cite&gt;&lt;/EndNote&gt;</w:instrText>
        </w:r>
        <w:r w:rsidR="008B6FC0">
          <w:fldChar w:fldCharType="separate"/>
        </w:r>
        <w:r w:rsidR="008B6FC0">
          <w:rPr>
            <w:noProof/>
          </w:rPr>
          <w:t>Byun et al. (2018)</w:t>
        </w:r>
        <w:r w:rsidR="008B6FC0">
          <w:fldChar w:fldCharType="end"/>
        </w:r>
      </w:hyperlink>
      <w:r>
        <w:t xml:space="preserve">, </w:t>
      </w:r>
      <w:hyperlink w:anchor="_ENREF_23" w:tooltip="Correa, 2020 #39" w:history="1">
        <w:r w:rsidR="008B6FC0">
          <w:fldChar w:fldCharType="begin"/>
        </w:r>
        <w:r w:rsidR="008B6FC0">
          <w:instrText xml:space="preserve"> ADDIN EN.CITE &lt;EndNote&gt;&lt;Cite AuthorYear="1"&gt;&lt;Author&gt;Correa&lt;/Author&gt;&lt;Year&gt;2020&lt;/Year&gt;&lt;RecNum&gt;39&lt;/RecNum&gt;&lt;DisplayText&gt;Correa et al. (2020)&lt;/DisplayText&gt;&lt;record&gt;&lt;rec-number&gt;39&lt;/rec-number&gt;&lt;foreign-keys&gt;&lt;key app="EN" db-id="sx5wsdwv795wvue959xxw0ptaewvdezxxp05" timestamp="1604876376"&gt;39&lt;/key&gt;&lt;/foreign-keys&gt;&lt;ref-type name="Journal Article"&gt;17&lt;/ref-type&gt;&lt;contributors&gt;&lt;authors&gt;&lt;author&gt;Correa, R.&lt;/author&gt;&lt;author&gt;Navarro, I.&lt;/author&gt;&lt;author&gt;Lobato, M.&lt;/author&gt;&lt;author&gt;Otero, A.&lt;/author&gt;&lt;author&gt;Jerez, I.&lt;/author&gt;&lt;author&gt;Rico, J. M.&lt;/author&gt;&lt;author&gt;Zapata, I.&lt;/author&gt;&lt;author&gt;Lupianez, Y.&lt;/author&gt;&lt;author&gt;Medina, J. A.&lt;/author&gt;&lt;author&gt;Olmos, D.&lt;/author&gt;&lt;author&gt;Gomez-Millan, J.&lt;/author&gt;&lt;/authors&gt;&lt;/contributors&gt;&lt;titles&gt;&lt;title&gt;Influence of the technique and comorbidities in hypofractionated radiotherapy for prostate cancer&lt;/title&gt;&lt;secondary-title&gt;Clinical and Translational Oncology&lt;/secondary-title&gt;&lt;/titles&gt;&lt;pages&gt;311-318&lt;/pages&gt;&lt;volume&gt;22&lt;/volume&gt;&lt;number&gt;3&lt;/number&gt;&lt;dates&gt;&lt;year&gt;2020&lt;/year&gt;&lt;/dates&gt;&lt;accession-num&gt;2003637482&lt;/accession-num&gt;&lt;urls&gt;&lt;related-urls&gt;&lt;url&gt;http://www.springer.com/medicine/oncology/journal/12094http://ezproxy.library.usyd.edu.au/login?url=http://ovidsp.ovid.com/ovidweb.cgi?T=JS&amp;amp;CSC=Y&amp;amp;NEWS=N&amp;amp;PAGE=fulltext&amp;amp;D=emexb&amp;amp;AN=2003637482https://sydney.alma.exlibrisgroup.com/openurl/61USYD_INST/61USYD_IN&lt;/url&gt;&lt;url&gt;https://link.springer.com/content/pdf/10.1007/s12094-019-02224-6.pdf&lt;/url&gt;&lt;/related-urls&gt;&lt;/urls&gt;&lt;electronic-resource-num&gt;http://dx.doi.org/10.1007/s12094-019-02224-6&lt;/electronic-resource-num&gt;&lt;/record&gt;&lt;/Cite&gt;&lt;/EndNote&gt;</w:instrText>
        </w:r>
        <w:r w:rsidR="008B6FC0">
          <w:fldChar w:fldCharType="separate"/>
        </w:r>
        <w:r w:rsidR="008B6FC0">
          <w:rPr>
            <w:noProof/>
          </w:rPr>
          <w:t>Correa et al. (2020)</w:t>
        </w:r>
        <w:r w:rsidR="008B6FC0">
          <w:fldChar w:fldCharType="end"/>
        </w:r>
      </w:hyperlink>
      <w:r>
        <w:t xml:space="preserve">, </w:t>
      </w:r>
      <w:hyperlink w:anchor="_ENREF_26" w:tooltip="Faria, 2016 #42" w:history="1">
        <w:r w:rsidR="008B6FC0">
          <w:fldChar w:fldCharType="begin"/>
        </w:r>
        <w:r w:rsidR="008B6FC0">
          <w:instrText xml:space="preserve"> ADDIN EN.CITE &lt;EndNote&gt;&lt;Cite AuthorYear="1"&gt;&lt;Author&gt;Faria&lt;/Author&gt;&lt;Year&gt;2016&lt;/Year&gt;&lt;RecNum&gt;42&lt;/RecNum&gt;&lt;DisplayText&gt;Faria et al. (2016)&lt;/DisplayText&gt;&lt;record&gt;&lt;rec-number&gt;42&lt;/rec-number&gt;&lt;foreign-keys&gt;&lt;key app="EN" db-id="sx5wsdwv795wvue959xxw0ptaewvdezxxp05" timestamp="1604876376"&gt;42&lt;/key&gt;&lt;/foreign-keys&gt;&lt;ref-type name="Journal Article"&gt;17&lt;/ref-type&gt;&lt;contributors&gt;&lt;authors&gt;&lt;author&gt;Faria, S.&lt;/author&gt;&lt;author&gt;Petrucelli, M.&lt;/author&gt;&lt;author&gt;Cury, F.&lt;/author&gt;&lt;author&gt;Duclos, M.&lt;/author&gt;&lt;author&gt;Souhami, L.&lt;/author&gt;&lt;/authors&gt;&lt;/contributors&gt;&lt;titles&gt;&lt;title&gt;Acute and late toxicity in high-risk prostate cancer patients treated with androgen suppression and hypofractionated radiotherapy (HypoRT) to the prostate and pelvic nodes&lt;/title&gt;&lt;secondary-title&gt;Radiotherapy and oncology&lt;/secondary-title&gt;&lt;/titles&gt;&lt;volume&gt;120&lt;/volume&gt;&lt;dates&gt;&lt;year&gt;2016&lt;/year&gt;&lt;/dates&gt;&lt;accession-num&gt;CN-01252399&lt;/accession-num&gt;&lt;urls&gt;&lt;related-urls&gt;&lt;url&gt;http://ezproxy.library.usyd.edu.au/login?url=http://ovidsp.ovid.com/ovidweb.cgi?T=JS&amp;amp;CSC=Y&amp;amp;NEWS=N&amp;amp;PAGE=fulltext&amp;amp;D=cctr&amp;amp;AN=CN-01252399https://sydney.alma.exlibrisgroup.com/openurl/61USYD_INST/61USYD_INST:sydney?sid=OVID:cctrdb&amp;amp;id=pmid:5118516&amp;amp;id=doi:&amp;amp;issn=&lt;/url&gt;&lt;/related-urls&gt;&lt;/urls&gt;&lt;/record&gt;&lt;/Cite&gt;&lt;/EndNote&gt;</w:instrText>
        </w:r>
        <w:r w:rsidR="008B6FC0">
          <w:fldChar w:fldCharType="separate"/>
        </w:r>
        <w:r w:rsidR="008B6FC0">
          <w:rPr>
            <w:noProof/>
          </w:rPr>
          <w:t>Faria et al. (2016)</w:t>
        </w:r>
        <w:r w:rsidR="008B6FC0">
          <w:fldChar w:fldCharType="end"/>
        </w:r>
      </w:hyperlink>
      <w:r>
        <w:t xml:space="preserve">, </w:t>
      </w:r>
      <w:hyperlink w:anchor="_ENREF_31" w:tooltip="Girelli, 2015 #44" w:history="1">
        <w:r w:rsidR="008B6FC0">
          <w:fldChar w:fldCharType="begin"/>
        </w:r>
        <w:r w:rsidR="008B6FC0">
          <w:instrText xml:space="preserve"> ADDIN EN.CITE &lt;EndNote&gt;&lt;Cite AuthorYear="1"&gt;&lt;Author&gt;Girelli&lt;/Author&gt;&lt;Year&gt;2015&lt;/Year&gt;&lt;RecNum&gt;44&lt;/RecNum&gt;&lt;DisplayText&gt;Girelli et al. (2015)&lt;/DisplayText&gt;&lt;record&gt;&lt;rec-number&gt;44&lt;/rec-number&gt;&lt;foreign-keys&gt;&lt;key app="EN" db-id="sx5wsdwv795wvue959xxw0ptaewvdezxxp05" timestamp="1604876376"&gt;44&lt;/key&gt;&lt;/foreign-keys&gt;&lt;ref-type name="Journal Article"&gt;17&lt;/ref-type&gt;&lt;contributors&gt;&lt;authors&gt;&lt;author&gt;Girelli, G.&lt;/author&gt;&lt;author&gt;Franco, P.&lt;/author&gt;&lt;author&gt;Sciacero, P.&lt;/author&gt;&lt;author&gt;Cante, D.&lt;/author&gt;&lt;author&gt;Borca, V. C.&lt;/author&gt;&lt;author&gt;Pasquino, M.&lt;/author&gt;&lt;author&gt;Annoscia, S.&lt;/author&gt;&lt;author&gt;Tofani, S.&lt;/author&gt;&lt;author&gt;La Porta, M. R.&lt;/author&gt;&lt;author&gt;Ricardi, U.&lt;/author&gt;&lt;/authors&gt;&lt;/contributors&gt;&lt;titles&gt;&lt;title&gt;Image-guided Intensity-modulated Radiotherapy for Prostate Cancer Employing Hypofractionation and Simultaneous Integrated Boost: Results of a Consecutive Case Series with Focus on Erectile Function&lt;/title&gt;&lt;secondary-title&gt;Anticancer Res&lt;/secondary-title&gt;&lt;/titles&gt;&lt;pages&gt;4177-82&lt;/pages&gt;&lt;volume&gt;35&lt;/volume&gt;&lt;number&gt;7&lt;/number&gt;&lt;dates&gt;&lt;year&gt;2015&lt;/year&gt;&lt;/dates&gt;&lt;accession-num&gt;26124375&lt;/accession-num&gt;&lt;urls&gt;&lt;related-urls&gt;&lt;url&gt;http://ezproxy.library.usyd.edu.au/login?url=http://ovidsp.ovid.com/ovidweb.cgi?T=JS&amp;amp;CSC=Y&amp;amp;NEWS=N&amp;amp;PAGE=fulltext&amp;amp;D=med12&amp;amp;AN=26124375https://sydney.alma.exlibrisgroup.com/openurl/61USYD_INST/61USYD_INST:sydney?sid=OVID:medline&amp;amp;id=pmid:26124375&amp;amp;id=doi:&amp;amp;issn=&lt;/url&gt;&lt;url&gt;http://ar.iiarjournals.org/content/35/7/4177.full.pdf&lt;/url&gt;&lt;/related-urls&gt;&lt;/urls&gt;&lt;/record&gt;&lt;/Cite&gt;&lt;/EndNote&gt;</w:instrText>
        </w:r>
        <w:r w:rsidR="008B6FC0">
          <w:fldChar w:fldCharType="separate"/>
        </w:r>
        <w:r w:rsidR="008B6FC0">
          <w:rPr>
            <w:noProof/>
          </w:rPr>
          <w:t>Girelli et al. (2015)</w:t>
        </w:r>
        <w:r w:rsidR="008B6FC0">
          <w:fldChar w:fldCharType="end"/>
        </w:r>
      </w:hyperlink>
      <w:r>
        <w:t xml:space="preserve">, </w:t>
      </w:r>
      <w:hyperlink w:anchor="_ENREF_40" w:tooltip="Ingrosso, 2017 #51" w:history="1">
        <w:r w:rsidR="008B6FC0">
          <w:fldChar w:fldCharType="begin"/>
        </w:r>
        <w:r w:rsidR="008B6FC0">
          <w:instrText xml:space="preserve"> ADDIN EN.CITE &lt;EndNote&gt;&lt;Cite AuthorYear="1"&gt;&lt;Author&gt;Ingrosso&lt;/Author&gt;&lt;Year&gt;2017&lt;/Year&gt;&lt;RecNum&gt;51&lt;/RecNum&gt;&lt;DisplayText&gt;Ingrosso et al. (2017)&lt;/DisplayText&gt;&lt;record&gt;&lt;rec-number&gt;51&lt;/rec-number&gt;&lt;foreign-keys&gt;&lt;key app="EN" db-id="sx5wsdwv795wvue959xxw0ptaewvdezxxp05" timestamp="1604876395"&gt;51&lt;/key&gt;&lt;/foreign-keys&gt;&lt;ref-type name="Journal Article"&gt;17&lt;/ref-type&gt;&lt;contributors&gt;&lt;authors&gt;&lt;author&gt;Ingrosso, G.&lt;/author&gt;&lt;author&gt;Carosi, A.&lt;/author&gt;&lt;author&gt;di Cristino, D.&lt;/author&gt;&lt;author&gt;Ponti, E.&lt;/author&gt;&lt;author&gt;Lancia, A.&lt;/author&gt;&lt;author&gt;Murgia, A.&lt;/author&gt;&lt;author&gt;Bruni, C.&lt;/author&gt;&lt;author&gt;Morelli, P.&lt;/author&gt;&lt;author&gt;Pietrasanta, F.&lt;/author&gt;&lt;author&gt;Santoni, R.&lt;/author&gt;&lt;/authors&gt;&lt;/contributors&gt;&lt;titles&gt;&lt;title&gt;Volumetric image-guided highly conformal radiotherapy of the prostate bed: Toxicity analysis&lt;/title&gt;&lt;secondary-title&gt;Reports of Practical Oncology and Radiotherapy&lt;/secondary-title&gt;&lt;/titles&gt;&lt;pages&gt;64-70&lt;/pages&gt;&lt;volume&gt;22&lt;/volume&gt;&lt;number&gt;1&lt;/number&gt;&lt;dates&gt;&lt;year&gt;2017&lt;/year&gt;&lt;/dates&gt;&lt;accession-num&gt;613351188&lt;/accession-num&gt;&lt;urls&gt;&lt;related-urls&gt;&lt;url&gt;http://www.elsevier.com/wps/find/journaldescription.cws_home/719699/description#descriptionhttp://ezproxy.library.usyd.edu.au/login?url=http://ovidsp.ovid.com/ovidweb.cgi?T=JS&amp;amp;CSC=Y&amp;amp;NEWS=N&amp;amp;PAGE=fulltext&amp;amp;D=emed18&amp;amp;AN=613351188https://sydney.alma.exlibrisgro&lt;/url&gt;&lt;url&gt;https://www.ncbi.nlm.nih.gov/pmc/articles/PMC5126144/pdf/main.pdf&lt;/url&gt;&lt;/related-urls&gt;&lt;/urls&gt;&lt;custom2&gt;include-prostate cancer toxicity&lt;/custom2&gt;&lt;electronic-resource-num&gt;http://dx.doi.org/10.1016/j.rpor.2016.10.006&lt;/electronic-resource-num&gt;&lt;/record&gt;&lt;/Cite&gt;&lt;/EndNote&gt;</w:instrText>
        </w:r>
        <w:r w:rsidR="008B6FC0">
          <w:fldChar w:fldCharType="separate"/>
        </w:r>
        <w:r w:rsidR="008B6FC0">
          <w:rPr>
            <w:noProof/>
          </w:rPr>
          <w:t>Ingrosso et al. (2017)</w:t>
        </w:r>
        <w:r w:rsidR="008B6FC0">
          <w:fldChar w:fldCharType="end"/>
        </w:r>
      </w:hyperlink>
      <w:r w:rsidR="00881D0F">
        <w:t xml:space="preserve"> </w:t>
      </w:r>
      <w:r>
        <w:t xml:space="preserve">and </w:t>
      </w:r>
      <w:hyperlink w:anchor="_ENREF_39" w:tooltip="Ingrosso, 2018 #50" w:history="1">
        <w:r w:rsidR="008B6FC0">
          <w:fldChar w:fldCharType="begin"/>
        </w:r>
        <w:r w:rsidR="008B6FC0">
          <w:instrText xml:space="preserve"> ADDIN EN.CITE &lt;EndNote&gt;&lt;Cite AuthorYear="1"&gt;&lt;Author&gt;Ingrosso&lt;/Author&gt;&lt;Year&gt;2018&lt;/Year&gt;&lt;RecNum&gt;50&lt;/RecNum&gt;&lt;DisplayText&gt;Ingrosso et al. (2018)&lt;/DisplayText&gt;&lt;record&gt;&lt;rec-number&gt;50&lt;/rec-number&gt;&lt;foreign-keys&gt;&lt;key app="EN" db-id="sx5wsdwv795wvue959xxw0ptaewvdezxxp05" timestamp="1604876395"&gt;50&lt;/key&gt;&lt;/foreign-keys&gt;&lt;ref-type name="Journal Article"&gt;17&lt;/ref-type&gt;&lt;contributors&gt;&lt;authors&gt;&lt;author&gt;Ingrosso, G.&lt;/author&gt;&lt;author&gt;Carosi, A.&lt;/author&gt;&lt;author&gt;Cristino, D. D.&lt;/author&gt;&lt;author&gt;Ponti, E.&lt;/author&gt;&lt;author&gt;Lancia, A.&lt;/author&gt;&lt;author&gt;Bottero, M.&lt;/author&gt;&lt;author&gt;Cancelli, A.&lt;/author&gt;&lt;author&gt;Murgia, A.&lt;/author&gt;&lt;author&gt;Turturici, I.&lt;/author&gt;&lt;author&gt;Santoni, R.&lt;/author&gt;&lt;/authors&gt;&lt;/contributors&gt;&lt;titles&gt;&lt;title&gt;Volumetric image-guided conformal radiotherapy for localized prostate cancer: Analysis of dosimetric and clinical factors affecting acute and late toxicity&lt;/title&gt;&lt;secondary-title&gt;Reports of Practical Oncology and Radiotherapy&lt;/secondary-title&gt;&lt;/titles&gt;&lt;pages&gt;315-321&lt;/pages&gt;&lt;volume&gt;23&lt;/volume&gt;&lt;number&gt;5&lt;/number&gt;&lt;dates&gt;&lt;year&gt;2018&lt;/year&gt;&lt;/dates&gt;&lt;accession-num&gt;2001023098&lt;/accession-num&gt;&lt;urls&gt;&lt;related-urls&gt;&lt;url&gt;http://www.elsevier.com/wps/find/journaldescription.cws_home/719699/description#descriptionhttp://ezproxy.library.usyd.edu.au/login?url=http://ovidsp.ovid.com/ovidweb.cgi?T=JS&amp;amp;CSC=Y&amp;amp;NEWS=N&amp;amp;PAGE=fulltext&amp;amp;D=emed19&amp;amp;AN=2001023098https://sydney.alma.exlibrisgr&lt;/url&gt;&lt;url&gt;https://www.ncbi.nlm.nih.gov/pmc/articles/PMC6097402/pdf/main.pdf&lt;/url&gt;&lt;/related-urls&gt;&lt;/urls&gt;&lt;custom2&gt;include-prostate cancer toxicity (overlap with Ingrosso 2014)&lt;/custom2&gt;&lt;custom6&gt;toxicity&lt;/custom6&gt;&lt;electronic-resource-num&gt;http://dx.doi.org/10.1016/j.rpor.2018.07.010&lt;/electronic-resource-num&gt;&lt;/record&gt;&lt;/Cite&gt;&lt;/EndNote&gt;</w:instrText>
        </w:r>
        <w:r w:rsidR="008B6FC0">
          <w:fldChar w:fldCharType="separate"/>
        </w:r>
        <w:r w:rsidR="008B6FC0">
          <w:rPr>
            <w:noProof/>
          </w:rPr>
          <w:t>Ingrosso et al. (2018)</w:t>
        </w:r>
        <w:r w:rsidR="008B6FC0">
          <w:fldChar w:fldCharType="end"/>
        </w:r>
      </w:hyperlink>
      <w:r>
        <w:t xml:space="preserve">. Grade 4 toxicity was obtained from </w:t>
      </w:r>
      <w:hyperlink w:anchor="_ENREF_11" w:tooltip="Becker-Schiebe, 2016 #33" w:history="1">
        <w:r w:rsidR="008B6FC0">
          <w:fldChar w:fldCharType="begin"/>
        </w:r>
        <w:r w:rsidR="008B6FC0">
          <w:instrText xml:space="preserve"> ADDIN EN.CITE &lt;EndNote&gt;&lt;Cite AuthorYear="1"&gt;&lt;Author&gt;Becker-Schiebe&lt;/Author&gt;&lt;Year&gt;2016&lt;/Year&gt;&lt;RecNum&gt;33&lt;/RecNum&gt;&lt;DisplayText&gt;Becker-Schiebe et al. (2016)&lt;/DisplayText&gt;&lt;record&gt;&lt;rec-number&gt;33&lt;/rec-number&gt;&lt;foreign-keys&gt;&lt;key app="EN" db-id="sx5wsdwv795wvue959xxw0ptaewvdezxxp05" timestamp="1604876375"&gt;33&lt;/key&gt;&lt;/foreign-keys&gt;&lt;ref-type name="Journal Article"&gt;17&lt;/ref-type&gt;&lt;contributors&gt;&lt;authors&gt;&lt;author&gt;Becker-Schiebe, M.&lt;/author&gt;&lt;author&gt;Abaci, A.&lt;/author&gt;&lt;author&gt;Ahmad, T.&lt;/author&gt;&lt;author&gt;Hoffmann, W.&lt;/author&gt;&lt;/authors&gt;&lt;/contributors&gt;&lt;titles&gt;&lt;title&gt;Reducing radiation-associated toxicity using online image guidance (IGRT) in prostate cancer patients undergoing dose-escalated radiation therapy&lt;/title&gt;&lt;secondary-title&gt;Reports of Practical Oncology and Radiotherapy&lt;/secondary-title&gt;&lt;/titles&gt;&lt;pages&gt;188-194&lt;/pages&gt;&lt;volume&gt;21&lt;/volume&gt;&lt;number&gt;3&lt;/number&gt;&lt;dates&gt;&lt;year&gt;2016&lt;/year&gt;&lt;/dates&gt;&lt;accession-num&gt;609035683&lt;/accession-num&gt;&lt;urls&gt;&lt;related-urls&gt;&lt;url&gt;http://www.elsevier.com/wps/find/journaldescription.cws_home/719699/description#descriptionhttp://ezproxy.library.usyd.edu.au/login?url=http://ovidsp.ovid.com/ovidweb.cgi?T=JS&amp;amp;CSC=Y&amp;amp;NEWS=N&amp;amp;PAGE=fulltext&amp;amp;D=emed17&amp;amp;AN=609035683https://sydney.alma.exlibrisgro&lt;/url&gt;&lt;url&gt;https://www.ncbi.nlm.nih.gov/pmc/articles/PMC5002020/pdf/main.pdf&lt;/url&gt;&lt;/related-urls&gt;&lt;/urls&gt;&lt;electronic-resource-num&gt;http://dx.doi.org/10.1016/j.rpor.2016.01.005&lt;/electronic-resource-num&gt;&lt;/record&gt;&lt;/Cite&gt;&lt;/EndNote&gt;</w:instrText>
        </w:r>
        <w:r w:rsidR="008B6FC0">
          <w:fldChar w:fldCharType="separate"/>
        </w:r>
        <w:r w:rsidR="008B6FC0">
          <w:rPr>
            <w:noProof/>
          </w:rPr>
          <w:t>Becker-Schiebe et al. (2016)</w:t>
        </w:r>
        <w:r w:rsidR="008B6FC0">
          <w:fldChar w:fldCharType="end"/>
        </w:r>
      </w:hyperlink>
      <w:r>
        <w:t>. An average was taken where multiple sources were available for a specific toxicity grade.</w:t>
      </w:r>
    </w:p>
    <w:p w14:paraId="780FCBF4" w14:textId="77777777" w:rsidR="00D12268" w:rsidRDefault="00D12268" w:rsidP="00D12268">
      <w:pPr>
        <w:pStyle w:val="Heading4"/>
      </w:pPr>
      <w:r>
        <w:t>Late GI/GU toxicity related to CBCT-guided radiation therapy</w:t>
      </w:r>
    </w:p>
    <w:p w14:paraId="111044AF" w14:textId="7C78DDDE" w:rsidR="00D12268" w:rsidRDefault="00D12268" w:rsidP="00D12268">
      <w:r>
        <w:t xml:space="preserve">Multiple studies were identified in </w:t>
      </w:r>
      <w:r>
        <w:fldChar w:fldCharType="begin"/>
      </w:r>
      <w:r>
        <w:instrText xml:space="preserve"> REF _Ref55823918 \h </w:instrText>
      </w:r>
      <w:r>
        <w:fldChar w:fldCharType="separate"/>
      </w:r>
      <w:r w:rsidR="00451350" w:rsidRPr="00E86441">
        <w:t xml:space="preserve">Table </w:t>
      </w:r>
      <w:r w:rsidR="00451350">
        <w:rPr>
          <w:noProof/>
        </w:rPr>
        <w:t>20</w:t>
      </w:r>
      <w:r>
        <w:fldChar w:fldCharType="end"/>
      </w:r>
      <w:r>
        <w:t xml:space="preserve"> and </w:t>
      </w:r>
      <w:r>
        <w:fldChar w:fldCharType="begin"/>
      </w:r>
      <w:r>
        <w:instrText xml:space="preserve"> REF _Ref55990743 \h </w:instrText>
      </w:r>
      <w:r>
        <w:fldChar w:fldCharType="separate"/>
      </w:r>
      <w:r w:rsidR="00451350" w:rsidRPr="00E86441">
        <w:t xml:space="preserve">Table </w:t>
      </w:r>
      <w:r w:rsidR="00451350">
        <w:rPr>
          <w:noProof/>
        </w:rPr>
        <w:t>21</w:t>
      </w:r>
      <w:r>
        <w:fldChar w:fldCharType="end"/>
      </w:r>
      <w:r>
        <w:t xml:space="preserve"> reporting toxicities related to CBCT-guided radiation therapy in prostate cancer. However, </w:t>
      </w:r>
      <w:r w:rsidR="00DD2AF8">
        <w:t>the DCAR took</w:t>
      </w:r>
      <w:r>
        <w:t xml:space="preserve"> estimates from studies with sample size of 100 or more and studies published in 2015 or later to get robust estimates. Grade 0 toxicity was obtained from </w:t>
      </w:r>
      <w:r w:rsidR="00881D0F">
        <w:t xml:space="preserve">from </w:t>
      </w:r>
      <w:hyperlink w:anchor="_ENREF_11" w:tooltip="Becker-Schiebe, 2016 #33" w:history="1">
        <w:r w:rsidR="008B6FC0">
          <w:fldChar w:fldCharType="begin"/>
        </w:r>
        <w:r w:rsidR="008B6FC0">
          <w:instrText xml:space="preserve"> ADDIN EN.CITE &lt;EndNote&gt;&lt;Cite AuthorYear="1"&gt;&lt;Author&gt;Becker-Schiebe&lt;/Author&gt;&lt;Year&gt;2016&lt;/Year&gt;&lt;RecNum&gt;33&lt;/RecNum&gt;&lt;DisplayText&gt;Becker-Schiebe et al. (2016)&lt;/DisplayText&gt;&lt;record&gt;&lt;rec-number&gt;33&lt;/rec-number&gt;&lt;foreign-keys&gt;&lt;key app="EN" db-id="sx5wsdwv795wvue959xxw0ptaewvdezxxp05" timestamp="1604876375"&gt;33&lt;/key&gt;&lt;/foreign-keys&gt;&lt;ref-type name="Journal Article"&gt;17&lt;/ref-type&gt;&lt;contributors&gt;&lt;authors&gt;&lt;author&gt;Becker-Schiebe, M.&lt;/author&gt;&lt;author&gt;Abaci, A.&lt;/author&gt;&lt;author&gt;Ahmad, T.&lt;/author&gt;&lt;author&gt;Hoffmann, W.&lt;/author&gt;&lt;/authors&gt;&lt;/contributors&gt;&lt;titles&gt;&lt;title&gt;Reducing radiation-associated toxicity using online image guidance (IGRT) in prostate cancer patients undergoing dose-escalated radiation therapy&lt;/title&gt;&lt;secondary-title&gt;Reports of Practical Oncology and Radiotherapy&lt;/secondary-title&gt;&lt;/titles&gt;&lt;pages&gt;188-194&lt;/pages&gt;&lt;volume&gt;21&lt;/volume&gt;&lt;number&gt;3&lt;/number&gt;&lt;dates&gt;&lt;year&gt;2016&lt;/year&gt;&lt;/dates&gt;&lt;accession-num&gt;609035683&lt;/accession-num&gt;&lt;urls&gt;&lt;related-urls&gt;&lt;url&gt;http://www.elsevier.com/wps/find/journaldescription.cws_home/719699/description#descriptionhttp://ezproxy.library.usyd.edu.au/login?url=http://ovidsp.ovid.com/ovidweb.cgi?T=JS&amp;amp;CSC=Y&amp;amp;NEWS=N&amp;amp;PAGE=fulltext&amp;amp;D=emed17&amp;amp;AN=609035683https://sydney.alma.exlibrisgro&lt;/url&gt;&lt;url&gt;https://www.ncbi.nlm.nih.gov/pmc/articles/PMC5002020/pdf/main.pdf&lt;/url&gt;&lt;/related-urls&gt;&lt;/urls&gt;&lt;electronic-resource-num&gt;http://dx.doi.org/10.1016/j.rpor.2016.01.005&lt;/electronic-resource-num&gt;&lt;/record&gt;&lt;/Cite&gt;&lt;/EndNote&gt;</w:instrText>
        </w:r>
        <w:r w:rsidR="008B6FC0">
          <w:fldChar w:fldCharType="separate"/>
        </w:r>
        <w:r w:rsidR="008B6FC0">
          <w:rPr>
            <w:noProof/>
          </w:rPr>
          <w:t>Becker-Schiebe et al. (2016)</w:t>
        </w:r>
        <w:r w:rsidR="008B6FC0">
          <w:fldChar w:fldCharType="end"/>
        </w:r>
      </w:hyperlink>
      <w:r w:rsidR="00881D0F">
        <w:t xml:space="preserve">, </w:t>
      </w:r>
      <w:hyperlink w:anchor="_ENREF_26" w:tooltip="Faria, 2016 #42" w:history="1">
        <w:r w:rsidR="008B6FC0">
          <w:fldChar w:fldCharType="begin"/>
        </w:r>
        <w:r w:rsidR="008B6FC0">
          <w:instrText xml:space="preserve"> ADDIN EN.CITE &lt;EndNote&gt;&lt;Cite AuthorYear="1"&gt;&lt;Author&gt;Faria&lt;/Author&gt;&lt;Year&gt;2016&lt;/Year&gt;&lt;RecNum&gt;42&lt;/RecNum&gt;&lt;DisplayText&gt;Faria et al. (2016)&lt;/DisplayText&gt;&lt;record&gt;&lt;rec-number&gt;42&lt;/rec-number&gt;&lt;foreign-keys&gt;&lt;key app="EN" db-id="sx5wsdwv795wvue959xxw0ptaewvdezxxp05" timestamp="1604876376"&gt;42&lt;/key&gt;&lt;/foreign-keys&gt;&lt;ref-type name="Journal Article"&gt;17&lt;/ref-type&gt;&lt;contributors&gt;&lt;authors&gt;&lt;author&gt;Faria, S.&lt;/author&gt;&lt;author&gt;Petrucelli, M.&lt;/author&gt;&lt;author&gt;Cury, F.&lt;/author&gt;&lt;author&gt;Duclos, M.&lt;/author&gt;&lt;author&gt;Souhami, L.&lt;/author&gt;&lt;/authors&gt;&lt;/contributors&gt;&lt;titles&gt;&lt;title&gt;Acute and late toxicity in high-risk prostate cancer patients treated with androgen suppression and hypofractionated radiotherapy (HypoRT) to the prostate and pelvic nodes&lt;/title&gt;&lt;secondary-title&gt;Radiotherapy and oncology&lt;/secondary-title&gt;&lt;/titles&gt;&lt;volume&gt;120&lt;/volume&gt;&lt;dates&gt;&lt;year&gt;2016&lt;/year&gt;&lt;/dates&gt;&lt;accession-num&gt;CN-01252399&lt;/accession-num&gt;&lt;urls&gt;&lt;related-urls&gt;&lt;url&gt;http://ezproxy.library.usyd.edu.au/login?url=http://ovidsp.ovid.com/ovidweb.cgi?T=JS&amp;amp;CSC=Y&amp;amp;NEWS=N&amp;amp;PAGE=fulltext&amp;amp;D=cctr&amp;amp;AN=CN-01252399https://sydney.alma.exlibrisgroup.com/openurl/61USYD_INST/61USYD_INST:sydney?sid=OVID:cctrdb&amp;amp;id=pmid:5118516&amp;amp;id=doi:&amp;amp;issn=&lt;/url&gt;&lt;/related-urls&gt;&lt;/urls&gt;&lt;/record&gt;&lt;/Cite&gt;&lt;/EndNote&gt;</w:instrText>
        </w:r>
        <w:r w:rsidR="008B6FC0">
          <w:fldChar w:fldCharType="separate"/>
        </w:r>
        <w:r w:rsidR="008B6FC0">
          <w:rPr>
            <w:noProof/>
          </w:rPr>
          <w:t>Faria et al. (2016)</w:t>
        </w:r>
        <w:r w:rsidR="008B6FC0">
          <w:fldChar w:fldCharType="end"/>
        </w:r>
      </w:hyperlink>
      <w:r w:rsidR="00881D0F">
        <w:t>.</w:t>
      </w:r>
      <w:r>
        <w:t xml:space="preserve"> Grade 1-3 toxicity were obtained from </w:t>
      </w:r>
      <w:hyperlink w:anchor="_ENREF_11" w:tooltip="Becker-Schiebe, 2016 #33" w:history="1">
        <w:r w:rsidR="008B6FC0">
          <w:fldChar w:fldCharType="begin"/>
        </w:r>
        <w:r w:rsidR="008B6FC0">
          <w:instrText xml:space="preserve"> ADDIN EN.CITE &lt;EndNote&gt;&lt;Cite AuthorYear="1"&gt;&lt;Author&gt;Becker-Schiebe&lt;/Author&gt;&lt;Year&gt;2016&lt;/Year&gt;&lt;RecNum&gt;33&lt;/RecNum&gt;&lt;DisplayText&gt;Becker-Schiebe et al. (2016)&lt;/DisplayText&gt;&lt;record&gt;&lt;rec-number&gt;33&lt;/rec-number&gt;&lt;foreign-keys&gt;&lt;key app="EN" db-id="sx5wsdwv795wvue959xxw0ptaewvdezxxp05" timestamp="1604876375"&gt;33&lt;/key&gt;&lt;/foreign-keys&gt;&lt;ref-type name="Journal Article"&gt;17&lt;/ref-type&gt;&lt;contributors&gt;&lt;authors&gt;&lt;author&gt;Becker-Schiebe, M.&lt;/author&gt;&lt;author&gt;Abaci, A.&lt;/author&gt;&lt;author&gt;Ahmad, T.&lt;/author&gt;&lt;author&gt;Hoffmann, W.&lt;/author&gt;&lt;/authors&gt;&lt;/contributors&gt;&lt;titles&gt;&lt;title&gt;Reducing radiation-associated toxicity using online image guidance (IGRT) in prostate cancer patients undergoing dose-escalated radiation therapy&lt;/title&gt;&lt;secondary-title&gt;Reports of Practical Oncology and Radiotherapy&lt;/secondary-title&gt;&lt;/titles&gt;&lt;pages&gt;188-194&lt;/pages&gt;&lt;volume&gt;21&lt;/volume&gt;&lt;number&gt;3&lt;/number&gt;&lt;dates&gt;&lt;year&gt;2016&lt;/year&gt;&lt;/dates&gt;&lt;accession-num&gt;609035683&lt;/accession-num&gt;&lt;urls&gt;&lt;related-urls&gt;&lt;url&gt;http://www.elsevier.com/wps/find/journaldescription.cws_home/719699/description#descriptionhttp://ezproxy.library.usyd.edu.au/login?url=http://ovidsp.ovid.com/ovidweb.cgi?T=JS&amp;amp;CSC=Y&amp;amp;NEWS=N&amp;amp;PAGE=fulltext&amp;amp;D=emed17&amp;amp;AN=609035683https://sydney.alma.exlibrisgro&lt;/url&gt;&lt;url&gt;https://www.ncbi.nlm.nih.gov/pmc/articles/PMC5002020/pdf/main.pdf&lt;/url&gt;&lt;/related-urls&gt;&lt;/urls&gt;&lt;electronic-resource-num&gt;http://dx.doi.org/10.1016/j.rpor.2016.01.005&lt;/electronic-resource-num&gt;&lt;/record&gt;&lt;/Cite&gt;&lt;/EndNote&gt;</w:instrText>
        </w:r>
        <w:r w:rsidR="008B6FC0">
          <w:fldChar w:fldCharType="separate"/>
        </w:r>
        <w:r w:rsidR="008B6FC0">
          <w:rPr>
            <w:noProof/>
          </w:rPr>
          <w:t>Becker-Schiebe et al. (2016)</w:t>
        </w:r>
        <w:r w:rsidR="008B6FC0">
          <w:fldChar w:fldCharType="end"/>
        </w:r>
      </w:hyperlink>
      <w:r w:rsidR="00881D0F">
        <w:t xml:space="preserve">, </w:t>
      </w:r>
      <w:hyperlink w:anchor="_ENREF_15" w:tooltip="Byun, 2018 #37" w:history="1">
        <w:r w:rsidR="008B6FC0">
          <w:fldChar w:fldCharType="begin"/>
        </w:r>
        <w:r w:rsidR="008B6FC0">
          <w:instrText xml:space="preserve"> ADDIN EN.CITE &lt;EndNote&gt;&lt;Cite AuthorYear="1"&gt;&lt;Author&gt;Byun&lt;/Author&gt;&lt;Year&gt;2018&lt;/Year&gt;&lt;RecNum&gt;37&lt;/RecNum&gt;&lt;DisplayText&gt;Byun et al. (2018)&lt;/DisplayText&gt;&lt;record&gt;&lt;rec-number&gt;37&lt;/rec-number&gt;&lt;foreign-keys&gt;&lt;key app="EN" db-id="sx5wsdwv795wvue959xxw0ptaewvdezxxp05" timestamp="1604876375"&gt;37&lt;/key&gt;&lt;/foreign-keys&gt;&lt;ref-type name="Journal Article"&gt;17&lt;/ref-type&gt;&lt;contributors&gt;&lt;authors&gt;&lt;author&gt;Byun, S. J.&lt;/author&gt;&lt;author&gt;Kim, Y. S.&lt;/author&gt;&lt;author&gt;Ahn, H.&lt;/author&gt;&lt;author&gt;Kim, C. S.&lt;/author&gt;&lt;/authors&gt;&lt;/contributors&gt;&lt;titles&gt;&lt;title&gt;Image-guided, whole-pelvic, intensity-modulated radiotherapy for biochemical recurrence following radical prostatectomy in high-risk prostate cancer patients&lt;/title&gt;&lt;secondary-title&gt;PLoS ONE&lt;/secondary-title&gt;&lt;/titles&gt;&lt;pages&gt;e0190479&lt;/pages&gt;&lt;volume&gt;13&lt;/volume&gt;&lt;number&gt;1&lt;/number&gt;&lt;dates&gt;&lt;year&gt;2018&lt;/year&gt;&lt;/dates&gt;&lt;accession-num&gt;29320570&lt;/accession-num&gt;&lt;urls&gt;&lt;related-urls&gt;&lt;url&gt;http://ezproxy.library.usyd.edu.au/login?url=http://ovidsp.ovid.com/ovidweb.cgi?T=JS&amp;amp;CSC=Y&amp;amp;NEWS=N&amp;amp;PAGE=fulltext&amp;amp;D=med15&amp;amp;AN=29320570https://sydney.alma.exlibrisgroup.com/openurl/61USYD_INST/61USYD_INST:sydney?sid=OVID:medline&amp;amp;id=pmid:29320570&amp;amp;id=doi:10.137&lt;/url&gt;&lt;url&gt;https://www.ncbi.nlm.nih.gov/pmc/articles/PMC5761863/pdf/pone.0190479.pdf&lt;/url&gt;&lt;/related-urls&gt;&lt;/urls&gt;&lt;electronic-resource-num&gt;https://dx.doi.org/10.1371/journal.pone.0190479&lt;/electronic-resource-num&gt;&lt;/record&gt;&lt;/Cite&gt;&lt;/EndNote&gt;</w:instrText>
        </w:r>
        <w:r w:rsidR="008B6FC0">
          <w:fldChar w:fldCharType="separate"/>
        </w:r>
        <w:r w:rsidR="008B6FC0">
          <w:rPr>
            <w:noProof/>
          </w:rPr>
          <w:t>Byun et al. (2018)</w:t>
        </w:r>
        <w:r w:rsidR="008B6FC0">
          <w:fldChar w:fldCharType="end"/>
        </w:r>
      </w:hyperlink>
      <w:r w:rsidR="00881D0F">
        <w:t xml:space="preserve">, </w:t>
      </w:r>
      <w:hyperlink w:anchor="_ENREF_23" w:tooltip="Correa, 2020 #39" w:history="1">
        <w:r w:rsidR="008B6FC0">
          <w:fldChar w:fldCharType="begin"/>
        </w:r>
        <w:r w:rsidR="008B6FC0">
          <w:instrText xml:space="preserve"> ADDIN EN.CITE &lt;EndNote&gt;&lt;Cite AuthorYear="1"&gt;&lt;Author&gt;Correa&lt;/Author&gt;&lt;Year&gt;2020&lt;/Year&gt;&lt;RecNum&gt;39&lt;/RecNum&gt;&lt;DisplayText&gt;Correa et al. (2020)&lt;/DisplayText&gt;&lt;record&gt;&lt;rec-number&gt;39&lt;/rec-number&gt;&lt;foreign-keys&gt;&lt;key app="EN" db-id="sx5wsdwv795wvue959xxw0ptaewvdezxxp05" timestamp="1604876376"&gt;39&lt;/key&gt;&lt;/foreign-keys&gt;&lt;ref-type name="Journal Article"&gt;17&lt;/ref-type&gt;&lt;contributors&gt;&lt;authors&gt;&lt;author&gt;Correa, R.&lt;/author&gt;&lt;author&gt;Navarro, I.&lt;/author&gt;&lt;author&gt;Lobato, M.&lt;/author&gt;&lt;author&gt;Otero, A.&lt;/author&gt;&lt;author&gt;Jerez, I.&lt;/author&gt;&lt;author&gt;Rico, J. M.&lt;/author&gt;&lt;author&gt;Zapata, I.&lt;/author&gt;&lt;author&gt;Lupianez, Y.&lt;/author&gt;&lt;author&gt;Medina, J. A.&lt;/author&gt;&lt;author&gt;Olmos, D.&lt;/author&gt;&lt;author&gt;Gomez-Millan, J.&lt;/author&gt;&lt;/authors&gt;&lt;/contributors&gt;&lt;titles&gt;&lt;title&gt;Influence of the technique and comorbidities in hypofractionated radiotherapy for prostate cancer&lt;/title&gt;&lt;secondary-title&gt;Clinical and Translational Oncology&lt;/secondary-title&gt;&lt;/titles&gt;&lt;pages&gt;311-318&lt;/pages&gt;&lt;volume&gt;22&lt;/volume&gt;&lt;number&gt;3&lt;/number&gt;&lt;dates&gt;&lt;year&gt;2020&lt;/year&gt;&lt;/dates&gt;&lt;accession-num&gt;2003637482&lt;/accession-num&gt;&lt;urls&gt;&lt;related-urls&gt;&lt;url&gt;http://www.springer.com/medicine/oncology/journal/12094http://ezproxy.library.usyd.edu.au/login?url=http://ovidsp.ovid.com/ovidweb.cgi?T=JS&amp;amp;CSC=Y&amp;amp;NEWS=N&amp;amp;PAGE=fulltext&amp;amp;D=emexb&amp;amp;AN=2003637482https://sydney.alma.exlibrisgroup.com/openurl/61USYD_INST/61USYD_IN&lt;/url&gt;&lt;url&gt;https://link.springer.com/content/pdf/10.1007/s12094-019-02224-6.pdf&lt;/url&gt;&lt;/related-urls&gt;&lt;/urls&gt;&lt;electronic-resource-num&gt;http://dx.doi.org/10.1007/s12094-019-02224-6&lt;/electronic-resource-num&gt;&lt;/record&gt;&lt;/Cite&gt;&lt;/EndNote&gt;</w:instrText>
        </w:r>
        <w:r w:rsidR="008B6FC0">
          <w:fldChar w:fldCharType="separate"/>
        </w:r>
        <w:r w:rsidR="008B6FC0">
          <w:rPr>
            <w:noProof/>
          </w:rPr>
          <w:t>Correa et al. (2020)</w:t>
        </w:r>
        <w:r w:rsidR="008B6FC0">
          <w:fldChar w:fldCharType="end"/>
        </w:r>
      </w:hyperlink>
      <w:r w:rsidR="00881D0F">
        <w:t xml:space="preserve">, </w:t>
      </w:r>
      <w:hyperlink w:anchor="_ENREF_26" w:tooltip="Faria, 2016 #42" w:history="1">
        <w:r w:rsidR="008B6FC0">
          <w:fldChar w:fldCharType="begin"/>
        </w:r>
        <w:r w:rsidR="008B6FC0">
          <w:instrText xml:space="preserve"> ADDIN EN.CITE &lt;EndNote&gt;&lt;Cite AuthorYear="1"&gt;&lt;Author&gt;Faria&lt;/Author&gt;&lt;Year&gt;2016&lt;/Year&gt;&lt;RecNum&gt;42&lt;/RecNum&gt;&lt;DisplayText&gt;Faria et al. (2016)&lt;/DisplayText&gt;&lt;record&gt;&lt;rec-number&gt;42&lt;/rec-number&gt;&lt;foreign-keys&gt;&lt;key app="EN" db-id="sx5wsdwv795wvue959xxw0ptaewvdezxxp05" timestamp="1604876376"&gt;42&lt;/key&gt;&lt;/foreign-keys&gt;&lt;ref-type name="Journal Article"&gt;17&lt;/ref-type&gt;&lt;contributors&gt;&lt;authors&gt;&lt;author&gt;Faria, S.&lt;/author&gt;&lt;author&gt;Petrucelli, M.&lt;/author&gt;&lt;author&gt;Cury, F.&lt;/author&gt;&lt;author&gt;Duclos, M.&lt;/author&gt;&lt;author&gt;Souhami, L.&lt;/author&gt;&lt;/authors&gt;&lt;/contributors&gt;&lt;titles&gt;&lt;title&gt;Acute and late toxicity in high-risk prostate cancer patients treated with androgen suppression and hypofractionated radiotherapy (HypoRT) to the prostate and pelvic nodes&lt;/title&gt;&lt;secondary-title&gt;Radiotherapy and oncology&lt;/secondary-title&gt;&lt;/titles&gt;&lt;volume&gt;120&lt;/volume&gt;&lt;dates&gt;&lt;year&gt;2016&lt;/year&gt;&lt;/dates&gt;&lt;accession-num&gt;CN-01252399&lt;/accession-num&gt;&lt;urls&gt;&lt;related-urls&gt;&lt;url&gt;http://ezproxy.library.usyd.edu.au/login?url=http://ovidsp.ovid.com/ovidweb.cgi?T=JS&amp;amp;CSC=Y&amp;amp;NEWS=N&amp;amp;PAGE=fulltext&amp;amp;D=cctr&amp;amp;AN=CN-01252399https://sydney.alma.exlibrisgroup.com/openurl/61USYD_INST/61USYD_INST:sydney?sid=OVID:cctrdb&amp;amp;id=pmid:5118516&amp;amp;id=doi:&amp;amp;issn=&lt;/url&gt;&lt;/related-urls&gt;&lt;/urls&gt;&lt;/record&gt;&lt;/Cite&gt;&lt;/EndNote&gt;</w:instrText>
        </w:r>
        <w:r w:rsidR="008B6FC0">
          <w:fldChar w:fldCharType="separate"/>
        </w:r>
        <w:r w:rsidR="008B6FC0">
          <w:rPr>
            <w:noProof/>
          </w:rPr>
          <w:t xml:space="preserve">Faria et al. </w:t>
        </w:r>
        <w:r w:rsidR="008B6FC0">
          <w:rPr>
            <w:noProof/>
          </w:rPr>
          <w:lastRenderedPageBreak/>
          <w:t>(2016)</w:t>
        </w:r>
        <w:r w:rsidR="008B6FC0">
          <w:fldChar w:fldCharType="end"/>
        </w:r>
      </w:hyperlink>
      <w:r w:rsidR="00881D0F">
        <w:t xml:space="preserve">, </w:t>
      </w:r>
      <w:hyperlink w:anchor="_ENREF_31" w:tooltip="Girelli, 2015 #44" w:history="1">
        <w:r w:rsidR="008B6FC0">
          <w:fldChar w:fldCharType="begin"/>
        </w:r>
        <w:r w:rsidR="008B6FC0">
          <w:instrText xml:space="preserve"> ADDIN EN.CITE &lt;EndNote&gt;&lt;Cite AuthorYear="1"&gt;&lt;Author&gt;Girelli&lt;/Author&gt;&lt;Year&gt;2015&lt;/Year&gt;&lt;RecNum&gt;44&lt;/RecNum&gt;&lt;DisplayText&gt;Girelli et al. (2015)&lt;/DisplayText&gt;&lt;record&gt;&lt;rec-number&gt;44&lt;/rec-number&gt;&lt;foreign-keys&gt;&lt;key app="EN" db-id="sx5wsdwv795wvue959xxw0ptaewvdezxxp05" timestamp="1604876376"&gt;44&lt;/key&gt;&lt;/foreign-keys&gt;&lt;ref-type name="Journal Article"&gt;17&lt;/ref-type&gt;&lt;contributors&gt;&lt;authors&gt;&lt;author&gt;Girelli, G.&lt;/author&gt;&lt;author&gt;Franco, P.&lt;/author&gt;&lt;author&gt;Sciacero, P.&lt;/author&gt;&lt;author&gt;Cante, D.&lt;/author&gt;&lt;author&gt;Borca, V. C.&lt;/author&gt;&lt;author&gt;Pasquino, M.&lt;/author&gt;&lt;author&gt;Annoscia, S.&lt;/author&gt;&lt;author&gt;Tofani, S.&lt;/author&gt;&lt;author&gt;La Porta, M. R.&lt;/author&gt;&lt;author&gt;Ricardi, U.&lt;/author&gt;&lt;/authors&gt;&lt;/contributors&gt;&lt;titles&gt;&lt;title&gt;Image-guided Intensity-modulated Radiotherapy for Prostate Cancer Employing Hypofractionation and Simultaneous Integrated Boost: Results of a Consecutive Case Series with Focus on Erectile Function&lt;/title&gt;&lt;secondary-title&gt;Anticancer Res&lt;/secondary-title&gt;&lt;/titles&gt;&lt;pages&gt;4177-82&lt;/pages&gt;&lt;volume&gt;35&lt;/volume&gt;&lt;number&gt;7&lt;/number&gt;&lt;dates&gt;&lt;year&gt;2015&lt;/year&gt;&lt;/dates&gt;&lt;accession-num&gt;26124375&lt;/accession-num&gt;&lt;urls&gt;&lt;related-urls&gt;&lt;url&gt;http://ezproxy.library.usyd.edu.au/login?url=http://ovidsp.ovid.com/ovidweb.cgi?T=JS&amp;amp;CSC=Y&amp;amp;NEWS=N&amp;amp;PAGE=fulltext&amp;amp;D=med12&amp;amp;AN=26124375https://sydney.alma.exlibrisgroup.com/openurl/61USYD_INST/61USYD_INST:sydney?sid=OVID:medline&amp;amp;id=pmid:26124375&amp;amp;id=doi:&amp;amp;issn=&lt;/url&gt;&lt;url&gt;http://ar.iiarjournals.org/content/35/7/4177.full.pdf&lt;/url&gt;&lt;/related-urls&gt;&lt;/urls&gt;&lt;/record&gt;&lt;/Cite&gt;&lt;/EndNote&gt;</w:instrText>
        </w:r>
        <w:r w:rsidR="008B6FC0">
          <w:fldChar w:fldCharType="separate"/>
        </w:r>
        <w:r w:rsidR="008B6FC0">
          <w:rPr>
            <w:noProof/>
          </w:rPr>
          <w:t>Girelli et al. (2015)</w:t>
        </w:r>
        <w:r w:rsidR="008B6FC0">
          <w:fldChar w:fldCharType="end"/>
        </w:r>
      </w:hyperlink>
      <w:r w:rsidR="00881D0F">
        <w:t xml:space="preserve">, </w:t>
      </w:r>
      <w:hyperlink w:anchor="_ENREF_40" w:tooltip="Ingrosso, 2017 #51" w:history="1">
        <w:r w:rsidR="008B6FC0">
          <w:fldChar w:fldCharType="begin"/>
        </w:r>
        <w:r w:rsidR="008B6FC0">
          <w:instrText xml:space="preserve"> ADDIN EN.CITE &lt;EndNote&gt;&lt;Cite AuthorYear="1"&gt;&lt;Author&gt;Ingrosso&lt;/Author&gt;&lt;Year&gt;2017&lt;/Year&gt;&lt;RecNum&gt;51&lt;/RecNum&gt;&lt;DisplayText&gt;Ingrosso et al. (2017)&lt;/DisplayText&gt;&lt;record&gt;&lt;rec-number&gt;51&lt;/rec-number&gt;&lt;foreign-keys&gt;&lt;key app="EN" db-id="sx5wsdwv795wvue959xxw0ptaewvdezxxp05" timestamp="1604876395"&gt;51&lt;/key&gt;&lt;/foreign-keys&gt;&lt;ref-type name="Journal Article"&gt;17&lt;/ref-type&gt;&lt;contributors&gt;&lt;authors&gt;&lt;author&gt;Ingrosso, G.&lt;/author&gt;&lt;author&gt;Carosi, A.&lt;/author&gt;&lt;author&gt;di Cristino, D.&lt;/author&gt;&lt;author&gt;Ponti, E.&lt;/author&gt;&lt;author&gt;Lancia, A.&lt;/author&gt;&lt;author&gt;Murgia, A.&lt;/author&gt;&lt;author&gt;Bruni, C.&lt;/author&gt;&lt;author&gt;Morelli, P.&lt;/author&gt;&lt;author&gt;Pietrasanta, F.&lt;/author&gt;&lt;author&gt;Santoni, R.&lt;/author&gt;&lt;/authors&gt;&lt;/contributors&gt;&lt;titles&gt;&lt;title&gt;Volumetric image-guided highly conformal radiotherapy of the prostate bed: Toxicity analysis&lt;/title&gt;&lt;secondary-title&gt;Reports of Practical Oncology and Radiotherapy&lt;/secondary-title&gt;&lt;/titles&gt;&lt;pages&gt;64-70&lt;/pages&gt;&lt;volume&gt;22&lt;/volume&gt;&lt;number&gt;1&lt;/number&gt;&lt;dates&gt;&lt;year&gt;2017&lt;/year&gt;&lt;/dates&gt;&lt;accession-num&gt;613351188&lt;/accession-num&gt;&lt;urls&gt;&lt;related-urls&gt;&lt;url&gt;http://www.elsevier.com/wps/find/journaldescription.cws_home/719699/description#descriptionhttp://ezproxy.library.usyd.edu.au/login?url=http://ovidsp.ovid.com/ovidweb.cgi?T=JS&amp;amp;CSC=Y&amp;amp;NEWS=N&amp;amp;PAGE=fulltext&amp;amp;D=emed18&amp;amp;AN=613351188https://sydney.alma.exlibrisgro&lt;/url&gt;&lt;url&gt;https://www.ncbi.nlm.nih.gov/pmc/articles/PMC5126144/pdf/main.pdf&lt;/url&gt;&lt;/related-urls&gt;&lt;/urls&gt;&lt;custom2&gt;include-prostate cancer toxicity&lt;/custom2&gt;&lt;electronic-resource-num&gt;http://dx.doi.org/10.1016/j.rpor.2016.10.006&lt;/electronic-resource-num&gt;&lt;/record&gt;&lt;/Cite&gt;&lt;/EndNote&gt;</w:instrText>
        </w:r>
        <w:r w:rsidR="008B6FC0">
          <w:fldChar w:fldCharType="separate"/>
        </w:r>
        <w:r w:rsidR="008B6FC0">
          <w:rPr>
            <w:noProof/>
          </w:rPr>
          <w:t>Ingrosso et al. (2017)</w:t>
        </w:r>
        <w:r w:rsidR="008B6FC0">
          <w:fldChar w:fldCharType="end"/>
        </w:r>
      </w:hyperlink>
      <w:r w:rsidR="00881D0F">
        <w:t xml:space="preserve"> </w:t>
      </w:r>
      <w:r>
        <w:t xml:space="preserve">and </w:t>
      </w:r>
      <w:hyperlink w:anchor="_ENREF_39" w:tooltip="Ingrosso, 2018 #50" w:history="1">
        <w:r w:rsidR="008B6FC0">
          <w:fldChar w:fldCharType="begin"/>
        </w:r>
        <w:r w:rsidR="008B6FC0">
          <w:instrText xml:space="preserve"> ADDIN EN.CITE &lt;EndNote&gt;&lt;Cite AuthorYear="1"&gt;&lt;Author&gt;Ingrosso&lt;/Author&gt;&lt;Year&gt;2018&lt;/Year&gt;&lt;RecNum&gt;50&lt;/RecNum&gt;&lt;DisplayText&gt;Ingrosso et al. (2018)&lt;/DisplayText&gt;&lt;record&gt;&lt;rec-number&gt;50&lt;/rec-number&gt;&lt;foreign-keys&gt;&lt;key app="EN" db-id="sx5wsdwv795wvue959xxw0ptaewvdezxxp05" timestamp="1604876395"&gt;50&lt;/key&gt;&lt;/foreign-keys&gt;&lt;ref-type name="Journal Article"&gt;17&lt;/ref-type&gt;&lt;contributors&gt;&lt;authors&gt;&lt;author&gt;Ingrosso, G.&lt;/author&gt;&lt;author&gt;Carosi, A.&lt;/author&gt;&lt;author&gt;Cristino, D. D.&lt;/author&gt;&lt;author&gt;Ponti, E.&lt;/author&gt;&lt;author&gt;Lancia, A.&lt;/author&gt;&lt;author&gt;Bottero, M.&lt;/author&gt;&lt;author&gt;Cancelli, A.&lt;/author&gt;&lt;author&gt;Murgia, A.&lt;/author&gt;&lt;author&gt;Turturici, I.&lt;/author&gt;&lt;author&gt;Santoni, R.&lt;/author&gt;&lt;/authors&gt;&lt;/contributors&gt;&lt;titles&gt;&lt;title&gt;Volumetric image-guided conformal radiotherapy for localized prostate cancer: Analysis of dosimetric and clinical factors affecting acute and late toxicity&lt;/title&gt;&lt;secondary-title&gt;Reports of Practical Oncology and Radiotherapy&lt;/secondary-title&gt;&lt;/titles&gt;&lt;pages&gt;315-321&lt;/pages&gt;&lt;volume&gt;23&lt;/volume&gt;&lt;number&gt;5&lt;/number&gt;&lt;dates&gt;&lt;year&gt;2018&lt;/year&gt;&lt;/dates&gt;&lt;accession-num&gt;2001023098&lt;/accession-num&gt;&lt;urls&gt;&lt;related-urls&gt;&lt;url&gt;http://www.elsevier.com/wps/find/journaldescription.cws_home/719699/description#descriptionhttp://ezproxy.library.usyd.edu.au/login?url=http://ovidsp.ovid.com/ovidweb.cgi?T=JS&amp;amp;CSC=Y&amp;amp;NEWS=N&amp;amp;PAGE=fulltext&amp;amp;D=emed19&amp;amp;AN=2001023098https://sydney.alma.exlibrisgr&lt;/url&gt;&lt;url&gt;https://www.ncbi.nlm.nih.gov/pmc/articles/PMC6097402/pdf/main.pdf&lt;/url&gt;&lt;/related-urls&gt;&lt;/urls&gt;&lt;custom2&gt;include-prostate cancer toxicity (overlap with Ingrosso 2014)&lt;/custom2&gt;&lt;custom6&gt;toxicity&lt;/custom6&gt;&lt;electronic-resource-num&gt;http://dx.doi.org/10.1016/j.rpor.2018.07.010&lt;/electronic-resource-num&gt;&lt;/record&gt;&lt;/Cite&gt;&lt;/EndNote&gt;</w:instrText>
        </w:r>
        <w:r w:rsidR="008B6FC0">
          <w:fldChar w:fldCharType="separate"/>
        </w:r>
        <w:r w:rsidR="008B6FC0">
          <w:rPr>
            <w:noProof/>
          </w:rPr>
          <w:t>Ingrosso et al. (2018)</w:t>
        </w:r>
        <w:r w:rsidR="008B6FC0">
          <w:fldChar w:fldCharType="end"/>
        </w:r>
      </w:hyperlink>
      <w:r w:rsidR="00881D0F">
        <w:t>.</w:t>
      </w:r>
      <w:r>
        <w:t xml:space="preserve"> An average was taken where multiple sources were available for a specific toxicity grade.</w:t>
      </w:r>
    </w:p>
    <w:p w14:paraId="38279690" w14:textId="1C9B1ACF" w:rsidR="00D12268" w:rsidRDefault="00D12268" w:rsidP="008B6FC0">
      <w:pPr>
        <w:pStyle w:val="Caption"/>
        <w:keepNext/>
      </w:pPr>
      <w:bookmarkStart w:id="553" w:name="_Ref58247109"/>
      <w:bookmarkStart w:id="554" w:name="_Toc89857921"/>
      <w:r>
        <w:t xml:space="preserve">Table </w:t>
      </w:r>
      <w:r w:rsidR="00211285">
        <w:fldChar w:fldCharType="begin"/>
      </w:r>
      <w:r w:rsidR="00211285">
        <w:instrText xml:space="preserve"> SEQ Table \* ARABIC </w:instrText>
      </w:r>
      <w:r w:rsidR="00211285">
        <w:fldChar w:fldCharType="separate"/>
      </w:r>
      <w:r w:rsidR="00451350">
        <w:rPr>
          <w:noProof/>
        </w:rPr>
        <w:t>50</w:t>
      </w:r>
      <w:r w:rsidR="00211285">
        <w:rPr>
          <w:noProof/>
        </w:rPr>
        <w:fldChar w:fldCharType="end"/>
      </w:r>
      <w:bookmarkEnd w:id="553"/>
      <w:r>
        <w:tab/>
        <w:t>Prostate cancer related acute and late GI/GU toxicity used in economic model</w:t>
      </w:r>
      <w:bookmarkEnd w:id="554"/>
    </w:p>
    <w:tbl>
      <w:tblPr>
        <w:tblStyle w:val="TableGrid2"/>
        <w:tblW w:w="5000" w:type="pct"/>
        <w:tblLook w:val="04A0" w:firstRow="1" w:lastRow="0" w:firstColumn="1" w:lastColumn="0" w:noHBand="0" w:noVBand="1"/>
        <w:tblCaption w:val="List of health care resource items and summary of cost impacts for each health state in a state transition model"/>
        <w:tblDescription w:val="List of health care resource items and summary of cost impacts for each health state in a state transition model"/>
      </w:tblPr>
      <w:tblGrid>
        <w:gridCol w:w="2578"/>
        <w:gridCol w:w="1608"/>
        <w:gridCol w:w="1610"/>
        <w:gridCol w:w="1610"/>
        <w:gridCol w:w="1610"/>
      </w:tblGrid>
      <w:tr w:rsidR="00207D12" w:rsidRPr="00F77E8D" w14:paraId="2AA53DA7" w14:textId="77777777" w:rsidTr="00FA43E9">
        <w:trPr>
          <w:cnfStyle w:val="100000000000" w:firstRow="1" w:lastRow="0" w:firstColumn="0" w:lastColumn="0" w:oddVBand="0" w:evenVBand="0" w:oddHBand="0" w:evenHBand="0" w:firstRowFirstColumn="0" w:firstRowLastColumn="0" w:lastRowFirstColumn="0" w:lastRowLastColumn="0"/>
          <w:tblHeader/>
        </w:trPr>
        <w:tc>
          <w:tcPr>
            <w:tcW w:w="1429" w:type="pct"/>
            <w:tcBorders>
              <w:bottom w:val="single" w:sz="4" w:space="0" w:color="auto"/>
            </w:tcBorders>
          </w:tcPr>
          <w:p w14:paraId="61C7D380" w14:textId="77777777" w:rsidR="00207D12" w:rsidRPr="00F77E8D" w:rsidRDefault="00207D12" w:rsidP="008B6FC0">
            <w:pPr>
              <w:pStyle w:val="TableHeading"/>
            </w:pPr>
          </w:p>
        </w:tc>
        <w:tc>
          <w:tcPr>
            <w:tcW w:w="892" w:type="pct"/>
            <w:tcBorders>
              <w:bottom w:val="single" w:sz="4" w:space="0" w:color="auto"/>
              <w:right w:val="nil"/>
            </w:tcBorders>
          </w:tcPr>
          <w:p w14:paraId="6EB6588E" w14:textId="77777777" w:rsidR="00207D12" w:rsidRDefault="00207D12" w:rsidP="00207D12">
            <w:pPr>
              <w:pStyle w:val="TableHeading"/>
              <w:jc w:val="right"/>
            </w:pPr>
            <w:r>
              <w:t xml:space="preserve">MRI- </w:t>
            </w:r>
          </w:p>
          <w:p w14:paraId="7C8AF846" w14:textId="0A3D5A1A" w:rsidR="00207D12" w:rsidRPr="00F77E8D" w:rsidRDefault="00207D12" w:rsidP="00207D12">
            <w:pPr>
              <w:pStyle w:val="TableHeading"/>
              <w:jc w:val="right"/>
            </w:pPr>
            <w:r>
              <w:t xml:space="preserve">radiation </w:t>
            </w:r>
          </w:p>
        </w:tc>
        <w:tc>
          <w:tcPr>
            <w:tcW w:w="893" w:type="pct"/>
            <w:tcBorders>
              <w:left w:val="nil"/>
              <w:bottom w:val="single" w:sz="4" w:space="0" w:color="auto"/>
            </w:tcBorders>
          </w:tcPr>
          <w:p w14:paraId="2490C497" w14:textId="60D298D0" w:rsidR="00207D12" w:rsidRDefault="00207D12" w:rsidP="00207D12">
            <w:pPr>
              <w:pStyle w:val="TableHeading"/>
            </w:pPr>
            <w:r>
              <w:t>guided</w:t>
            </w:r>
          </w:p>
          <w:p w14:paraId="4A09B063" w14:textId="6CAC2EEA" w:rsidR="00207D12" w:rsidRPr="00F77E8D" w:rsidRDefault="00207D12" w:rsidP="00207D12">
            <w:pPr>
              <w:pStyle w:val="TableHeading"/>
            </w:pPr>
            <w:r>
              <w:t>therapy</w:t>
            </w:r>
          </w:p>
        </w:tc>
        <w:tc>
          <w:tcPr>
            <w:tcW w:w="893" w:type="pct"/>
            <w:tcBorders>
              <w:bottom w:val="single" w:sz="4" w:space="0" w:color="auto"/>
              <w:right w:val="nil"/>
            </w:tcBorders>
          </w:tcPr>
          <w:p w14:paraId="7489D3E6" w14:textId="77777777" w:rsidR="00207D12" w:rsidRDefault="00207D12" w:rsidP="00207D12">
            <w:pPr>
              <w:pStyle w:val="TableHeading"/>
              <w:jc w:val="right"/>
            </w:pPr>
            <w:r>
              <w:t xml:space="preserve">CBCT </w:t>
            </w:r>
          </w:p>
          <w:p w14:paraId="538A93AF" w14:textId="605D40BF" w:rsidR="00207D12" w:rsidRPr="003816D8" w:rsidRDefault="00207D12" w:rsidP="00207D12">
            <w:pPr>
              <w:pStyle w:val="TableHeading"/>
              <w:jc w:val="right"/>
            </w:pPr>
            <w:r>
              <w:t>therapy</w:t>
            </w:r>
          </w:p>
        </w:tc>
        <w:tc>
          <w:tcPr>
            <w:tcW w:w="893" w:type="pct"/>
            <w:tcBorders>
              <w:left w:val="nil"/>
              <w:bottom w:val="single" w:sz="4" w:space="0" w:color="auto"/>
            </w:tcBorders>
          </w:tcPr>
          <w:p w14:paraId="4CCBF769" w14:textId="77777777" w:rsidR="00207D12" w:rsidRDefault="00207D12" w:rsidP="00207D12">
            <w:pPr>
              <w:pStyle w:val="TableHeading"/>
            </w:pPr>
            <w:r>
              <w:t>-guided</w:t>
            </w:r>
          </w:p>
          <w:p w14:paraId="70C0AC77" w14:textId="47DF661D" w:rsidR="00207D12" w:rsidRPr="003816D8" w:rsidRDefault="00207D12" w:rsidP="00207D12">
            <w:pPr>
              <w:pStyle w:val="TableHeading"/>
            </w:pPr>
            <w:r>
              <w:t>radiation</w:t>
            </w:r>
          </w:p>
        </w:tc>
      </w:tr>
      <w:tr w:rsidR="00D12268" w:rsidRPr="00F77E8D" w14:paraId="45CD464A" w14:textId="77777777" w:rsidTr="00FA43E9">
        <w:tc>
          <w:tcPr>
            <w:tcW w:w="1429" w:type="pct"/>
          </w:tcPr>
          <w:p w14:paraId="203B0337" w14:textId="77777777" w:rsidR="00D12268" w:rsidRPr="00D45016" w:rsidRDefault="00D12268" w:rsidP="008B6FC0">
            <w:pPr>
              <w:pStyle w:val="Tabletext1"/>
              <w:keepNext/>
              <w:rPr>
                <w:b/>
              </w:rPr>
            </w:pPr>
            <w:r w:rsidRPr="00D45016">
              <w:rPr>
                <w:b/>
              </w:rPr>
              <w:t>GI toxicity</w:t>
            </w:r>
          </w:p>
        </w:tc>
        <w:tc>
          <w:tcPr>
            <w:tcW w:w="892" w:type="pct"/>
          </w:tcPr>
          <w:p w14:paraId="12F71CC4" w14:textId="77777777" w:rsidR="00D12268" w:rsidRPr="003816D8" w:rsidRDefault="00D12268" w:rsidP="008B6FC0">
            <w:pPr>
              <w:pStyle w:val="Tabletext1"/>
              <w:keepNext/>
              <w:jc w:val="center"/>
              <w:rPr>
                <w:b/>
              </w:rPr>
            </w:pPr>
            <w:r>
              <w:rPr>
                <w:b/>
              </w:rPr>
              <w:t>Acute</w:t>
            </w:r>
          </w:p>
        </w:tc>
        <w:tc>
          <w:tcPr>
            <w:tcW w:w="893" w:type="pct"/>
          </w:tcPr>
          <w:p w14:paraId="2D173F21" w14:textId="77777777" w:rsidR="00D12268" w:rsidRPr="003816D8" w:rsidRDefault="00D12268" w:rsidP="008B6FC0">
            <w:pPr>
              <w:pStyle w:val="Tabletext1"/>
              <w:keepNext/>
              <w:jc w:val="center"/>
              <w:rPr>
                <w:b/>
              </w:rPr>
            </w:pPr>
            <w:r>
              <w:rPr>
                <w:b/>
              </w:rPr>
              <w:t>Late</w:t>
            </w:r>
          </w:p>
        </w:tc>
        <w:tc>
          <w:tcPr>
            <w:tcW w:w="893" w:type="pct"/>
          </w:tcPr>
          <w:p w14:paraId="6FDDAA1B" w14:textId="77777777" w:rsidR="00D12268" w:rsidRPr="003816D8" w:rsidRDefault="00D12268" w:rsidP="008B6FC0">
            <w:pPr>
              <w:pStyle w:val="Tabletext1"/>
              <w:keepNext/>
              <w:jc w:val="center"/>
              <w:rPr>
                <w:rFonts w:cs="Calibri"/>
                <w:b/>
              </w:rPr>
            </w:pPr>
            <w:r>
              <w:rPr>
                <w:rFonts w:cs="Calibri"/>
                <w:b/>
              </w:rPr>
              <w:t>Acute*</w:t>
            </w:r>
          </w:p>
        </w:tc>
        <w:tc>
          <w:tcPr>
            <w:tcW w:w="893" w:type="pct"/>
          </w:tcPr>
          <w:p w14:paraId="25D3B4D6" w14:textId="77777777" w:rsidR="00D12268" w:rsidRPr="003816D8" w:rsidRDefault="00D12268" w:rsidP="008B6FC0">
            <w:pPr>
              <w:pStyle w:val="Tabletext1"/>
              <w:keepNext/>
              <w:jc w:val="center"/>
              <w:rPr>
                <w:rFonts w:cs="Calibri"/>
                <w:b/>
              </w:rPr>
            </w:pPr>
            <w:r>
              <w:rPr>
                <w:rFonts w:cs="Calibri"/>
                <w:b/>
              </w:rPr>
              <w:t>Late*</w:t>
            </w:r>
          </w:p>
        </w:tc>
      </w:tr>
      <w:tr w:rsidR="00D12268" w:rsidRPr="00F77E8D" w14:paraId="47311AD9" w14:textId="77777777" w:rsidTr="00FA43E9">
        <w:tc>
          <w:tcPr>
            <w:tcW w:w="1429" w:type="pct"/>
          </w:tcPr>
          <w:p w14:paraId="6F0E68D6" w14:textId="77777777" w:rsidR="00D12268" w:rsidRPr="003816D8" w:rsidRDefault="00D12268" w:rsidP="008B6FC0">
            <w:pPr>
              <w:pStyle w:val="Tabletext1"/>
              <w:keepNext/>
            </w:pPr>
            <w:r>
              <w:t>Grade 0</w:t>
            </w:r>
          </w:p>
        </w:tc>
        <w:tc>
          <w:tcPr>
            <w:tcW w:w="892" w:type="pct"/>
          </w:tcPr>
          <w:p w14:paraId="16D8BF6C" w14:textId="77777777" w:rsidR="00D12268" w:rsidRPr="003816D8" w:rsidRDefault="00D12268" w:rsidP="008B6FC0">
            <w:pPr>
              <w:pStyle w:val="Tabletext1"/>
              <w:keepNext/>
              <w:jc w:val="center"/>
            </w:pPr>
            <w:r>
              <w:t>-</w:t>
            </w:r>
          </w:p>
        </w:tc>
        <w:tc>
          <w:tcPr>
            <w:tcW w:w="893" w:type="pct"/>
          </w:tcPr>
          <w:p w14:paraId="14345872" w14:textId="77777777" w:rsidR="00D12268" w:rsidRPr="003816D8" w:rsidRDefault="00D12268" w:rsidP="008B6FC0">
            <w:pPr>
              <w:pStyle w:val="Tabletext1"/>
              <w:keepNext/>
              <w:jc w:val="center"/>
            </w:pPr>
            <w:r>
              <w:t>-</w:t>
            </w:r>
          </w:p>
        </w:tc>
        <w:tc>
          <w:tcPr>
            <w:tcW w:w="893" w:type="pct"/>
          </w:tcPr>
          <w:p w14:paraId="3731C875" w14:textId="77777777" w:rsidR="00D12268" w:rsidRPr="003816D8" w:rsidRDefault="00D12268" w:rsidP="008B6FC0">
            <w:pPr>
              <w:pStyle w:val="Tabletext1"/>
              <w:keepNext/>
              <w:jc w:val="center"/>
              <w:rPr>
                <w:rFonts w:cs="Calibri"/>
              </w:rPr>
            </w:pPr>
            <w:r>
              <w:rPr>
                <w:rFonts w:cs="Calibri"/>
              </w:rPr>
              <w:t>41%</w:t>
            </w:r>
          </w:p>
        </w:tc>
        <w:tc>
          <w:tcPr>
            <w:tcW w:w="893" w:type="pct"/>
          </w:tcPr>
          <w:p w14:paraId="0BE40F71" w14:textId="77777777" w:rsidR="00D12268" w:rsidRPr="003816D8" w:rsidRDefault="00D12268" w:rsidP="008B6FC0">
            <w:pPr>
              <w:pStyle w:val="Tabletext1"/>
              <w:keepNext/>
              <w:jc w:val="center"/>
              <w:rPr>
                <w:rFonts w:cs="Calibri"/>
              </w:rPr>
            </w:pPr>
            <w:r>
              <w:rPr>
                <w:rFonts w:cs="Calibri"/>
              </w:rPr>
              <w:t>62%</w:t>
            </w:r>
          </w:p>
        </w:tc>
      </w:tr>
      <w:tr w:rsidR="00D12268" w:rsidRPr="00F77E8D" w14:paraId="67001D78" w14:textId="77777777" w:rsidTr="00FA43E9">
        <w:tc>
          <w:tcPr>
            <w:tcW w:w="1429" w:type="pct"/>
          </w:tcPr>
          <w:p w14:paraId="41DFC488" w14:textId="77777777" w:rsidR="00D12268" w:rsidRPr="003816D8" w:rsidRDefault="00D12268" w:rsidP="00556AB6">
            <w:pPr>
              <w:pStyle w:val="Tabletext1"/>
            </w:pPr>
            <w:r>
              <w:t>Grade 1</w:t>
            </w:r>
          </w:p>
        </w:tc>
        <w:tc>
          <w:tcPr>
            <w:tcW w:w="892" w:type="pct"/>
          </w:tcPr>
          <w:p w14:paraId="40837D1B" w14:textId="77777777" w:rsidR="00D12268" w:rsidRPr="003816D8" w:rsidRDefault="00D12268" w:rsidP="00D820C4">
            <w:pPr>
              <w:pStyle w:val="Tabletext1"/>
              <w:jc w:val="center"/>
            </w:pPr>
            <w:r>
              <w:t>8%</w:t>
            </w:r>
          </w:p>
        </w:tc>
        <w:tc>
          <w:tcPr>
            <w:tcW w:w="893" w:type="pct"/>
          </w:tcPr>
          <w:p w14:paraId="0F635DA3" w14:textId="77777777" w:rsidR="00D12268" w:rsidRPr="003816D8" w:rsidRDefault="00D12268" w:rsidP="00D820C4">
            <w:pPr>
              <w:pStyle w:val="Tabletext1"/>
              <w:jc w:val="center"/>
            </w:pPr>
            <w:r>
              <w:t>-</w:t>
            </w:r>
          </w:p>
        </w:tc>
        <w:tc>
          <w:tcPr>
            <w:tcW w:w="893" w:type="pct"/>
          </w:tcPr>
          <w:p w14:paraId="720BEE1C" w14:textId="77777777" w:rsidR="00D12268" w:rsidRPr="003816D8" w:rsidRDefault="00D12268" w:rsidP="00D820C4">
            <w:pPr>
              <w:pStyle w:val="Tabletext1"/>
              <w:jc w:val="center"/>
            </w:pPr>
            <w:r>
              <w:t>23%</w:t>
            </w:r>
          </w:p>
        </w:tc>
        <w:tc>
          <w:tcPr>
            <w:tcW w:w="893" w:type="pct"/>
          </w:tcPr>
          <w:p w14:paraId="4EBA9558" w14:textId="77777777" w:rsidR="00D12268" w:rsidRPr="003816D8" w:rsidRDefault="00D12268" w:rsidP="00D820C4">
            <w:pPr>
              <w:pStyle w:val="Tabletext1"/>
              <w:jc w:val="center"/>
              <w:rPr>
                <w:rFonts w:cs="Calibri"/>
              </w:rPr>
            </w:pPr>
            <w:r>
              <w:rPr>
                <w:rFonts w:cs="Calibri"/>
              </w:rPr>
              <w:t>14%</w:t>
            </w:r>
          </w:p>
        </w:tc>
      </w:tr>
      <w:tr w:rsidR="00D12268" w:rsidRPr="00F77E8D" w14:paraId="7ABCCAF7" w14:textId="77777777" w:rsidTr="00FA43E9">
        <w:tc>
          <w:tcPr>
            <w:tcW w:w="1429" w:type="pct"/>
          </w:tcPr>
          <w:p w14:paraId="0A776FE5" w14:textId="77777777" w:rsidR="00D12268" w:rsidRPr="003816D8" w:rsidRDefault="00D12268" w:rsidP="00556AB6">
            <w:pPr>
              <w:pStyle w:val="Tabletext1"/>
            </w:pPr>
            <w:r>
              <w:t>Grade 2</w:t>
            </w:r>
          </w:p>
        </w:tc>
        <w:tc>
          <w:tcPr>
            <w:tcW w:w="892" w:type="pct"/>
          </w:tcPr>
          <w:p w14:paraId="230C5BDD" w14:textId="77777777" w:rsidR="00D12268" w:rsidRPr="003816D8" w:rsidRDefault="00D12268" w:rsidP="00D820C4">
            <w:pPr>
              <w:pStyle w:val="Tabletext1"/>
              <w:jc w:val="center"/>
            </w:pPr>
            <w:r>
              <w:t>4%</w:t>
            </w:r>
          </w:p>
        </w:tc>
        <w:tc>
          <w:tcPr>
            <w:tcW w:w="893" w:type="pct"/>
          </w:tcPr>
          <w:p w14:paraId="2C2D058D" w14:textId="77777777" w:rsidR="00D12268" w:rsidRPr="003816D8" w:rsidRDefault="00D12268" w:rsidP="00D820C4">
            <w:pPr>
              <w:pStyle w:val="Tabletext1"/>
              <w:jc w:val="center"/>
            </w:pPr>
            <w:r>
              <w:t>-</w:t>
            </w:r>
          </w:p>
        </w:tc>
        <w:tc>
          <w:tcPr>
            <w:tcW w:w="893" w:type="pct"/>
          </w:tcPr>
          <w:p w14:paraId="563ACB03" w14:textId="77777777" w:rsidR="00D12268" w:rsidRPr="003816D8" w:rsidRDefault="00D12268" w:rsidP="00D820C4">
            <w:pPr>
              <w:pStyle w:val="Tabletext1"/>
              <w:jc w:val="center"/>
            </w:pPr>
            <w:r>
              <w:t>10%</w:t>
            </w:r>
          </w:p>
        </w:tc>
        <w:tc>
          <w:tcPr>
            <w:tcW w:w="893" w:type="pct"/>
          </w:tcPr>
          <w:p w14:paraId="288B154C" w14:textId="77777777" w:rsidR="00D12268" w:rsidRPr="003816D8" w:rsidRDefault="00D12268" w:rsidP="00D820C4">
            <w:pPr>
              <w:pStyle w:val="Tabletext1"/>
              <w:jc w:val="center"/>
              <w:rPr>
                <w:rFonts w:cs="Calibri"/>
              </w:rPr>
            </w:pPr>
            <w:r>
              <w:rPr>
                <w:rFonts w:cs="Calibri"/>
              </w:rPr>
              <w:t>5%</w:t>
            </w:r>
          </w:p>
        </w:tc>
      </w:tr>
      <w:tr w:rsidR="00D12268" w:rsidRPr="00F77E8D" w14:paraId="5EEFB80E" w14:textId="77777777" w:rsidTr="00FA43E9">
        <w:tc>
          <w:tcPr>
            <w:tcW w:w="1429" w:type="pct"/>
          </w:tcPr>
          <w:p w14:paraId="37C35513" w14:textId="77777777" w:rsidR="00D12268" w:rsidRPr="003816D8" w:rsidRDefault="00D12268" w:rsidP="00556AB6">
            <w:pPr>
              <w:pStyle w:val="Tabletext1"/>
            </w:pPr>
            <w:r>
              <w:t>Grade 3</w:t>
            </w:r>
          </w:p>
        </w:tc>
        <w:tc>
          <w:tcPr>
            <w:tcW w:w="892" w:type="pct"/>
          </w:tcPr>
          <w:p w14:paraId="5BA390BE" w14:textId="77777777" w:rsidR="00D12268" w:rsidRPr="003816D8" w:rsidRDefault="00D12268" w:rsidP="00D820C4">
            <w:pPr>
              <w:pStyle w:val="Tabletext1"/>
              <w:jc w:val="center"/>
            </w:pPr>
            <w:r>
              <w:t>-</w:t>
            </w:r>
          </w:p>
        </w:tc>
        <w:tc>
          <w:tcPr>
            <w:tcW w:w="893" w:type="pct"/>
          </w:tcPr>
          <w:p w14:paraId="2CF4B6DF" w14:textId="77777777" w:rsidR="00D12268" w:rsidRPr="003816D8" w:rsidRDefault="00D12268" w:rsidP="00D820C4">
            <w:pPr>
              <w:pStyle w:val="Tabletext1"/>
              <w:jc w:val="center"/>
            </w:pPr>
            <w:r>
              <w:t>-</w:t>
            </w:r>
          </w:p>
        </w:tc>
        <w:tc>
          <w:tcPr>
            <w:tcW w:w="893" w:type="pct"/>
          </w:tcPr>
          <w:p w14:paraId="4318476D" w14:textId="77777777" w:rsidR="00D12268" w:rsidRPr="003816D8" w:rsidRDefault="00D12268" w:rsidP="00D820C4">
            <w:pPr>
              <w:pStyle w:val="Tabletext1"/>
              <w:jc w:val="center"/>
            </w:pPr>
            <w:r>
              <w:t>1%</w:t>
            </w:r>
          </w:p>
        </w:tc>
        <w:tc>
          <w:tcPr>
            <w:tcW w:w="893" w:type="pct"/>
          </w:tcPr>
          <w:p w14:paraId="15790634" w14:textId="77777777" w:rsidR="00D12268" w:rsidRPr="003816D8" w:rsidRDefault="00D12268" w:rsidP="00D820C4">
            <w:pPr>
              <w:pStyle w:val="Tabletext1"/>
              <w:jc w:val="center"/>
              <w:rPr>
                <w:rFonts w:cs="Calibri"/>
              </w:rPr>
            </w:pPr>
            <w:r>
              <w:rPr>
                <w:rFonts w:cs="Calibri"/>
              </w:rPr>
              <w:t>1%</w:t>
            </w:r>
          </w:p>
        </w:tc>
      </w:tr>
      <w:tr w:rsidR="00D12268" w:rsidRPr="00F77E8D" w14:paraId="22C53565" w14:textId="77777777" w:rsidTr="00FA43E9">
        <w:tc>
          <w:tcPr>
            <w:tcW w:w="1429" w:type="pct"/>
          </w:tcPr>
          <w:p w14:paraId="2D74CFA6" w14:textId="77777777" w:rsidR="00D12268" w:rsidRPr="003816D8" w:rsidRDefault="00D12268" w:rsidP="00556AB6">
            <w:pPr>
              <w:pStyle w:val="Tabletext1"/>
            </w:pPr>
            <w:r>
              <w:t>Grade 4</w:t>
            </w:r>
          </w:p>
        </w:tc>
        <w:tc>
          <w:tcPr>
            <w:tcW w:w="892" w:type="pct"/>
          </w:tcPr>
          <w:p w14:paraId="754ECF9E" w14:textId="77777777" w:rsidR="00D12268" w:rsidRPr="003816D8" w:rsidRDefault="00D12268" w:rsidP="00D820C4">
            <w:pPr>
              <w:pStyle w:val="Tabletext1"/>
              <w:jc w:val="center"/>
            </w:pPr>
            <w:r>
              <w:t>-</w:t>
            </w:r>
          </w:p>
        </w:tc>
        <w:tc>
          <w:tcPr>
            <w:tcW w:w="893" w:type="pct"/>
          </w:tcPr>
          <w:p w14:paraId="6B7FE911" w14:textId="77777777" w:rsidR="00D12268" w:rsidRPr="003816D8" w:rsidRDefault="00D12268" w:rsidP="00D820C4">
            <w:pPr>
              <w:pStyle w:val="Tabletext1"/>
              <w:jc w:val="center"/>
            </w:pPr>
            <w:r>
              <w:t>-</w:t>
            </w:r>
          </w:p>
        </w:tc>
        <w:tc>
          <w:tcPr>
            <w:tcW w:w="893" w:type="pct"/>
          </w:tcPr>
          <w:p w14:paraId="251D1701" w14:textId="77777777" w:rsidR="00D12268" w:rsidRPr="003816D8" w:rsidRDefault="00D12268" w:rsidP="00D820C4">
            <w:pPr>
              <w:pStyle w:val="Tabletext1"/>
              <w:jc w:val="center"/>
            </w:pPr>
            <w:r>
              <w:t>3%</w:t>
            </w:r>
          </w:p>
        </w:tc>
        <w:tc>
          <w:tcPr>
            <w:tcW w:w="893" w:type="pct"/>
          </w:tcPr>
          <w:p w14:paraId="68085581" w14:textId="77777777" w:rsidR="00D12268" w:rsidRPr="003816D8" w:rsidRDefault="00D12268" w:rsidP="00D820C4">
            <w:pPr>
              <w:pStyle w:val="Tabletext1"/>
              <w:jc w:val="center"/>
              <w:rPr>
                <w:rFonts w:cs="Calibri"/>
              </w:rPr>
            </w:pPr>
            <w:r>
              <w:rPr>
                <w:rFonts w:cs="Calibri"/>
              </w:rPr>
              <w:t>3%</w:t>
            </w:r>
          </w:p>
        </w:tc>
      </w:tr>
      <w:tr w:rsidR="00D12268" w:rsidRPr="00F77E8D" w14:paraId="4CC479C3" w14:textId="77777777" w:rsidTr="00FA43E9">
        <w:tc>
          <w:tcPr>
            <w:tcW w:w="1429" w:type="pct"/>
          </w:tcPr>
          <w:p w14:paraId="029E1D04" w14:textId="77777777" w:rsidR="00D12268" w:rsidRPr="003816D8" w:rsidRDefault="00D12268" w:rsidP="00556AB6">
            <w:pPr>
              <w:pStyle w:val="Tabletext1"/>
              <w:rPr>
                <w:b/>
                <w:snapToGrid w:val="0"/>
                <w:lang w:eastAsia="en-US"/>
              </w:rPr>
            </w:pPr>
            <w:r>
              <w:rPr>
                <w:b/>
                <w:snapToGrid w:val="0"/>
                <w:lang w:eastAsia="en-US"/>
              </w:rPr>
              <w:t>GU toxicity</w:t>
            </w:r>
          </w:p>
        </w:tc>
        <w:tc>
          <w:tcPr>
            <w:tcW w:w="892" w:type="pct"/>
          </w:tcPr>
          <w:p w14:paraId="06CBD436" w14:textId="77777777" w:rsidR="00D12268" w:rsidRPr="003816D8" w:rsidRDefault="00D12268" w:rsidP="00D820C4">
            <w:pPr>
              <w:pStyle w:val="Tabletext1"/>
              <w:jc w:val="center"/>
              <w:rPr>
                <w:b/>
              </w:rPr>
            </w:pPr>
            <w:r>
              <w:rPr>
                <w:b/>
              </w:rPr>
              <w:t>Acute</w:t>
            </w:r>
          </w:p>
        </w:tc>
        <w:tc>
          <w:tcPr>
            <w:tcW w:w="893" w:type="pct"/>
          </w:tcPr>
          <w:p w14:paraId="5498C01C" w14:textId="77777777" w:rsidR="00D12268" w:rsidRPr="003816D8" w:rsidRDefault="00D12268" w:rsidP="00D820C4">
            <w:pPr>
              <w:pStyle w:val="Tabletext1"/>
              <w:jc w:val="center"/>
              <w:rPr>
                <w:b/>
              </w:rPr>
            </w:pPr>
            <w:r>
              <w:rPr>
                <w:b/>
              </w:rPr>
              <w:t>Late</w:t>
            </w:r>
          </w:p>
        </w:tc>
        <w:tc>
          <w:tcPr>
            <w:tcW w:w="893" w:type="pct"/>
          </w:tcPr>
          <w:p w14:paraId="030ECE41" w14:textId="77777777" w:rsidR="00D12268" w:rsidRPr="003816D8" w:rsidRDefault="00D12268" w:rsidP="00D820C4">
            <w:pPr>
              <w:pStyle w:val="Tabletext1"/>
              <w:jc w:val="center"/>
              <w:rPr>
                <w:rFonts w:cs="Calibri"/>
                <w:b/>
              </w:rPr>
            </w:pPr>
            <w:r>
              <w:rPr>
                <w:rFonts w:cs="Calibri"/>
                <w:b/>
              </w:rPr>
              <w:t>Acute*</w:t>
            </w:r>
          </w:p>
        </w:tc>
        <w:tc>
          <w:tcPr>
            <w:tcW w:w="893" w:type="pct"/>
          </w:tcPr>
          <w:p w14:paraId="6A0B40DE" w14:textId="77777777" w:rsidR="00D12268" w:rsidRDefault="00D12268" w:rsidP="00D820C4">
            <w:pPr>
              <w:pStyle w:val="Tabletext1"/>
              <w:jc w:val="center"/>
              <w:rPr>
                <w:rFonts w:cs="Calibri"/>
                <w:b/>
              </w:rPr>
            </w:pPr>
            <w:r>
              <w:rPr>
                <w:rFonts w:cs="Calibri"/>
                <w:b/>
              </w:rPr>
              <w:t>Late*</w:t>
            </w:r>
          </w:p>
        </w:tc>
      </w:tr>
      <w:tr w:rsidR="00D12268" w:rsidRPr="00F77E8D" w14:paraId="3EE006C5" w14:textId="77777777" w:rsidTr="00FA43E9">
        <w:tc>
          <w:tcPr>
            <w:tcW w:w="1429" w:type="pct"/>
          </w:tcPr>
          <w:p w14:paraId="28801B03" w14:textId="77777777" w:rsidR="00D12268" w:rsidRPr="003816D8" w:rsidRDefault="00D12268" w:rsidP="00556AB6">
            <w:pPr>
              <w:pStyle w:val="Tabletext1"/>
              <w:rPr>
                <w:b/>
              </w:rPr>
            </w:pPr>
            <w:r>
              <w:t>Grade 0</w:t>
            </w:r>
          </w:p>
        </w:tc>
        <w:tc>
          <w:tcPr>
            <w:tcW w:w="892" w:type="pct"/>
          </w:tcPr>
          <w:p w14:paraId="55990E84" w14:textId="77777777" w:rsidR="00D12268" w:rsidRPr="00D45016" w:rsidRDefault="00D12268" w:rsidP="00D820C4">
            <w:pPr>
              <w:pStyle w:val="Tabletext1"/>
              <w:jc w:val="center"/>
            </w:pPr>
            <w:r w:rsidRPr="00D45016">
              <w:t>-</w:t>
            </w:r>
          </w:p>
        </w:tc>
        <w:tc>
          <w:tcPr>
            <w:tcW w:w="893" w:type="pct"/>
          </w:tcPr>
          <w:p w14:paraId="6BCEC248" w14:textId="77777777" w:rsidR="00D12268" w:rsidRPr="00420399" w:rsidRDefault="00D12268" w:rsidP="00D820C4">
            <w:pPr>
              <w:pStyle w:val="Tabletext1"/>
              <w:jc w:val="center"/>
            </w:pPr>
            <w:r w:rsidRPr="00420399">
              <w:t>-</w:t>
            </w:r>
          </w:p>
        </w:tc>
        <w:tc>
          <w:tcPr>
            <w:tcW w:w="893" w:type="pct"/>
          </w:tcPr>
          <w:p w14:paraId="7600264F" w14:textId="77777777" w:rsidR="00D12268" w:rsidRPr="00420399" w:rsidRDefault="00D12268" w:rsidP="00D820C4">
            <w:pPr>
              <w:pStyle w:val="Tabletext1"/>
              <w:jc w:val="center"/>
              <w:rPr>
                <w:rFonts w:cs="Calibri"/>
              </w:rPr>
            </w:pPr>
            <w:r w:rsidRPr="00420399">
              <w:rPr>
                <w:rFonts w:cs="Calibri"/>
              </w:rPr>
              <w:t>26%</w:t>
            </w:r>
          </w:p>
        </w:tc>
        <w:tc>
          <w:tcPr>
            <w:tcW w:w="893" w:type="pct"/>
          </w:tcPr>
          <w:p w14:paraId="7ECAA31A" w14:textId="77777777" w:rsidR="00D12268" w:rsidRPr="00420399" w:rsidRDefault="00D12268" w:rsidP="00D820C4">
            <w:pPr>
              <w:pStyle w:val="Tabletext1"/>
              <w:jc w:val="center"/>
              <w:rPr>
                <w:rFonts w:cs="Calibri"/>
              </w:rPr>
            </w:pPr>
            <w:r w:rsidRPr="00420399">
              <w:rPr>
                <w:rFonts w:cs="Calibri"/>
              </w:rPr>
              <w:t>63%</w:t>
            </w:r>
          </w:p>
        </w:tc>
      </w:tr>
      <w:tr w:rsidR="00D12268" w:rsidRPr="00F77E8D" w14:paraId="643C3426" w14:textId="77777777" w:rsidTr="00FA43E9">
        <w:tc>
          <w:tcPr>
            <w:tcW w:w="1429" w:type="pct"/>
          </w:tcPr>
          <w:p w14:paraId="337083D1" w14:textId="77777777" w:rsidR="00D12268" w:rsidRPr="003816D8" w:rsidRDefault="00D12268" w:rsidP="00556AB6">
            <w:pPr>
              <w:pStyle w:val="Tabletext1"/>
            </w:pPr>
            <w:r>
              <w:t>Grade 1</w:t>
            </w:r>
          </w:p>
        </w:tc>
        <w:tc>
          <w:tcPr>
            <w:tcW w:w="892" w:type="pct"/>
          </w:tcPr>
          <w:p w14:paraId="7E7DB101" w14:textId="77777777" w:rsidR="00D12268" w:rsidRPr="003816D8" w:rsidRDefault="00D12268" w:rsidP="00D820C4">
            <w:pPr>
              <w:pStyle w:val="Tabletext1"/>
              <w:jc w:val="center"/>
            </w:pPr>
            <w:r>
              <w:t>24%</w:t>
            </w:r>
          </w:p>
        </w:tc>
        <w:tc>
          <w:tcPr>
            <w:tcW w:w="893" w:type="pct"/>
          </w:tcPr>
          <w:p w14:paraId="36FC6987" w14:textId="77777777" w:rsidR="00D12268" w:rsidRPr="003816D8" w:rsidRDefault="00D12268" w:rsidP="00D820C4">
            <w:pPr>
              <w:pStyle w:val="Tabletext1"/>
              <w:jc w:val="center"/>
            </w:pPr>
            <w:r>
              <w:t>-</w:t>
            </w:r>
          </w:p>
        </w:tc>
        <w:tc>
          <w:tcPr>
            <w:tcW w:w="893" w:type="pct"/>
          </w:tcPr>
          <w:p w14:paraId="0C6924C1" w14:textId="77777777" w:rsidR="00D12268" w:rsidRPr="003816D8" w:rsidRDefault="00D12268" w:rsidP="00D820C4">
            <w:pPr>
              <w:pStyle w:val="Tabletext1"/>
              <w:jc w:val="center"/>
              <w:rPr>
                <w:rFonts w:cs="Calibri"/>
              </w:rPr>
            </w:pPr>
            <w:r>
              <w:rPr>
                <w:rFonts w:cs="Calibri"/>
              </w:rPr>
              <w:t>36%</w:t>
            </w:r>
          </w:p>
        </w:tc>
        <w:tc>
          <w:tcPr>
            <w:tcW w:w="893" w:type="pct"/>
          </w:tcPr>
          <w:p w14:paraId="38B3C93E" w14:textId="77777777" w:rsidR="00D12268" w:rsidRPr="003816D8" w:rsidRDefault="00D12268" w:rsidP="00D820C4">
            <w:pPr>
              <w:pStyle w:val="Tabletext1"/>
              <w:jc w:val="center"/>
              <w:rPr>
                <w:rFonts w:cs="Calibri"/>
              </w:rPr>
            </w:pPr>
            <w:r>
              <w:rPr>
                <w:rFonts w:cs="Calibri"/>
              </w:rPr>
              <w:t>16%</w:t>
            </w:r>
          </w:p>
        </w:tc>
      </w:tr>
      <w:tr w:rsidR="00D12268" w:rsidRPr="00F77E8D" w14:paraId="2F9808D9" w14:textId="77777777" w:rsidTr="00FA43E9">
        <w:tc>
          <w:tcPr>
            <w:tcW w:w="1429" w:type="pct"/>
          </w:tcPr>
          <w:p w14:paraId="74A993D5" w14:textId="77777777" w:rsidR="00D12268" w:rsidRPr="003816D8" w:rsidRDefault="00D12268" w:rsidP="00556AB6">
            <w:pPr>
              <w:pStyle w:val="Tabletext1"/>
            </w:pPr>
            <w:r>
              <w:t>Grade 2</w:t>
            </w:r>
          </w:p>
        </w:tc>
        <w:tc>
          <w:tcPr>
            <w:tcW w:w="892" w:type="pct"/>
          </w:tcPr>
          <w:p w14:paraId="28994027" w14:textId="77777777" w:rsidR="00D12268" w:rsidRPr="003816D8" w:rsidRDefault="00D12268" w:rsidP="00D820C4">
            <w:pPr>
              <w:pStyle w:val="Tabletext1"/>
              <w:jc w:val="center"/>
            </w:pPr>
            <w:r>
              <w:t>12%</w:t>
            </w:r>
          </w:p>
        </w:tc>
        <w:tc>
          <w:tcPr>
            <w:tcW w:w="893" w:type="pct"/>
          </w:tcPr>
          <w:p w14:paraId="1A3ECFB1" w14:textId="77777777" w:rsidR="00D12268" w:rsidRPr="003816D8" w:rsidRDefault="00D12268" w:rsidP="00D820C4">
            <w:pPr>
              <w:pStyle w:val="Tabletext1"/>
              <w:jc w:val="center"/>
            </w:pPr>
            <w:r>
              <w:t>-</w:t>
            </w:r>
          </w:p>
        </w:tc>
        <w:tc>
          <w:tcPr>
            <w:tcW w:w="893" w:type="pct"/>
          </w:tcPr>
          <w:p w14:paraId="76B283A0" w14:textId="77777777" w:rsidR="00D12268" w:rsidRPr="003816D8" w:rsidRDefault="00D12268" w:rsidP="00D820C4">
            <w:pPr>
              <w:pStyle w:val="Tabletext1"/>
              <w:jc w:val="center"/>
              <w:rPr>
                <w:rFonts w:cs="Calibri"/>
              </w:rPr>
            </w:pPr>
            <w:r>
              <w:rPr>
                <w:rFonts w:cs="Calibri"/>
              </w:rPr>
              <w:t>16%</w:t>
            </w:r>
          </w:p>
        </w:tc>
        <w:tc>
          <w:tcPr>
            <w:tcW w:w="893" w:type="pct"/>
          </w:tcPr>
          <w:p w14:paraId="39709885" w14:textId="77777777" w:rsidR="00D12268" w:rsidRPr="003816D8" w:rsidRDefault="00D12268" w:rsidP="00D820C4">
            <w:pPr>
              <w:pStyle w:val="Tabletext1"/>
              <w:jc w:val="center"/>
              <w:rPr>
                <w:rFonts w:cs="Calibri"/>
              </w:rPr>
            </w:pPr>
            <w:r>
              <w:rPr>
                <w:rFonts w:cs="Calibri"/>
              </w:rPr>
              <w:t>11%</w:t>
            </w:r>
          </w:p>
        </w:tc>
      </w:tr>
      <w:tr w:rsidR="00D12268" w:rsidRPr="00F77E8D" w14:paraId="0F46EE5A" w14:textId="77777777" w:rsidTr="00FA43E9">
        <w:tc>
          <w:tcPr>
            <w:tcW w:w="1429" w:type="pct"/>
          </w:tcPr>
          <w:p w14:paraId="76984133" w14:textId="77777777" w:rsidR="00D12268" w:rsidRPr="003816D8" w:rsidRDefault="00D12268" w:rsidP="00556AB6">
            <w:pPr>
              <w:pStyle w:val="Tabletext1"/>
            </w:pPr>
            <w:r>
              <w:t>Grade 3</w:t>
            </w:r>
          </w:p>
        </w:tc>
        <w:tc>
          <w:tcPr>
            <w:tcW w:w="892" w:type="pct"/>
          </w:tcPr>
          <w:p w14:paraId="4A0A2F99" w14:textId="77777777" w:rsidR="00D12268" w:rsidRPr="003816D8" w:rsidRDefault="00D12268" w:rsidP="00D820C4">
            <w:pPr>
              <w:pStyle w:val="Tabletext1"/>
              <w:jc w:val="center"/>
            </w:pPr>
            <w:r>
              <w:t>-</w:t>
            </w:r>
          </w:p>
        </w:tc>
        <w:tc>
          <w:tcPr>
            <w:tcW w:w="893" w:type="pct"/>
          </w:tcPr>
          <w:p w14:paraId="03D0D3FB" w14:textId="77777777" w:rsidR="00D12268" w:rsidRPr="003816D8" w:rsidRDefault="00D12268" w:rsidP="00D820C4">
            <w:pPr>
              <w:pStyle w:val="Tabletext1"/>
              <w:jc w:val="center"/>
            </w:pPr>
            <w:r>
              <w:t>-</w:t>
            </w:r>
          </w:p>
        </w:tc>
        <w:tc>
          <w:tcPr>
            <w:tcW w:w="893" w:type="pct"/>
          </w:tcPr>
          <w:p w14:paraId="7D60FE06" w14:textId="77777777" w:rsidR="00D12268" w:rsidRPr="003816D8" w:rsidRDefault="00D12268" w:rsidP="00D820C4">
            <w:pPr>
              <w:pStyle w:val="Tabletext1"/>
              <w:jc w:val="center"/>
              <w:rPr>
                <w:rFonts w:cs="Calibri"/>
              </w:rPr>
            </w:pPr>
            <w:r>
              <w:rPr>
                <w:rFonts w:cs="Calibri"/>
              </w:rPr>
              <w:t>2%</w:t>
            </w:r>
          </w:p>
        </w:tc>
        <w:tc>
          <w:tcPr>
            <w:tcW w:w="893" w:type="pct"/>
          </w:tcPr>
          <w:p w14:paraId="0CFE3514" w14:textId="77777777" w:rsidR="00D12268" w:rsidRPr="003816D8" w:rsidRDefault="00D12268" w:rsidP="00D820C4">
            <w:pPr>
              <w:pStyle w:val="Tabletext1"/>
              <w:jc w:val="center"/>
              <w:rPr>
                <w:rFonts w:cs="Calibri"/>
              </w:rPr>
            </w:pPr>
            <w:r>
              <w:rPr>
                <w:rFonts w:cs="Calibri"/>
              </w:rPr>
              <w:t>2%</w:t>
            </w:r>
          </w:p>
        </w:tc>
      </w:tr>
      <w:tr w:rsidR="00D12268" w:rsidRPr="00F77E8D" w14:paraId="3BAE0AA0" w14:textId="77777777" w:rsidTr="00FA43E9">
        <w:tc>
          <w:tcPr>
            <w:tcW w:w="1429" w:type="pct"/>
          </w:tcPr>
          <w:p w14:paraId="2F329B02" w14:textId="77777777" w:rsidR="00D12268" w:rsidRPr="003816D8" w:rsidRDefault="00D12268" w:rsidP="00556AB6">
            <w:pPr>
              <w:pStyle w:val="Tabletext1"/>
            </w:pPr>
            <w:r>
              <w:t>Grade 4</w:t>
            </w:r>
          </w:p>
        </w:tc>
        <w:tc>
          <w:tcPr>
            <w:tcW w:w="892" w:type="pct"/>
          </w:tcPr>
          <w:p w14:paraId="43716AED" w14:textId="77777777" w:rsidR="00D12268" w:rsidRPr="003816D8" w:rsidRDefault="00D12268" w:rsidP="00D820C4">
            <w:pPr>
              <w:pStyle w:val="Tabletext1"/>
              <w:jc w:val="center"/>
            </w:pPr>
            <w:r>
              <w:t>-</w:t>
            </w:r>
          </w:p>
        </w:tc>
        <w:tc>
          <w:tcPr>
            <w:tcW w:w="893" w:type="pct"/>
          </w:tcPr>
          <w:p w14:paraId="711FDFB6" w14:textId="77777777" w:rsidR="00D12268" w:rsidRPr="003816D8" w:rsidRDefault="00D12268" w:rsidP="00D820C4">
            <w:pPr>
              <w:pStyle w:val="Tabletext1"/>
              <w:jc w:val="center"/>
            </w:pPr>
            <w:r>
              <w:t>-</w:t>
            </w:r>
          </w:p>
        </w:tc>
        <w:tc>
          <w:tcPr>
            <w:tcW w:w="893" w:type="pct"/>
          </w:tcPr>
          <w:p w14:paraId="6ED62C3F" w14:textId="77777777" w:rsidR="00D12268" w:rsidRPr="003816D8" w:rsidRDefault="00D12268" w:rsidP="00D820C4">
            <w:pPr>
              <w:pStyle w:val="Tabletext1"/>
              <w:jc w:val="center"/>
              <w:rPr>
                <w:rFonts w:cs="Calibri"/>
              </w:rPr>
            </w:pPr>
            <w:r>
              <w:rPr>
                <w:rFonts w:cs="Calibri"/>
              </w:rPr>
              <w:t>-</w:t>
            </w:r>
          </w:p>
        </w:tc>
        <w:tc>
          <w:tcPr>
            <w:tcW w:w="893" w:type="pct"/>
          </w:tcPr>
          <w:p w14:paraId="296C52B7" w14:textId="77777777" w:rsidR="00D12268" w:rsidRPr="003816D8" w:rsidRDefault="00D12268" w:rsidP="00D820C4">
            <w:pPr>
              <w:pStyle w:val="Tabletext1"/>
              <w:jc w:val="center"/>
              <w:rPr>
                <w:rFonts w:cs="Calibri"/>
              </w:rPr>
            </w:pPr>
            <w:r>
              <w:rPr>
                <w:rFonts w:cs="Calibri"/>
              </w:rPr>
              <w:t>-</w:t>
            </w:r>
          </w:p>
        </w:tc>
      </w:tr>
    </w:tbl>
    <w:p w14:paraId="1EDA754B" w14:textId="77777777" w:rsidR="00D12268" w:rsidRDefault="00D12268" w:rsidP="00D12268">
      <w:pPr>
        <w:pStyle w:val="Tablenotes0"/>
        <w:spacing w:after="240" w:line="312" w:lineRule="auto"/>
      </w:pPr>
      <w:r>
        <w:t xml:space="preserve">MRI=Magnetic resonance imaging; CBCT=Cone beam computed tomography; GI=Gastrointestinal; GU=Genitourinary. * Average was taken across studies reporting the same toxicity data. </w:t>
      </w:r>
    </w:p>
    <w:p w14:paraId="3DD27791" w14:textId="77777777" w:rsidR="00D12268" w:rsidRPr="00183E4D" w:rsidRDefault="00D12268" w:rsidP="00D12268">
      <w:pPr>
        <w:pStyle w:val="Heading2"/>
        <w:numPr>
          <w:ilvl w:val="3"/>
          <w:numId w:val="10"/>
        </w:numPr>
      </w:pPr>
      <w:bookmarkStart w:id="555" w:name="_Toc381796480"/>
      <w:bookmarkStart w:id="556" w:name="_Ref59016629"/>
      <w:bookmarkStart w:id="557" w:name="_Toc59018801"/>
      <w:bookmarkStart w:id="558" w:name="_Toc59020345"/>
      <w:bookmarkStart w:id="559" w:name="_Toc59439567"/>
      <w:bookmarkStart w:id="560" w:name="_Ref59441103"/>
      <w:bookmarkStart w:id="561" w:name="_Ref59441556"/>
      <w:bookmarkStart w:id="562" w:name="_Toc89857839"/>
      <w:r>
        <w:t>Results of</w:t>
      </w:r>
      <w:r w:rsidRPr="00183E4D">
        <w:t xml:space="preserve"> the </w:t>
      </w:r>
      <w:r>
        <w:t>Economic E</w:t>
      </w:r>
      <w:r w:rsidRPr="00183E4D">
        <w:t>valuation</w:t>
      </w:r>
      <w:bookmarkEnd w:id="555"/>
      <w:bookmarkEnd w:id="556"/>
      <w:bookmarkEnd w:id="557"/>
      <w:bookmarkEnd w:id="558"/>
      <w:bookmarkEnd w:id="559"/>
      <w:bookmarkEnd w:id="560"/>
      <w:bookmarkEnd w:id="561"/>
      <w:bookmarkEnd w:id="562"/>
    </w:p>
    <w:p w14:paraId="4E41CDCA" w14:textId="77777777" w:rsidR="00D12268" w:rsidRDefault="00D12268" w:rsidP="00D12268">
      <w:pPr>
        <w:pStyle w:val="Heading3"/>
      </w:pPr>
      <w:bookmarkStart w:id="563" w:name="_Toc59018802"/>
      <w:bookmarkStart w:id="564" w:name="_Toc59020346"/>
      <w:bookmarkStart w:id="565" w:name="_Toc59439568"/>
      <w:bookmarkStart w:id="566" w:name="_Toc89857840"/>
      <w:r>
        <w:t>Disaggregated costs</w:t>
      </w:r>
      <w:bookmarkEnd w:id="563"/>
      <w:bookmarkEnd w:id="564"/>
      <w:bookmarkEnd w:id="565"/>
      <w:bookmarkEnd w:id="566"/>
    </w:p>
    <w:p w14:paraId="4D80AF99" w14:textId="2606AA91" w:rsidR="00D12268" w:rsidRDefault="00D12268" w:rsidP="00D12268">
      <w:r>
        <w:t xml:space="preserve">The frequency of each type of resource item multiplied by the appropriate unit cost of the resource item is summarised in </w:t>
      </w:r>
      <w:r>
        <w:fldChar w:fldCharType="begin"/>
      </w:r>
      <w:r>
        <w:instrText xml:space="preserve"> REF _Ref58240197 \h </w:instrText>
      </w:r>
      <w:r>
        <w:fldChar w:fldCharType="separate"/>
      </w:r>
      <w:r w:rsidR="00451350">
        <w:t xml:space="preserve">Table </w:t>
      </w:r>
      <w:r w:rsidR="00451350">
        <w:rPr>
          <w:noProof/>
        </w:rPr>
        <w:t>47</w:t>
      </w:r>
      <w:r>
        <w:fldChar w:fldCharType="end"/>
      </w:r>
      <w:r>
        <w:t xml:space="preserve">, </w:t>
      </w:r>
      <w:r>
        <w:fldChar w:fldCharType="begin"/>
      </w:r>
      <w:r>
        <w:instrText xml:space="preserve"> REF _Ref58337105 \h </w:instrText>
      </w:r>
      <w:r>
        <w:fldChar w:fldCharType="separate"/>
      </w:r>
      <w:r w:rsidR="00451350">
        <w:t xml:space="preserve">Table </w:t>
      </w:r>
      <w:r w:rsidR="00451350">
        <w:rPr>
          <w:noProof/>
        </w:rPr>
        <w:t>48</w:t>
      </w:r>
      <w:r>
        <w:fldChar w:fldCharType="end"/>
      </w:r>
      <w:r>
        <w:t xml:space="preserve">, and </w:t>
      </w:r>
      <w:r>
        <w:fldChar w:fldCharType="begin"/>
      </w:r>
      <w:r>
        <w:instrText xml:space="preserve"> REF _Ref58337324 \h </w:instrText>
      </w:r>
      <w:r>
        <w:fldChar w:fldCharType="separate"/>
      </w:r>
      <w:r w:rsidR="00451350">
        <w:t xml:space="preserve">Table </w:t>
      </w:r>
      <w:r w:rsidR="00451350">
        <w:rPr>
          <w:noProof/>
        </w:rPr>
        <w:t>49</w:t>
      </w:r>
      <w:r>
        <w:fldChar w:fldCharType="end"/>
      </w:r>
      <w:r>
        <w:t xml:space="preserve">. The disaggregated costs for each step of MRI-guided radiation therapy and CBCT-guided radiation therapy and the adverse events cost for prostate cancer patients is provided in </w:t>
      </w:r>
      <w:r>
        <w:fldChar w:fldCharType="begin"/>
      </w:r>
      <w:r>
        <w:instrText xml:space="preserve"> REF _Ref58249912 \h </w:instrText>
      </w:r>
      <w:r>
        <w:fldChar w:fldCharType="separate"/>
      </w:r>
      <w:r w:rsidR="00451350">
        <w:t xml:space="preserve">Table </w:t>
      </w:r>
      <w:r w:rsidR="00451350">
        <w:rPr>
          <w:noProof/>
        </w:rPr>
        <w:t>51</w:t>
      </w:r>
      <w:r>
        <w:fldChar w:fldCharType="end"/>
      </w:r>
      <w:r>
        <w:t xml:space="preserve">. </w:t>
      </w:r>
    </w:p>
    <w:p w14:paraId="5CDD6C07" w14:textId="56CCD584" w:rsidR="00D12268" w:rsidRDefault="00D12268" w:rsidP="00D12268">
      <w:pPr>
        <w:pStyle w:val="Caption"/>
      </w:pPr>
      <w:bookmarkStart w:id="567" w:name="_Ref58249912"/>
      <w:bookmarkStart w:id="568" w:name="_Toc89857922"/>
      <w:r>
        <w:t xml:space="preserve">Table </w:t>
      </w:r>
      <w:r w:rsidR="00211285">
        <w:fldChar w:fldCharType="begin"/>
      </w:r>
      <w:r w:rsidR="00211285">
        <w:instrText xml:space="preserve"> SEQ Table \* ARABIC </w:instrText>
      </w:r>
      <w:r w:rsidR="00211285">
        <w:fldChar w:fldCharType="separate"/>
      </w:r>
      <w:r w:rsidR="00451350">
        <w:rPr>
          <w:noProof/>
        </w:rPr>
        <w:t>51</w:t>
      </w:r>
      <w:r w:rsidR="00211285">
        <w:rPr>
          <w:noProof/>
        </w:rPr>
        <w:fldChar w:fldCharType="end"/>
      </w:r>
      <w:bookmarkEnd w:id="567"/>
      <w:r>
        <w:tab/>
        <w:t>Disaggregated costs</w:t>
      </w:r>
      <w:bookmarkEnd w:id="568"/>
    </w:p>
    <w:tbl>
      <w:tblPr>
        <w:tblStyle w:val="TableGrid2"/>
        <w:tblW w:w="5000" w:type="pct"/>
        <w:tblLook w:val="04A0" w:firstRow="1" w:lastRow="0" w:firstColumn="1" w:lastColumn="0" w:noHBand="0" w:noVBand="1"/>
      </w:tblPr>
      <w:tblGrid>
        <w:gridCol w:w="2779"/>
        <w:gridCol w:w="1639"/>
        <w:gridCol w:w="2299"/>
        <w:gridCol w:w="2299"/>
      </w:tblGrid>
      <w:tr w:rsidR="00D12268" w:rsidRPr="003816D8" w14:paraId="3BFA45E0" w14:textId="77777777" w:rsidTr="00D347A1">
        <w:trPr>
          <w:cnfStyle w:val="100000000000" w:firstRow="1" w:lastRow="0" w:firstColumn="0" w:lastColumn="0" w:oddVBand="0" w:evenVBand="0" w:oddHBand="0" w:evenHBand="0" w:firstRowFirstColumn="0" w:firstRowLastColumn="0" w:lastRowFirstColumn="0" w:lastRowLastColumn="0"/>
          <w:cantSplit/>
          <w:tblHeader/>
        </w:trPr>
        <w:tc>
          <w:tcPr>
            <w:tcW w:w="1541" w:type="pct"/>
          </w:tcPr>
          <w:p w14:paraId="35863484" w14:textId="77777777" w:rsidR="00D12268" w:rsidRPr="00FA43E9" w:rsidRDefault="00D12268" w:rsidP="00D820C4">
            <w:pPr>
              <w:pStyle w:val="TableHeading"/>
            </w:pPr>
            <w:r w:rsidRPr="00FA43E9">
              <w:t>Category</w:t>
            </w:r>
          </w:p>
        </w:tc>
        <w:tc>
          <w:tcPr>
            <w:tcW w:w="909" w:type="pct"/>
            <w:vAlign w:val="center"/>
          </w:tcPr>
          <w:p w14:paraId="78997BF9" w14:textId="77777777" w:rsidR="00D12268" w:rsidRPr="00FA43E9" w:rsidRDefault="00D12268" w:rsidP="00C23E8A">
            <w:pPr>
              <w:pStyle w:val="TableHeading"/>
              <w:jc w:val="center"/>
            </w:pPr>
            <w:r w:rsidRPr="00FA43E9">
              <w:t>MRI-guided radiation therapy</w:t>
            </w:r>
          </w:p>
        </w:tc>
        <w:tc>
          <w:tcPr>
            <w:tcW w:w="1275" w:type="pct"/>
            <w:vAlign w:val="center"/>
          </w:tcPr>
          <w:p w14:paraId="3335FF5C" w14:textId="77777777" w:rsidR="00D12268" w:rsidRPr="00FA43E9" w:rsidRDefault="00D12268" w:rsidP="00C23E8A">
            <w:pPr>
              <w:pStyle w:val="TableHeading"/>
              <w:jc w:val="center"/>
              <w:rPr>
                <w:rFonts w:cs="Calibri"/>
              </w:rPr>
            </w:pPr>
            <w:r w:rsidRPr="00FA43E9">
              <w:t>CBCT-guided radia</w:t>
            </w:r>
            <w:r w:rsidRPr="00FA43E9">
              <w:rPr>
                <w:rFonts w:cs="Calibri"/>
              </w:rPr>
              <w:t>tion therapy</w:t>
            </w:r>
          </w:p>
        </w:tc>
        <w:tc>
          <w:tcPr>
            <w:tcW w:w="1275" w:type="pct"/>
            <w:vAlign w:val="center"/>
          </w:tcPr>
          <w:p w14:paraId="399248A9" w14:textId="77777777" w:rsidR="00D12268" w:rsidRPr="00FA43E9" w:rsidRDefault="00D12268" w:rsidP="00C23E8A">
            <w:pPr>
              <w:pStyle w:val="TableHeading"/>
              <w:jc w:val="center"/>
              <w:rPr>
                <w:rFonts w:cs="Calibri"/>
              </w:rPr>
            </w:pPr>
            <w:r w:rsidRPr="00FA43E9">
              <w:t>Incremental costs</w:t>
            </w:r>
            <w:r w:rsidRPr="00FA43E9">
              <w:rPr>
                <w:rFonts w:cs="Calibri"/>
              </w:rPr>
              <w:t xml:space="preserve"> (MR-IGRT v CBCT-IGRT)</w:t>
            </w:r>
          </w:p>
        </w:tc>
      </w:tr>
      <w:tr w:rsidR="00D12268" w:rsidRPr="003816D8" w14:paraId="6B9959BB" w14:textId="77777777" w:rsidTr="00C23E8A">
        <w:tc>
          <w:tcPr>
            <w:tcW w:w="1541" w:type="pct"/>
          </w:tcPr>
          <w:p w14:paraId="0B576AFC" w14:textId="77777777" w:rsidR="00D12268" w:rsidRPr="00033DCB" w:rsidRDefault="00D12268" w:rsidP="00556AB6">
            <w:pPr>
              <w:pStyle w:val="Tabletext1"/>
              <w:rPr>
                <w:b/>
              </w:rPr>
            </w:pPr>
            <w:r w:rsidRPr="00033DCB">
              <w:rPr>
                <w:b/>
              </w:rPr>
              <w:t>Allocation of capital cost per patient</w:t>
            </w:r>
          </w:p>
        </w:tc>
        <w:tc>
          <w:tcPr>
            <w:tcW w:w="909" w:type="pct"/>
            <w:vAlign w:val="center"/>
          </w:tcPr>
          <w:p w14:paraId="33AFF966" w14:textId="77777777" w:rsidR="00D12268" w:rsidRPr="003816D8" w:rsidRDefault="00D12268" w:rsidP="00D820C4">
            <w:pPr>
              <w:pStyle w:val="Tabletext1"/>
              <w:jc w:val="center"/>
            </w:pPr>
            <w:r>
              <w:t>$3,032.03</w:t>
            </w:r>
          </w:p>
        </w:tc>
        <w:tc>
          <w:tcPr>
            <w:tcW w:w="1275" w:type="pct"/>
            <w:vAlign w:val="center"/>
          </w:tcPr>
          <w:p w14:paraId="00FF8C36" w14:textId="77777777" w:rsidR="00D12268" w:rsidRPr="003816D8" w:rsidRDefault="00D12268" w:rsidP="00D820C4">
            <w:pPr>
              <w:pStyle w:val="Tabletext1"/>
              <w:jc w:val="center"/>
              <w:rPr>
                <w:rFonts w:cs="Calibri"/>
              </w:rPr>
            </w:pPr>
            <w:r>
              <w:rPr>
                <w:rFonts w:cs="Calibri"/>
              </w:rPr>
              <w:t>$437.50</w:t>
            </w:r>
          </w:p>
        </w:tc>
        <w:tc>
          <w:tcPr>
            <w:tcW w:w="1275" w:type="pct"/>
            <w:vAlign w:val="center"/>
          </w:tcPr>
          <w:p w14:paraId="66B29209" w14:textId="77777777" w:rsidR="00D12268" w:rsidRDefault="00D12268" w:rsidP="00D820C4">
            <w:pPr>
              <w:pStyle w:val="Tabletext1"/>
              <w:jc w:val="center"/>
              <w:rPr>
                <w:rFonts w:cs="Calibri"/>
              </w:rPr>
            </w:pPr>
            <w:r>
              <w:rPr>
                <w:rFonts w:cs="Calibri"/>
              </w:rPr>
              <w:t>$2,595.53</w:t>
            </w:r>
          </w:p>
        </w:tc>
      </w:tr>
      <w:tr w:rsidR="00D12268" w:rsidRPr="003816D8" w14:paraId="186D5FBD" w14:textId="77777777" w:rsidTr="00C23E8A">
        <w:tc>
          <w:tcPr>
            <w:tcW w:w="1541" w:type="pct"/>
          </w:tcPr>
          <w:p w14:paraId="751446E7" w14:textId="77777777" w:rsidR="00D12268" w:rsidRPr="00033DCB" w:rsidRDefault="00D12268" w:rsidP="00556AB6">
            <w:pPr>
              <w:pStyle w:val="Tabletext1"/>
              <w:rPr>
                <w:b/>
              </w:rPr>
            </w:pPr>
            <w:r w:rsidRPr="00033DCB">
              <w:rPr>
                <w:b/>
              </w:rPr>
              <w:t>Allocation of maintenance cost per patient</w:t>
            </w:r>
          </w:p>
        </w:tc>
        <w:tc>
          <w:tcPr>
            <w:tcW w:w="909" w:type="pct"/>
            <w:vAlign w:val="center"/>
          </w:tcPr>
          <w:p w14:paraId="25F10262" w14:textId="77777777" w:rsidR="00D12268" w:rsidRPr="003816D8" w:rsidRDefault="00D12268" w:rsidP="00D820C4">
            <w:pPr>
              <w:pStyle w:val="Tabletext1"/>
              <w:jc w:val="center"/>
            </w:pPr>
            <w:r>
              <w:t>$1,260.06</w:t>
            </w:r>
          </w:p>
        </w:tc>
        <w:tc>
          <w:tcPr>
            <w:tcW w:w="1275" w:type="pct"/>
            <w:vAlign w:val="center"/>
          </w:tcPr>
          <w:p w14:paraId="29F523D3" w14:textId="77777777" w:rsidR="00D12268" w:rsidRPr="003816D8" w:rsidRDefault="00D12268" w:rsidP="00D820C4">
            <w:pPr>
              <w:pStyle w:val="Tabletext1"/>
              <w:jc w:val="center"/>
              <w:rPr>
                <w:rFonts w:cs="Calibri"/>
              </w:rPr>
            </w:pPr>
            <w:r>
              <w:rPr>
                <w:rFonts w:cs="Calibri"/>
              </w:rPr>
              <w:t>$252.00</w:t>
            </w:r>
          </w:p>
        </w:tc>
        <w:tc>
          <w:tcPr>
            <w:tcW w:w="1275" w:type="pct"/>
            <w:vAlign w:val="center"/>
          </w:tcPr>
          <w:p w14:paraId="3C6C0E4C" w14:textId="77777777" w:rsidR="00D12268" w:rsidRDefault="00D12268" w:rsidP="00D820C4">
            <w:pPr>
              <w:pStyle w:val="Tabletext1"/>
              <w:jc w:val="center"/>
              <w:rPr>
                <w:rFonts w:cs="Calibri"/>
              </w:rPr>
            </w:pPr>
            <w:r>
              <w:rPr>
                <w:rFonts w:cs="Calibri"/>
              </w:rPr>
              <w:t>$1,008.06</w:t>
            </w:r>
          </w:p>
        </w:tc>
      </w:tr>
      <w:tr w:rsidR="00D12268" w:rsidRPr="003816D8" w14:paraId="10878722" w14:textId="77777777" w:rsidTr="00C23E8A">
        <w:tc>
          <w:tcPr>
            <w:tcW w:w="1541" w:type="pct"/>
          </w:tcPr>
          <w:p w14:paraId="36FE9F3E" w14:textId="77777777" w:rsidR="00D12268" w:rsidRPr="00033DCB" w:rsidRDefault="00D12268" w:rsidP="00556AB6">
            <w:pPr>
              <w:pStyle w:val="Tabletext1"/>
              <w:rPr>
                <w:b/>
              </w:rPr>
            </w:pPr>
            <w:r w:rsidRPr="00033DCB">
              <w:rPr>
                <w:b/>
              </w:rPr>
              <w:t>New patient consultation</w:t>
            </w:r>
          </w:p>
        </w:tc>
        <w:tc>
          <w:tcPr>
            <w:tcW w:w="909" w:type="pct"/>
            <w:vAlign w:val="center"/>
          </w:tcPr>
          <w:p w14:paraId="612FCF3C" w14:textId="77777777" w:rsidR="00D12268" w:rsidRPr="003816D8" w:rsidRDefault="00D12268" w:rsidP="00D820C4">
            <w:pPr>
              <w:pStyle w:val="Tabletext1"/>
              <w:jc w:val="center"/>
            </w:pPr>
            <w:r>
              <w:t>$173.13</w:t>
            </w:r>
          </w:p>
        </w:tc>
        <w:tc>
          <w:tcPr>
            <w:tcW w:w="1275" w:type="pct"/>
            <w:vAlign w:val="center"/>
          </w:tcPr>
          <w:p w14:paraId="022E161B" w14:textId="77777777" w:rsidR="00D12268" w:rsidRPr="003816D8" w:rsidRDefault="00D12268" w:rsidP="00D820C4">
            <w:pPr>
              <w:pStyle w:val="Tabletext1"/>
              <w:jc w:val="center"/>
              <w:rPr>
                <w:rFonts w:cs="Calibri"/>
              </w:rPr>
            </w:pPr>
            <w:r>
              <w:rPr>
                <w:rFonts w:cs="Calibri"/>
              </w:rPr>
              <w:t>$125.33</w:t>
            </w:r>
          </w:p>
        </w:tc>
        <w:tc>
          <w:tcPr>
            <w:tcW w:w="1275" w:type="pct"/>
            <w:vAlign w:val="center"/>
          </w:tcPr>
          <w:p w14:paraId="3D12AD1A" w14:textId="77777777" w:rsidR="00D12268" w:rsidRDefault="00D12268" w:rsidP="00D820C4">
            <w:pPr>
              <w:pStyle w:val="Tabletext1"/>
              <w:jc w:val="center"/>
              <w:rPr>
                <w:rFonts w:cs="Calibri"/>
              </w:rPr>
            </w:pPr>
            <w:r>
              <w:rPr>
                <w:rFonts w:cs="Calibri"/>
              </w:rPr>
              <w:t>$47.80</w:t>
            </w:r>
          </w:p>
        </w:tc>
      </w:tr>
      <w:tr w:rsidR="00D12268" w:rsidRPr="003816D8" w14:paraId="78BFF94A" w14:textId="77777777" w:rsidTr="00C23E8A">
        <w:tc>
          <w:tcPr>
            <w:tcW w:w="1541" w:type="pct"/>
          </w:tcPr>
          <w:p w14:paraId="3A57CED0" w14:textId="77777777" w:rsidR="00D12268" w:rsidRPr="00033DCB" w:rsidRDefault="00D12268" w:rsidP="00556AB6">
            <w:pPr>
              <w:pStyle w:val="Tabletext1"/>
              <w:rPr>
                <w:b/>
              </w:rPr>
            </w:pPr>
            <w:r w:rsidRPr="00033DCB">
              <w:rPr>
                <w:b/>
              </w:rPr>
              <w:t>Simulation</w:t>
            </w:r>
          </w:p>
        </w:tc>
        <w:tc>
          <w:tcPr>
            <w:tcW w:w="909" w:type="pct"/>
            <w:vAlign w:val="center"/>
          </w:tcPr>
          <w:p w14:paraId="55A5C286" w14:textId="77777777" w:rsidR="00D12268" w:rsidRDefault="00D12268" w:rsidP="00D820C4">
            <w:pPr>
              <w:pStyle w:val="Tabletext1"/>
              <w:jc w:val="center"/>
            </w:pPr>
            <w:r>
              <w:t>$158.32</w:t>
            </w:r>
          </w:p>
        </w:tc>
        <w:tc>
          <w:tcPr>
            <w:tcW w:w="1275" w:type="pct"/>
            <w:vAlign w:val="center"/>
          </w:tcPr>
          <w:p w14:paraId="53247B06" w14:textId="77777777" w:rsidR="00D12268" w:rsidRDefault="00D12268" w:rsidP="00D820C4">
            <w:pPr>
              <w:pStyle w:val="Tabletext1"/>
              <w:jc w:val="center"/>
              <w:rPr>
                <w:rFonts w:cs="Calibri"/>
              </w:rPr>
            </w:pPr>
            <w:r>
              <w:rPr>
                <w:rFonts w:cs="Calibri"/>
              </w:rPr>
              <w:t>$587.89</w:t>
            </w:r>
          </w:p>
        </w:tc>
        <w:tc>
          <w:tcPr>
            <w:tcW w:w="1275" w:type="pct"/>
            <w:vAlign w:val="center"/>
          </w:tcPr>
          <w:p w14:paraId="3990880C" w14:textId="77777777" w:rsidR="00D12268" w:rsidRDefault="00D12268" w:rsidP="00D820C4">
            <w:pPr>
              <w:pStyle w:val="Tabletext1"/>
              <w:jc w:val="center"/>
              <w:rPr>
                <w:rFonts w:cs="Calibri"/>
              </w:rPr>
            </w:pPr>
            <w:r>
              <w:rPr>
                <w:rFonts w:cs="Calibri"/>
              </w:rPr>
              <w:t>$429.57</w:t>
            </w:r>
          </w:p>
        </w:tc>
      </w:tr>
      <w:tr w:rsidR="00D12268" w:rsidRPr="003816D8" w14:paraId="55605D6A" w14:textId="77777777" w:rsidTr="00C23E8A">
        <w:tc>
          <w:tcPr>
            <w:tcW w:w="1541" w:type="pct"/>
          </w:tcPr>
          <w:p w14:paraId="77CB9047" w14:textId="77777777" w:rsidR="00D12268" w:rsidRPr="00033DCB" w:rsidRDefault="00D12268" w:rsidP="00556AB6">
            <w:pPr>
              <w:pStyle w:val="Tabletext1"/>
              <w:rPr>
                <w:b/>
              </w:rPr>
            </w:pPr>
            <w:r w:rsidRPr="00033DCB">
              <w:rPr>
                <w:b/>
              </w:rPr>
              <w:t>Planning</w:t>
            </w:r>
          </w:p>
        </w:tc>
        <w:tc>
          <w:tcPr>
            <w:tcW w:w="909" w:type="pct"/>
            <w:vAlign w:val="center"/>
          </w:tcPr>
          <w:p w14:paraId="576AF27F" w14:textId="77777777" w:rsidR="00D12268" w:rsidRDefault="00D12268" w:rsidP="00D820C4">
            <w:pPr>
              <w:pStyle w:val="Tabletext1"/>
              <w:jc w:val="center"/>
            </w:pPr>
            <w:r>
              <w:t>$440.24</w:t>
            </w:r>
          </w:p>
        </w:tc>
        <w:tc>
          <w:tcPr>
            <w:tcW w:w="1275" w:type="pct"/>
            <w:vAlign w:val="center"/>
          </w:tcPr>
          <w:p w14:paraId="3CE5D1F8" w14:textId="77777777" w:rsidR="00D12268" w:rsidRDefault="00D12268" w:rsidP="00D820C4">
            <w:pPr>
              <w:pStyle w:val="Tabletext1"/>
              <w:jc w:val="center"/>
              <w:rPr>
                <w:rFonts w:cs="Calibri"/>
              </w:rPr>
            </w:pPr>
            <w:r>
              <w:rPr>
                <w:rFonts w:cs="Calibri"/>
              </w:rPr>
              <w:t>$429.29</w:t>
            </w:r>
          </w:p>
        </w:tc>
        <w:tc>
          <w:tcPr>
            <w:tcW w:w="1275" w:type="pct"/>
            <w:vAlign w:val="center"/>
          </w:tcPr>
          <w:p w14:paraId="57B4FD25" w14:textId="77777777" w:rsidR="00D12268" w:rsidRDefault="00D12268" w:rsidP="00D820C4">
            <w:pPr>
              <w:pStyle w:val="Tabletext1"/>
              <w:jc w:val="center"/>
              <w:rPr>
                <w:rFonts w:cs="Calibri"/>
              </w:rPr>
            </w:pPr>
            <w:r>
              <w:rPr>
                <w:rFonts w:cs="Calibri"/>
              </w:rPr>
              <w:t>$10.95</w:t>
            </w:r>
          </w:p>
        </w:tc>
      </w:tr>
      <w:tr w:rsidR="00D12268" w:rsidRPr="003816D8" w14:paraId="2CE882A7" w14:textId="77777777" w:rsidTr="00C23E8A">
        <w:tc>
          <w:tcPr>
            <w:tcW w:w="1541" w:type="pct"/>
          </w:tcPr>
          <w:p w14:paraId="6CEC97B4" w14:textId="77777777" w:rsidR="00D12268" w:rsidRPr="00033DCB" w:rsidRDefault="00D12268" w:rsidP="00556AB6">
            <w:pPr>
              <w:pStyle w:val="Tabletext1"/>
              <w:rPr>
                <w:b/>
              </w:rPr>
            </w:pPr>
            <w:r w:rsidRPr="00033DCB">
              <w:rPr>
                <w:b/>
              </w:rPr>
              <w:t>Treatment</w:t>
            </w:r>
          </w:p>
        </w:tc>
        <w:tc>
          <w:tcPr>
            <w:tcW w:w="909" w:type="pct"/>
            <w:vAlign w:val="center"/>
          </w:tcPr>
          <w:p w14:paraId="4B84B952" w14:textId="77777777" w:rsidR="00D12268" w:rsidRDefault="00D12268" w:rsidP="00D820C4">
            <w:pPr>
              <w:pStyle w:val="Tabletext1"/>
              <w:jc w:val="center"/>
            </w:pPr>
            <w:r>
              <w:t>$474.45</w:t>
            </w:r>
          </w:p>
        </w:tc>
        <w:tc>
          <w:tcPr>
            <w:tcW w:w="1275" w:type="pct"/>
            <w:vAlign w:val="center"/>
          </w:tcPr>
          <w:p w14:paraId="3DC64C0A" w14:textId="77777777" w:rsidR="00D12268" w:rsidRDefault="00D12268" w:rsidP="00D820C4">
            <w:pPr>
              <w:pStyle w:val="Tabletext1"/>
              <w:jc w:val="center"/>
              <w:rPr>
                <w:rFonts w:cs="Calibri"/>
              </w:rPr>
            </w:pPr>
            <w:r>
              <w:rPr>
                <w:rFonts w:cs="Calibri"/>
              </w:rPr>
              <w:t>$340.39</w:t>
            </w:r>
          </w:p>
        </w:tc>
        <w:tc>
          <w:tcPr>
            <w:tcW w:w="1275" w:type="pct"/>
            <w:vAlign w:val="center"/>
          </w:tcPr>
          <w:p w14:paraId="7B5FFFE2" w14:textId="77777777" w:rsidR="00D12268" w:rsidRDefault="00D12268" w:rsidP="00D820C4">
            <w:pPr>
              <w:pStyle w:val="Tabletext1"/>
              <w:jc w:val="center"/>
              <w:rPr>
                <w:rFonts w:cs="Calibri"/>
              </w:rPr>
            </w:pPr>
            <w:r>
              <w:rPr>
                <w:rFonts w:cs="Calibri"/>
              </w:rPr>
              <w:t>$134.06</w:t>
            </w:r>
          </w:p>
        </w:tc>
      </w:tr>
      <w:tr w:rsidR="00D12268" w:rsidRPr="003816D8" w14:paraId="7E668BC2" w14:textId="77777777" w:rsidTr="00C23E8A">
        <w:tc>
          <w:tcPr>
            <w:tcW w:w="1541" w:type="pct"/>
          </w:tcPr>
          <w:p w14:paraId="6EE91CC1" w14:textId="77777777" w:rsidR="00D12268" w:rsidRPr="00033DCB" w:rsidRDefault="00D12268" w:rsidP="00556AB6">
            <w:pPr>
              <w:pStyle w:val="Tabletext1"/>
              <w:rPr>
                <w:b/>
              </w:rPr>
            </w:pPr>
            <w:r w:rsidRPr="00033DCB">
              <w:rPr>
                <w:b/>
              </w:rPr>
              <w:t>Follow-up visit</w:t>
            </w:r>
          </w:p>
        </w:tc>
        <w:tc>
          <w:tcPr>
            <w:tcW w:w="909" w:type="pct"/>
            <w:vAlign w:val="center"/>
          </w:tcPr>
          <w:p w14:paraId="0000FB06" w14:textId="77777777" w:rsidR="00D12268" w:rsidRDefault="00D12268" w:rsidP="00D820C4">
            <w:pPr>
              <w:pStyle w:val="Tabletext1"/>
              <w:jc w:val="center"/>
            </w:pPr>
            <w:r>
              <w:t>$358.45</w:t>
            </w:r>
          </w:p>
        </w:tc>
        <w:tc>
          <w:tcPr>
            <w:tcW w:w="1275" w:type="pct"/>
            <w:vAlign w:val="center"/>
          </w:tcPr>
          <w:p w14:paraId="40AABFAA" w14:textId="77777777" w:rsidR="00D12268" w:rsidRDefault="00D12268" w:rsidP="00D820C4">
            <w:pPr>
              <w:pStyle w:val="Tabletext1"/>
              <w:jc w:val="center"/>
              <w:rPr>
                <w:rFonts w:cs="Calibri"/>
              </w:rPr>
            </w:pPr>
            <w:r>
              <w:rPr>
                <w:rFonts w:cs="Calibri"/>
              </w:rPr>
              <w:t>$358.45</w:t>
            </w:r>
          </w:p>
        </w:tc>
        <w:tc>
          <w:tcPr>
            <w:tcW w:w="1275" w:type="pct"/>
            <w:vAlign w:val="center"/>
          </w:tcPr>
          <w:p w14:paraId="7187B639" w14:textId="77777777" w:rsidR="00D12268" w:rsidRDefault="00D12268" w:rsidP="00D820C4">
            <w:pPr>
              <w:pStyle w:val="Tabletext1"/>
              <w:jc w:val="center"/>
              <w:rPr>
                <w:rFonts w:cs="Calibri"/>
              </w:rPr>
            </w:pPr>
            <w:r>
              <w:rPr>
                <w:rFonts w:cs="Calibri"/>
              </w:rPr>
              <w:t>-</w:t>
            </w:r>
          </w:p>
        </w:tc>
      </w:tr>
      <w:tr w:rsidR="00D12268" w:rsidRPr="003816D8" w14:paraId="4AF9C51F" w14:textId="77777777" w:rsidTr="00C23E8A">
        <w:tc>
          <w:tcPr>
            <w:tcW w:w="1541" w:type="pct"/>
          </w:tcPr>
          <w:p w14:paraId="3F0C96C6" w14:textId="77777777" w:rsidR="00D12268" w:rsidRPr="00033DCB" w:rsidRDefault="00D12268" w:rsidP="00556AB6">
            <w:pPr>
              <w:pStyle w:val="Tabletext1"/>
              <w:rPr>
                <w:b/>
              </w:rPr>
            </w:pPr>
            <w:r w:rsidRPr="00033DCB">
              <w:rPr>
                <w:b/>
              </w:rPr>
              <w:t xml:space="preserve">QA cost per patient </w:t>
            </w:r>
          </w:p>
        </w:tc>
        <w:tc>
          <w:tcPr>
            <w:tcW w:w="909" w:type="pct"/>
            <w:vAlign w:val="center"/>
          </w:tcPr>
          <w:p w14:paraId="61010929" w14:textId="77777777" w:rsidR="00D12268" w:rsidRDefault="00D12268" w:rsidP="00D820C4">
            <w:pPr>
              <w:pStyle w:val="Tabletext1"/>
              <w:jc w:val="center"/>
            </w:pPr>
            <w:r>
              <w:t>$18.74</w:t>
            </w:r>
          </w:p>
        </w:tc>
        <w:tc>
          <w:tcPr>
            <w:tcW w:w="1275" w:type="pct"/>
            <w:vAlign w:val="center"/>
          </w:tcPr>
          <w:p w14:paraId="7FC964EC" w14:textId="77777777" w:rsidR="00D12268" w:rsidRDefault="00D12268" w:rsidP="00D820C4">
            <w:pPr>
              <w:pStyle w:val="Tabletext1"/>
              <w:jc w:val="center"/>
              <w:rPr>
                <w:rFonts w:cs="Calibri"/>
              </w:rPr>
            </w:pPr>
            <w:r>
              <w:rPr>
                <w:rFonts w:cs="Calibri"/>
              </w:rPr>
              <w:t>$4.99</w:t>
            </w:r>
          </w:p>
        </w:tc>
        <w:tc>
          <w:tcPr>
            <w:tcW w:w="1275" w:type="pct"/>
            <w:vAlign w:val="center"/>
          </w:tcPr>
          <w:p w14:paraId="6C31BBAD" w14:textId="77777777" w:rsidR="00D12268" w:rsidRDefault="00D12268" w:rsidP="00D820C4">
            <w:pPr>
              <w:pStyle w:val="Tabletext1"/>
              <w:jc w:val="center"/>
              <w:rPr>
                <w:rFonts w:cs="Calibri"/>
              </w:rPr>
            </w:pPr>
            <w:r>
              <w:rPr>
                <w:rFonts w:cs="Calibri"/>
              </w:rPr>
              <w:t>$13.75</w:t>
            </w:r>
          </w:p>
        </w:tc>
      </w:tr>
      <w:tr w:rsidR="00D12268" w:rsidRPr="003816D8" w14:paraId="1E811731" w14:textId="77777777" w:rsidTr="00C23E8A">
        <w:tc>
          <w:tcPr>
            <w:tcW w:w="1541" w:type="pct"/>
          </w:tcPr>
          <w:p w14:paraId="6B0C180A" w14:textId="77777777" w:rsidR="00D12268" w:rsidRPr="00033DCB" w:rsidRDefault="00D12268" w:rsidP="00556AB6">
            <w:pPr>
              <w:pStyle w:val="Tabletext1"/>
              <w:rPr>
                <w:b/>
              </w:rPr>
            </w:pPr>
            <w:r w:rsidRPr="00033DCB">
              <w:rPr>
                <w:b/>
              </w:rPr>
              <w:lastRenderedPageBreak/>
              <w:t>Total cost per patient’s treatment course</w:t>
            </w:r>
          </w:p>
        </w:tc>
        <w:tc>
          <w:tcPr>
            <w:tcW w:w="909" w:type="pct"/>
            <w:vAlign w:val="center"/>
          </w:tcPr>
          <w:p w14:paraId="4A033969" w14:textId="77777777" w:rsidR="00D12268" w:rsidRDefault="00D12268" w:rsidP="00D820C4">
            <w:pPr>
              <w:pStyle w:val="Tabletext1"/>
              <w:jc w:val="center"/>
            </w:pPr>
            <w:r>
              <w:t>$5,906.05</w:t>
            </w:r>
          </w:p>
        </w:tc>
        <w:tc>
          <w:tcPr>
            <w:tcW w:w="1275" w:type="pct"/>
            <w:vAlign w:val="center"/>
          </w:tcPr>
          <w:p w14:paraId="78BE3BB2" w14:textId="77777777" w:rsidR="00D12268" w:rsidRDefault="00D12268" w:rsidP="00D820C4">
            <w:pPr>
              <w:pStyle w:val="Tabletext1"/>
              <w:jc w:val="center"/>
              <w:rPr>
                <w:rFonts w:cs="Calibri"/>
              </w:rPr>
            </w:pPr>
            <w:r>
              <w:rPr>
                <w:rFonts w:cs="Calibri"/>
              </w:rPr>
              <w:t>$2,533.34</w:t>
            </w:r>
          </w:p>
        </w:tc>
        <w:tc>
          <w:tcPr>
            <w:tcW w:w="1275" w:type="pct"/>
            <w:vAlign w:val="center"/>
          </w:tcPr>
          <w:p w14:paraId="3505119A" w14:textId="77777777" w:rsidR="00D12268" w:rsidRDefault="00D12268" w:rsidP="00D820C4">
            <w:pPr>
              <w:pStyle w:val="Tabletext1"/>
              <w:jc w:val="center"/>
              <w:rPr>
                <w:rFonts w:cs="Calibri"/>
              </w:rPr>
            </w:pPr>
            <w:r>
              <w:rPr>
                <w:rFonts w:cs="Calibri"/>
              </w:rPr>
              <w:t>$3,372.71</w:t>
            </w:r>
          </w:p>
        </w:tc>
      </w:tr>
      <w:tr w:rsidR="00D12268" w:rsidRPr="003816D8" w14:paraId="14FED195" w14:textId="77777777" w:rsidTr="00C23E8A">
        <w:tc>
          <w:tcPr>
            <w:tcW w:w="1541" w:type="pct"/>
          </w:tcPr>
          <w:p w14:paraId="596368E6" w14:textId="77777777" w:rsidR="00D12268" w:rsidRPr="00033DCB" w:rsidRDefault="00D12268" w:rsidP="00556AB6">
            <w:pPr>
              <w:pStyle w:val="Tabletext1"/>
              <w:rPr>
                <w:b/>
              </w:rPr>
            </w:pPr>
            <w:r w:rsidRPr="00033DCB">
              <w:rPr>
                <w:b/>
              </w:rPr>
              <w:t>Cost associated with prostate cancer toxicities</w:t>
            </w:r>
          </w:p>
        </w:tc>
        <w:tc>
          <w:tcPr>
            <w:tcW w:w="909" w:type="pct"/>
            <w:vAlign w:val="center"/>
          </w:tcPr>
          <w:p w14:paraId="55BC1EF0" w14:textId="05A1B87C" w:rsidR="00D12268" w:rsidRDefault="00D12268" w:rsidP="00D820C4">
            <w:pPr>
              <w:pStyle w:val="Tabletext1"/>
              <w:jc w:val="center"/>
            </w:pPr>
            <w:r>
              <w:t>$1</w:t>
            </w:r>
            <w:r w:rsidR="0064274D">
              <w:t>50.63</w:t>
            </w:r>
          </w:p>
        </w:tc>
        <w:tc>
          <w:tcPr>
            <w:tcW w:w="1275" w:type="pct"/>
            <w:vAlign w:val="center"/>
          </w:tcPr>
          <w:p w14:paraId="2CFBBFCB" w14:textId="4F3B4A9A" w:rsidR="00D12268" w:rsidRDefault="00D12268" w:rsidP="00D820C4">
            <w:pPr>
              <w:pStyle w:val="Tabletext1"/>
              <w:jc w:val="center"/>
              <w:rPr>
                <w:rFonts w:cs="Calibri"/>
              </w:rPr>
            </w:pPr>
            <w:r>
              <w:rPr>
                <w:rFonts w:cs="Calibri"/>
              </w:rPr>
              <w:t>$1</w:t>
            </w:r>
            <w:r w:rsidR="0064274D">
              <w:rPr>
                <w:rFonts w:cs="Calibri"/>
              </w:rPr>
              <w:t>,592.95</w:t>
            </w:r>
          </w:p>
        </w:tc>
        <w:tc>
          <w:tcPr>
            <w:tcW w:w="1275" w:type="pct"/>
            <w:vAlign w:val="center"/>
          </w:tcPr>
          <w:p w14:paraId="50F9AA15" w14:textId="5B2DE2CB" w:rsidR="00D12268" w:rsidRDefault="00D12268" w:rsidP="00D820C4">
            <w:pPr>
              <w:pStyle w:val="Tabletext1"/>
              <w:jc w:val="center"/>
              <w:rPr>
                <w:rFonts w:cs="Calibri"/>
              </w:rPr>
            </w:pPr>
            <w:r>
              <w:rPr>
                <w:rFonts w:cs="Calibri"/>
              </w:rPr>
              <w:t>-$1,</w:t>
            </w:r>
            <w:r w:rsidR="0064274D">
              <w:rPr>
                <w:rFonts w:cs="Calibri"/>
              </w:rPr>
              <w:t>442.32</w:t>
            </w:r>
          </w:p>
        </w:tc>
      </w:tr>
    </w:tbl>
    <w:p w14:paraId="0EBAEE77" w14:textId="77777777" w:rsidR="00D12268" w:rsidRDefault="00D12268" w:rsidP="00D12268">
      <w:pPr>
        <w:pStyle w:val="Tablenotes0"/>
      </w:pPr>
      <w:r>
        <w:t>MR-IGRT=Magnetic resonance imaging guided radiation therapy; CBCT-IGRT= Cone beam computed tomography guided radiation therapy; QA= Quality assurance</w:t>
      </w:r>
    </w:p>
    <w:p w14:paraId="345AFA96" w14:textId="77777777" w:rsidR="00D12268" w:rsidRPr="00183E4D" w:rsidRDefault="00D12268" w:rsidP="00D12268">
      <w:pPr>
        <w:pStyle w:val="Heading3"/>
      </w:pPr>
      <w:bookmarkStart w:id="569" w:name="_Toc59018803"/>
      <w:bookmarkStart w:id="570" w:name="_Toc59020347"/>
      <w:bookmarkStart w:id="571" w:name="_Toc59439569"/>
      <w:bookmarkStart w:id="572" w:name="_Toc89857841"/>
      <w:r>
        <w:t>Cost minimisation analysis</w:t>
      </w:r>
      <w:bookmarkEnd w:id="569"/>
      <w:bookmarkEnd w:id="570"/>
      <w:bookmarkEnd w:id="571"/>
      <w:bookmarkEnd w:id="572"/>
    </w:p>
    <w:p w14:paraId="214C1E8A" w14:textId="77777777" w:rsidR="00D12268" w:rsidRPr="00183E4D" w:rsidRDefault="00D12268" w:rsidP="00D12268">
      <w:pPr>
        <w:jc w:val="both"/>
      </w:pPr>
      <w:r>
        <w:t>The overall costs</w:t>
      </w:r>
      <w:r w:rsidRPr="00183E4D">
        <w:t xml:space="preserve">, and incremental costs as calculated for the intervention and comparator in </w:t>
      </w:r>
      <w:r>
        <w:t>the</w:t>
      </w:r>
      <w:r w:rsidRPr="00183E4D">
        <w:t xml:space="preserve"> model, with the base case assumptions, are shown in the table below.</w:t>
      </w:r>
    </w:p>
    <w:p w14:paraId="003C6A01" w14:textId="5BB86BB2" w:rsidR="00D12268" w:rsidRPr="00183E4D" w:rsidRDefault="00D12268" w:rsidP="00D12268">
      <w:pPr>
        <w:pStyle w:val="Caption"/>
        <w:keepNext/>
        <w:jc w:val="both"/>
      </w:pPr>
      <w:bookmarkStart w:id="573" w:name="_Ref56419451"/>
      <w:bookmarkStart w:id="574" w:name="_Toc89857923"/>
      <w:r w:rsidRPr="00DC12F6">
        <w:t xml:space="preserve">Table </w:t>
      </w:r>
      <w:r w:rsidR="00211285">
        <w:fldChar w:fldCharType="begin"/>
      </w:r>
      <w:r w:rsidR="00211285">
        <w:instrText xml:space="preserve"> SEQ Table \* ARABIC </w:instrText>
      </w:r>
      <w:r w:rsidR="00211285">
        <w:fldChar w:fldCharType="separate"/>
      </w:r>
      <w:r w:rsidR="00451350">
        <w:rPr>
          <w:noProof/>
        </w:rPr>
        <w:t>52</w:t>
      </w:r>
      <w:r w:rsidR="00211285">
        <w:rPr>
          <w:noProof/>
        </w:rPr>
        <w:fldChar w:fldCharType="end"/>
      </w:r>
      <w:r w:rsidRPr="00DC12F6">
        <w:t xml:space="preserve"> </w:t>
      </w:r>
      <w:r w:rsidRPr="00DC12F6">
        <w:tab/>
      </w:r>
      <w:bookmarkEnd w:id="573"/>
      <w:r>
        <w:t>Overall and incremental costs</w:t>
      </w:r>
      <w:r w:rsidRPr="00183E4D">
        <w:t xml:space="preserve"> </w:t>
      </w:r>
      <w:r>
        <w:t>of MRI-guided radiation therapy and CBCT-guided radiation therapy</w:t>
      </w:r>
      <w:bookmarkEnd w:id="574"/>
    </w:p>
    <w:tbl>
      <w:tblPr>
        <w:tblStyle w:val="TableGrid2"/>
        <w:tblW w:w="5000" w:type="pct"/>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2521"/>
        <w:gridCol w:w="1293"/>
        <w:gridCol w:w="1291"/>
        <w:gridCol w:w="1291"/>
        <w:gridCol w:w="1293"/>
        <w:gridCol w:w="1327"/>
      </w:tblGrid>
      <w:tr w:rsidR="00D12268" w:rsidRPr="00183E4D" w14:paraId="50B7C3C1" w14:textId="77777777" w:rsidTr="00C23E8A">
        <w:trPr>
          <w:cnfStyle w:val="100000000000" w:firstRow="1" w:lastRow="0" w:firstColumn="0" w:lastColumn="0" w:oddVBand="0" w:evenVBand="0" w:oddHBand="0" w:evenHBand="0" w:firstRowFirstColumn="0" w:firstRowLastColumn="0" w:lastRowFirstColumn="0" w:lastRowLastColumn="0"/>
          <w:tblHeader/>
        </w:trPr>
        <w:tc>
          <w:tcPr>
            <w:tcW w:w="1398" w:type="pct"/>
            <w:tcBorders>
              <w:bottom w:val="single" w:sz="4" w:space="0" w:color="auto"/>
            </w:tcBorders>
          </w:tcPr>
          <w:p w14:paraId="28BB61FC" w14:textId="77777777" w:rsidR="00D12268" w:rsidRPr="00183E4D" w:rsidRDefault="00D12268" w:rsidP="005452FC">
            <w:pPr>
              <w:pStyle w:val="Tabletext1"/>
            </w:pPr>
          </w:p>
        </w:tc>
        <w:tc>
          <w:tcPr>
            <w:tcW w:w="717" w:type="pct"/>
            <w:tcBorders>
              <w:bottom w:val="single" w:sz="4" w:space="0" w:color="auto"/>
            </w:tcBorders>
            <w:vAlign w:val="center"/>
          </w:tcPr>
          <w:p w14:paraId="37AACE2D" w14:textId="77777777" w:rsidR="00D12268" w:rsidRPr="00183E4D" w:rsidRDefault="00D12268" w:rsidP="00C23E8A">
            <w:pPr>
              <w:pStyle w:val="TableHeading"/>
              <w:jc w:val="center"/>
            </w:pPr>
            <w:r w:rsidRPr="00183E4D">
              <w:t>Cost</w:t>
            </w:r>
          </w:p>
        </w:tc>
        <w:tc>
          <w:tcPr>
            <w:tcW w:w="716" w:type="pct"/>
            <w:tcBorders>
              <w:bottom w:val="single" w:sz="4" w:space="0" w:color="auto"/>
            </w:tcBorders>
            <w:vAlign w:val="center"/>
          </w:tcPr>
          <w:p w14:paraId="2EB45D1B" w14:textId="77777777" w:rsidR="00D12268" w:rsidRPr="00183E4D" w:rsidRDefault="00D12268" w:rsidP="00C23E8A">
            <w:pPr>
              <w:pStyle w:val="TableHeading"/>
              <w:jc w:val="center"/>
            </w:pPr>
            <w:r w:rsidRPr="00183E4D">
              <w:t>Incremental cost</w:t>
            </w:r>
          </w:p>
        </w:tc>
        <w:tc>
          <w:tcPr>
            <w:tcW w:w="716" w:type="pct"/>
            <w:tcBorders>
              <w:bottom w:val="single" w:sz="4" w:space="0" w:color="auto"/>
            </w:tcBorders>
            <w:vAlign w:val="center"/>
          </w:tcPr>
          <w:p w14:paraId="58649698" w14:textId="77777777" w:rsidR="00D12268" w:rsidRPr="00183E4D" w:rsidRDefault="00D12268" w:rsidP="00C23E8A">
            <w:pPr>
              <w:pStyle w:val="TableHeading"/>
              <w:jc w:val="center"/>
            </w:pPr>
            <w:r w:rsidRPr="00183E4D">
              <w:t>Effectiveness (QALYs)</w:t>
            </w:r>
          </w:p>
        </w:tc>
        <w:tc>
          <w:tcPr>
            <w:tcW w:w="717" w:type="pct"/>
            <w:tcBorders>
              <w:bottom w:val="single" w:sz="4" w:space="0" w:color="auto"/>
            </w:tcBorders>
            <w:vAlign w:val="center"/>
          </w:tcPr>
          <w:p w14:paraId="25F2317E" w14:textId="77777777" w:rsidR="00D12268" w:rsidRPr="00183E4D" w:rsidRDefault="00D12268" w:rsidP="00C23E8A">
            <w:pPr>
              <w:pStyle w:val="TableHeading"/>
              <w:jc w:val="center"/>
            </w:pPr>
            <w:r w:rsidRPr="00183E4D">
              <w:t>Incremental effectiveness</w:t>
            </w:r>
          </w:p>
        </w:tc>
        <w:tc>
          <w:tcPr>
            <w:tcW w:w="736" w:type="pct"/>
            <w:tcBorders>
              <w:bottom w:val="single" w:sz="4" w:space="0" w:color="auto"/>
            </w:tcBorders>
            <w:vAlign w:val="center"/>
          </w:tcPr>
          <w:p w14:paraId="5761744E" w14:textId="77777777" w:rsidR="00D12268" w:rsidRPr="00183E4D" w:rsidRDefault="00D12268" w:rsidP="00C23E8A">
            <w:pPr>
              <w:pStyle w:val="TableHeading"/>
              <w:jc w:val="center"/>
            </w:pPr>
            <w:r w:rsidRPr="00183E4D">
              <w:t>ICER</w:t>
            </w:r>
          </w:p>
        </w:tc>
      </w:tr>
      <w:tr w:rsidR="00D12268" w:rsidRPr="00183E4D" w14:paraId="64E9A3B1" w14:textId="77777777" w:rsidTr="00C23E8A">
        <w:tc>
          <w:tcPr>
            <w:tcW w:w="1398" w:type="pct"/>
          </w:tcPr>
          <w:p w14:paraId="34DDA0C6" w14:textId="77777777" w:rsidR="00D12268" w:rsidRPr="00033DCB" w:rsidRDefault="00D12268" w:rsidP="00556AB6">
            <w:pPr>
              <w:pStyle w:val="Tabletext1"/>
              <w:rPr>
                <w:b/>
              </w:rPr>
            </w:pPr>
            <w:r w:rsidRPr="00033DCB">
              <w:rPr>
                <w:b/>
              </w:rPr>
              <w:t>MRI-guided radiation therapy</w:t>
            </w:r>
          </w:p>
        </w:tc>
        <w:tc>
          <w:tcPr>
            <w:tcW w:w="717" w:type="pct"/>
            <w:vAlign w:val="center"/>
          </w:tcPr>
          <w:p w14:paraId="356DA7B8" w14:textId="77777777" w:rsidR="00D12268" w:rsidRPr="00183E4D" w:rsidRDefault="00D12268" w:rsidP="006D1459">
            <w:pPr>
              <w:pStyle w:val="Tabletext1"/>
              <w:jc w:val="center"/>
            </w:pPr>
            <w:r>
              <w:t>$6,056.67</w:t>
            </w:r>
          </w:p>
        </w:tc>
        <w:tc>
          <w:tcPr>
            <w:tcW w:w="716" w:type="pct"/>
            <w:vAlign w:val="center"/>
          </w:tcPr>
          <w:p w14:paraId="4AC804E0" w14:textId="77777777" w:rsidR="00D12268" w:rsidRPr="00183E4D" w:rsidRDefault="00D12268" w:rsidP="006D1459">
            <w:pPr>
              <w:pStyle w:val="Tabletext1"/>
              <w:jc w:val="center"/>
            </w:pPr>
            <w:r>
              <w:t>$1,930.39</w:t>
            </w:r>
          </w:p>
        </w:tc>
        <w:tc>
          <w:tcPr>
            <w:tcW w:w="716" w:type="pct"/>
            <w:vAlign w:val="center"/>
          </w:tcPr>
          <w:p w14:paraId="766FE6B4" w14:textId="77777777" w:rsidR="00D12268" w:rsidRPr="00183E4D" w:rsidRDefault="00D12268" w:rsidP="006D1459">
            <w:pPr>
              <w:pStyle w:val="Tabletext1"/>
              <w:jc w:val="center"/>
            </w:pPr>
            <w:r>
              <w:t>NA</w:t>
            </w:r>
          </w:p>
        </w:tc>
        <w:tc>
          <w:tcPr>
            <w:tcW w:w="717" w:type="pct"/>
            <w:vAlign w:val="center"/>
          </w:tcPr>
          <w:p w14:paraId="3DF285B8" w14:textId="77777777" w:rsidR="00D12268" w:rsidRPr="00183E4D" w:rsidRDefault="00D12268" w:rsidP="006D1459">
            <w:pPr>
              <w:pStyle w:val="Tabletext1"/>
              <w:jc w:val="center"/>
            </w:pPr>
            <w:r>
              <w:t>NA</w:t>
            </w:r>
          </w:p>
        </w:tc>
        <w:tc>
          <w:tcPr>
            <w:tcW w:w="736" w:type="pct"/>
            <w:vAlign w:val="center"/>
          </w:tcPr>
          <w:p w14:paraId="1C00C747" w14:textId="77777777" w:rsidR="00D12268" w:rsidRPr="00183E4D" w:rsidRDefault="00D12268" w:rsidP="006D1459">
            <w:pPr>
              <w:pStyle w:val="Tabletext1"/>
              <w:jc w:val="center"/>
            </w:pPr>
            <w:r>
              <w:t>NA</w:t>
            </w:r>
          </w:p>
        </w:tc>
      </w:tr>
      <w:tr w:rsidR="00D12268" w:rsidRPr="00183E4D" w14:paraId="7BD79D9A" w14:textId="77777777" w:rsidTr="00C23E8A">
        <w:tc>
          <w:tcPr>
            <w:tcW w:w="1398" w:type="pct"/>
          </w:tcPr>
          <w:p w14:paraId="7239A047" w14:textId="77777777" w:rsidR="00D12268" w:rsidRPr="00033DCB" w:rsidRDefault="00D12268" w:rsidP="006D1459">
            <w:pPr>
              <w:pStyle w:val="Tabletext1"/>
              <w:rPr>
                <w:b/>
              </w:rPr>
            </w:pPr>
            <w:r w:rsidRPr="00033DCB">
              <w:rPr>
                <w:b/>
              </w:rPr>
              <w:t>CBCT-guided radiation therapy</w:t>
            </w:r>
          </w:p>
        </w:tc>
        <w:tc>
          <w:tcPr>
            <w:tcW w:w="717" w:type="pct"/>
            <w:vAlign w:val="center"/>
          </w:tcPr>
          <w:p w14:paraId="27C6C1F9" w14:textId="77777777" w:rsidR="00D12268" w:rsidRPr="00183E4D" w:rsidRDefault="00D12268" w:rsidP="006D1459">
            <w:pPr>
              <w:pStyle w:val="Tabletext1"/>
              <w:jc w:val="center"/>
            </w:pPr>
            <w:r>
              <w:t>$4,126.29</w:t>
            </w:r>
          </w:p>
        </w:tc>
        <w:tc>
          <w:tcPr>
            <w:tcW w:w="716" w:type="pct"/>
            <w:vAlign w:val="center"/>
          </w:tcPr>
          <w:p w14:paraId="0F0C42CE" w14:textId="77777777" w:rsidR="00D12268" w:rsidRPr="00183E4D" w:rsidRDefault="00D12268" w:rsidP="006D1459">
            <w:pPr>
              <w:pStyle w:val="Tabletext1"/>
              <w:jc w:val="center"/>
            </w:pPr>
            <w:r>
              <w:t>-</w:t>
            </w:r>
          </w:p>
        </w:tc>
        <w:tc>
          <w:tcPr>
            <w:tcW w:w="716" w:type="pct"/>
            <w:vAlign w:val="center"/>
          </w:tcPr>
          <w:p w14:paraId="646B880A" w14:textId="77777777" w:rsidR="00D12268" w:rsidRPr="00183E4D" w:rsidRDefault="00D12268" w:rsidP="006D1459">
            <w:pPr>
              <w:pStyle w:val="Tabletext1"/>
              <w:jc w:val="center"/>
            </w:pPr>
            <w:r>
              <w:t>NA</w:t>
            </w:r>
          </w:p>
        </w:tc>
        <w:tc>
          <w:tcPr>
            <w:tcW w:w="717" w:type="pct"/>
            <w:vAlign w:val="center"/>
          </w:tcPr>
          <w:p w14:paraId="0C4ED21C" w14:textId="77777777" w:rsidR="00D12268" w:rsidRPr="00183E4D" w:rsidRDefault="00D12268" w:rsidP="006D1459">
            <w:pPr>
              <w:pStyle w:val="Tabletext1"/>
              <w:jc w:val="center"/>
            </w:pPr>
            <w:r>
              <w:t>NA</w:t>
            </w:r>
          </w:p>
        </w:tc>
        <w:tc>
          <w:tcPr>
            <w:tcW w:w="736" w:type="pct"/>
            <w:vAlign w:val="center"/>
          </w:tcPr>
          <w:p w14:paraId="46DF33EB" w14:textId="77777777" w:rsidR="00D12268" w:rsidRPr="00183E4D" w:rsidRDefault="00D12268" w:rsidP="006D1459">
            <w:pPr>
              <w:pStyle w:val="Tabletext1"/>
              <w:jc w:val="center"/>
            </w:pPr>
            <w:r>
              <w:t>NA</w:t>
            </w:r>
          </w:p>
        </w:tc>
      </w:tr>
    </w:tbl>
    <w:p w14:paraId="19C617FB" w14:textId="77777777" w:rsidR="00D12268" w:rsidRPr="00183E4D" w:rsidRDefault="00D12268" w:rsidP="00D12268">
      <w:pPr>
        <w:pStyle w:val="Tablenotes0"/>
      </w:pPr>
      <w:r>
        <w:t>MRI=Magnetic resonance imaging; CBCT=Cone beam computed tomography</w:t>
      </w:r>
    </w:p>
    <w:p w14:paraId="00969D02" w14:textId="77777777" w:rsidR="004675E0" w:rsidRDefault="004675E0" w:rsidP="004675E0">
      <w:r>
        <w:t xml:space="preserve">Assuming the same hypofractionation schedule (5 fractions) of MR-guided SBRT and CBCT-guided SBRT in prostate cancer patients, the intervention has an incremental cost of $1,930 and is not cost saving. However, this finding might not extrapolate to all cancers as the underlying radiation treatment, radiation dose, fractionation schedule, healthcare resource utilisation, and cost of toxicities is likely to differ and impact the overall costs.  </w:t>
      </w:r>
    </w:p>
    <w:p w14:paraId="1A4BB2FF" w14:textId="77777777" w:rsidR="00D12268" w:rsidRDefault="00D12268" w:rsidP="00D12268">
      <w:pPr>
        <w:pStyle w:val="Heading2"/>
        <w:numPr>
          <w:ilvl w:val="3"/>
          <w:numId w:val="10"/>
        </w:numPr>
      </w:pPr>
      <w:bookmarkStart w:id="575" w:name="_Toc59018804"/>
      <w:bookmarkStart w:id="576" w:name="_Toc59020348"/>
      <w:bookmarkStart w:id="577" w:name="_Toc59439570"/>
      <w:bookmarkStart w:id="578" w:name="_Toc89857842"/>
      <w:r w:rsidRPr="00183E4D">
        <w:t>Sensitivity analyses</w:t>
      </w:r>
      <w:bookmarkEnd w:id="575"/>
      <w:bookmarkEnd w:id="576"/>
      <w:bookmarkEnd w:id="577"/>
      <w:bookmarkEnd w:id="578"/>
    </w:p>
    <w:p w14:paraId="651EB321" w14:textId="77777777" w:rsidR="00D12268" w:rsidRDefault="00D12268" w:rsidP="00D12268">
      <w:r>
        <w:t xml:space="preserve">A thorough and systematic approach was used to identify key drivers estimating the cost of MR-IGRT and CBCT-IGRT and the cost of their associated toxicities. Each variable was deviated by an arbitrary but a constant proportion. A 20% deviation was chosen to mitigate any issues relating to upper bound or lower bound values (such as proportions deviating above 100% or below 0%). Using this systematic approach, parameters can be identified which impacted the model estimates the most and allows the identification of parameters having disproportionate large effects. The parameter increasing or decreasing the CMA base case output by more than an arbitrary 10% were further scrutinised for parameter uncertainty. </w:t>
      </w:r>
    </w:p>
    <w:p w14:paraId="65CAF8AA" w14:textId="51E6A7EC" w:rsidR="00D12268" w:rsidRDefault="00C43F86" w:rsidP="00D12268">
      <w:pPr>
        <w:rPr>
          <w:noProof/>
        </w:rPr>
      </w:pPr>
      <w:r>
        <w:t>From one-way sensitivity analysis,</w:t>
      </w:r>
      <w:r w:rsidR="00752BC0">
        <w:t xml:space="preserve"> </w:t>
      </w:r>
      <w:r w:rsidR="00D12268">
        <w:t xml:space="preserve">six parameters were found to have </w:t>
      </w:r>
      <w:r w:rsidR="00752BC0">
        <w:t xml:space="preserve">highest </w:t>
      </w:r>
      <w:r w:rsidR="00D12268">
        <w:t>impact on the incremental cost</w:t>
      </w:r>
      <w:r w:rsidR="00851883">
        <w:t>.</w:t>
      </w:r>
      <w:r w:rsidR="00D12268">
        <w:t xml:space="preserve">. The number of patients treated over lifetime (10 years) by MR-IGRT had the largest impact on the incremental cost followed by the cost of the MR-IGRT equipment and its maintenance cost. The key parameters impacting the incremental cost are provided in the Tornado Diagram </w:t>
      </w:r>
      <w:r w:rsidR="00D12268">
        <w:fldChar w:fldCharType="begin"/>
      </w:r>
      <w:r w:rsidR="00D12268">
        <w:instrText xml:space="preserve"> REF _Ref58503929 \h </w:instrText>
      </w:r>
      <w:r w:rsidR="00D12268">
        <w:fldChar w:fldCharType="separate"/>
      </w:r>
      <w:r w:rsidR="00451350">
        <w:t xml:space="preserve">Figure </w:t>
      </w:r>
      <w:r w:rsidR="00451350">
        <w:rPr>
          <w:noProof/>
        </w:rPr>
        <w:t>8</w:t>
      </w:r>
      <w:r w:rsidR="00D12268">
        <w:fldChar w:fldCharType="end"/>
      </w:r>
      <w:r w:rsidR="00D12268">
        <w:t xml:space="preserve"> and in </w:t>
      </w:r>
      <w:r w:rsidR="00D12268">
        <w:fldChar w:fldCharType="begin"/>
      </w:r>
      <w:r w:rsidR="00D12268">
        <w:instrText xml:space="preserve"> REF _Ref58504022 \h </w:instrText>
      </w:r>
      <w:r w:rsidR="00D12268">
        <w:fldChar w:fldCharType="separate"/>
      </w:r>
      <w:r w:rsidR="00451350">
        <w:t xml:space="preserve">Table </w:t>
      </w:r>
      <w:r w:rsidR="00451350">
        <w:rPr>
          <w:noProof/>
        </w:rPr>
        <w:t>53</w:t>
      </w:r>
      <w:r w:rsidR="00D12268">
        <w:fldChar w:fldCharType="end"/>
      </w:r>
      <w:r w:rsidR="00D12268">
        <w:t xml:space="preserve">. All </w:t>
      </w:r>
      <w:r w:rsidR="007B14D5">
        <w:t xml:space="preserve">remaining </w:t>
      </w:r>
      <w:r w:rsidR="00D12268">
        <w:t>parameters did not have any substantial impact on the incremental cost on varying their values by 20%.</w:t>
      </w:r>
      <w:bookmarkStart w:id="579" w:name="_Ref30002235"/>
    </w:p>
    <w:p w14:paraId="36B27F61" w14:textId="77777777" w:rsidR="00D12268" w:rsidRDefault="00D12268" w:rsidP="00D12268">
      <w:r>
        <w:rPr>
          <w:noProof/>
        </w:rPr>
        <w:lastRenderedPageBreak/>
        <w:drawing>
          <wp:inline distT="0" distB="0" distL="0" distR="0" wp14:anchorId="73759BBD" wp14:editId="76488241">
            <wp:extent cx="5731510" cy="2614930"/>
            <wp:effectExtent l="0" t="0" r="2540" b="0"/>
            <wp:docPr id="2" name="Picture 2" descr="Figure 8 Tornado diagram of main drivers within the economic evaluatio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8 Tornado diagram of main drivers within the economic evaluation (± 20%)"/>
                    <pic:cNvPicPr/>
                  </pic:nvPicPr>
                  <pic:blipFill>
                    <a:blip r:embed="rId19">
                      <a:extLst>
                        <a:ext uri="{28A0092B-C50C-407E-A947-70E740481C1C}">
                          <a14:useLocalDpi xmlns:a14="http://schemas.microsoft.com/office/drawing/2010/main" val="0"/>
                        </a:ext>
                      </a:extLst>
                    </a:blip>
                    <a:stretch>
                      <a:fillRect/>
                    </a:stretch>
                  </pic:blipFill>
                  <pic:spPr>
                    <a:xfrm>
                      <a:off x="0" y="0"/>
                      <a:ext cx="5731510" cy="2614930"/>
                    </a:xfrm>
                    <a:prstGeom prst="rect">
                      <a:avLst/>
                    </a:prstGeom>
                  </pic:spPr>
                </pic:pic>
              </a:graphicData>
            </a:graphic>
          </wp:inline>
        </w:drawing>
      </w:r>
    </w:p>
    <w:p w14:paraId="78CD7C1C" w14:textId="0BC334B1" w:rsidR="00D12268" w:rsidRDefault="00D12268" w:rsidP="00D12268">
      <w:pPr>
        <w:pStyle w:val="Caption"/>
        <w:spacing w:after="240" w:line="312" w:lineRule="auto"/>
      </w:pPr>
      <w:bookmarkStart w:id="580" w:name="_Ref58503929"/>
      <w:bookmarkStart w:id="581" w:name="_Toc89857967"/>
      <w:r>
        <w:t xml:space="preserve">Figure </w:t>
      </w:r>
      <w:r w:rsidR="00211285">
        <w:fldChar w:fldCharType="begin"/>
      </w:r>
      <w:r w:rsidR="00211285">
        <w:instrText xml:space="preserve"> SEQ Figure \* ARABIC </w:instrText>
      </w:r>
      <w:r w:rsidR="00211285">
        <w:fldChar w:fldCharType="separate"/>
      </w:r>
      <w:r w:rsidR="00451350">
        <w:rPr>
          <w:noProof/>
        </w:rPr>
        <w:t>8</w:t>
      </w:r>
      <w:r w:rsidR="00211285">
        <w:rPr>
          <w:noProof/>
        </w:rPr>
        <w:fldChar w:fldCharType="end"/>
      </w:r>
      <w:bookmarkEnd w:id="580"/>
      <w:r>
        <w:tab/>
        <w:t>Tornado diagram of main drivers within the economic evaluation (± 20%)</w:t>
      </w:r>
      <w:bookmarkEnd w:id="581"/>
    </w:p>
    <w:p w14:paraId="7E1F3022" w14:textId="0AEAE83C" w:rsidR="00D12268" w:rsidRDefault="00D12268" w:rsidP="00D12268">
      <w:pPr>
        <w:pStyle w:val="Caption"/>
        <w:keepNext/>
      </w:pPr>
      <w:bookmarkStart w:id="582" w:name="_Ref58504022"/>
      <w:bookmarkStart w:id="583" w:name="_Toc89857924"/>
      <w:r>
        <w:t xml:space="preserve">Table </w:t>
      </w:r>
      <w:r w:rsidR="00211285">
        <w:fldChar w:fldCharType="begin"/>
      </w:r>
      <w:r w:rsidR="00211285">
        <w:instrText xml:space="preserve"> SEQ Table \* ARABIC </w:instrText>
      </w:r>
      <w:r w:rsidR="00211285">
        <w:fldChar w:fldCharType="separate"/>
      </w:r>
      <w:r w:rsidR="00451350">
        <w:rPr>
          <w:noProof/>
        </w:rPr>
        <w:t>53</w:t>
      </w:r>
      <w:r w:rsidR="00211285">
        <w:rPr>
          <w:noProof/>
        </w:rPr>
        <w:fldChar w:fldCharType="end"/>
      </w:r>
      <w:bookmarkEnd w:id="579"/>
      <w:bookmarkEnd w:id="582"/>
      <w:r>
        <w:tab/>
        <w:t>Key drivers of economic model – MR-IGRT v CBCT-IGRT (± 20%)</w:t>
      </w:r>
      <w:bookmarkEnd w:id="583"/>
    </w:p>
    <w:tbl>
      <w:tblPr>
        <w:tblStyle w:val="TableGrid"/>
        <w:tblW w:w="5000" w:type="pct"/>
        <w:tblLook w:val="04A0" w:firstRow="1" w:lastRow="0" w:firstColumn="1" w:lastColumn="0" w:noHBand="0" w:noVBand="1"/>
        <w:tblCaption w:val="Table 45a"/>
        <w:tblDescription w:val="Key drivers of economic model – ABPM v HBPM and ABPM v CBPM"/>
      </w:tblPr>
      <w:tblGrid>
        <w:gridCol w:w="2992"/>
        <w:gridCol w:w="1037"/>
        <w:gridCol w:w="1137"/>
        <w:gridCol w:w="792"/>
        <w:gridCol w:w="1129"/>
        <w:gridCol w:w="1138"/>
        <w:gridCol w:w="791"/>
      </w:tblGrid>
      <w:tr w:rsidR="00D12268" w14:paraId="25E2C5D9" w14:textId="77777777" w:rsidTr="00FA43E9">
        <w:trPr>
          <w:cantSplit/>
          <w:tblHeader/>
        </w:trPr>
        <w:tc>
          <w:tcPr>
            <w:tcW w:w="1660" w:type="pct"/>
            <w:tcBorders>
              <w:bottom w:val="single" w:sz="4" w:space="0" w:color="auto"/>
            </w:tcBorders>
          </w:tcPr>
          <w:p w14:paraId="1CE3DE4B" w14:textId="77777777" w:rsidR="00D12268" w:rsidRPr="00FB6ECE" w:rsidRDefault="00D12268" w:rsidP="00CE5A57">
            <w:pPr>
              <w:pStyle w:val="Tabletext1"/>
              <w:ind w:left="22"/>
              <w:rPr>
                <w:b/>
              </w:rPr>
            </w:pPr>
            <w:r>
              <w:rPr>
                <w:b/>
              </w:rPr>
              <w:t>MR-IGRT v CBCT-IGRT</w:t>
            </w:r>
          </w:p>
        </w:tc>
        <w:tc>
          <w:tcPr>
            <w:tcW w:w="575" w:type="pct"/>
            <w:tcBorders>
              <w:bottom w:val="single" w:sz="4" w:space="0" w:color="auto"/>
            </w:tcBorders>
            <w:vAlign w:val="center"/>
          </w:tcPr>
          <w:p w14:paraId="6CD39A04" w14:textId="77777777" w:rsidR="00D12268" w:rsidRPr="00057302" w:rsidRDefault="00D12268" w:rsidP="00C23E8A">
            <w:pPr>
              <w:pStyle w:val="Tabletext1"/>
              <w:ind w:left="0"/>
              <w:jc w:val="center"/>
              <w:rPr>
                <w:b/>
              </w:rPr>
            </w:pPr>
            <w:r>
              <w:rPr>
                <w:b/>
              </w:rPr>
              <w:t>-20%</w:t>
            </w:r>
          </w:p>
        </w:tc>
        <w:tc>
          <w:tcPr>
            <w:tcW w:w="631" w:type="pct"/>
            <w:tcBorders>
              <w:bottom w:val="single" w:sz="4" w:space="0" w:color="auto"/>
            </w:tcBorders>
            <w:vAlign w:val="center"/>
          </w:tcPr>
          <w:p w14:paraId="0CC88331" w14:textId="77777777" w:rsidR="00D12268" w:rsidRPr="00057302" w:rsidRDefault="00D12268" w:rsidP="00C23E8A">
            <w:pPr>
              <w:pStyle w:val="Tabletext1"/>
              <w:ind w:left="0"/>
              <w:jc w:val="center"/>
              <w:rPr>
                <w:b/>
              </w:rPr>
            </w:pPr>
            <w:r>
              <w:rPr>
                <w:b/>
              </w:rPr>
              <w:t>Incremental cost ($)</w:t>
            </w:r>
          </w:p>
        </w:tc>
        <w:tc>
          <w:tcPr>
            <w:tcW w:w="439" w:type="pct"/>
            <w:tcBorders>
              <w:bottom w:val="single" w:sz="4" w:space="0" w:color="auto"/>
            </w:tcBorders>
            <w:vAlign w:val="center"/>
          </w:tcPr>
          <w:p w14:paraId="035DAC79" w14:textId="77777777" w:rsidR="00D12268" w:rsidRDefault="00D12268" w:rsidP="00C23E8A">
            <w:pPr>
              <w:pStyle w:val="Tabletext1"/>
              <w:ind w:left="0"/>
              <w:jc w:val="center"/>
              <w:rPr>
                <w:b/>
              </w:rPr>
            </w:pPr>
            <w:r>
              <w:rPr>
                <w:b/>
              </w:rPr>
              <w:t>% change</w:t>
            </w:r>
          </w:p>
        </w:tc>
        <w:tc>
          <w:tcPr>
            <w:tcW w:w="626" w:type="pct"/>
            <w:tcBorders>
              <w:bottom w:val="single" w:sz="4" w:space="0" w:color="auto"/>
            </w:tcBorders>
            <w:vAlign w:val="center"/>
          </w:tcPr>
          <w:p w14:paraId="3BAE3DE1" w14:textId="77777777" w:rsidR="00D12268" w:rsidRDefault="00D12268" w:rsidP="00C23E8A">
            <w:pPr>
              <w:pStyle w:val="Tabletext1"/>
              <w:ind w:left="0"/>
              <w:jc w:val="center"/>
              <w:rPr>
                <w:b/>
              </w:rPr>
            </w:pPr>
            <w:r>
              <w:rPr>
                <w:b/>
              </w:rPr>
              <w:t>+20%</w:t>
            </w:r>
          </w:p>
        </w:tc>
        <w:tc>
          <w:tcPr>
            <w:tcW w:w="631" w:type="pct"/>
            <w:tcBorders>
              <w:bottom w:val="single" w:sz="4" w:space="0" w:color="auto"/>
            </w:tcBorders>
            <w:vAlign w:val="center"/>
          </w:tcPr>
          <w:p w14:paraId="2688A2C1" w14:textId="77777777" w:rsidR="00D12268" w:rsidRDefault="00D12268" w:rsidP="00C23E8A">
            <w:pPr>
              <w:pStyle w:val="Tabletext1"/>
              <w:ind w:left="0"/>
              <w:jc w:val="center"/>
              <w:rPr>
                <w:b/>
              </w:rPr>
            </w:pPr>
            <w:r>
              <w:rPr>
                <w:b/>
              </w:rPr>
              <w:t>Incremental cost ($)</w:t>
            </w:r>
          </w:p>
        </w:tc>
        <w:tc>
          <w:tcPr>
            <w:tcW w:w="439" w:type="pct"/>
            <w:tcBorders>
              <w:bottom w:val="single" w:sz="4" w:space="0" w:color="auto"/>
            </w:tcBorders>
            <w:vAlign w:val="center"/>
          </w:tcPr>
          <w:p w14:paraId="62D87A90" w14:textId="77777777" w:rsidR="00D12268" w:rsidRDefault="00D12268" w:rsidP="00C23E8A">
            <w:pPr>
              <w:pStyle w:val="Tabletext1"/>
              <w:ind w:left="0"/>
              <w:jc w:val="center"/>
              <w:rPr>
                <w:b/>
              </w:rPr>
            </w:pPr>
            <w:r>
              <w:rPr>
                <w:b/>
              </w:rPr>
              <w:t>% change</w:t>
            </w:r>
          </w:p>
        </w:tc>
      </w:tr>
      <w:tr w:rsidR="00FA43E9" w14:paraId="43A53F18" w14:textId="77777777" w:rsidTr="00FA43E9">
        <w:trPr>
          <w:cantSplit/>
        </w:trPr>
        <w:tc>
          <w:tcPr>
            <w:tcW w:w="1660" w:type="pct"/>
            <w:vAlign w:val="center"/>
          </w:tcPr>
          <w:p w14:paraId="4A6B7F54" w14:textId="6B11BF27" w:rsidR="00FA43E9" w:rsidRPr="00033DCB" w:rsidRDefault="00FA43E9" w:rsidP="00CE5A57">
            <w:pPr>
              <w:pStyle w:val="Tabletext1"/>
              <w:ind w:left="22"/>
              <w:rPr>
                <w:b/>
              </w:rPr>
            </w:pPr>
            <w:r>
              <w:rPr>
                <w:b/>
              </w:rPr>
              <w:t>Base case: MR-IGRT v CBCT-IGRT</w:t>
            </w:r>
          </w:p>
        </w:tc>
        <w:tc>
          <w:tcPr>
            <w:tcW w:w="575" w:type="pct"/>
            <w:tcBorders>
              <w:right w:val="nil"/>
            </w:tcBorders>
            <w:vAlign w:val="center"/>
          </w:tcPr>
          <w:p w14:paraId="19008545" w14:textId="41DC409D" w:rsidR="00FA43E9" w:rsidRDefault="00FA43E9" w:rsidP="00FA43E9">
            <w:pPr>
              <w:pStyle w:val="Tabletext1"/>
              <w:ind w:left="0"/>
              <w:jc w:val="center"/>
            </w:pPr>
          </w:p>
        </w:tc>
        <w:tc>
          <w:tcPr>
            <w:tcW w:w="631" w:type="pct"/>
            <w:tcBorders>
              <w:left w:val="nil"/>
              <w:right w:val="nil"/>
            </w:tcBorders>
            <w:vAlign w:val="center"/>
          </w:tcPr>
          <w:p w14:paraId="4405740B" w14:textId="2A8CB81E" w:rsidR="00FA43E9" w:rsidRDefault="00FA43E9" w:rsidP="00FA43E9">
            <w:pPr>
              <w:pStyle w:val="Tabletext1"/>
              <w:ind w:left="0"/>
              <w:jc w:val="center"/>
            </w:pPr>
            <w:r>
              <w:t>$1,930</w:t>
            </w:r>
          </w:p>
        </w:tc>
        <w:tc>
          <w:tcPr>
            <w:tcW w:w="439" w:type="pct"/>
            <w:tcBorders>
              <w:left w:val="nil"/>
              <w:right w:val="nil"/>
            </w:tcBorders>
            <w:vAlign w:val="center"/>
          </w:tcPr>
          <w:p w14:paraId="2041AAE1" w14:textId="77777777" w:rsidR="00FA43E9" w:rsidRDefault="00FA43E9" w:rsidP="00CE5A57">
            <w:pPr>
              <w:pStyle w:val="Tabletext1"/>
              <w:jc w:val="center"/>
            </w:pPr>
          </w:p>
        </w:tc>
        <w:tc>
          <w:tcPr>
            <w:tcW w:w="626" w:type="pct"/>
            <w:tcBorders>
              <w:left w:val="nil"/>
              <w:right w:val="nil"/>
            </w:tcBorders>
            <w:vAlign w:val="center"/>
          </w:tcPr>
          <w:p w14:paraId="12454E43" w14:textId="77777777" w:rsidR="00FA43E9" w:rsidRDefault="00FA43E9" w:rsidP="00CE5A57">
            <w:pPr>
              <w:pStyle w:val="Tabletext1"/>
              <w:jc w:val="center"/>
            </w:pPr>
          </w:p>
        </w:tc>
        <w:tc>
          <w:tcPr>
            <w:tcW w:w="631" w:type="pct"/>
            <w:tcBorders>
              <w:left w:val="nil"/>
              <w:right w:val="nil"/>
            </w:tcBorders>
            <w:vAlign w:val="center"/>
          </w:tcPr>
          <w:p w14:paraId="07D80FA0" w14:textId="77777777" w:rsidR="00FA43E9" w:rsidRDefault="00FA43E9" w:rsidP="00CE5A57">
            <w:pPr>
              <w:pStyle w:val="Tabletext1"/>
              <w:jc w:val="center"/>
            </w:pPr>
          </w:p>
        </w:tc>
        <w:tc>
          <w:tcPr>
            <w:tcW w:w="439" w:type="pct"/>
            <w:tcBorders>
              <w:left w:val="nil"/>
            </w:tcBorders>
            <w:vAlign w:val="center"/>
          </w:tcPr>
          <w:p w14:paraId="06DC11D8" w14:textId="77777777" w:rsidR="00FA43E9" w:rsidRDefault="00FA43E9" w:rsidP="00CE5A57">
            <w:pPr>
              <w:pStyle w:val="Tabletext1"/>
              <w:jc w:val="center"/>
            </w:pPr>
          </w:p>
        </w:tc>
      </w:tr>
      <w:tr w:rsidR="00D12268" w14:paraId="4DA519A5" w14:textId="77777777" w:rsidTr="00FA43E9">
        <w:trPr>
          <w:cantSplit/>
        </w:trPr>
        <w:tc>
          <w:tcPr>
            <w:tcW w:w="1660" w:type="pct"/>
            <w:vAlign w:val="center"/>
          </w:tcPr>
          <w:p w14:paraId="418C0049" w14:textId="77777777" w:rsidR="00D12268" w:rsidRPr="00033DCB" w:rsidRDefault="00D12268" w:rsidP="00CE5A57">
            <w:pPr>
              <w:pStyle w:val="Tabletext1"/>
              <w:ind w:left="22"/>
              <w:rPr>
                <w:b/>
              </w:rPr>
            </w:pPr>
            <w:r w:rsidRPr="00033DCB">
              <w:rPr>
                <w:b/>
              </w:rPr>
              <w:t xml:space="preserve">No. of patients treated over lifetime by MR-IGRT </w:t>
            </w:r>
          </w:p>
        </w:tc>
        <w:tc>
          <w:tcPr>
            <w:tcW w:w="575" w:type="pct"/>
            <w:vAlign w:val="center"/>
          </w:tcPr>
          <w:p w14:paraId="32F3BA8D" w14:textId="77777777" w:rsidR="00D12268" w:rsidRPr="009A20F1" w:rsidRDefault="00D12268" w:rsidP="00CE5A57">
            <w:pPr>
              <w:pStyle w:val="Tabletext1"/>
              <w:ind w:left="0"/>
              <w:jc w:val="center"/>
            </w:pPr>
            <w:r>
              <w:t>4571</w:t>
            </w:r>
          </w:p>
        </w:tc>
        <w:tc>
          <w:tcPr>
            <w:tcW w:w="631" w:type="pct"/>
            <w:vAlign w:val="center"/>
          </w:tcPr>
          <w:p w14:paraId="4B487862" w14:textId="77777777" w:rsidR="00D12268" w:rsidRPr="009A20F1" w:rsidRDefault="00D12268" w:rsidP="00CE5A57">
            <w:pPr>
              <w:pStyle w:val="Tabletext1"/>
              <w:ind w:left="0"/>
              <w:jc w:val="center"/>
            </w:pPr>
            <w:r>
              <w:t>$3,023</w:t>
            </w:r>
          </w:p>
        </w:tc>
        <w:tc>
          <w:tcPr>
            <w:tcW w:w="439" w:type="pct"/>
            <w:vAlign w:val="center"/>
          </w:tcPr>
          <w:p w14:paraId="2CF5F49D" w14:textId="77777777" w:rsidR="00D12268" w:rsidRDefault="00D12268" w:rsidP="00CE5A57">
            <w:pPr>
              <w:pStyle w:val="Tabletext1"/>
              <w:ind w:left="0"/>
              <w:jc w:val="center"/>
            </w:pPr>
            <w:r>
              <w:t>57%</w:t>
            </w:r>
          </w:p>
        </w:tc>
        <w:tc>
          <w:tcPr>
            <w:tcW w:w="626" w:type="pct"/>
            <w:vAlign w:val="center"/>
          </w:tcPr>
          <w:p w14:paraId="4BE8B6EB" w14:textId="77777777" w:rsidR="00D12268" w:rsidRPr="009A20F1" w:rsidRDefault="00D12268" w:rsidP="00CE5A57">
            <w:pPr>
              <w:pStyle w:val="Tabletext1"/>
              <w:ind w:left="0"/>
              <w:jc w:val="center"/>
            </w:pPr>
            <w:r>
              <w:t>6857</w:t>
            </w:r>
          </w:p>
        </w:tc>
        <w:tc>
          <w:tcPr>
            <w:tcW w:w="631" w:type="pct"/>
            <w:vAlign w:val="center"/>
          </w:tcPr>
          <w:p w14:paraId="4F79840C" w14:textId="77777777" w:rsidR="00D12268" w:rsidRPr="009A20F1" w:rsidRDefault="00D12268" w:rsidP="00CE5A57">
            <w:pPr>
              <w:pStyle w:val="Tabletext1"/>
              <w:ind w:left="0"/>
              <w:jc w:val="center"/>
            </w:pPr>
            <w:r>
              <w:t>$1,199</w:t>
            </w:r>
          </w:p>
        </w:tc>
        <w:tc>
          <w:tcPr>
            <w:tcW w:w="439" w:type="pct"/>
            <w:vAlign w:val="center"/>
          </w:tcPr>
          <w:p w14:paraId="37658B7D" w14:textId="77777777" w:rsidR="00D12268" w:rsidRDefault="00D12268" w:rsidP="00CE5A57">
            <w:pPr>
              <w:pStyle w:val="Tabletext1"/>
              <w:ind w:left="0"/>
              <w:jc w:val="center"/>
            </w:pPr>
            <w:r>
              <w:t>-38%</w:t>
            </w:r>
          </w:p>
        </w:tc>
      </w:tr>
      <w:tr w:rsidR="00D12268" w14:paraId="1DD2D273" w14:textId="77777777" w:rsidTr="00FA43E9">
        <w:trPr>
          <w:cantSplit/>
        </w:trPr>
        <w:tc>
          <w:tcPr>
            <w:tcW w:w="1660" w:type="pct"/>
            <w:vAlign w:val="center"/>
          </w:tcPr>
          <w:p w14:paraId="51D5A39C" w14:textId="77777777" w:rsidR="00D12268" w:rsidRPr="00033DCB" w:rsidRDefault="00D12268" w:rsidP="00CE5A57">
            <w:pPr>
              <w:pStyle w:val="Tabletext1"/>
              <w:ind w:left="22"/>
              <w:rPr>
                <w:b/>
              </w:rPr>
            </w:pPr>
            <w:r w:rsidRPr="00033DCB">
              <w:rPr>
                <w:b/>
              </w:rPr>
              <w:t>Cost of MR-IGRT equipment</w:t>
            </w:r>
          </w:p>
        </w:tc>
        <w:tc>
          <w:tcPr>
            <w:tcW w:w="575" w:type="pct"/>
            <w:vAlign w:val="center"/>
          </w:tcPr>
          <w:p w14:paraId="0BF27B41" w14:textId="77777777" w:rsidR="00D12268" w:rsidRPr="009A20F1" w:rsidRDefault="00D12268" w:rsidP="00CE5A57">
            <w:pPr>
              <w:pStyle w:val="Tabletext1"/>
              <w:ind w:left="0"/>
              <w:jc w:val="center"/>
            </w:pPr>
            <w:r>
              <w:t>$7,920,000</w:t>
            </w:r>
          </w:p>
        </w:tc>
        <w:tc>
          <w:tcPr>
            <w:tcW w:w="631" w:type="pct"/>
            <w:vAlign w:val="center"/>
          </w:tcPr>
          <w:p w14:paraId="706F2F72" w14:textId="77777777" w:rsidR="00D12268" w:rsidRPr="009A20F1" w:rsidRDefault="00D12268" w:rsidP="00CE5A57">
            <w:pPr>
              <w:pStyle w:val="Tabletext1"/>
              <w:ind w:left="0"/>
              <w:jc w:val="center"/>
            </w:pPr>
            <w:r>
              <w:t>$1,324</w:t>
            </w:r>
          </w:p>
        </w:tc>
        <w:tc>
          <w:tcPr>
            <w:tcW w:w="439" w:type="pct"/>
            <w:vAlign w:val="center"/>
          </w:tcPr>
          <w:p w14:paraId="5A518598" w14:textId="77777777" w:rsidR="00D12268" w:rsidRPr="009E6F31" w:rsidRDefault="00D12268" w:rsidP="00CE5A57">
            <w:pPr>
              <w:pStyle w:val="Tabletext1"/>
              <w:ind w:left="0"/>
              <w:jc w:val="center"/>
            </w:pPr>
            <w:r>
              <w:t>-31%</w:t>
            </w:r>
          </w:p>
        </w:tc>
        <w:tc>
          <w:tcPr>
            <w:tcW w:w="626" w:type="pct"/>
            <w:vAlign w:val="center"/>
          </w:tcPr>
          <w:p w14:paraId="146C82E2" w14:textId="77777777" w:rsidR="00D12268" w:rsidRPr="009A20F1" w:rsidRDefault="00D12268" w:rsidP="00CE5A57">
            <w:pPr>
              <w:pStyle w:val="Tabletext1"/>
              <w:ind w:left="0"/>
              <w:jc w:val="center"/>
            </w:pPr>
            <w:r>
              <w:t>$11,880,000</w:t>
            </w:r>
          </w:p>
        </w:tc>
        <w:tc>
          <w:tcPr>
            <w:tcW w:w="631" w:type="pct"/>
            <w:vAlign w:val="center"/>
          </w:tcPr>
          <w:p w14:paraId="0A3DE1BB" w14:textId="77777777" w:rsidR="00D12268" w:rsidRPr="009A20F1" w:rsidRDefault="00D12268" w:rsidP="00CE5A57">
            <w:pPr>
              <w:pStyle w:val="Tabletext1"/>
              <w:ind w:left="0"/>
              <w:jc w:val="center"/>
            </w:pPr>
            <w:r>
              <w:t>$2,537</w:t>
            </w:r>
          </w:p>
        </w:tc>
        <w:tc>
          <w:tcPr>
            <w:tcW w:w="439" w:type="pct"/>
            <w:vAlign w:val="center"/>
          </w:tcPr>
          <w:p w14:paraId="1DDF6282" w14:textId="77777777" w:rsidR="00D12268" w:rsidRDefault="00D12268" w:rsidP="00CE5A57">
            <w:pPr>
              <w:pStyle w:val="Tabletext1"/>
              <w:ind w:left="0"/>
              <w:jc w:val="center"/>
            </w:pPr>
            <w:r>
              <w:t>31%</w:t>
            </w:r>
          </w:p>
        </w:tc>
      </w:tr>
      <w:tr w:rsidR="00D12268" w14:paraId="77D59D0C" w14:textId="77777777" w:rsidTr="00FA43E9">
        <w:trPr>
          <w:cantSplit/>
        </w:trPr>
        <w:tc>
          <w:tcPr>
            <w:tcW w:w="1660" w:type="pct"/>
            <w:vAlign w:val="center"/>
          </w:tcPr>
          <w:p w14:paraId="3BE03941" w14:textId="77777777" w:rsidR="00D12268" w:rsidRPr="00033DCB" w:rsidRDefault="00D12268" w:rsidP="00CE5A57">
            <w:pPr>
              <w:pStyle w:val="Tabletext1"/>
              <w:ind w:left="22"/>
              <w:rPr>
                <w:b/>
              </w:rPr>
            </w:pPr>
            <w:r w:rsidRPr="00033DCB">
              <w:rPr>
                <w:b/>
              </w:rPr>
              <w:t>Maintenance cost of MR-IGRT per annum</w:t>
            </w:r>
          </w:p>
        </w:tc>
        <w:tc>
          <w:tcPr>
            <w:tcW w:w="575" w:type="pct"/>
            <w:vAlign w:val="center"/>
          </w:tcPr>
          <w:p w14:paraId="2401444A" w14:textId="77777777" w:rsidR="00D12268" w:rsidRPr="009A20F1" w:rsidRDefault="00D12268" w:rsidP="00CE5A57">
            <w:pPr>
              <w:pStyle w:val="Tabletext1"/>
              <w:ind w:left="0"/>
              <w:jc w:val="center"/>
            </w:pPr>
            <w:r w:rsidRPr="009E6F31">
              <w:t>$600,00</w:t>
            </w:r>
            <w:r>
              <w:t>0</w:t>
            </w:r>
          </w:p>
        </w:tc>
        <w:tc>
          <w:tcPr>
            <w:tcW w:w="631" w:type="pct"/>
            <w:vAlign w:val="center"/>
          </w:tcPr>
          <w:p w14:paraId="5FA57DE8" w14:textId="77777777" w:rsidR="00D12268" w:rsidRPr="009A20F1" w:rsidRDefault="00D12268" w:rsidP="00CE5A57">
            <w:pPr>
              <w:pStyle w:val="Tabletext1"/>
              <w:ind w:left="0"/>
              <w:jc w:val="center"/>
            </w:pPr>
            <w:r>
              <w:t>$1,678</w:t>
            </w:r>
          </w:p>
        </w:tc>
        <w:tc>
          <w:tcPr>
            <w:tcW w:w="439" w:type="pct"/>
            <w:vAlign w:val="center"/>
          </w:tcPr>
          <w:p w14:paraId="1A0C33C4" w14:textId="77777777" w:rsidR="00D12268" w:rsidRPr="009E6F31" w:rsidRDefault="00D12268" w:rsidP="00CE5A57">
            <w:pPr>
              <w:pStyle w:val="Tabletext1"/>
              <w:ind w:left="0"/>
              <w:jc w:val="center"/>
            </w:pPr>
            <w:r>
              <w:t>-13%</w:t>
            </w:r>
          </w:p>
        </w:tc>
        <w:tc>
          <w:tcPr>
            <w:tcW w:w="626" w:type="pct"/>
            <w:vAlign w:val="center"/>
          </w:tcPr>
          <w:p w14:paraId="3E054F77" w14:textId="77777777" w:rsidR="00D12268" w:rsidRPr="009A20F1" w:rsidRDefault="00D12268" w:rsidP="00CE5A57">
            <w:pPr>
              <w:pStyle w:val="Tabletext1"/>
              <w:ind w:left="0"/>
              <w:jc w:val="center"/>
            </w:pPr>
            <w:r>
              <w:t>$900,000</w:t>
            </w:r>
          </w:p>
        </w:tc>
        <w:tc>
          <w:tcPr>
            <w:tcW w:w="631" w:type="pct"/>
            <w:vAlign w:val="center"/>
          </w:tcPr>
          <w:p w14:paraId="1042EE82" w14:textId="77777777" w:rsidR="00D12268" w:rsidRPr="009A20F1" w:rsidRDefault="00D12268" w:rsidP="00CE5A57">
            <w:pPr>
              <w:pStyle w:val="Tabletext1"/>
              <w:ind w:left="0"/>
              <w:jc w:val="center"/>
            </w:pPr>
            <w:r>
              <w:t>$2,182</w:t>
            </w:r>
          </w:p>
        </w:tc>
        <w:tc>
          <w:tcPr>
            <w:tcW w:w="439" w:type="pct"/>
            <w:vAlign w:val="center"/>
          </w:tcPr>
          <w:p w14:paraId="7FF1BC66" w14:textId="77777777" w:rsidR="00D12268" w:rsidRDefault="00D12268" w:rsidP="00CE5A57">
            <w:pPr>
              <w:pStyle w:val="Tabletext1"/>
              <w:ind w:left="0"/>
              <w:jc w:val="center"/>
            </w:pPr>
            <w:r>
              <w:t>13%</w:t>
            </w:r>
          </w:p>
        </w:tc>
      </w:tr>
      <w:tr w:rsidR="00D12268" w14:paraId="72CB2AC7" w14:textId="77777777" w:rsidTr="00FA43E9">
        <w:trPr>
          <w:cantSplit/>
        </w:trPr>
        <w:tc>
          <w:tcPr>
            <w:tcW w:w="1660" w:type="pct"/>
            <w:vAlign w:val="center"/>
          </w:tcPr>
          <w:p w14:paraId="58F6C946" w14:textId="77777777" w:rsidR="00D12268" w:rsidRPr="00033DCB" w:rsidRDefault="00D12268" w:rsidP="00CE5A57">
            <w:pPr>
              <w:pStyle w:val="Tabletext1"/>
              <w:ind w:left="22"/>
              <w:rPr>
                <w:b/>
              </w:rPr>
            </w:pPr>
            <w:r w:rsidRPr="00033DCB">
              <w:rPr>
                <w:b/>
              </w:rPr>
              <w:t>Half cycle correction</w:t>
            </w:r>
          </w:p>
        </w:tc>
        <w:tc>
          <w:tcPr>
            <w:tcW w:w="575" w:type="pct"/>
            <w:vAlign w:val="center"/>
          </w:tcPr>
          <w:p w14:paraId="6CA494BC" w14:textId="648C8405" w:rsidR="00D12268" w:rsidRPr="009A20F1" w:rsidRDefault="00D12268" w:rsidP="00CE5A57">
            <w:pPr>
              <w:pStyle w:val="Tabletext1"/>
              <w:ind w:left="0"/>
              <w:jc w:val="center"/>
            </w:pPr>
            <w:r>
              <w:t>0.4</w:t>
            </w:r>
          </w:p>
        </w:tc>
        <w:tc>
          <w:tcPr>
            <w:tcW w:w="631" w:type="pct"/>
            <w:vAlign w:val="center"/>
          </w:tcPr>
          <w:p w14:paraId="00EAF00E" w14:textId="77777777" w:rsidR="00D12268" w:rsidRPr="009A20F1" w:rsidRDefault="00D12268" w:rsidP="00CE5A57">
            <w:pPr>
              <w:pStyle w:val="Tabletext1"/>
              <w:ind w:left="0"/>
              <w:jc w:val="center"/>
            </w:pPr>
            <w:r>
              <w:t>$1,674</w:t>
            </w:r>
          </w:p>
        </w:tc>
        <w:tc>
          <w:tcPr>
            <w:tcW w:w="439" w:type="pct"/>
            <w:vAlign w:val="center"/>
          </w:tcPr>
          <w:p w14:paraId="5007F106" w14:textId="77777777" w:rsidR="00D12268" w:rsidRDefault="00D12268" w:rsidP="00CE5A57">
            <w:pPr>
              <w:pStyle w:val="Tabletext1"/>
              <w:ind w:left="0"/>
              <w:jc w:val="center"/>
            </w:pPr>
            <w:r>
              <w:t>-13%</w:t>
            </w:r>
          </w:p>
        </w:tc>
        <w:tc>
          <w:tcPr>
            <w:tcW w:w="626" w:type="pct"/>
            <w:vAlign w:val="center"/>
          </w:tcPr>
          <w:p w14:paraId="5BB645E6" w14:textId="77777777" w:rsidR="00D12268" w:rsidRPr="009A20F1" w:rsidRDefault="00D12268" w:rsidP="00CE5A57">
            <w:pPr>
              <w:pStyle w:val="Tabletext1"/>
              <w:ind w:left="0"/>
              <w:jc w:val="center"/>
            </w:pPr>
            <w:r>
              <w:t>0.6</w:t>
            </w:r>
          </w:p>
        </w:tc>
        <w:tc>
          <w:tcPr>
            <w:tcW w:w="631" w:type="pct"/>
            <w:vAlign w:val="center"/>
          </w:tcPr>
          <w:p w14:paraId="7AA4823C" w14:textId="77777777" w:rsidR="00D12268" w:rsidRPr="009A20F1" w:rsidRDefault="00D12268" w:rsidP="00CE5A57">
            <w:pPr>
              <w:pStyle w:val="Tabletext1"/>
              <w:ind w:left="0"/>
              <w:jc w:val="center"/>
            </w:pPr>
            <w:r>
              <w:t>$2,186</w:t>
            </w:r>
          </w:p>
        </w:tc>
        <w:tc>
          <w:tcPr>
            <w:tcW w:w="439" w:type="pct"/>
            <w:vAlign w:val="center"/>
          </w:tcPr>
          <w:p w14:paraId="14253767" w14:textId="77777777" w:rsidR="00D12268" w:rsidRDefault="00D12268" w:rsidP="00CE5A57">
            <w:pPr>
              <w:pStyle w:val="Tabletext1"/>
              <w:ind w:left="0"/>
              <w:jc w:val="center"/>
            </w:pPr>
            <w:r>
              <w:t>13%</w:t>
            </w:r>
          </w:p>
        </w:tc>
      </w:tr>
      <w:tr w:rsidR="00D12268" w14:paraId="3D98F1E3" w14:textId="77777777" w:rsidTr="00FA43E9">
        <w:trPr>
          <w:cantSplit/>
        </w:trPr>
        <w:tc>
          <w:tcPr>
            <w:tcW w:w="1660" w:type="pct"/>
            <w:vAlign w:val="center"/>
          </w:tcPr>
          <w:p w14:paraId="7735159E" w14:textId="77777777" w:rsidR="00D12268" w:rsidRPr="00033DCB" w:rsidRDefault="00D12268" w:rsidP="00CE5A57">
            <w:pPr>
              <w:pStyle w:val="Tabletext1"/>
              <w:ind w:left="22"/>
              <w:rPr>
                <w:b/>
              </w:rPr>
            </w:pPr>
            <w:r w:rsidRPr="00033DCB">
              <w:rPr>
                <w:b/>
              </w:rPr>
              <w:t>Lifetime of MR-IGRT</w:t>
            </w:r>
          </w:p>
        </w:tc>
        <w:tc>
          <w:tcPr>
            <w:tcW w:w="575" w:type="pct"/>
            <w:vAlign w:val="center"/>
          </w:tcPr>
          <w:p w14:paraId="4A8B3C05" w14:textId="77777777" w:rsidR="00D12268" w:rsidRPr="009A20F1" w:rsidRDefault="00D12268" w:rsidP="00CE5A57">
            <w:pPr>
              <w:pStyle w:val="Tabletext1"/>
              <w:ind w:left="0"/>
              <w:jc w:val="center"/>
            </w:pPr>
            <w:r>
              <w:t>8</w:t>
            </w:r>
          </w:p>
        </w:tc>
        <w:tc>
          <w:tcPr>
            <w:tcW w:w="631" w:type="pct"/>
            <w:vAlign w:val="center"/>
          </w:tcPr>
          <w:p w14:paraId="5A8A5BC3" w14:textId="77777777" w:rsidR="00D12268" w:rsidRPr="009A20F1" w:rsidRDefault="00D12268" w:rsidP="00CE5A57">
            <w:pPr>
              <w:pStyle w:val="Tabletext1"/>
              <w:ind w:left="0"/>
              <w:jc w:val="center"/>
            </w:pPr>
            <w:r>
              <w:t>$1,708</w:t>
            </w:r>
          </w:p>
        </w:tc>
        <w:tc>
          <w:tcPr>
            <w:tcW w:w="439" w:type="pct"/>
            <w:vAlign w:val="center"/>
          </w:tcPr>
          <w:p w14:paraId="08EF40C7" w14:textId="77777777" w:rsidR="00D12268" w:rsidRDefault="00D12268" w:rsidP="00CE5A57">
            <w:pPr>
              <w:pStyle w:val="Tabletext1"/>
              <w:ind w:left="0"/>
              <w:jc w:val="center"/>
            </w:pPr>
            <w:r>
              <w:t>-12%</w:t>
            </w:r>
          </w:p>
        </w:tc>
        <w:tc>
          <w:tcPr>
            <w:tcW w:w="626" w:type="pct"/>
            <w:vAlign w:val="center"/>
          </w:tcPr>
          <w:p w14:paraId="5D94CC36" w14:textId="77777777" w:rsidR="00D12268" w:rsidRPr="009A20F1" w:rsidRDefault="00D12268" w:rsidP="00CE5A57">
            <w:pPr>
              <w:pStyle w:val="Tabletext1"/>
              <w:ind w:left="0"/>
              <w:jc w:val="center"/>
            </w:pPr>
            <w:r>
              <w:t>12</w:t>
            </w:r>
          </w:p>
        </w:tc>
        <w:tc>
          <w:tcPr>
            <w:tcW w:w="631" w:type="pct"/>
            <w:vAlign w:val="center"/>
          </w:tcPr>
          <w:p w14:paraId="306B1D1E" w14:textId="77777777" w:rsidR="00D12268" w:rsidRPr="009A20F1" w:rsidRDefault="00D12268" w:rsidP="00CE5A57">
            <w:pPr>
              <w:pStyle w:val="Tabletext1"/>
              <w:ind w:left="0"/>
              <w:jc w:val="center"/>
            </w:pPr>
            <w:r>
              <w:t>$2,153</w:t>
            </w:r>
          </w:p>
        </w:tc>
        <w:tc>
          <w:tcPr>
            <w:tcW w:w="439" w:type="pct"/>
            <w:vAlign w:val="center"/>
          </w:tcPr>
          <w:p w14:paraId="1848D826" w14:textId="77777777" w:rsidR="00D12268" w:rsidRDefault="00D12268" w:rsidP="00CE5A57">
            <w:pPr>
              <w:pStyle w:val="Tabletext1"/>
              <w:ind w:left="0"/>
              <w:jc w:val="center"/>
            </w:pPr>
            <w:r>
              <w:t>12%</w:t>
            </w:r>
          </w:p>
        </w:tc>
      </w:tr>
      <w:tr w:rsidR="00D12268" w14:paraId="77B5892E" w14:textId="77777777" w:rsidTr="00FA43E9">
        <w:trPr>
          <w:cantSplit/>
        </w:trPr>
        <w:tc>
          <w:tcPr>
            <w:tcW w:w="1660" w:type="pct"/>
            <w:vAlign w:val="center"/>
          </w:tcPr>
          <w:p w14:paraId="2F846144" w14:textId="77777777" w:rsidR="00D12268" w:rsidRPr="00033DCB" w:rsidRDefault="00D12268" w:rsidP="00CE5A57">
            <w:pPr>
              <w:pStyle w:val="Tabletext1"/>
              <w:ind w:left="22"/>
              <w:rPr>
                <w:b/>
              </w:rPr>
            </w:pPr>
            <w:r w:rsidRPr="00033DCB">
              <w:rPr>
                <w:b/>
              </w:rPr>
              <w:t>No. of years for service contract</w:t>
            </w:r>
          </w:p>
        </w:tc>
        <w:tc>
          <w:tcPr>
            <w:tcW w:w="575" w:type="pct"/>
            <w:vAlign w:val="center"/>
          </w:tcPr>
          <w:p w14:paraId="04943257" w14:textId="77777777" w:rsidR="00D12268" w:rsidRPr="009A20F1" w:rsidRDefault="00D12268" w:rsidP="00CE5A57">
            <w:pPr>
              <w:pStyle w:val="Tabletext1"/>
              <w:ind w:left="0"/>
              <w:jc w:val="center"/>
            </w:pPr>
            <w:r>
              <w:t>6</w:t>
            </w:r>
          </w:p>
        </w:tc>
        <w:tc>
          <w:tcPr>
            <w:tcW w:w="631" w:type="pct"/>
            <w:vAlign w:val="center"/>
          </w:tcPr>
          <w:p w14:paraId="445BF5C4" w14:textId="77777777" w:rsidR="00D12268" w:rsidRPr="009A20F1" w:rsidRDefault="00D12268" w:rsidP="00CE5A57">
            <w:pPr>
              <w:pStyle w:val="Tabletext1"/>
              <w:ind w:left="0"/>
              <w:jc w:val="center"/>
            </w:pPr>
            <w:r>
              <w:t>$1,702</w:t>
            </w:r>
          </w:p>
        </w:tc>
        <w:tc>
          <w:tcPr>
            <w:tcW w:w="439" w:type="pct"/>
            <w:vAlign w:val="center"/>
          </w:tcPr>
          <w:p w14:paraId="16F048F5" w14:textId="77777777" w:rsidR="00D12268" w:rsidRDefault="00D12268" w:rsidP="00CE5A57">
            <w:pPr>
              <w:pStyle w:val="Tabletext1"/>
              <w:ind w:left="0"/>
              <w:jc w:val="center"/>
            </w:pPr>
            <w:r>
              <w:t>-12%</w:t>
            </w:r>
          </w:p>
        </w:tc>
        <w:tc>
          <w:tcPr>
            <w:tcW w:w="626" w:type="pct"/>
            <w:vAlign w:val="center"/>
          </w:tcPr>
          <w:p w14:paraId="1B2B8FEF" w14:textId="77777777" w:rsidR="00D12268" w:rsidRPr="009A20F1" w:rsidRDefault="00D12268" w:rsidP="00CE5A57">
            <w:pPr>
              <w:pStyle w:val="Tabletext1"/>
              <w:ind w:left="0"/>
              <w:jc w:val="center"/>
            </w:pPr>
            <w:r>
              <w:t>10</w:t>
            </w:r>
          </w:p>
        </w:tc>
        <w:tc>
          <w:tcPr>
            <w:tcW w:w="631" w:type="pct"/>
            <w:vAlign w:val="center"/>
          </w:tcPr>
          <w:p w14:paraId="713D8EC0" w14:textId="77777777" w:rsidR="00D12268" w:rsidRPr="009A20F1" w:rsidRDefault="00D12268" w:rsidP="00CE5A57">
            <w:pPr>
              <w:pStyle w:val="Tabletext1"/>
              <w:ind w:left="0"/>
              <w:jc w:val="center"/>
            </w:pPr>
            <w:r>
              <w:t>$2,172</w:t>
            </w:r>
          </w:p>
        </w:tc>
        <w:tc>
          <w:tcPr>
            <w:tcW w:w="439" w:type="pct"/>
            <w:vAlign w:val="center"/>
          </w:tcPr>
          <w:p w14:paraId="619A4E2A" w14:textId="77777777" w:rsidR="00D12268" w:rsidRDefault="00D12268" w:rsidP="00CE5A57">
            <w:pPr>
              <w:pStyle w:val="Tabletext1"/>
              <w:ind w:left="0"/>
              <w:jc w:val="center"/>
            </w:pPr>
            <w:r>
              <w:t>13%</w:t>
            </w:r>
          </w:p>
        </w:tc>
      </w:tr>
    </w:tbl>
    <w:p w14:paraId="0A5CA772" w14:textId="77777777" w:rsidR="00D12268" w:rsidRDefault="00D12268" w:rsidP="00D12268">
      <w:pPr>
        <w:pStyle w:val="Tablenotes0"/>
        <w:spacing w:after="240" w:line="312" w:lineRule="auto"/>
      </w:pPr>
      <w:r>
        <w:t xml:space="preserve">MR-IGRT=Magnetic resonance image guided radiation therapy; CBCT-IGRT=Cone beam computed tomography image guided radiation therapy </w:t>
      </w:r>
    </w:p>
    <w:p w14:paraId="1F906C19" w14:textId="48244607" w:rsidR="00D12268" w:rsidRDefault="00D12268" w:rsidP="00D12268">
      <w:r>
        <w:t>The sensitivity analysis presented in this section demonstrate</w:t>
      </w:r>
      <w:r w:rsidR="00EB12D5">
        <w:t>s</w:t>
      </w:r>
      <w:r>
        <w:t xml:space="preserve"> th</w:t>
      </w:r>
      <w:r w:rsidR="00FF478C">
        <w:t>e</w:t>
      </w:r>
      <w:r>
        <w:t xml:space="preserve"> number of patients treated over lifetime by MR-IGRT has the largest uncertainty. Cost of MR-IGRT equipment is likely to have low uncertainty given the price of the equipment is fixed by the </w:t>
      </w:r>
      <w:r w:rsidR="008F4472">
        <w:t>Applicant</w:t>
      </w:r>
      <w:r>
        <w:t>. For all the variables, a threshold analysis was further conducted by changing their value</w:t>
      </w:r>
      <w:r w:rsidR="00AE1D71">
        <w:t>s</w:t>
      </w:r>
      <w:r>
        <w:t xml:space="preserve"> by 50%. The key parameters impacting the incremental cost are provided in the Tornado Diagram </w:t>
      </w:r>
      <w:r>
        <w:fldChar w:fldCharType="begin"/>
      </w:r>
      <w:r>
        <w:instrText xml:space="preserve"> REF _Ref58503929 \h </w:instrText>
      </w:r>
      <w:r>
        <w:fldChar w:fldCharType="separate"/>
      </w:r>
      <w:r w:rsidR="00451350">
        <w:t xml:space="preserve">Figure </w:t>
      </w:r>
      <w:r w:rsidR="00451350">
        <w:rPr>
          <w:noProof/>
        </w:rPr>
        <w:t>8</w:t>
      </w:r>
      <w:r>
        <w:fldChar w:fldCharType="end"/>
      </w:r>
      <w:r w:rsidR="006D66DC">
        <w:t xml:space="preserve">, </w:t>
      </w:r>
      <w:r w:rsidR="006D66DC">
        <w:fldChar w:fldCharType="begin"/>
      </w:r>
      <w:r w:rsidR="006D66DC">
        <w:instrText xml:space="preserve"> REF _Ref58507408 \h </w:instrText>
      </w:r>
      <w:r w:rsidR="006D66DC">
        <w:fldChar w:fldCharType="separate"/>
      </w:r>
      <w:r w:rsidR="00451350">
        <w:t xml:space="preserve">Figure </w:t>
      </w:r>
      <w:r w:rsidR="00451350">
        <w:rPr>
          <w:noProof/>
        </w:rPr>
        <w:t>9</w:t>
      </w:r>
      <w:r w:rsidR="006D66DC">
        <w:fldChar w:fldCharType="end"/>
      </w:r>
      <w:r w:rsidR="006D66DC">
        <w:t xml:space="preserve"> </w:t>
      </w:r>
      <w:r>
        <w:t xml:space="preserve">and in </w:t>
      </w:r>
      <w:r>
        <w:fldChar w:fldCharType="begin"/>
      </w:r>
      <w:r>
        <w:instrText xml:space="preserve"> REF _Ref58508756 \h </w:instrText>
      </w:r>
      <w:r>
        <w:fldChar w:fldCharType="separate"/>
      </w:r>
      <w:r w:rsidR="00451350">
        <w:t xml:space="preserve">Table </w:t>
      </w:r>
      <w:r w:rsidR="00451350">
        <w:rPr>
          <w:noProof/>
        </w:rPr>
        <w:t>54</w:t>
      </w:r>
      <w:r>
        <w:fldChar w:fldCharType="end"/>
      </w:r>
      <w:r>
        <w:t>.</w:t>
      </w:r>
    </w:p>
    <w:p w14:paraId="028FD0F4" w14:textId="77777777" w:rsidR="00D12268" w:rsidRDefault="00D12268" w:rsidP="00D12268">
      <w:pPr>
        <w:pStyle w:val="Caption"/>
        <w:keepNext/>
      </w:pPr>
      <w:r>
        <w:rPr>
          <w:noProof/>
        </w:rPr>
        <w:lastRenderedPageBreak/>
        <w:drawing>
          <wp:inline distT="0" distB="0" distL="0" distR="0" wp14:anchorId="393F82C2" wp14:editId="0A867312">
            <wp:extent cx="5652135" cy="3171190"/>
            <wp:effectExtent l="0" t="0" r="5715" b="0"/>
            <wp:docPr id="10" name="Picture 10" descr="Figure 9 Tornado diagram of main drivers within the economic evaluation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9 Tornado diagram of main drivers within the economic evaluation (± 50%)"/>
                    <pic:cNvPicPr/>
                  </pic:nvPicPr>
                  <pic:blipFill>
                    <a:blip r:embed="rId33">
                      <a:extLst>
                        <a:ext uri="{28A0092B-C50C-407E-A947-70E740481C1C}">
                          <a14:useLocalDpi xmlns:a14="http://schemas.microsoft.com/office/drawing/2010/main" val="0"/>
                        </a:ext>
                      </a:extLst>
                    </a:blip>
                    <a:stretch>
                      <a:fillRect/>
                    </a:stretch>
                  </pic:blipFill>
                  <pic:spPr>
                    <a:xfrm>
                      <a:off x="0" y="0"/>
                      <a:ext cx="5652135" cy="3171190"/>
                    </a:xfrm>
                    <a:prstGeom prst="rect">
                      <a:avLst/>
                    </a:prstGeom>
                  </pic:spPr>
                </pic:pic>
              </a:graphicData>
            </a:graphic>
          </wp:inline>
        </w:drawing>
      </w:r>
    </w:p>
    <w:p w14:paraId="624FDA42" w14:textId="65E7884A" w:rsidR="00D12268" w:rsidRDefault="00D12268" w:rsidP="00D12268">
      <w:pPr>
        <w:pStyle w:val="Caption"/>
        <w:spacing w:after="240" w:line="312" w:lineRule="auto"/>
      </w:pPr>
      <w:bookmarkStart w:id="584" w:name="_Ref58507408"/>
      <w:bookmarkStart w:id="585" w:name="_Toc89857968"/>
      <w:r>
        <w:t xml:space="preserve">Figure </w:t>
      </w:r>
      <w:r w:rsidR="00211285">
        <w:fldChar w:fldCharType="begin"/>
      </w:r>
      <w:r w:rsidR="00211285">
        <w:instrText xml:space="preserve"> SEQ Figure \* ARABIC </w:instrText>
      </w:r>
      <w:r w:rsidR="00211285">
        <w:fldChar w:fldCharType="separate"/>
      </w:r>
      <w:r w:rsidR="00451350">
        <w:rPr>
          <w:noProof/>
        </w:rPr>
        <w:t>9</w:t>
      </w:r>
      <w:r w:rsidR="00211285">
        <w:rPr>
          <w:noProof/>
        </w:rPr>
        <w:fldChar w:fldCharType="end"/>
      </w:r>
      <w:bookmarkEnd w:id="584"/>
      <w:r>
        <w:tab/>
        <w:t>Tornado diagram of main drivers within the economic evaluation (± 50%)</w:t>
      </w:r>
      <w:bookmarkEnd w:id="585"/>
    </w:p>
    <w:p w14:paraId="2C7509F8" w14:textId="24E60386" w:rsidR="00D12268" w:rsidRDefault="00D12268" w:rsidP="00D12268">
      <w:pPr>
        <w:pStyle w:val="Caption"/>
        <w:keepNext/>
      </w:pPr>
      <w:bookmarkStart w:id="586" w:name="_Ref58508756"/>
      <w:bookmarkStart w:id="587" w:name="_Toc89857925"/>
      <w:r>
        <w:t xml:space="preserve">Table </w:t>
      </w:r>
      <w:r w:rsidR="00211285">
        <w:fldChar w:fldCharType="begin"/>
      </w:r>
      <w:r w:rsidR="00211285">
        <w:instrText xml:space="preserve"> SEQ Table \* ARABIC </w:instrText>
      </w:r>
      <w:r w:rsidR="00211285">
        <w:fldChar w:fldCharType="separate"/>
      </w:r>
      <w:r w:rsidR="00451350">
        <w:rPr>
          <w:noProof/>
        </w:rPr>
        <w:t>54</w:t>
      </w:r>
      <w:r w:rsidR="00211285">
        <w:rPr>
          <w:noProof/>
        </w:rPr>
        <w:fldChar w:fldCharType="end"/>
      </w:r>
      <w:bookmarkEnd w:id="586"/>
      <w:r>
        <w:tab/>
        <w:t>Key drivers of economic model – MR-IGRT v CBCT-IGRT (± 50%)</w:t>
      </w:r>
      <w:bookmarkEnd w:id="587"/>
    </w:p>
    <w:tbl>
      <w:tblPr>
        <w:tblStyle w:val="TableGrid"/>
        <w:tblW w:w="5000" w:type="pct"/>
        <w:tblLook w:val="04A0" w:firstRow="1" w:lastRow="0" w:firstColumn="1" w:lastColumn="0" w:noHBand="0" w:noVBand="1"/>
        <w:tblCaption w:val="Table 45a"/>
        <w:tblDescription w:val="Key drivers of economic model – ABPM v HBPM and ABPM v CBPM"/>
      </w:tblPr>
      <w:tblGrid>
        <w:gridCol w:w="2250"/>
        <w:gridCol w:w="1059"/>
        <w:gridCol w:w="1264"/>
        <w:gridCol w:w="1120"/>
        <w:gridCol w:w="1161"/>
        <w:gridCol w:w="1159"/>
        <w:gridCol w:w="1003"/>
      </w:tblGrid>
      <w:tr w:rsidR="00D12268" w14:paraId="61FFE208" w14:textId="77777777" w:rsidTr="00FA43E9">
        <w:trPr>
          <w:cantSplit/>
          <w:tblHeader/>
        </w:trPr>
        <w:tc>
          <w:tcPr>
            <w:tcW w:w="1248" w:type="pct"/>
            <w:tcBorders>
              <w:bottom w:val="single" w:sz="4" w:space="0" w:color="auto"/>
            </w:tcBorders>
            <w:vAlign w:val="center"/>
          </w:tcPr>
          <w:p w14:paraId="5395697B" w14:textId="77777777" w:rsidR="00D12268" w:rsidRPr="008B6FC0" w:rsidRDefault="00D12268" w:rsidP="008B6FC0">
            <w:pPr>
              <w:pStyle w:val="Tabletext1"/>
              <w:ind w:left="22"/>
              <w:rPr>
                <w:b/>
                <w:bCs/>
              </w:rPr>
            </w:pPr>
            <w:r w:rsidRPr="008B6FC0">
              <w:rPr>
                <w:b/>
                <w:bCs/>
              </w:rPr>
              <w:t>MR-IGRT v CBCT-IGRT</w:t>
            </w:r>
          </w:p>
        </w:tc>
        <w:tc>
          <w:tcPr>
            <w:tcW w:w="587" w:type="pct"/>
            <w:tcBorders>
              <w:bottom w:val="single" w:sz="4" w:space="0" w:color="auto"/>
            </w:tcBorders>
            <w:vAlign w:val="center"/>
          </w:tcPr>
          <w:p w14:paraId="25FC7BFC" w14:textId="77777777" w:rsidR="00D12268" w:rsidRPr="008B6FC0" w:rsidRDefault="00D12268" w:rsidP="008B6FC0">
            <w:pPr>
              <w:pStyle w:val="Tabletext1"/>
              <w:ind w:left="22"/>
              <w:jc w:val="center"/>
              <w:rPr>
                <w:b/>
                <w:bCs/>
              </w:rPr>
            </w:pPr>
            <w:r w:rsidRPr="008B6FC0">
              <w:rPr>
                <w:b/>
                <w:bCs/>
              </w:rPr>
              <w:t>-50%</w:t>
            </w:r>
          </w:p>
        </w:tc>
        <w:tc>
          <w:tcPr>
            <w:tcW w:w="701" w:type="pct"/>
            <w:tcBorders>
              <w:bottom w:val="single" w:sz="4" w:space="0" w:color="auto"/>
            </w:tcBorders>
            <w:vAlign w:val="center"/>
          </w:tcPr>
          <w:p w14:paraId="622D4664" w14:textId="77777777" w:rsidR="00D12268" w:rsidRPr="008B6FC0" w:rsidRDefault="00D12268" w:rsidP="008B6FC0">
            <w:pPr>
              <w:pStyle w:val="Tabletext1"/>
              <w:ind w:left="22"/>
              <w:jc w:val="center"/>
              <w:rPr>
                <w:b/>
                <w:bCs/>
              </w:rPr>
            </w:pPr>
            <w:r w:rsidRPr="008B6FC0">
              <w:rPr>
                <w:b/>
                <w:bCs/>
              </w:rPr>
              <w:t>Incremental cost ($)</w:t>
            </w:r>
          </w:p>
        </w:tc>
        <w:tc>
          <w:tcPr>
            <w:tcW w:w="621" w:type="pct"/>
            <w:tcBorders>
              <w:bottom w:val="single" w:sz="4" w:space="0" w:color="auto"/>
            </w:tcBorders>
            <w:vAlign w:val="center"/>
          </w:tcPr>
          <w:p w14:paraId="7DF24DFB" w14:textId="77777777" w:rsidR="00D12268" w:rsidRPr="008B6FC0" w:rsidRDefault="00D12268" w:rsidP="008B6FC0">
            <w:pPr>
              <w:pStyle w:val="Tabletext1"/>
              <w:ind w:left="22"/>
              <w:jc w:val="center"/>
              <w:rPr>
                <w:b/>
                <w:bCs/>
              </w:rPr>
            </w:pPr>
            <w:r w:rsidRPr="008B6FC0">
              <w:rPr>
                <w:b/>
                <w:bCs/>
              </w:rPr>
              <w:t>% change</w:t>
            </w:r>
          </w:p>
        </w:tc>
        <w:tc>
          <w:tcPr>
            <w:tcW w:w="644" w:type="pct"/>
            <w:tcBorders>
              <w:bottom w:val="single" w:sz="4" w:space="0" w:color="auto"/>
            </w:tcBorders>
            <w:vAlign w:val="center"/>
          </w:tcPr>
          <w:p w14:paraId="53A6865A" w14:textId="77777777" w:rsidR="00D12268" w:rsidRPr="008B6FC0" w:rsidRDefault="00D12268" w:rsidP="008B6FC0">
            <w:pPr>
              <w:pStyle w:val="Tabletext1"/>
              <w:ind w:left="22"/>
              <w:jc w:val="center"/>
              <w:rPr>
                <w:b/>
                <w:bCs/>
              </w:rPr>
            </w:pPr>
            <w:r w:rsidRPr="008B6FC0">
              <w:rPr>
                <w:b/>
                <w:bCs/>
              </w:rPr>
              <w:t>+50%</w:t>
            </w:r>
          </w:p>
        </w:tc>
        <w:tc>
          <w:tcPr>
            <w:tcW w:w="643" w:type="pct"/>
            <w:tcBorders>
              <w:bottom w:val="single" w:sz="4" w:space="0" w:color="auto"/>
            </w:tcBorders>
            <w:vAlign w:val="center"/>
          </w:tcPr>
          <w:p w14:paraId="367D0163" w14:textId="77777777" w:rsidR="00D12268" w:rsidRPr="008B6FC0" w:rsidRDefault="00D12268" w:rsidP="008B6FC0">
            <w:pPr>
              <w:pStyle w:val="Tabletext1"/>
              <w:ind w:left="22"/>
              <w:jc w:val="center"/>
              <w:rPr>
                <w:b/>
                <w:bCs/>
              </w:rPr>
            </w:pPr>
            <w:r w:rsidRPr="008B6FC0">
              <w:rPr>
                <w:b/>
                <w:bCs/>
              </w:rPr>
              <w:t>Incremental cost ($)</w:t>
            </w:r>
          </w:p>
        </w:tc>
        <w:tc>
          <w:tcPr>
            <w:tcW w:w="557" w:type="pct"/>
            <w:tcBorders>
              <w:bottom w:val="single" w:sz="4" w:space="0" w:color="auto"/>
            </w:tcBorders>
            <w:vAlign w:val="center"/>
          </w:tcPr>
          <w:p w14:paraId="74AB12DF" w14:textId="77777777" w:rsidR="00D12268" w:rsidRPr="008B6FC0" w:rsidRDefault="00D12268" w:rsidP="008B6FC0">
            <w:pPr>
              <w:pStyle w:val="Tabletext1"/>
              <w:ind w:left="22"/>
              <w:jc w:val="center"/>
              <w:rPr>
                <w:b/>
                <w:bCs/>
              </w:rPr>
            </w:pPr>
            <w:r w:rsidRPr="008B6FC0">
              <w:rPr>
                <w:b/>
                <w:bCs/>
              </w:rPr>
              <w:t>% change</w:t>
            </w:r>
          </w:p>
        </w:tc>
      </w:tr>
      <w:tr w:rsidR="00FA43E9" w14:paraId="4150D47D" w14:textId="77777777" w:rsidTr="00FA43E9">
        <w:trPr>
          <w:cantSplit/>
        </w:trPr>
        <w:tc>
          <w:tcPr>
            <w:tcW w:w="1248" w:type="pct"/>
            <w:vAlign w:val="center"/>
          </w:tcPr>
          <w:p w14:paraId="08E7F5FA" w14:textId="48942F5D" w:rsidR="00FA43E9" w:rsidRPr="008B6FC0" w:rsidRDefault="00FA43E9" w:rsidP="008B6FC0">
            <w:pPr>
              <w:pStyle w:val="Tabletext1"/>
              <w:ind w:left="22"/>
              <w:rPr>
                <w:b/>
                <w:bCs/>
              </w:rPr>
            </w:pPr>
            <w:r w:rsidRPr="008B6FC0">
              <w:rPr>
                <w:b/>
                <w:bCs/>
              </w:rPr>
              <w:t>Base case: MR-IGRT v CBCT-IGRT</w:t>
            </w:r>
          </w:p>
        </w:tc>
        <w:tc>
          <w:tcPr>
            <w:tcW w:w="587" w:type="pct"/>
            <w:tcBorders>
              <w:right w:val="nil"/>
            </w:tcBorders>
            <w:vAlign w:val="center"/>
          </w:tcPr>
          <w:p w14:paraId="45D42C0C" w14:textId="77777777" w:rsidR="00FA43E9" w:rsidRPr="008B6FC0" w:rsidRDefault="00FA43E9" w:rsidP="008B6FC0">
            <w:pPr>
              <w:pStyle w:val="Tabletext1"/>
              <w:ind w:left="22"/>
              <w:jc w:val="center"/>
            </w:pPr>
          </w:p>
        </w:tc>
        <w:tc>
          <w:tcPr>
            <w:tcW w:w="701" w:type="pct"/>
            <w:tcBorders>
              <w:left w:val="nil"/>
              <w:right w:val="nil"/>
            </w:tcBorders>
            <w:vAlign w:val="center"/>
          </w:tcPr>
          <w:p w14:paraId="77AA92FC" w14:textId="6BA2564C" w:rsidR="00FA43E9" w:rsidRPr="008B6FC0" w:rsidRDefault="00FA43E9" w:rsidP="008B6FC0">
            <w:pPr>
              <w:pStyle w:val="Tabletext1"/>
              <w:ind w:left="22"/>
              <w:jc w:val="center"/>
            </w:pPr>
            <w:r w:rsidRPr="008B6FC0">
              <w:t>$1,930</w:t>
            </w:r>
          </w:p>
        </w:tc>
        <w:tc>
          <w:tcPr>
            <w:tcW w:w="621" w:type="pct"/>
            <w:tcBorders>
              <w:left w:val="nil"/>
              <w:right w:val="nil"/>
            </w:tcBorders>
            <w:vAlign w:val="center"/>
          </w:tcPr>
          <w:p w14:paraId="65D5CA73" w14:textId="77777777" w:rsidR="00FA43E9" w:rsidRPr="008B6FC0" w:rsidRDefault="00FA43E9" w:rsidP="008B6FC0">
            <w:pPr>
              <w:pStyle w:val="Tabletext1"/>
              <w:ind w:left="22"/>
              <w:jc w:val="center"/>
            </w:pPr>
          </w:p>
        </w:tc>
        <w:tc>
          <w:tcPr>
            <w:tcW w:w="644" w:type="pct"/>
            <w:tcBorders>
              <w:left w:val="nil"/>
              <w:right w:val="nil"/>
            </w:tcBorders>
            <w:vAlign w:val="center"/>
          </w:tcPr>
          <w:p w14:paraId="55C49630" w14:textId="77777777" w:rsidR="00FA43E9" w:rsidRPr="008B6FC0" w:rsidRDefault="00FA43E9" w:rsidP="008B6FC0">
            <w:pPr>
              <w:pStyle w:val="Tabletext1"/>
              <w:ind w:left="22"/>
              <w:jc w:val="center"/>
            </w:pPr>
          </w:p>
        </w:tc>
        <w:tc>
          <w:tcPr>
            <w:tcW w:w="643" w:type="pct"/>
            <w:tcBorders>
              <w:left w:val="nil"/>
              <w:right w:val="nil"/>
            </w:tcBorders>
            <w:vAlign w:val="center"/>
          </w:tcPr>
          <w:p w14:paraId="71C2854D" w14:textId="77777777" w:rsidR="00FA43E9" w:rsidRPr="008B6FC0" w:rsidRDefault="00FA43E9" w:rsidP="008B6FC0">
            <w:pPr>
              <w:pStyle w:val="Tabletext1"/>
              <w:ind w:left="22"/>
              <w:jc w:val="center"/>
            </w:pPr>
          </w:p>
        </w:tc>
        <w:tc>
          <w:tcPr>
            <w:tcW w:w="557" w:type="pct"/>
            <w:tcBorders>
              <w:left w:val="nil"/>
            </w:tcBorders>
            <w:vAlign w:val="center"/>
          </w:tcPr>
          <w:p w14:paraId="4E80E152" w14:textId="77777777" w:rsidR="00FA43E9" w:rsidRPr="008B6FC0" w:rsidRDefault="00FA43E9" w:rsidP="008B6FC0">
            <w:pPr>
              <w:pStyle w:val="Tabletext1"/>
              <w:ind w:left="22"/>
              <w:jc w:val="center"/>
            </w:pPr>
          </w:p>
        </w:tc>
      </w:tr>
      <w:tr w:rsidR="00D12268" w14:paraId="1CEA5DCD" w14:textId="77777777" w:rsidTr="00FA43E9">
        <w:trPr>
          <w:cantSplit/>
        </w:trPr>
        <w:tc>
          <w:tcPr>
            <w:tcW w:w="1248" w:type="pct"/>
            <w:vAlign w:val="center"/>
          </w:tcPr>
          <w:p w14:paraId="2E42C012" w14:textId="77777777" w:rsidR="00D12268" w:rsidRPr="008B6FC0" w:rsidRDefault="00D12268" w:rsidP="008B6FC0">
            <w:pPr>
              <w:pStyle w:val="Tabletext1"/>
              <w:ind w:left="22"/>
              <w:rPr>
                <w:b/>
                <w:bCs/>
              </w:rPr>
            </w:pPr>
            <w:r w:rsidRPr="008B6FC0">
              <w:rPr>
                <w:b/>
                <w:bCs/>
              </w:rPr>
              <w:t xml:space="preserve">No. of patients treated over lifetime by MR-IGRT </w:t>
            </w:r>
          </w:p>
        </w:tc>
        <w:tc>
          <w:tcPr>
            <w:tcW w:w="587" w:type="pct"/>
            <w:vAlign w:val="center"/>
          </w:tcPr>
          <w:p w14:paraId="51CF3F7D" w14:textId="77777777" w:rsidR="00D12268" w:rsidRPr="008B6FC0" w:rsidRDefault="00D12268" w:rsidP="008B6FC0">
            <w:pPr>
              <w:pStyle w:val="Tabletext1"/>
              <w:ind w:left="22"/>
              <w:jc w:val="center"/>
            </w:pPr>
            <w:r w:rsidRPr="008B6FC0">
              <w:t>2857</w:t>
            </w:r>
          </w:p>
        </w:tc>
        <w:tc>
          <w:tcPr>
            <w:tcW w:w="701" w:type="pct"/>
            <w:vAlign w:val="center"/>
          </w:tcPr>
          <w:p w14:paraId="16C38D28" w14:textId="77777777" w:rsidR="00D12268" w:rsidRPr="008B6FC0" w:rsidRDefault="00D12268" w:rsidP="008B6FC0">
            <w:pPr>
              <w:pStyle w:val="Tabletext1"/>
              <w:ind w:left="22"/>
              <w:jc w:val="center"/>
            </w:pPr>
            <w:r w:rsidRPr="008B6FC0">
              <w:t>$6,289</w:t>
            </w:r>
          </w:p>
        </w:tc>
        <w:tc>
          <w:tcPr>
            <w:tcW w:w="621" w:type="pct"/>
            <w:vAlign w:val="center"/>
          </w:tcPr>
          <w:p w14:paraId="2B929E9F" w14:textId="77777777" w:rsidR="00D12268" w:rsidRPr="008B6FC0" w:rsidRDefault="00D12268" w:rsidP="008B6FC0">
            <w:pPr>
              <w:pStyle w:val="Tabletext1"/>
              <w:ind w:left="22"/>
              <w:jc w:val="center"/>
            </w:pPr>
            <w:r w:rsidRPr="008B6FC0">
              <w:t>226%</w:t>
            </w:r>
          </w:p>
        </w:tc>
        <w:tc>
          <w:tcPr>
            <w:tcW w:w="644" w:type="pct"/>
            <w:vAlign w:val="center"/>
          </w:tcPr>
          <w:p w14:paraId="5F943326" w14:textId="6616B169" w:rsidR="00D12268" w:rsidRPr="008B6FC0" w:rsidRDefault="00D12268" w:rsidP="008B6FC0">
            <w:pPr>
              <w:pStyle w:val="Tabletext1"/>
              <w:ind w:left="22"/>
              <w:jc w:val="center"/>
            </w:pPr>
            <w:r w:rsidRPr="008B6FC0">
              <w:t>8571</w:t>
            </w:r>
          </w:p>
        </w:tc>
        <w:tc>
          <w:tcPr>
            <w:tcW w:w="643" w:type="pct"/>
            <w:vAlign w:val="center"/>
          </w:tcPr>
          <w:p w14:paraId="382A4034" w14:textId="77777777" w:rsidR="00D12268" w:rsidRPr="008B6FC0" w:rsidRDefault="00D12268" w:rsidP="008B6FC0">
            <w:pPr>
              <w:pStyle w:val="Tabletext1"/>
              <w:ind w:left="22"/>
              <w:jc w:val="center"/>
            </w:pPr>
            <w:r w:rsidRPr="008B6FC0">
              <w:t>$464</w:t>
            </w:r>
          </w:p>
        </w:tc>
        <w:tc>
          <w:tcPr>
            <w:tcW w:w="557" w:type="pct"/>
            <w:vAlign w:val="center"/>
          </w:tcPr>
          <w:p w14:paraId="0A41E492" w14:textId="77777777" w:rsidR="00D12268" w:rsidRPr="008B6FC0" w:rsidRDefault="00D12268" w:rsidP="008B6FC0">
            <w:pPr>
              <w:pStyle w:val="Tabletext1"/>
              <w:ind w:left="22"/>
              <w:jc w:val="center"/>
            </w:pPr>
            <w:r w:rsidRPr="008B6FC0">
              <w:t>-76%</w:t>
            </w:r>
          </w:p>
        </w:tc>
      </w:tr>
      <w:tr w:rsidR="00D12268" w14:paraId="24547775" w14:textId="77777777" w:rsidTr="00FA43E9">
        <w:trPr>
          <w:cantSplit/>
        </w:trPr>
        <w:tc>
          <w:tcPr>
            <w:tcW w:w="1248" w:type="pct"/>
            <w:vAlign w:val="center"/>
          </w:tcPr>
          <w:p w14:paraId="661D541E" w14:textId="77777777" w:rsidR="00D12268" w:rsidRPr="008B6FC0" w:rsidRDefault="00D12268" w:rsidP="008B6FC0">
            <w:pPr>
              <w:pStyle w:val="Tabletext1"/>
              <w:ind w:left="22"/>
              <w:rPr>
                <w:b/>
                <w:bCs/>
              </w:rPr>
            </w:pPr>
            <w:r w:rsidRPr="008B6FC0">
              <w:rPr>
                <w:b/>
                <w:bCs/>
              </w:rPr>
              <w:t>Cost of MR-IGRT equipment</w:t>
            </w:r>
          </w:p>
        </w:tc>
        <w:tc>
          <w:tcPr>
            <w:tcW w:w="587" w:type="pct"/>
            <w:vAlign w:val="center"/>
          </w:tcPr>
          <w:p w14:paraId="0E30EA27" w14:textId="77777777" w:rsidR="00D12268" w:rsidRPr="008B6FC0" w:rsidRDefault="00D12268" w:rsidP="008B6FC0">
            <w:pPr>
              <w:pStyle w:val="Tabletext1"/>
              <w:ind w:left="22"/>
              <w:jc w:val="center"/>
            </w:pPr>
            <w:r w:rsidRPr="008B6FC0">
              <w:t>$4,950,000</w:t>
            </w:r>
          </w:p>
        </w:tc>
        <w:tc>
          <w:tcPr>
            <w:tcW w:w="701" w:type="pct"/>
            <w:vAlign w:val="center"/>
          </w:tcPr>
          <w:p w14:paraId="05939930" w14:textId="77777777" w:rsidR="00D12268" w:rsidRPr="008B6FC0" w:rsidRDefault="00D12268" w:rsidP="008B6FC0">
            <w:pPr>
              <w:pStyle w:val="Tabletext1"/>
              <w:ind w:left="22"/>
              <w:jc w:val="center"/>
            </w:pPr>
            <w:r w:rsidRPr="008B6FC0">
              <w:t>$414</w:t>
            </w:r>
          </w:p>
        </w:tc>
        <w:tc>
          <w:tcPr>
            <w:tcW w:w="621" w:type="pct"/>
            <w:vAlign w:val="center"/>
          </w:tcPr>
          <w:p w14:paraId="63B84796" w14:textId="77777777" w:rsidR="00D12268" w:rsidRPr="008B6FC0" w:rsidRDefault="00D12268" w:rsidP="008B6FC0">
            <w:pPr>
              <w:pStyle w:val="Tabletext1"/>
              <w:ind w:left="22"/>
              <w:jc w:val="center"/>
            </w:pPr>
            <w:r w:rsidRPr="008B6FC0">
              <w:t>-79%</w:t>
            </w:r>
          </w:p>
        </w:tc>
        <w:tc>
          <w:tcPr>
            <w:tcW w:w="644" w:type="pct"/>
            <w:vAlign w:val="center"/>
          </w:tcPr>
          <w:p w14:paraId="07A9E43C" w14:textId="77777777" w:rsidR="00D12268" w:rsidRPr="008B6FC0" w:rsidRDefault="00D12268" w:rsidP="008B6FC0">
            <w:pPr>
              <w:pStyle w:val="Tabletext1"/>
              <w:ind w:left="22"/>
              <w:jc w:val="center"/>
            </w:pPr>
            <w:r w:rsidRPr="008B6FC0">
              <w:t>$14,850,000</w:t>
            </w:r>
          </w:p>
        </w:tc>
        <w:tc>
          <w:tcPr>
            <w:tcW w:w="643" w:type="pct"/>
            <w:vAlign w:val="center"/>
          </w:tcPr>
          <w:p w14:paraId="37868525" w14:textId="77777777" w:rsidR="00D12268" w:rsidRPr="008B6FC0" w:rsidRDefault="00D12268" w:rsidP="008B6FC0">
            <w:pPr>
              <w:pStyle w:val="Tabletext1"/>
              <w:ind w:left="22"/>
              <w:jc w:val="center"/>
            </w:pPr>
            <w:r w:rsidRPr="008B6FC0">
              <w:t>$3,446</w:t>
            </w:r>
          </w:p>
        </w:tc>
        <w:tc>
          <w:tcPr>
            <w:tcW w:w="557" w:type="pct"/>
            <w:vAlign w:val="center"/>
          </w:tcPr>
          <w:p w14:paraId="50994E0F" w14:textId="77777777" w:rsidR="00D12268" w:rsidRPr="008B6FC0" w:rsidRDefault="00D12268" w:rsidP="008B6FC0">
            <w:pPr>
              <w:pStyle w:val="Tabletext1"/>
              <w:ind w:left="22"/>
              <w:jc w:val="center"/>
            </w:pPr>
            <w:r w:rsidRPr="008B6FC0">
              <w:t>79%</w:t>
            </w:r>
          </w:p>
        </w:tc>
      </w:tr>
      <w:tr w:rsidR="00D12268" w14:paraId="1A5041D0" w14:textId="77777777" w:rsidTr="00FA43E9">
        <w:trPr>
          <w:cantSplit/>
        </w:trPr>
        <w:tc>
          <w:tcPr>
            <w:tcW w:w="1248" w:type="pct"/>
            <w:vAlign w:val="center"/>
          </w:tcPr>
          <w:p w14:paraId="57778D75" w14:textId="77777777" w:rsidR="00D12268" w:rsidRPr="008B6FC0" w:rsidRDefault="00D12268" w:rsidP="008B6FC0">
            <w:pPr>
              <w:pStyle w:val="Tabletext1"/>
              <w:ind w:left="22"/>
              <w:rPr>
                <w:b/>
                <w:bCs/>
              </w:rPr>
            </w:pPr>
            <w:r w:rsidRPr="008B6FC0">
              <w:rPr>
                <w:b/>
                <w:bCs/>
              </w:rPr>
              <w:t>Maintenance cost of MR-IGRT per annum</w:t>
            </w:r>
          </w:p>
        </w:tc>
        <w:tc>
          <w:tcPr>
            <w:tcW w:w="587" w:type="pct"/>
            <w:vAlign w:val="center"/>
          </w:tcPr>
          <w:p w14:paraId="207AA60F" w14:textId="77777777" w:rsidR="00D12268" w:rsidRPr="008B6FC0" w:rsidRDefault="00D12268" w:rsidP="008B6FC0">
            <w:pPr>
              <w:pStyle w:val="Tabletext1"/>
              <w:ind w:left="22"/>
              <w:jc w:val="center"/>
            </w:pPr>
            <w:r w:rsidRPr="008B6FC0">
              <w:t>$375,000</w:t>
            </w:r>
          </w:p>
        </w:tc>
        <w:tc>
          <w:tcPr>
            <w:tcW w:w="701" w:type="pct"/>
            <w:vAlign w:val="center"/>
          </w:tcPr>
          <w:p w14:paraId="1C415E26" w14:textId="77777777" w:rsidR="00D12268" w:rsidRPr="008B6FC0" w:rsidRDefault="00D12268" w:rsidP="008B6FC0">
            <w:pPr>
              <w:pStyle w:val="Tabletext1"/>
              <w:ind w:left="22"/>
              <w:jc w:val="center"/>
            </w:pPr>
            <w:r w:rsidRPr="008B6FC0">
              <w:t>$1,300</w:t>
            </w:r>
          </w:p>
        </w:tc>
        <w:tc>
          <w:tcPr>
            <w:tcW w:w="621" w:type="pct"/>
            <w:vAlign w:val="center"/>
          </w:tcPr>
          <w:p w14:paraId="4317D151" w14:textId="77777777" w:rsidR="00D12268" w:rsidRPr="008B6FC0" w:rsidRDefault="00D12268" w:rsidP="008B6FC0">
            <w:pPr>
              <w:pStyle w:val="Tabletext1"/>
              <w:ind w:left="22"/>
              <w:jc w:val="center"/>
            </w:pPr>
            <w:r w:rsidRPr="008B6FC0">
              <w:t>-33%</w:t>
            </w:r>
          </w:p>
        </w:tc>
        <w:tc>
          <w:tcPr>
            <w:tcW w:w="644" w:type="pct"/>
            <w:vAlign w:val="center"/>
          </w:tcPr>
          <w:p w14:paraId="57E1C518" w14:textId="77777777" w:rsidR="00D12268" w:rsidRPr="008B6FC0" w:rsidRDefault="00D12268" w:rsidP="008B6FC0">
            <w:pPr>
              <w:pStyle w:val="Tabletext1"/>
              <w:ind w:left="22"/>
              <w:jc w:val="center"/>
            </w:pPr>
            <w:r w:rsidRPr="008B6FC0">
              <w:t>$1,125,000</w:t>
            </w:r>
          </w:p>
        </w:tc>
        <w:tc>
          <w:tcPr>
            <w:tcW w:w="643" w:type="pct"/>
            <w:vAlign w:val="center"/>
          </w:tcPr>
          <w:p w14:paraId="0BB0ABA2" w14:textId="77777777" w:rsidR="00D12268" w:rsidRPr="008B6FC0" w:rsidRDefault="00D12268" w:rsidP="008B6FC0">
            <w:pPr>
              <w:pStyle w:val="Tabletext1"/>
              <w:ind w:left="22"/>
              <w:jc w:val="center"/>
            </w:pPr>
            <w:r w:rsidRPr="008B6FC0">
              <w:t>$2,560</w:t>
            </w:r>
          </w:p>
        </w:tc>
        <w:tc>
          <w:tcPr>
            <w:tcW w:w="557" w:type="pct"/>
            <w:vAlign w:val="center"/>
          </w:tcPr>
          <w:p w14:paraId="24C7A6A1" w14:textId="77777777" w:rsidR="00D12268" w:rsidRPr="008B6FC0" w:rsidRDefault="00D12268" w:rsidP="008B6FC0">
            <w:pPr>
              <w:pStyle w:val="Tabletext1"/>
              <w:ind w:left="22"/>
              <w:jc w:val="center"/>
            </w:pPr>
            <w:r w:rsidRPr="008B6FC0">
              <w:t>33%</w:t>
            </w:r>
          </w:p>
        </w:tc>
      </w:tr>
      <w:tr w:rsidR="00D12268" w14:paraId="2946521D" w14:textId="77777777" w:rsidTr="00FA43E9">
        <w:trPr>
          <w:cantSplit/>
        </w:trPr>
        <w:tc>
          <w:tcPr>
            <w:tcW w:w="1248" w:type="pct"/>
            <w:vAlign w:val="center"/>
          </w:tcPr>
          <w:p w14:paraId="13F97B71" w14:textId="77777777" w:rsidR="00D12268" w:rsidRPr="008B6FC0" w:rsidRDefault="00D12268" w:rsidP="008B6FC0">
            <w:pPr>
              <w:pStyle w:val="Tabletext1"/>
              <w:ind w:left="22"/>
              <w:rPr>
                <w:b/>
                <w:bCs/>
              </w:rPr>
            </w:pPr>
            <w:r w:rsidRPr="008B6FC0">
              <w:rPr>
                <w:b/>
                <w:bCs/>
              </w:rPr>
              <w:t>Half cycle correction</w:t>
            </w:r>
          </w:p>
        </w:tc>
        <w:tc>
          <w:tcPr>
            <w:tcW w:w="587" w:type="pct"/>
            <w:vAlign w:val="center"/>
          </w:tcPr>
          <w:p w14:paraId="65015E56" w14:textId="77777777" w:rsidR="00D12268" w:rsidRPr="008B6FC0" w:rsidRDefault="00D12268" w:rsidP="008B6FC0">
            <w:pPr>
              <w:pStyle w:val="Tabletext1"/>
              <w:ind w:left="22"/>
              <w:jc w:val="center"/>
            </w:pPr>
            <w:r w:rsidRPr="008B6FC0">
              <w:t>0.3</w:t>
            </w:r>
          </w:p>
        </w:tc>
        <w:tc>
          <w:tcPr>
            <w:tcW w:w="701" w:type="pct"/>
            <w:vAlign w:val="center"/>
          </w:tcPr>
          <w:p w14:paraId="008D039B" w14:textId="77777777" w:rsidR="00D12268" w:rsidRPr="008B6FC0" w:rsidRDefault="00D12268" w:rsidP="008B6FC0">
            <w:pPr>
              <w:pStyle w:val="Tabletext1"/>
              <w:ind w:left="22"/>
              <w:jc w:val="center"/>
            </w:pPr>
            <w:r w:rsidRPr="008B6FC0">
              <w:t>$1,290</w:t>
            </w:r>
          </w:p>
        </w:tc>
        <w:tc>
          <w:tcPr>
            <w:tcW w:w="621" w:type="pct"/>
            <w:vAlign w:val="center"/>
          </w:tcPr>
          <w:p w14:paraId="3CCFF62D" w14:textId="77777777" w:rsidR="00D12268" w:rsidRPr="008B6FC0" w:rsidRDefault="00D12268" w:rsidP="008B6FC0">
            <w:pPr>
              <w:pStyle w:val="Tabletext1"/>
              <w:ind w:left="22"/>
              <w:jc w:val="center"/>
            </w:pPr>
            <w:r w:rsidRPr="008B6FC0">
              <w:t>-33%</w:t>
            </w:r>
          </w:p>
        </w:tc>
        <w:tc>
          <w:tcPr>
            <w:tcW w:w="644" w:type="pct"/>
            <w:vAlign w:val="center"/>
          </w:tcPr>
          <w:p w14:paraId="1123DDEA" w14:textId="77777777" w:rsidR="00D12268" w:rsidRPr="008B6FC0" w:rsidRDefault="00D12268" w:rsidP="008B6FC0">
            <w:pPr>
              <w:pStyle w:val="Tabletext1"/>
              <w:ind w:left="22"/>
              <w:jc w:val="center"/>
            </w:pPr>
            <w:r w:rsidRPr="008B6FC0">
              <w:t>0.8</w:t>
            </w:r>
          </w:p>
        </w:tc>
        <w:tc>
          <w:tcPr>
            <w:tcW w:w="643" w:type="pct"/>
            <w:vAlign w:val="center"/>
          </w:tcPr>
          <w:p w14:paraId="2805167A" w14:textId="77777777" w:rsidR="00D12268" w:rsidRPr="008B6FC0" w:rsidRDefault="00D12268" w:rsidP="008B6FC0">
            <w:pPr>
              <w:pStyle w:val="Tabletext1"/>
              <w:ind w:left="22"/>
              <w:jc w:val="center"/>
            </w:pPr>
            <w:r w:rsidRPr="008B6FC0">
              <w:t>$2,570</w:t>
            </w:r>
          </w:p>
        </w:tc>
        <w:tc>
          <w:tcPr>
            <w:tcW w:w="557" w:type="pct"/>
            <w:vAlign w:val="center"/>
          </w:tcPr>
          <w:p w14:paraId="663C1033" w14:textId="77777777" w:rsidR="00D12268" w:rsidRPr="008B6FC0" w:rsidRDefault="00D12268" w:rsidP="008B6FC0">
            <w:pPr>
              <w:pStyle w:val="Tabletext1"/>
              <w:ind w:left="22"/>
              <w:jc w:val="center"/>
            </w:pPr>
            <w:r w:rsidRPr="008B6FC0">
              <w:t>33%</w:t>
            </w:r>
          </w:p>
        </w:tc>
      </w:tr>
      <w:tr w:rsidR="00D12268" w14:paraId="2578CE0B" w14:textId="77777777" w:rsidTr="00FA43E9">
        <w:trPr>
          <w:cantSplit/>
        </w:trPr>
        <w:tc>
          <w:tcPr>
            <w:tcW w:w="1248" w:type="pct"/>
            <w:vAlign w:val="center"/>
          </w:tcPr>
          <w:p w14:paraId="09C8F75C" w14:textId="77777777" w:rsidR="00D12268" w:rsidRPr="008B6FC0" w:rsidRDefault="00D12268" w:rsidP="008B6FC0">
            <w:pPr>
              <w:pStyle w:val="Tabletext1"/>
              <w:ind w:left="22"/>
              <w:rPr>
                <w:b/>
                <w:bCs/>
              </w:rPr>
            </w:pPr>
            <w:r w:rsidRPr="008B6FC0">
              <w:rPr>
                <w:b/>
                <w:bCs/>
              </w:rPr>
              <w:t>Lifetime of MR-IGRT</w:t>
            </w:r>
          </w:p>
        </w:tc>
        <w:tc>
          <w:tcPr>
            <w:tcW w:w="587" w:type="pct"/>
            <w:vAlign w:val="center"/>
          </w:tcPr>
          <w:p w14:paraId="7DC62935" w14:textId="77777777" w:rsidR="00D12268" w:rsidRPr="008B6FC0" w:rsidRDefault="00D12268" w:rsidP="008B6FC0">
            <w:pPr>
              <w:pStyle w:val="Tabletext1"/>
              <w:ind w:left="22"/>
              <w:jc w:val="center"/>
            </w:pPr>
            <w:r w:rsidRPr="008B6FC0">
              <w:t>5</w:t>
            </w:r>
          </w:p>
        </w:tc>
        <w:tc>
          <w:tcPr>
            <w:tcW w:w="701" w:type="pct"/>
            <w:vAlign w:val="center"/>
          </w:tcPr>
          <w:p w14:paraId="3627DD93" w14:textId="77777777" w:rsidR="00D12268" w:rsidRPr="008B6FC0" w:rsidRDefault="00D12268" w:rsidP="008B6FC0">
            <w:pPr>
              <w:pStyle w:val="Tabletext1"/>
              <w:ind w:left="22"/>
              <w:jc w:val="center"/>
            </w:pPr>
            <w:r w:rsidRPr="008B6FC0">
              <w:t>$1,374</w:t>
            </w:r>
          </w:p>
        </w:tc>
        <w:tc>
          <w:tcPr>
            <w:tcW w:w="621" w:type="pct"/>
            <w:vAlign w:val="center"/>
          </w:tcPr>
          <w:p w14:paraId="326C2C0A" w14:textId="77777777" w:rsidR="00D12268" w:rsidRPr="008B6FC0" w:rsidRDefault="00D12268" w:rsidP="008B6FC0">
            <w:pPr>
              <w:pStyle w:val="Tabletext1"/>
              <w:ind w:left="22"/>
              <w:jc w:val="center"/>
            </w:pPr>
            <w:r w:rsidRPr="008B6FC0">
              <w:t>-29%</w:t>
            </w:r>
          </w:p>
        </w:tc>
        <w:tc>
          <w:tcPr>
            <w:tcW w:w="644" w:type="pct"/>
            <w:vAlign w:val="center"/>
          </w:tcPr>
          <w:p w14:paraId="7AE25B17" w14:textId="77777777" w:rsidR="00D12268" w:rsidRPr="008B6FC0" w:rsidRDefault="00D12268" w:rsidP="008B6FC0">
            <w:pPr>
              <w:pStyle w:val="Tabletext1"/>
              <w:ind w:left="22"/>
              <w:jc w:val="center"/>
            </w:pPr>
            <w:r w:rsidRPr="008B6FC0">
              <w:t>15</w:t>
            </w:r>
          </w:p>
        </w:tc>
        <w:tc>
          <w:tcPr>
            <w:tcW w:w="643" w:type="pct"/>
            <w:vAlign w:val="center"/>
          </w:tcPr>
          <w:p w14:paraId="58CD6AEE" w14:textId="77777777" w:rsidR="00D12268" w:rsidRPr="008B6FC0" w:rsidRDefault="00D12268" w:rsidP="008B6FC0">
            <w:pPr>
              <w:pStyle w:val="Tabletext1"/>
              <w:ind w:left="22"/>
              <w:jc w:val="center"/>
            </w:pPr>
            <w:r w:rsidRPr="008B6FC0">
              <w:t>$2,486</w:t>
            </w:r>
          </w:p>
        </w:tc>
        <w:tc>
          <w:tcPr>
            <w:tcW w:w="557" w:type="pct"/>
            <w:vAlign w:val="center"/>
          </w:tcPr>
          <w:p w14:paraId="5B8C03C0" w14:textId="77777777" w:rsidR="00D12268" w:rsidRPr="008B6FC0" w:rsidRDefault="00D12268" w:rsidP="008B6FC0">
            <w:pPr>
              <w:pStyle w:val="Tabletext1"/>
              <w:ind w:left="22"/>
              <w:jc w:val="center"/>
            </w:pPr>
            <w:r w:rsidRPr="008B6FC0">
              <w:t>29%</w:t>
            </w:r>
          </w:p>
        </w:tc>
      </w:tr>
      <w:tr w:rsidR="00D12268" w14:paraId="6618F81C" w14:textId="77777777" w:rsidTr="00FA43E9">
        <w:trPr>
          <w:cantSplit/>
        </w:trPr>
        <w:tc>
          <w:tcPr>
            <w:tcW w:w="1248" w:type="pct"/>
            <w:vAlign w:val="center"/>
          </w:tcPr>
          <w:p w14:paraId="2685480D" w14:textId="77777777" w:rsidR="00D12268" w:rsidRPr="008B6FC0" w:rsidRDefault="00D12268" w:rsidP="008B6FC0">
            <w:pPr>
              <w:pStyle w:val="Tabletext1"/>
              <w:ind w:left="22"/>
              <w:rPr>
                <w:b/>
                <w:bCs/>
              </w:rPr>
            </w:pPr>
            <w:r w:rsidRPr="008B6FC0">
              <w:rPr>
                <w:b/>
                <w:bCs/>
              </w:rPr>
              <w:t>No. of years for service contract</w:t>
            </w:r>
          </w:p>
        </w:tc>
        <w:tc>
          <w:tcPr>
            <w:tcW w:w="587" w:type="pct"/>
            <w:vAlign w:val="center"/>
          </w:tcPr>
          <w:p w14:paraId="6229DC35" w14:textId="77777777" w:rsidR="00D12268" w:rsidRPr="008B6FC0" w:rsidRDefault="00D12268" w:rsidP="008B6FC0">
            <w:pPr>
              <w:pStyle w:val="Tabletext1"/>
              <w:ind w:left="22"/>
              <w:jc w:val="center"/>
            </w:pPr>
            <w:r w:rsidRPr="008B6FC0">
              <w:t>4</w:t>
            </w:r>
          </w:p>
        </w:tc>
        <w:tc>
          <w:tcPr>
            <w:tcW w:w="701" w:type="pct"/>
            <w:vAlign w:val="center"/>
          </w:tcPr>
          <w:p w14:paraId="7AF1D403" w14:textId="77777777" w:rsidR="00D12268" w:rsidRPr="008B6FC0" w:rsidRDefault="00D12268" w:rsidP="008B6FC0">
            <w:pPr>
              <w:pStyle w:val="Tabletext1"/>
              <w:ind w:left="22"/>
              <w:jc w:val="center"/>
            </w:pPr>
            <w:r w:rsidRPr="008B6FC0">
              <w:t>$1,384</w:t>
            </w:r>
          </w:p>
        </w:tc>
        <w:tc>
          <w:tcPr>
            <w:tcW w:w="621" w:type="pct"/>
            <w:vAlign w:val="center"/>
          </w:tcPr>
          <w:p w14:paraId="2A5F7379" w14:textId="77777777" w:rsidR="00D12268" w:rsidRPr="008B6FC0" w:rsidRDefault="00D12268" w:rsidP="008B6FC0">
            <w:pPr>
              <w:pStyle w:val="Tabletext1"/>
              <w:ind w:left="22"/>
              <w:jc w:val="center"/>
            </w:pPr>
            <w:r w:rsidRPr="008B6FC0">
              <w:t>-28%</w:t>
            </w:r>
          </w:p>
        </w:tc>
        <w:tc>
          <w:tcPr>
            <w:tcW w:w="644" w:type="pct"/>
            <w:vAlign w:val="center"/>
          </w:tcPr>
          <w:p w14:paraId="2ADDB084" w14:textId="77777777" w:rsidR="00D12268" w:rsidRPr="008B6FC0" w:rsidRDefault="00D12268" w:rsidP="008B6FC0">
            <w:pPr>
              <w:pStyle w:val="Tabletext1"/>
              <w:ind w:left="22"/>
              <w:jc w:val="center"/>
            </w:pPr>
            <w:r w:rsidRPr="008B6FC0">
              <w:t>12</w:t>
            </w:r>
          </w:p>
        </w:tc>
        <w:tc>
          <w:tcPr>
            <w:tcW w:w="643" w:type="pct"/>
            <w:vAlign w:val="center"/>
          </w:tcPr>
          <w:p w14:paraId="15C97D57" w14:textId="77777777" w:rsidR="00D12268" w:rsidRPr="008B6FC0" w:rsidRDefault="00D12268" w:rsidP="008B6FC0">
            <w:pPr>
              <w:pStyle w:val="Tabletext1"/>
              <w:ind w:left="22"/>
              <w:jc w:val="center"/>
            </w:pPr>
            <w:r w:rsidRPr="008B6FC0">
              <w:t>$2,560</w:t>
            </w:r>
          </w:p>
        </w:tc>
        <w:tc>
          <w:tcPr>
            <w:tcW w:w="557" w:type="pct"/>
            <w:vAlign w:val="center"/>
          </w:tcPr>
          <w:p w14:paraId="6DDA2DB9" w14:textId="77777777" w:rsidR="00D12268" w:rsidRPr="008B6FC0" w:rsidRDefault="00D12268" w:rsidP="008B6FC0">
            <w:pPr>
              <w:pStyle w:val="Tabletext1"/>
              <w:ind w:left="22"/>
              <w:jc w:val="center"/>
            </w:pPr>
            <w:r w:rsidRPr="008B6FC0">
              <w:t>33%</w:t>
            </w:r>
          </w:p>
        </w:tc>
      </w:tr>
    </w:tbl>
    <w:p w14:paraId="66F32535" w14:textId="77777777" w:rsidR="00D12268" w:rsidRDefault="00D12268" w:rsidP="00D12268">
      <w:pPr>
        <w:pStyle w:val="Tablenotes0"/>
        <w:spacing w:after="240" w:line="312" w:lineRule="auto"/>
      </w:pPr>
      <w:r>
        <w:t>MR-IGRT=Magnetic resonance image guided radiation therapy; CBCT-IGRT=Cone beam computed tomography image guided radiation therapy</w:t>
      </w:r>
    </w:p>
    <w:p w14:paraId="18E756B2" w14:textId="4C794133" w:rsidR="00D12268" w:rsidRDefault="00D12268" w:rsidP="00D12268">
      <w:r>
        <w:t>From further threshold analysis by changing the value of variables by 50%, the parameter on number of patients treated by MR-IGRT had the biggest impact on the incremental cost followed by cost of MR-IGRT equipment. On reducing the number of patients treated by MR-IGRT over lifetime, the incremental cost increases by 226%</w:t>
      </w:r>
      <w:r w:rsidR="0099357E">
        <w:t>,</w:t>
      </w:r>
      <w:r>
        <w:t xml:space="preserve"> and reduces by 76% if the number of patients increases. Furthermore, on increasing values of other variables by 50% the incremental cost increases in the range of 29% to 33%. As mentioned earlier, although the incremental cost increases by increasing the cost of MR-IGRT equipment, the cost is likely to remain fixed since it was provided by the </w:t>
      </w:r>
      <w:r w:rsidR="008F4472">
        <w:t>Applicant</w:t>
      </w:r>
      <w:r>
        <w:t xml:space="preserve">. </w:t>
      </w:r>
    </w:p>
    <w:p w14:paraId="7DF5A87A" w14:textId="6FF6868B" w:rsidR="00D12268" w:rsidRDefault="00D12268" w:rsidP="00D12268">
      <w:r>
        <w:lastRenderedPageBreak/>
        <w:t xml:space="preserve">In the base case analysis, the number of fractions administered by both treatment is 5, however, in the sensitivity analysis, the number of fractions delivered by CBCT-IGRT </w:t>
      </w:r>
      <w:r w:rsidR="0084422C">
        <w:t>were</w:t>
      </w:r>
      <w:r w:rsidR="00E86B7A">
        <w:t xml:space="preserve"> changed</w:t>
      </w:r>
      <w:r w:rsidR="0084422C">
        <w:t xml:space="preserve"> in the increment of 10 fractions</w:t>
      </w:r>
      <w:r w:rsidR="00E86B7A">
        <w:t xml:space="preserve"> </w:t>
      </w:r>
      <w:r>
        <w:t>up to 30 fractions per treatment course</w:t>
      </w:r>
      <w:r w:rsidR="003866EC">
        <w:t xml:space="preserve"> </w:t>
      </w:r>
      <w:r w:rsidR="005010AF">
        <w:t xml:space="preserve">as shown in </w:t>
      </w:r>
      <w:r w:rsidR="005010AF">
        <w:fldChar w:fldCharType="begin"/>
      </w:r>
      <w:r w:rsidR="005010AF">
        <w:instrText xml:space="preserve"> REF _Ref58511378 \h </w:instrText>
      </w:r>
      <w:r w:rsidR="005010AF">
        <w:fldChar w:fldCharType="separate"/>
      </w:r>
      <w:r w:rsidR="00451350">
        <w:t xml:space="preserve">Table </w:t>
      </w:r>
      <w:r w:rsidR="00451350">
        <w:rPr>
          <w:noProof/>
        </w:rPr>
        <w:t>55</w:t>
      </w:r>
      <w:r w:rsidR="005010AF">
        <w:fldChar w:fldCharType="end"/>
      </w:r>
      <w:r>
        <w:t xml:space="preserve">. </w:t>
      </w:r>
      <w:r w:rsidR="005010AF">
        <w:rPr>
          <w:rFonts w:asciiTheme="minorHAnsi" w:hAnsiTheme="minorHAnsi" w:cstheme="minorHAnsi"/>
        </w:rPr>
        <w:t xml:space="preserve">Expert clinical advice estimates that with CBCT-IGRT, prostate and breast cancer patients currently need between 16 to 20 fractions per treatment course in Australian clinical settings. </w:t>
      </w:r>
      <w:r w:rsidR="005010AF">
        <w:t xml:space="preserve">This broadly concords with MBS utilisation data for MBS items 15565 (dosimetry planning) and 15275 (single episode of radiation oncology treatment, or fraction). The MBS 2019-20 utilisation data approximately equated to 19.5 fractions per patient undertaking dosimetry planning for CBCT-IGRT. Based on this, the </w:t>
      </w:r>
      <w:r w:rsidR="008C7533">
        <w:t xml:space="preserve">base case </w:t>
      </w:r>
      <w:r w:rsidR="005010AF">
        <w:t>incremental cost reduce</w:t>
      </w:r>
      <w:r w:rsidR="008C7533">
        <w:t>d</w:t>
      </w:r>
      <w:r w:rsidR="005010AF">
        <w:t xml:space="preserve"> by 105% and 176% when CBCT-IGRT is delivered with 20 and 30 fractions respectively and MR-IGRT is delivered with 5 fractions. Unlike the base case result, this is likely to favour MR-IGRT and result in cost-savings.</w:t>
      </w:r>
      <w:r>
        <w:t xml:space="preserve"> </w:t>
      </w:r>
    </w:p>
    <w:p w14:paraId="544D4AE7" w14:textId="2761ACAB" w:rsidR="00D12268" w:rsidRDefault="00D12268" w:rsidP="00D12268">
      <w:pPr>
        <w:pStyle w:val="Caption"/>
        <w:keepNext/>
      </w:pPr>
      <w:bookmarkStart w:id="588" w:name="_Ref58511378"/>
      <w:bookmarkStart w:id="589" w:name="_Toc89857926"/>
      <w:r>
        <w:t xml:space="preserve">Table </w:t>
      </w:r>
      <w:r w:rsidR="00211285">
        <w:fldChar w:fldCharType="begin"/>
      </w:r>
      <w:r w:rsidR="00211285">
        <w:instrText xml:space="preserve"> SEQ Table \* ARABIC </w:instrText>
      </w:r>
      <w:r w:rsidR="00211285">
        <w:fldChar w:fldCharType="separate"/>
      </w:r>
      <w:r w:rsidR="00451350">
        <w:rPr>
          <w:noProof/>
        </w:rPr>
        <w:t>55</w:t>
      </w:r>
      <w:r w:rsidR="00211285">
        <w:rPr>
          <w:noProof/>
        </w:rPr>
        <w:fldChar w:fldCharType="end"/>
      </w:r>
      <w:bookmarkEnd w:id="588"/>
      <w:r>
        <w:tab/>
        <w:t>Changing fractions for CBCT-IGRT and impact on the incremental cost</w:t>
      </w:r>
      <w:bookmarkEnd w:id="589"/>
    </w:p>
    <w:tbl>
      <w:tblPr>
        <w:tblStyle w:val="TableGrid"/>
        <w:tblW w:w="5000" w:type="pct"/>
        <w:tblLook w:val="04A0" w:firstRow="1" w:lastRow="0" w:firstColumn="1" w:lastColumn="0" w:noHBand="0" w:noVBand="1"/>
        <w:tblCaption w:val="Table 45a"/>
        <w:tblDescription w:val="Key drivers of economic model – ABPM v HBPM and ABPM v CBPM"/>
      </w:tblPr>
      <w:tblGrid>
        <w:gridCol w:w="3256"/>
        <w:gridCol w:w="1441"/>
        <w:gridCol w:w="1441"/>
        <w:gridCol w:w="1441"/>
        <w:gridCol w:w="1437"/>
      </w:tblGrid>
      <w:tr w:rsidR="00D12268" w14:paraId="27082692" w14:textId="77777777" w:rsidTr="00FA43E9">
        <w:trPr>
          <w:cantSplit/>
          <w:tblHeader/>
        </w:trPr>
        <w:tc>
          <w:tcPr>
            <w:tcW w:w="1806" w:type="pct"/>
            <w:tcBorders>
              <w:bottom w:val="single" w:sz="4" w:space="0" w:color="auto"/>
            </w:tcBorders>
            <w:vAlign w:val="center"/>
          </w:tcPr>
          <w:p w14:paraId="4C52C971" w14:textId="07B81313" w:rsidR="00D12268" w:rsidRPr="00724054" w:rsidRDefault="00724054" w:rsidP="008B6FC0">
            <w:pPr>
              <w:pStyle w:val="Tabletext1"/>
              <w:ind w:left="0"/>
              <w:rPr>
                <w:b/>
              </w:rPr>
            </w:pPr>
            <w:r>
              <w:rPr>
                <w:b/>
              </w:rPr>
              <w:t>MR-IGRT v CBCT-IGRT</w:t>
            </w:r>
          </w:p>
        </w:tc>
        <w:tc>
          <w:tcPr>
            <w:tcW w:w="799" w:type="pct"/>
            <w:tcBorders>
              <w:bottom w:val="single" w:sz="4" w:space="0" w:color="auto"/>
            </w:tcBorders>
            <w:vAlign w:val="center"/>
          </w:tcPr>
          <w:p w14:paraId="1F06DAA1" w14:textId="77777777" w:rsidR="00D12268" w:rsidRPr="00724054" w:rsidRDefault="00D12268" w:rsidP="008B6FC0">
            <w:pPr>
              <w:pStyle w:val="Tabletext1"/>
              <w:ind w:left="0"/>
              <w:jc w:val="center"/>
              <w:rPr>
                <w:b/>
              </w:rPr>
            </w:pPr>
            <w:r w:rsidRPr="00724054">
              <w:rPr>
                <w:b/>
              </w:rPr>
              <w:t>Intervention ($)</w:t>
            </w:r>
          </w:p>
        </w:tc>
        <w:tc>
          <w:tcPr>
            <w:tcW w:w="799" w:type="pct"/>
            <w:tcBorders>
              <w:bottom w:val="single" w:sz="4" w:space="0" w:color="auto"/>
            </w:tcBorders>
            <w:vAlign w:val="center"/>
          </w:tcPr>
          <w:p w14:paraId="64FE1F83" w14:textId="77777777" w:rsidR="00D12268" w:rsidRPr="00724054" w:rsidRDefault="00D12268" w:rsidP="008B6FC0">
            <w:pPr>
              <w:pStyle w:val="Tabletext1"/>
              <w:ind w:left="0"/>
              <w:jc w:val="center"/>
              <w:rPr>
                <w:b/>
              </w:rPr>
            </w:pPr>
            <w:r w:rsidRPr="00724054">
              <w:rPr>
                <w:b/>
              </w:rPr>
              <w:t>Comparator ($)</w:t>
            </w:r>
          </w:p>
        </w:tc>
        <w:tc>
          <w:tcPr>
            <w:tcW w:w="799" w:type="pct"/>
            <w:tcBorders>
              <w:bottom w:val="single" w:sz="4" w:space="0" w:color="auto"/>
            </w:tcBorders>
            <w:vAlign w:val="center"/>
          </w:tcPr>
          <w:p w14:paraId="040BDA4E" w14:textId="77777777" w:rsidR="00D12268" w:rsidRPr="00724054" w:rsidRDefault="00D12268" w:rsidP="008B6FC0">
            <w:pPr>
              <w:pStyle w:val="Tabletext1"/>
              <w:ind w:left="0"/>
              <w:jc w:val="center"/>
              <w:rPr>
                <w:b/>
              </w:rPr>
            </w:pPr>
            <w:r w:rsidRPr="00724054">
              <w:rPr>
                <w:b/>
              </w:rPr>
              <w:t>Incremental cost ($)</w:t>
            </w:r>
          </w:p>
        </w:tc>
        <w:tc>
          <w:tcPr>
            <w:tcW w:w="797" w:type="pct"/>
            <w:tcBorders>
              <w:bottom w:val="single" w:sz="4" w:space="0" w:color="auto"/>
            </w:tcBorders>
            <w:vAlign w:val="center"/>
          </w:tcPr>
          <w:p w14:paraId="55C2A386" w14:textId="77777777" w:rsidR="00D12268" w:rsidRPr="00724054" w:rsidRDefault="00D12268" w:rsidP="008B6FC0">
            <w:pPr>
              <w:pStyle w:val="Tabletext1"/>
              <w:ind w:left="0"/>
              <w:jc w:val="center"/>
              <w:rPr>
                <w:b/>
              </w:rPr>
            </w:pPr>
            <w:r w:rsidRPr="00724054">
              <w:rPr>
                <w:b/>
              </w:rPr>
              <w:t>% change</w:t>
            </w:r>
          </w:p>
        </w:tc>
      </w:tr>
      <w:tr w:rsidR="00FA43E9" w14:paraId="35CC5EED" w14:textId="77777777" w:rsidTr="00FA43E9">
        <w:trPr>
          <w:cantSplit/>
        </w:trPr>
        <w:tc>
          <w:tcPr>
            <w:tcW w:w="1806" w:type="pct"/>
            <w:vAlign w:val="center"/>
          </w:tcPr>
          <w:p w14:paraId="49C9F189" w14:textId="68CCC9FA" w:rsidR="00FA43E9" w:rsidRPr="00724054" w:rsidRDefault="00FA43E9" w:rsidP="00FA43E9">
            <w:pPr>
              <w:pStyle w:val="Tabletext1"/>
              <w:ind w:left="0"/>
              <w:rPr>
                <w:b/>
              </w:rPr>
            </w:pPr>
            <w:r w:rsidRPr="00724054">
              <w:rPr>
                <w:b/>
              </w:rPr>
              <w:t>Base case: MR-IGRT v CBCT-IGRT</w:t>
            </w:r>
          </w:p>
        </w:tc>
        <w:tc>
          <w:tcPr>
            <w:tcW w:w="799" w:type="pct"/>
            <w:tcBorders>
              <w:right w:val="nil"/>
            </w:tcBorders>
            <w:vAlign w:val="center"/>
          </w:tcPr>
          <w:p w14:paraId="6343FFD7" w14:textId="77777777" w:rsidR="00FA43E9" w:rsidRPr="00724054" w:rsidRDefault="00FA43E9" w:rsidP="008B6FC0">
            <w:pPr>
              <w:pStyle w:val="Tabletext1"/>
              <w:jc w:val="center"/>
            </w:pPr>
          </w:p>
        </w:tc>
        <w:tc>
          <w:tcPr>
            <w:tcW w:w="799" w:type="pct"/>
            <w:tcBorders>
              <w:left w:val="nil"/>
              <w:right w:val="nil"/>
            </w:tcBorders>
            <w:vAlign w:val="center"/>
          </w:tcPr>
          <w:p w14:paraId="42BACA99" w14:textId="3601F74B" w:rsidR="00FA43E9" w:rsidRPr="00724054" w:rsidRDefault="00FA43E9" w:rsidP="00FA43E9">
            <w:pPr>
              <w:pStyle w:val="Tabletext1"/>
              <w:ind w:left="0"/>
              <w:jc w:val="center"/>
            </w:pPr>
            <w:r w:rsidRPr="00724054">
              <w:t>$1,930</w:t>
            </w:r>
          </w:p>
        </w:tc>
        <w:tc>
          <w:tcPr>
            <w:tcW w:w="799" w:type="pct"/>
            <w:tcBorders>
              <w:left w:val="nil"/>
              <w:right w:val="nil"/>
            </w:tcBorders>
            <w:vAlign w:val="center"/>
          </w:tcPr>
          <w:p w14:paraId="12FB3437" w14:textId="77777777" w:rsidR="00FA43E9" w:rsidRPr="00724054" w:rsidRDefault="00FA43E9" w:rsidP="008B6FC0">
            <w:pPr>
              <w:pStyle w:val="Tabletext1"/>
              <w:jc w:val="center"/>
            </w:pPr>
          </w:p>
        </w:tc>
        <w:tc>
          <w:tcPr>
            <w:tcW w:w="797" w:type="pct"/>
            <w:tcBorders>
              <w:left w:val="nil"/>
            </w:tcBorders>
            <w:vAlign w:val="center"/>
          </w:tcPr>
          <w:p w14:paraId="4A0ED348" w14:textId="77777777" w:rsidR="00FA43E9" w:rsidRPr="00724054" w:rsidRDefault="00FA43E9" w:rsidP="008B6FC0">
            <w:pPr>
              <w:pStyle w:val="Tabletext1"/>
              <w:jc w:val="center"/>
            </w:pPr>
          </w:p>
        </w:tc>
      </w:tr>
      <w:tr w:rsidR="00D12268" w14:paraId="0FC55787" w14:textId="77777777" w:rsidTr="00FA43E9">
        <w:trPr>
          <w:cantSplit/>
        </w:trPr>
        <w:tc>
          <w:tcPr>
            <w:tcW w:w="1806" w:type="pct"/>
            <w:vAlign w:val="center"/>
          </w:tcPr>
          <w:p w14:paraId="422B989C" w14:textId="77777777" w:rsidR="00D12268" w:rsidRPr="00724054" w:rsidRDefault="00D12268" w:rsidP="008B6FC0">
            <w:pPr>
              <w:pStyle w:val="Tabletext1"/>
              <w:ind w:left="0"/>
              <w:rPr>
                <w:b/>
              </w:rPr>
            </w:pPr>
            <w:r w:rsidRPr="00724054">
              <w:rPr>
                <w:b/>
              </w:rPr>
              <w:t>No. of fractions for CBCT-IGRT = 10</w:t>
            </w:r>
          </w:p>
        </w:tc>
        <w:tc>
          <w:tcPr>
            <w:tcW w:w="799" w:type="pct"/>
            <w:vAlign w:val="center"/>
          </w:tcPr>
          <w:p w14:paraId="1D8A6926" w14:textId="77777777" w:rsidR="00D12268" w:rsidRPr="00724054" w:rsidRDefault="00D12268" w:rsidP="008B6FC0">
            <w:pPr>
              <w:pStyle w:val="Tabletext1"/>
              <w:ind w:left="0"/>
              <w:jc w:val="center"/>
            </w:pPr>
            <w:r w:rsidRPr="00724054">
              <w:t>$6,056</w:t>
            </w:r>
          </w:p>
        </w:tc>
        <w:tc>
          <w:tcPr>
            <w:tcW w:w="799" w:type="pct"/>
            <w:vAlign w:val="center"/>
          </w:tcPr>
          <w:p w14:paraId="61F08D6D" w14:textId="77777777" w:rsidR="00D12268" w:rsidRPr="00724054" w:rsidRDefault="00D12268" w:rsidP="008B6FC0">
            <w:pPr>
              <w:pStyle w:val="Tabletext1"/>
              <w:ind w:left="0"/>
              <w:jc w:val="center"/>
            </w:pPr>
            <w:r w:rsidRPr="00724054">
              <w:t>$4,804</w:t>
            </w:r>
          </w:p>
        </w:tc>
        <w:tc>
          <w:tcPr>
            <w:tcW w:w="799" w:type="pct"/>
            <w:vAlign w:val="center"/>
          </w:tcPr>
          <w:p w14:paraId="646E7865" w14:textId="77777777" w:rsidR="00D12268" w:rsidRPr="00724054" w:rsidRDefault="00D12268" w:rsidP="008B6FC0">
            <w:pPr>
              <w:pStyle w:val="Tabletext1"/>
              <w:ind w:left="0"/>
              <w:jc w:val="center"/>
            </w:pPr>
            <w:r w:rsidRPr="00724054">
              <w:t>$1,252</w:t>
            </w:r>
          </w:p>
        </w:tc>
        <w:tc>
          <w:tcPr>
            <w:tcW w:w="797" w:type="pct"/>
            <w:vAlign w:val="center"/>
          </w:tcPr>
          <w:p w14:paraId="7D0DA6CF" w14:textId="77777777" w:rsidR="00D12268" w:rsidRPr="00724054" w:rsidRDefault="00D12268" w:rsidP="008B6FC0">
            <w:pPr>
              <w:pStyle w:val="Tabletext1"/>
              <w:ind w:left="0"/>
              <w:jc w:val="center"/>
            </w:pPr>
            <w:r w:rsidRPr="00724054">
              <w:t>-35%</w:t>
            </w:r>
          </w:p>
        </w:tc>
      </w:tr>
      <w:tr w:rsidR="00D12268" w14:paraId="74A0AB9C" w14:textId="77777777" w:rsidTr="00FA43E9">
        <w:trPr>
          <w:cantSplit/>
        </w:trPr>
        <w:tc>
          <w:tcPr>
            <w:tcW w:w="1806" w:type="pct"/>
            <w:vAlign w:val="center"/>
          </w:tcPr>
          <w:p w14:paraId="20BB8121" w14:textId="77777777" w:rsidR="00D12268" w:rsidRPr="00724054" w:rsidRDefault="00D12268" w:rsidP="008B6FC0">
            <w:pPr>
              <w:pStyle w:val="Tabletext1"/>
              <w:ind w:left="0"/>
              <w:rPr>
                <w:b/>
              </w:rPr>
            </w:pPr>
            <w:r w:rsidRPr="00724054">
              <w:rPr>
                <w:b/>
              </w:rPr>
              <w:t>No. of fractions for CBCT-IGRT = 20</w:t>
            </w:r>
          </w:p>
        </w:tc>
        <w:tc>
          <w:tcPr>
            <w:tcW w:w="799" w:type="pct"/>
            <w:vAlign w:val="center"/>
          </w:tcPr>
          <w:p w14:paraId="54559379" w14:textId="77777777" w:rsidR="00D12268" w:rsidRPr="00724054" w:rsidRDefault="00D12268" w:rsidP="008B6FC0">
            <w:pPr>
              <w:pStyle w:val="Tabletext1"/>
              <w:ind w:left="0"/>
              <w:jc w:val="center"/>
            </w:pPr>
            <w:r w:rsidRPr="00724054">
              <w:t>$6,056</w:t>
            </w:r>
          </w:p>
        </w:tc>
        <w:tc>
          <w:tcPr>
            <w:tcW w:w="799" w:type="pct"/>
            <w:vAlign w:val="center"/>
          </w:tcPr>
          <w:p w14:paraId="7207638B" w14:textId="77777777" w:rsidR="00D12268" w:rsidRPr="00724054" w:rsidRDefault="00D12268" w:rsidP="008B6FC0">
            <w:pPr>
              <w:pStyle w:val="Tabletext1"/>
              <w:ind w:left="0"/>
              <w:jc w:val="center"/>
            </w:pPr>
            <w:r w:rsidRPr="00724054">
              <w:t>$6,159</w:t>
            </w:r>
          </w:p>
        </w:tc>
        <w:tc>
          <w:tcPr>
            <w:tcW w:w="799" w:type="pct"/>
            <w:vAlign w:val="center"/>
          </w:tcPr>
          <w:p w14:paraId="2082BC7D" w14:textId="77777777" w:rsidR="00D12268" w:rsidRPr="00724054" w:rsidRDefault="00D12268" w:rsidP="008B6FC0">
            <w:pPr>
              <w:pStyle w:val="Tabletext1"/>
              <w:ind w:left="0"/>
              <w:jc w:val="center"/>
            </w:pPr>
            <w:r w:rsidRPr="00724054">
              <w:t>-$103</w:t>
            </w:r>
          </w:p>
        </w:tc>
        <w:tc>
          <w:tcPr>
            <w:tcW w:w="797" w:type="pct"/>
            <w:vAlign w:val="center"/>
          </w:tcPr>
          <w:p w14:paraId="5285DDF4" w14:textId="77777777" w:rsidR="00D12268" w:rsidRPr="00724054" w:rsidRDefault="00D12268" w:rsidP="008B6FC0">
            <w:pPr>
              <w:pStyle w:val="Tabletext1"/>
              <w:ind w:left="0"/>
              <w:jc w:val="center"/>
            </w:pPr>
            <w:r w:rsidRPr="00724054">
              <w:t>-105%</w:t>
            </w:r>
          </w:p>
        </w:tc>
      </w:tr>
      <w:tr w:rsidR="00D12268" w14:paraId="6F5D91F2" w14:textId="77777777" w:rsidTr="00FA43E9">
        <w:trPr>
          <w:cantSplit/>
        </w:trPr>
        <w:tc>
          <w:tcPr>
            <w:tcW w:w="1806" w:type="pct"/>
            <w:vAlign w:val="center"/>
          </w:tcPr>
          <w:p w14:paraId="52E474EF" w14:textId="77777777" w:rsidR="00D12268" w:rsidRPr="00724054" w:rsidRDefault="00D12268" w:rsidP="008B6FC0">
            <w:pPr>
              <w:pStyle w:val="Tabletext1"/>
              <w:ind w:left="0"/>
              <w:rPr>
                <w:b/>
              </w:rPr>
            </w:pPr>
            <w:r w:rsidRPr="00724054">
              <w:rPr>
                <w:b/>
              </w:rPr>
              <w:t>No. of fractions for CBCT-IGRT = 30</w:t>
            </w:r>
          </w:p>
        </w:tc>
        <w:tc>
          <w:tcPr>
            <w:tcW w:w="799" w:type="pct"/>
            <w:vAlign w:val="center"/>
          </w:tcPr>
          <w:p w14:paraId="2166D901" w14:textId="77777777" w:rsidR="00D12268" w:rsidRPr="00724054" w:rsidRDefault="00D12268" w:rsidP="008B6FC0">
            <w:pPr>
              <w:pStyle w:val="Tabletext1"/>
              <w:ind w:left="0"/>
              <w:jc w:val="center"/>
            </w:pPr>
            <w:r w:rsidRPr="00724054">
              <w:t>$6,056</w:t>
            </w:r>
          </w:p>
        </w:tc>
        <w:tc>
          <w:tcPr>
            <w:tcW w:w="799" w:type="pct"/>
            <w:vAlign w:val="center"/>
          </w:tcPr>
          <w:p w14:paraId="019FCF96" w14:textId="77777777" w:rsidR="00D12268" w:rsidRPr="00724054" w:rsidRDefault="00D12268" w:rsidP="008B6FC0">
            <w:pPr>
              <w:pStyle w:val="Tabletext1"/>
              <w:ind w:left="0"/>
              <w:jc w:val="center"/>
            </w:pPr>
            <w:r w:rsidRPr="00724054">
              <w:t>$7,515</w:t>
            </w:r>
          </w:p>
        </w:tc>
        <w:tc>
          <w:tcPr>
            <w:tcW w:w="799" w:type="pct"/>
            <w:vAlign w:val="center"/>
          </w:tcPr>
          <w:p w14:paraId="6AEB6742" w14:textId="77777777" w:rsidR="00D12268" w:rsidRPr="00724054" w:rsidRDefault="00D12268" w:rsidP="008B6FC0">
            <w:pPr>
              <w:pStyle w:val="Tabletext1"/>
              <w:ind w:left="0"/>
              <w:jc w:val="center"/>
            </w:pPr>
            <w:r w:rsidRPr="00724054">
              <w:t>-$1,459</w:t>
            </w:r>
          </w:p>
        </w:tc>
        <w:tc>
          <w:tcPr>
            <w:tcW w:w="797" w:type="pct"/>
            <w:vAlign w:val="center"/>
          </w:tcPr>
          <w:p w14:paraId="63E550E7" w14:textId="77777777" w:rsidR="00D12268" w:rsidRPr="00724054" w:rsidRDefault="00D12268" w:rsidP="008B6FC0">
            <w:pPr>
              <w:pStyle w:val="Tabletext1"/>
              <w:ind w:left="0"/>
              <w:jc w:val="center"/>
            </w:pPr>
            <w:r w:rsidRPr="00724054">
              <w:t>-176%</w:t>
            </w:r>
          </w:p>
        </w:tc>
      </w:tr>
    </w:tbl>
    <w:p w14:paraId="73B4DD8F" w14:textId="77777777" w:rsidR="00D12268" w:rsidRDefault="00D12268" w:rsidP="00D12268">
      <w:pPr>
        <w:pStyle w:val="Tablenotes0"/>
        <w:spacing w:after="240" w:line="312" w:lineRule="auto"/>
      </w:pPr>
      <w:r>
        <w:t>MR-IGRT=Magnetic resonance image guided radiation therapy; CBCT-IGRT=Cone beam computed tomography image guided radiation therapy</w:t>
      </w:r>
    </w:p>
    <w:p w14:paraId="5286CDC8" w14:textId="5E03BCF5" w:rsidR="00D12268" w:rsidRDefault="00D12268" w:rsidP="00D12268">
      <w:r>
        <w:t xml:space="preserve">In the base case analysis, fiducial marker placement </w:t>
      </w:r>
      <w:r w:rsidR="00E86B7A">
        <w:t xml:space="preserve">was included </w:t>
      </w:r>
      <w:r>
        <w:t xml:space="preserve">as a prior step to simulation for all the patients, however, for certain kinds of cancer, it might not require and likely to overestimate the cost. </w:t>
      </w:r>
      <w:r w:rsidR="00E86B7A">
        <w:t>A s</w:t>
      </w:r>
      <w:r>
        <w:t>ensitivity analysis</w:t>
      </w:r>
      <w:r w:rsidR="00E86B7A">
        <w:t xml:space="preserve"> was included</w:t>
      </w:r>
      <w:r>
        <w:t xml:space="preserve"> by removing cost of fiducial marker placement from the cost of CBCT-IGRT. The results are provided in </w:t>
      </w:r>
      <w:r>
        <w:fldChar w:fldCharType="begin"/>
      </w:r>
      <w:r>
        <w:instrText xml:space="preserve"> REF _Ref58579360 \h </w:instrText>
      </w:r>
      <w:r>
        <w:fldChar w:fldCharType="separate"/>
      </w:r>
      <w:r w:rsidR="00451350">
        <w:t xml:space="preserve">Table </w:t>
      </w:r>
      <w:r w:rsidR="00451350">
        <w:rPr>
          <w:noProof/>
        </w:rPr>
        <w:t>56</w:t>
      </w:r>
      <w:r>
        <w:fldChar w:fldCharType="end"/>
      </w:r>
      <w:r>
        <w:t xml:space="preserve">. Based on this, the incremental cost </w:t>
      </w:r>
      <w:r w:rsidR="00E13DEF">
        <w:t xml:space="preserve">changed </w:t>
      </w:r>
      <w:r>
        <w:t xml:space="preserve">by 11% as the overall cost of CBCT-IGRT reduced. </w:t>
      </w:r>
    </w:p>
    <w:p w14:paraId="18914FFE" w14:textId="22830954" w:rsidR="00D12268" w:rsidRDefault="00D12268" w:rsidP="00D12268">
      <w:pPr>
        <w:pStyle w:val="Caption"/>
        <w:keepNext/>
      </w:pPr>
      <w:bookmarkStart w:id="590" w:name="_Ref58579360"/>
      <w:bookmarkStart w:id="591" w:name="_Toc89857927"/>
      <w:r>
        <w:t xml:space="preserve">Table </w:t>
      </w:r>
      <w:r w:rsidR="00211285">
        <w:fldChar w:fldCharType="begin"/>
      </w:r>
      <w:r w:rsidR="00211285">
        <w:instrText xml:space="preserve"> SEQ Table \* ARABIC </w:instrText>
      </w:r>
      <w:r w:rsidR="00211285">
        <w:fldChar w:fldCharType="separate"/>
      </w:r>
      <w:r w:rsidR="00451350">
        <w:rPr>
          <w:noProof/>
        </w:rPr>
        <w:t>56</w:t>
      </w:r>
      <w:r w:rsidR="00211285">
        <w:rPr>
          <w:noProof/>
        </w:rPr>
        <w:fldChar w:fldCharType="end"/>
      </w:r>
      <w:bookmarkEnd w:id="590"/>
      <w:r>
        <w:tab/>
        <w:t>Removing cost of fiducial marker placement from the overall cost of CBCT-IGRT</w:t>
      </w:r>
      <w:bookmarkEnd w:id="591"/>
    </w:p>
    <w:tbl>
      <w:tblPr>
        <w:tblStyle w:val="TableGrid"/>
        <w:tblW w:w="5000" w:type="pct"/>
        <w:tblLook w:val="04A0" w:firstRow="1" w:lastRow="0" w:firstColumn="1" w:lastColumn="0" w:noHBand="0" w:noVBand="1"/>
        <w:tblCaption w:val="Table 45a"/>
        <w:tblDescription w:val="Key drivers of economic model – ABPM v HBPM and ABPM v CBPM"/>
      </w:tblPr>
      <w:tblGrid>
        <w:gridCol w:w="4699"/>
        <w:gridCol w:w="1177"/>
        <w:gridCol w:w="1168"/>
        <w:gridCol w:w="1159"/>
        <w:gridCol w:w="813"/>
      </w:tblGrid>
      <w:tr w:rsidR="00D12268" w14:paraId="603BAAD0" w14:textId="77777777" w:rsidTr="00FA43E9">
        <w:trPr>
          <w:cantSplit/>
          <w:tblHeader/>
        </w:trPr>
        <w:tc>
          <w:tcPr>
            <w:tcW w:w="2606" w:type="pct"/>
            <w:vAlign w:val="center"/>
          </w:tcPr>
          <w:p w14:paraId="4F0B432A" w14:textId="7271A3A5" w:rsidR="00D12268" w:rsidRPr="00FB6ECE" w:rsidRDefault="005A58D3" w:rsidP="008B6FC0">
            <w:pPr>
              <w:pStyle w:val="Tabletext1"/>
              <w:ind w:left="22"/>
              <w:rPr>
                <w:b/>
              </w:rPr>
            </w:pPr>
            <w:r>
              <w:rPr>
                <w:b/>
              </w:rPr>
              <w:t>MR-IGRT v CBCT-IGRT</w:t>
            </w:r>
          </w:p>
        </w:tc>
        <w:tc>
          <w:tcPr>
            <w:tcW w:w="653" w:type="pct"/>
            <w:vAlign w:val="center"/>
          </w:tcPr>
          <w:p w14:paraId="7E1C8635" w14:textId="77777777" w:rsidR="00D12268" w:rsidRDefault="00D12268" w:rsidP="008B6FC0">
            <w:pPr>
              <w:pStyle w:val="Tabletext1"/>
              <w:ind w:left="22"/>
              <w:jc w:val="center"/>
              <w:rPr>
                <w:b/>
              </w:rPr>
            </w:pPr>
            <w:r>
              <w:rPr>
                <w:b/>
              </w:rPr>
              <w:t>Intervention ($)</w:t>
            </w:r>
          </w:p>
        </w:tc>
        <w:tc>
          <w:tcPr>
            <w:tcW w:w="648" w:type="pct"/>
            <w:vAlign w:val="center"/>
          </w:tcPr>
          <w:p w14:paraId="2755AB4C" w14:textId="77777777" w:rsidR="00D12268" w:rsidRDefault="00D12268" w:rsidP="008B6FC0">
            <w:pPr>
              <w:pStyle w:val="Tabletext1"/>
              <w:ind w:left="22"/>
              <w:jc w:val="center"/>
              <w:rPr>
                <w:b/>
              </w:rPr>
            </w:pPr>
            <w:r>
              <w:rPr>
                <w:b/>
              </w:rPr>
              <w:t>Comparator ($)</w:t>
            </w:r>
          </w:p>
        </w:tc>
        <w:tc>
          <w:tcPr>
            <w:tcW w:w="643" w:type="pct"/>
            <w:vAlign w:val="center"/>
          </w:tcPr>
          <w:p w14:paraId="1C9948D2" w14:textId="77777777" w:rsidR="00D12268" w:rsidRDefault="00D12268" w:rsidP="008B6FC0">
            <w:pPr>
              <w:pStyle w:val="Tabletext1"/>
              <w:ind w:left="22"/>
              <w:jc w:val="center"/>
              <w:rPr>
                <w:b/>
              </w:rPr>
            </w:pPr>
            <w:r>
              <w:rPr>
                <w:b/>
              </w:rPr>
              <w:t>Incremental cost ($)</w:t>
            </w:r>
          </w:p>
        </w:tc>
        <w:tc>
          <w:tcPr>
            <w:tcW w:w="451" w:type="pct"/>
            <w:vAlign w:val="center"/>
          </w:tcPr>
          <w:p w14:paraId="3F8B5B55" w14:textId="77777777" w:rsidR="00D12268" w:rsidRDefault="00D12268" w:rsidP="008B6FC0">
            <w:pPr>
              <w:pStyle w:val="Tabletext1"/>
              <w:ind w:left="22"/>
              <w:jc w:val="center"/>
              <w:rPr>
                <w:b/>
              </w:rPr>
            </w:pPr>
            <w:r>
              <w:rPr>
                <w:b/>
              </w:rPr>
              <w:t>% change</w:t>
            </w:r>
          </w:p>
        </w:tc>
      </w:tr>
      <w:tr w:rsidR="00FA43E9" w14:paraId="0ECE1899" w14:textId="77777777" w:rsidTr="00FA43E9">
        <w:trPr>
          <w:cantSplit/>
          <w:tblHeader/>
        </w:trPr>
        <w:tc>
          <w:tcPr>
            <w:tcW w:w="2606" w:type="pct"/>
            <w:tcBorders>
              <w:bottom w:val="single" w:sz="4" w:space="0" w:color="auto"/>
            </w:tcBorders>
          </w:tcPr>
          <w:p w14:paraId="72602BE8" w14:textId="38ABD169" w:rsidR="00FA43E9" w:rsidRDefault="00FA43E9" w:rsidP="008B6FC0">
            <w:pPr>
              <w:pStyle w:val="Tabletext1"/>
              <w:ind w:left="22"/>
            </w:pPr>
            <w:r>
              <w:rPr>
                <w:b/>
              </w:rPr>
              <w:t>Base case: MR-IGRT v CBCT-IGRT</w:t>
            </w:r>
          </w:p>
        </w:tc>
        <w:tc>
          <w:tcPr>
            <w:tcW w:w="653" w:type="pct"/>
            <w:tcBorders>
              <w:bottom w:val="single" w:sz="4" w:space="0" w:color="auto"/>
            </w:tcBorders>
            <w:vAlign w:val="center"/>
          </w:tcPr>
          <w:p w14:paraId="6E8157A4" w14:textId="397C002E" w:rsidR="00FA43E9" w:rsidRDefault="00FA43E9" w:rsidP="008B6FC0">
            <w:pPr>
              <w:pStyle w:val="Tabletext1"/>
              <w:ind w:left="22"/>
              <w:jc w:val="center"/>
            </w:pPr>
            <w:r>
              <w:t>$6,056.67</w:t>
            </w:r>
          </w:p>
        </w:tc>
        <w:tc>
          <w:tcPr>
            <w:tcW w:w="648" w:type="pct"/>
            <w:tcBorders>
              <w:bottom w:val="single" w:sz="4" w:space="0" w:color="auto"/>
            </w:tcBorders>
            <w:vAlign w:val="center"/>
          </w:tcPr>
          <w:p w14:paraId="730C3239" w14:textId="42EF3945" w:rsidR="00FA43E9" w:rsidRDefault="00FA43E9" w:rsidP="008B6FC0">
            <w:pPr>
              <w:pStyle w:val="Tabletext1"/>
              <w:ind w:left="22"/>
              <w:jc w:val="center"/>
            </w:pPr>
            <w:r>
              <w:t>$4,126.29</w:t>
            </w:r>
          </w:p>
        </w:tc>
        <w:tc>
          <w:tcPr>
            <w:tcW w:w="643" w:type="pct"/>
            <w:tcBorders>
              <w:bottom w:val="single" w:sz="4" w:space="0" w:color="auto"/>
            </w:tcBorders>
            <w:vAlign w:val="center"/>
          </w:tcPr>
          <w:p w14:paraId="35EFBA74" w14:textId="7D5A07D9" w:rsidR="00FA43E9" w:rsidRDefault="00FA43E9" w:rsidP="008B6FC0">
            <w:pPr>
              <w:pStyle w:val="Tabletext1"/>
              <w:ind w:left="22"/>
              <w:jc w:val="center"/>
            </w:pPr>
            <w:r>
              <w:t>$1,930</w:t>
            </w:r>
          </w:p>
        </w:tc>
        <w:tc>
          <w:tcPr>
            <w:tcW w:w="451" w:type="pct"/>
            <w:tcBorders>
              <w:bottom w:val="single" w:sz="4" w:space="0" w:color="auto"/>
            </w:tcBorders>
            <w:vAlign w:val="center"/>
          </w:tcPr>
          <w:p w14:paraId="48D0D6D2" w14:textId="01EC112A" w:rsidR="00FA43E9" w:rsidRPr="00AF549C" w:rsidRDefault="00FA43E9" w:rsidP="008B6FC0">
            <w:pPr>
              <w:pStyle w:val="Tabletext1"/>
              <w:ind w:left="22"/>
              <w:jc w:val="center"/>
            </w:pPr>
            <w:r>
              <w:t>-</w:t>
            </w:r>
          </w:p>
        </w:tc>
      </w:tr>
      <w:tr w:rsidR="00D12268" w14:paraId="740D61AB" w14:textId="77777777" w:rsidTr="00FA43E9">
        <w:trPr>
          <w:cantSplit/>
          <w:tblHeader/>
        </w:trPr>
        <w:tc>
          <w:tcPr>
            <w:tcW w:w="2606" w:type="pct"/>
            <w:tcBorders>
              <w:bottom w:val="single" w:sz="4" w:space="0" w:color="auto"/>
            </w:tcBorders>
          </w:tcPr>
          <w:p w14:paraId="6C14CCB8" w14:textId="77777777" w:rsidR="00D12268" w:rsidRPr="00FB6ECE" w:rsidRDefault="00D12268" w:rsidP="008B6FC0">
            <w:pPr>
              <w:pStyle w:val="Tabletext1"/>
              <w:ind w:left="22"/>
              <w:rPr>
                <w:b/>
              </w:rPr>
            </w:pPr>
            <w:r>
              <w:t>Cost of fiducial marker placement removed from CBCT-IGRT</w:t>
            </w:r>
          </w:p>
        </w:tc>
        <w:tc>
          <w:tcPr>
            <w:tcW w:w="653" w:type="pct"/>
            <w:tcBorders>
              <w:bottom w:val="single" w:sz="4" w:space="0" w:color="auto"/>
            </w:tcBorders>
            <w:vAlign w:val="center"/>
          </w:tcPr>
          <w:p w14:paraId="74FEA2E8" w14:textId="77777777" w:rsidR="00D12268" w:rsidRDefault="00D12268" w:rsidP="008B6FC0">
            <w:pPr>
              <w:pStyle w:val="Tabletext1"/>
              <w:ind w:left="22"/>
              <w:jc w:val="center"/>
              <w:rPr>
                <w:b/>
              </w:rPr>
            </w:pPr>
            <w:r>
              <w:t>$6,056</w:t>
            </w:r>
          </w:p>
        </w:tc>
        <w:tc>
          <w:tcPr>
            <w:tcW w:w="648" w:type="pct"/>
            <w:tcBorders>
              <w:bottom w:val="single" w:sz="4" w:space="0" w:color="auto"/>
            </w:tcBorders>
            <w:vAlign w:val="center"/>
          </w:tcPr>
          <w:p w14:paraId="67BC860E" w14:textId="77777777" w:rsidR="00D12268" w:rsidRDefault="00D12268" w:rsidP="008B6FC0">
            <w:pPr>
              <w:pStyle w:val="Tabletext1"/>
              <w:ind w:left="22"/>
              <w:jc w:val="center"/>
              <w:rPr>
                <w:b/>
              </w:rPr>
            </w:pPr>
            <w:r>
              <w:t>$3,916</w:t>
            </w:r>
          </w:p>
        </w:tc>
        <w:tc>
          <w:tcPr>
            <w:tcW w:w="643" w:type="pct"/>
            <w:tcBorders>
              <w:bottom w:val="single" w:sz="4" w:space="0" w:color="auto"/>
            </w:tcBorders>
            <w:vAlign w:val="center"/>
          </w:tcPr>
          <w:p w14:paraId="46CA8FBF" w14:textId="77777777" w:rsidR="00D12268" w:rsidRDefault="00D12268" w:rsidP="008B6FC0">
            <w:pPr>
              <w:pStyle w:val="Tabletext1"/>
              <w:ind w:left="22"/>
              <w:jc w:val="center"/>
              <w:rPr>
                <w:b/>
              </w:rPr>
            </w:pPr>
            <w:r>
              <w:t>$2,104</w:t>
            </w:r>
          </w:p>
        </w:tc>
        <w:tc>
          <w:tcPr>
            <w:tcW w:w="451" w:type="pct"/>
            <w:tcBorders>
              <w:bottom w:val="single" w:sz="4" w:space="0" w:color="auto"/>
            </w:tcBorders>
            <w:vAlign w:val="center"/>
          </w:tcPr>
          <w:p w14:paraId="750FA3D7" w14:textId="77777777" w:rsidR="00D12268" w:rsidRPr="00AF549C" w:rsidRDefault="00D12268" w:rsidP="008B6FC0">
            <w:pPr>
              <w:pStyle w:val="Tabletext1"/>
              <w:ind w:left="22"/>
              <w:jc w:val="center"/>
            </w:pPr>
            <w:r w:rsidRPr="00AF549C">
              <w:t>11%</w:t>
            </w:r>
          </w:p>
        </w:tc>
      </w:tr>
    </w:tbl>
    <w:p w14:paraId="0218C0A0" w14:textId="77777777" w:rsidR="00A56EE2" w:rsidRPr="00183E4D" w:rsidRDefault="00A56EE2" w:rsidP="00A56EE2">
      <w:pPr>
        <w:pStyle w:val="Heading1"/>
        <w:jc w:val="both"/>
      </w:pPr>
      <w:bookmarkStart w:id="592" w:name="_Toc59018805"/>
      <w:bookmarkStart w:id="593" w:name="_Toc59020349"/>
      <w:bookmarkStart w:id="594" w:name="_Toc59439571"/>
      <w:bookmarkStart w:id="595" w:name="_Toc89857843"/>
      <w:r w:rsidRPr="00183E4D">
        <w:lastRenderedPageBreak/>
        <w:t xml:space="preserve">Section </w:t>
      </w:r>
      <w:r>
        <w:t>E</w:t>
      </w:r>
      <w:r w:rsidRPr="00183E4D">
        <w:tab/>
      </w:r>
      <w:r>
        <w:t>Financial Implications</w:t>
      </w:r>
      <w:bookmarkEnd w:id="592"/>
      <w:bookmarkEnd w:id="593"/>
      <w:bookmarkEnd w:id="594"/>
      <w:bookmarkEnd w:id="595"/>
    </w:p>
    <w:p w14:paraId="0AA27A0B" w14:textId="77777777" w:rsidR="00A56EE2" w:rsidRDefault="00A56EE2" w:rsidP="006D66DC">
      <w:pPr>
        <w:pStyle w:val="Heading2"/>
        <w:numPr>
          <w:ilvl w:val="4"/>
          <w:numId w:val="10"/>
        </w:numPr>
      </w:pPr>
      <w:bookmarkStart w:id="596" w:name="_Toc214091269"/>
      <w:bookmarkStart w:id="597" w:name="_Toc341796089"/>
      <w:bookmarkStart w:id="598" w:name="_Toc59018806"/>
      <w:bookmarkStart w:id="599" w:name="_Toc59020350"/>
      <w:bookmarkStart w:id="600" w:name="_Toc59439572"/>
      <w:bookmarkStart w:id="601" w:name="_Toc89857844"/>
      <w:r>
        <w:t>Justification of the Selection of Sources of Data</w:t>
      </w:r>
      <w:bookmarkEnd w:id="596"/>
      <w:bookmarkEnd w:id="597"/>
      <w:bookmarkEnd w:id="598"/>
      <w:bookmarkEnd w:id="599"/>
      <w:bookmarkEnd w:id="600"/>
      <w:bookmarkEnd w:id="601"/>
    </w:p>
    <w:p w14:paraId="61138416" w14:textId="77777777" w:rsidR="00981BFE" w:rsidRDefault="00981BFE" w:rsidP="00981BFE">
      <w:pPr>
        <w:jc w:val="both"/>
      </w:pPr>
      <w:r>
        <w:t>The financial implications analysis considers the estimated financial impact to the MBS of MR-IGRT use of MBS items 15275, 15555 and 15565 for MR-IGRT and an estimation of per patient treatment related adverse event (TRAE) costs for patients considered likely to initially use MR-IGRT.</w:t>
      </w:r>
    </w:p>
    <w:p w14:paraId="44BF243F" w14:textId="49368234" w:rsidR="00981BFE" w:rsidRDefault="00981BFE" w:rsidP="00981BFE">
      <w:pPr>
        <w:jc w:val="both"/>
      </w:pPr>
      <w:r>
        <w:t xml:space="preserve">Given the relatively new and evolving nature of MR-IGRT technology, analysis draws on </w:t>
      </w:r>
      <w:r w:rsidR="00E67A25">
        <w:t>Applicant</w:t>
      </w:r>
      <w:r>
        <w:t>-provided information, clinical advice, evidence presented in this DCAR, pragmatic literature search and MBS historical utilisation data.  Given the MR-linac is in early stages of use in Australia, analysis is subject to uncertainty, with ultimate resulting outcomes dependent on a number of interdependent factors which are currently uncertain.</w:t>
      </w:r>
    </w:p>
    <w:p w14:paraId="73DE6012" w14:textId="2F79CE6F" w:rsidR="00981BFE" w:rsidRDefault="00981BFE" w:rsidP="00981BFE">
      <w:pPr>
        <w:jc w:val="both"/>
      </w:pPr>
      <w:r>
        <w:t xml:space="preserve">As per Section </w:t>
      </w:r>
      <w:r w:rsidR="00C71F0C">
        <w:fldChar w:fldCharType="begin"/>
      </w:r>
      <w:r w:rsidR="00C71F0C">
        <w:instrText xml:space="preserve"> REF _Ref59013182 \r \h </w:instrText>
      </w:r>
      <w:r w:rsidR="00C71F0C">
        <w:fldChar w:fldCharType="separate"/>
      </w:r>
      <w:r w:rsidR="00451350">
        <w:t>D.4</w:t>
      </w:r>
      <w:r w:rsidR="00C71F0C">
        <w:fldChar w:fldCharType="end"/>
      </w:r>
      <w:r>
        <w:t xml:space="preserve">, TRAE analysis focuses on prostate cancer treatment only.  </w:t>
      </w:r>
      <w:r w:rsidR="00CB0B69">
        <w:t>Analysis presented is</w:t>
      </w:r>
      <w:r>
        <w:t xml:space="preserve"> not to be considered reflective of all cancer indications for which MR-IGRT may be used</w:t>
      </w:r>
      <w:r w:rsidR="00CB0B69">
        <w:t xml:space="preserve"> or all current CBCT-IGRT treatment practice</w:t>
      </w:r>
      <w:r>
        <w:t xml:space="preserve">.  However, it serves as a useful estimate of </w:t>
      </w:r>
      <w:r w:rsidR="00F762B0">
        <w:t xml:space="preserve">per patient </w:t>
      </w:r>
      <w:r>
        <w:t>adverse-event related costs, given the prostate cancer indication has been one for which MR-IGRT has been most commonly studied and used and is expected by the Applicant to reflect a significant portion of initial utilisation upon any MBS listing.</w:t>
      </w:r>
    </w:p>
    <w:p w14:paraId="351894EA" w14:textId="389F8150" w:rsidR="00981BFE" w:rsidRDefault="00981BFE" w:rsidP="00981BFE">
      <w:pPr>
        <w:jc w:val="both"/>
      </w:pPr>
      <w:r>
        <w:t>It is acknowledged there are currently uncertainties regarding, or a lack of available information for, certain inputs and assumptions.  This reflects the relatively ‘new’ nature of the technology, the limited current use of MRI-linac in Australia and uncertainty regarding the scale of future deployment and its application to specific cancer indications.  Subsequent analysis in Section E acknowledges these uncertainties</w:t>
      </w:r>
      <w:r w:rsidR="00664CF5">
        <w:t xml:space="preserve"> and</w:t>
      </w:r>
      <w:r>
        <w:t xml:space="preserve"> conside</w:t>
      </w:r>
      <w:r w:rsidR="00664CF5">
        <w:t xml:space="preserve">rs </w:t>
      </w:r>
      <w:r>
        <w:t>the</w:t>
      </w:r>
      <w:r w:rsidR="00664CF5">
        <w:t xml:space="preserve"> impact of these in sensitivity analyses in Section </w:t>
      </w:r>
      <w:r w:rsidR="00664CF5">
        <w:fldChar w:fldCharType="begin"/>
      </w:r>
      <w:r w:rsidR="00664CF5">
        <w:instrText xml:space="preserve"> REF _Ref59013252 \r \h </w:instrText>
      </w:r>
      <w:r w:rsidR="00664CF5">
        <w:fldChar w:fldCharType="separate"/>
      </w:r>
      <w:r w:rsidR="00451350">
        <w:t>E.6</w:t>
      </w:r>
      <w:r w:rsidR="00664CF5">
        <w:fldChar w:fldCharType="end"/>
      </w:r>
      <w:r w:rsidR="00664CF5">
        <w:t>.</w:t>
      </w:r>
    </w:p>
    <w:p w14:paraId="0B15B0F3" w14:textId="77777777" w:rsidR="00981BFE" w:rsidRDefault="00981BFE" w:rsidP="00981BFE">
      <w:pPr>
        <w:pStyle w:val="Heading3"/>
      </w:pPr>
      <w:bookmarkStart w:id="602" w:name="_Toc59018807"/>
      <w:bookmarkStart w:id="603" w:name="_Toc59020351"/>
      <w:bookmarkStart w:id="604" w:name="_Toc59439573"/>
      <w:bookmarkStart w:id="605" w:name="_Toc89857845"/>
      <w:r>
        <w:t>Eligible patient population</w:t>
      </w:r>
      <w:bookmarkEnd w:id="602"/>
      <w:bookmarkEnd w:id="603"/>
      <w:bookmarkEnd w:id="604"/>
      <w:bookmarkEnd w:id="605"/>
    </w:p>
    <w:p w14:paraId="5A3208E2" w14:textId="60FA97AE" w:rsidR="00981BFE" w:rsidRDefault="00981BFE" w:rsidP="00981BFE">
      <w:pPr>
        <w:jc w:val="both"/>
      </w:pPr>
      <w:r>
        <w:t>A pragmatic ‘mixed methods’ approach was used to estimate the eligible patient population.  Three separate calculations or sources were used:</w:t>
      </w:r>
    </w:p>
    <w:p w14:paraId="4C8B9F31" w14:textId="650A12C0" w:rsidR="00981BFE" w:rsidRDefault="00981BFE" w:rsidP="00981BFE">
      <w:pPr>
        <w:pStyle w:val="ListParagraph"/>
        <w:numPr>
          <w:ilvl w:val="0"/>
          <w:numId w:val="29"/>
        </w:numPr>
        <w:jc w:val="both"/>
      </w:pPr>
      <w:r>
        <w:t>The Applicant’s literature-based estimate of the proportion of all cancer patients likely to use EBRT at least once during their treatment (48%, Barton et. al. 2014) was applied against the estimated overall Australian cancer incidence projections (145,000; AIHW, Cancer Australia).  For the individual cancers where the MRI-linac use has been indicated as likely or possible, including prostate cancer, incidence projections based on AIHW and Cancer Australia data were applied against ABS-sourced population projections.</w:t>
      </w:r>
    </w:p>
    <w:p w14:paraId="2366F385" w14:textId="77777777" w:rsidR="00981BFE" w:rsidRDefault="00981BFE" w:rsidP="00981BFE">
      <w:pPr>
        <w:pStyle w:val="ListParagraph"/>
        <w:numPr>
          <w:ilvl w:val="0"/>
          <w:numId w:val="29"/>
        </w:numPr>
        <w:jc w:val="both"/>
      </w:pPr>
      <w:r>
        <w:t xml:space="preserve">AIHW data on historical trends in radiation therapy use in Australia and MBS utilisation data for relevant items 15275, 15555 and 15565 since their January 2016 commencement.  MBS </w:t>
      </w:r>
      <w:r>
        <w:lastRenderedPageBreak/>
        <w:t>utilisation data for other forms of radiation therapy were also analysed to assess the overall size of the radiation therapy population which may use MR-IGRT.</w:t>
      </w:r>
    </w:p>
    <w:p w14:paraId="3F98EB31" w14:textId="4E7E49A8" w:rsidR="00981BFE" w:rsidRDefault="00981BFE" w:rsidP="00981BFE">
      <w:pPr>
        <w:pStyle w:val="ListParagraph"/>
        <w:numPr>
          <w:ilvl w:val="0"/>
          <w:numId w:val="29"/>
        </w:numPr>
        <w:jc w:val="both"/>
      </w:pPr>
      <w:r>
        <w:t>Utilisation data and information on MRI-linac use by indication to date in Australia (provided by the Applicant). To date in Australia, two MRI-linac facilities are in operation: the Townsville Cancer Centre of the Townsville University Hospital, Queensland, and GenesisCare St Vincent’s Hospital, Darlinghurst,</w:t>
      </w:r>
      <w:r w:rsidRPr="00022B59">
        <w:t xml:space="preserve"> </w:t>
      </w:r>
      <w:r>
        <w:t>New South Wales, both using the Elekta Unity technology. These facilities have obtained interim approval to use MBS item 15275 for MR-IGRT.  A third Elekta Unity MR-linac is supposed to start operating in Victoria in late 2020 or early 2021. All three facilities have obtained interim approval to use MBS item 15275 for MR-IGRT.</w:t>
      </w:r>
    </w:p>
    <w:p w14:paraId="68838147" w14:textId="77777777" w:rsidR="00981BFE" w:rsidRDefault="00981BFE" w:rsidP="00981BFE">
      <w:pPr>
        <w:pStyle w:val="Heading3"/>
      </w:pPr>
      <w:bookmarkStart w:id="606" w:name="_Toc59018808"/>
      <w:bookmarkStart w:id="607" w:name="_Toc59020352"/>
      <w:bookmarkStart w:id="608" w:name="_Toc59439574"/>
      <w:bookmarkStart w:id="609" w:name="_Toc89857846"/>
      <w:r>
        <w:t>Capacity</w:t>
      </w:r>
      <w:bookmarkEnd w:id="606"/>
      <w:bookmarkEnd w:id="607"/>
      <w:bookmarkEnd w:id="608"/>
      <w:bookmarkEnd w:id="609"/>
    </w:p>
    <w:p w14:paraId="18036FC4" w14:textId="77777777" w:rsidR="00981BFE" w:rsidRDefault="00981BFE" w:rsidP="00981BFE">
      <w:pPr>
        <w:jc w:val="both"/>
      </w:pPr>
      <w:r>
        <w:t>Balanced against the potential patient population is consideration of capacity in Australia to meet potential patient demand.  This reflects patient treatment capacity per MR-linac and the number of MR-linacs deployed.  Ultimate capacity of MR-linac treatment relative to CBCT-IGRT reflects:</w:t>
      </w:r>
    </w:p>
    <w:p w14:paraId="56E3660D" w14:textId="77777777" w:rsidR="00981BFE" w:rsidRDefault="00981BFE" w:rsidP="00981BFE">
      <w:pPr>
        <w:pStyle w:val="ListParagraph"/>
        <w:numPr>
          <w:ilvl w:val="0"/>
          <w:numId w:val="30"/>
        </w:numPr>
        <w:jc w:val="both"/>
      </w:pPr>
      <w:r>
        <w:t>Procedural steps of the respective technologies.</w:t>
      </w:r>
    </w:p>
    <w:p w14:paraId="6CCEF53C" w14:textId="77777777" w:rsidR="00981BFE" w:rsidRDefault="00981BFE" w:rsidP="00981BFE">
      <w:pPr>
        <w:pStyle w:val="ListParagraph"/>
        <w:numPr>
          <w:ilvl w:val="0"/>
          <w:numId w:val="30"/>
        </w:numPr>
        <w:jc w:val="both"/>
      </w:pPr>
      <w:r>
        <w:t>Associated health care resource utilisation requirements, including required treatment facilities and services and clinical specialists.</w:t>
      </w:r>
    </w:p>
    <w:p w14:paraId="5AA2E9F1" w14:textId="19F5F24F" w:rsidR="00981BFE" w:rsidRDefault="00981BFE" w:rsidP="00981BFE">
      <w:pPr>
        <w:pStyle w:val="ListParagraph"/>
        <w:numPr>
          <w:ilvl w:val="0"/>
          <w:numId w:val="30"/>
        </w:numPr>
        <w:jc w:val="both"/>
      </w:pPr>
      <w:r>
        <w:t>Treatment course duration, reflecting both individual treatment fraction duration and the required number of fractions.</w:t>
      </w:r>
    </w:p>
    <w:p w14:paraId="36F5B92A" w14:textId="77777777" w:rsidR="00981BFE" w:rsidRDefault="00981BFE" w:rsidP="00981BFE">
      <w:pPr>
        <w:pStyle w:val="ListParagraph"/>
        <w:numPr>
          <w:ilvl w:val="0"/>
          <w:numId w:val="30"/>
        </w:numPr>
        <w:jc w:val="both"/>
      </w:pPr>
      <w:r>
        <w:t>Overall health care system capacity (including the availability and geographical location of the respective devices) in Australia.</w:t>
      </w:r>
    </w:p>
    <w:p w14:paraId="0BCD4858" w14:textId="5DDCA02D" w:rsidR="00981BFE" w:rsidRDefault="00981BFE" w:rsidP="00981BFE">
      <w:pPr>
        <w:jc w:val="both"/>
      </w:pPr>
      <w:r>
        <w:t>The Ratified PICO, information provided by the Applicant and clinical advice were used to consider the respective procedures, associated health care resource utilisation requirements and assumptions regarding treatment course specifications (including course duration and fraction requirements).</w:t>
      </w:r>
    </w:p>
    <w:p w14:paraId="5D5D0167" w14:textId="4E2D1A55" w:rsidR="00981BFE" w:rsidRDefault="00981BFE" w:rsidP="00981BFE">
      <w:pPr>
        <w:jc w:val="both"/>
      </w:pPr>
      <w:r>
        <w:t xml:space="preserve">The total number of treatment courses able to be delivered will be a function of the number of MR-linacs deployed in Australia.  The Applicant provided assumptions about the intended projected MRI-linac facility rollout pathway for the five-year analysis period.  </w:t>
      </w:r>
      <w:r w:rsidR="004F105A">
        <w:t>C</w:t>
      </w:r>
      <w:r>
        <w:t>linical advice on the Applicant’s proposed rollout pathway, as well as that of PASC, was also considered.</w:t>
      </w:r>
    </w:p>
    <w:p w14:paraId="540BB76A" w14:textId="77777777" w:rsidR="00981BFE" w:rsidRDefault="00981BFE" w:rsidP="00981BFE">
      <w:pPr>
        <w:pStyle w:val="Heading3"/>
      </w:pPr>
      <w:bookmarkStart w:id="610" w:name="_Toc59018809"/>
      <w:bookmarkStart w:id="611" w:name="_Toc59020353"/>
      <w:bookmarkStart w:id="612" w:name="_Toc59439575"/>
      <w:bookmarkStart w:id="613" w:name="_Toc89857847"/>
      <w:r>
        <w:t>Uptake</w:t>
      </w:r>
      <w:bookmarkEnd w:id="610"/>
      <w:bookmarkEnd w:id="611"/>
      <w:bookmarkEnd w:id="612"/>
      <w:bookmarkEnd w:id="613"/>
    </w:p>
    <w:p w14:paraId="60884608" w14:textId="18E87CCD" w:rsidR="00981BFE" w:rsidRDefault="00981BFE" w:rsidP="00981BFE">
      <w:pPr>
        <w:jc w:val="both"/>
      </w:pPr>
      <w:bookmarkStart w:id="614" w:name="_Hlk52379178"/>
      <w:r>
        <w:t xml:space="preserve">As per Section </w:t>
      </w:r>
      <w:r w:rsidR="00664CF5">
        <w:fldChar w:fldCharType="begin"/>
      </w:r>
      <w:r w:rsidR="00664CF5">
        <w:instrText xml:space="preserve"> REF _Ref59013268 \r \h </w:instrText>
      </w:r>
      <w:r w:rsidR="00664CF5">
        <w:fldChar w:fldCharType="separate"/>
      </w:r>
      <w:r w:rsidR="00451350">
        <w:t>A.2</w:t>
      </w:r>
      <w:r w:rsidR="00664CF5">
        <w:fldChar w:fldCharType="end"/>
      </w:r>
      <w:r>
        <w:t>, MR-IGRT is expected to substitute current practice (CBCT-IGRT).  The extent of this is difficult to estimate because MR-IGRT is a relatively novel technique.  The Applicant and clinical advice stated uncertainty regarding potential substitution rates.</w:t>
      </w:r>
    </w:p>
    <w:p w14:paraId="66F389A7" w14:textId="77777777" w:rsidR="00981BFE" w:rsidRDefault="00981BFE" w:rsidP="00981BFE">
      <w:pPr>
        <w:jc w:val="both"/>
      </w:pPr>
      <w:r>
        <w:lastRenderedPageBreak/>
        <w:t>Uptake of MR-IGRT will depend on factors including access to the service, resources, clinical indications targeted, and operational efficiency and fractionation achieved in clinical practice.  The Applicant provided estimates of likely patient throughput per MRI-linac both initially and over time, as a function of expected average fractions per patient treatment course, based on its own data, as well as that for the CBCT-linac, based on the Radiation Oncology Health Program Grant (ROHPG) scheme guidelines.</w:t>
      </w:r>
    </w:p>
    <w:p w14:paraId="27F4C953" w14:textId="77777777" w:rsidR="00981BFE" w:rsidRDefault="00981BFE" w:rsidP="00981BFE">
      <w:pPr>
        <w:jc w:val="both"/>
      </w:pPr>
      <w:r>
        <w:t>Applicant and clinical advice indicated the likely cancer indications MR-IGRT is currently used for and likely to be used for upon any MBS listing.  In particular, advice noted indications where significant reductions in treatment course duration, as measured by fractions per course, had been achieved relative to other potential indications.</w:t>
      </w:r>
    </w:p>
    <w:p w14:paraId="74DC4014" w14:textId="77777777" w:rsidR="00981BFE" w:rsidRDefault="00981BFE" w:rsidP="00981BFE">
      <w:pPr>
        <w:pStyle w:val="Heading3"/>
      </w:pPr>
      <w:bookmarkStart w:id="615" w:name="_Toc59018810"/>
      <w:bookmarkStart w:id="616" w:name="_Toc59020354"/>
      <w:bookmarkStart w:id="617" w:name="_Toc59439576"/>
      <w:bookmarkStart w:id="618" w:name="_Toc89857848"/>
      <w:r>
        <w:t>Cost inputs</w:t>
      </w:r>
      <w:bookmarkEnd w:id="615"/>
      <w:bookmarkEnd w:id="616"/>
      <w:bookmarkEnd w:id="617"/>
      <w:bookmarkEnd w:id="618"/>
    </w:p>
    <w:p w14:paraId="409331AE" w14:textId="7B659A59" w:rsidR="00981BFE" w:rsidRDefault="00981BFE" w:rsidP="00981BFE">
      <w:pPr>
        <w:jc w:val="both"/>
      </w:pPr>
      <w:r>
        <w:t xml:space="preserve">Cost inputs were sourced from the MBS for relevant items 15275, 15555 and 15565 and from the PBS to determine the cost impact of the respective toxicities of MR-IGRT and CBCT.  </w:t>
      </w:r>
      <w:r w:rsidR="009D13AE">
        <w:t>Fiducial</w:t>
      </w:r>
      <w:r w:rsidR="006E0C22">
        <w:t xml:space="preserve"> marking costs of CBCT-IGRT were </w:t>
      </w:r>
      <w:r w:rsidR="00805B91">
        <w:t>as per Section</w:t>
      </w:r>
      <w:r w:rsidR="006E0C22">
        <w:t xml:space="preserve"> </w:t>
      </w:r>
      <w:r w:rsidR="00805B91">
        <w:fldChar w:fldCharType="begin"/>
      </w:r>
      <w:r w:rsidR="00805B91">
        <w:instrText xml:space="preserve"> REF _Ref59021263 \r \h </w:instrText>
      </w:r>
      <w:r w:rsidR="00805B91">
        <w:fldChar w:fldCharType="separate"/>
      </w:r>
      <w:r w:rsidR="00451350">
        <w:t>D.4</w:t>
      </w:r>
      <w:r w:rsidR="00805B91">
        <w:fldChar w:fldCharType="end"/>
      </w:r>
      <w:r w:rsidR="00805B91">
        <w:t xml:space="preserve">, sourced from relevant MBS items and one PBS item.  </w:t>
      </w:r>
      <w:r>
        <w:t xml:space="preserve">TRAE costs and associated health care resource utilisation assumptions reflect those from Section </w:t>
      </w:r>
      <w:r w:rsidR="00664CF5">
        <w:fldChar w:fldCharType="begin"/>
      </w:r>
      <w:r w:rsidR="00664CF5">
        <w:instrText xml:space="preserve"> REF _Ref59013289 \r \h </w:instrText>
      </w:r>
      <w:r w:rsidR="00664CF5">
        <w:fldChar w:fldCharType="separate"/>
      </w:r>
      <w:r w:rsidR="00451350">
        <w:t>D.4</w:t>
      </w:r>
      <w:r w:rsidR="00664CF5">
        <w:fldChar w:fldCharType="end"/>
      </w:r>
      <w:r>
        <w:t>.</w:t>
      </w:r>
    </w:p>
    <w:p w14:paraId="3CB86971" w14:textId="07FDB2B1" w:rsidR="00A56EE2" w:rsidRPr="00A80039" w:rsidRDefault="00A56EE2">
      <w:pPr>
        <w:pStyle w:val="Heading2"/>
        <w:numPr>
          <w:ilvl w:val="4"/>
          <w:numId w:val="10"/>
        </w:numPr>
      </w:pPr>
      <w:bookmarkStart w:id="619" w:name="_Toc214091270"/>
      <w:bookmarkStart w:id="620" w:name="_Toc341796094"/>
      <w:bookmarkStart w:id="621" w:name="_Ref59014023"/>
      <w:bookmarkStart w:id="622" w:name="_Toc59018811"/>
      <w:bookmarkStart w:id="623" w:name="_Toc59020355"/>
      <w:bookmarkStart w:id="624" w:name="_Toc59439577"/>
      <w:bookmarkStart w:id="625" w:name="_Toc89857849"/>
      <w:bookmarkEnd w:id="614"/>
      <w:r>
        <w:t xml:space="preserve">Use and Costs of </w:t>
      </w:r>
      <w:bookmarkEnd w:id="619"/>
      <w:bookmarkEnd w:id="620"/>
      <w:r w:rsidR="00F741C5">
        <w:t>MR-IGRT</w:t>
      </w:r>
      <w:bookmarkEnd w:id="621"/>
      <w:bookmarkEnd w:id="622"/>
      <w:bookmarkEnd w:id="623"/>
      <w:bookmarkEnd w:id="624"/>
      <w:bookmarkEnd w:id="625"/>
    </w:p>
    <w:p w14:paraId="407E676E" w14:textId="77777777" w:rsidR="00E360E5" w:rsidRDefault="00E360E5" w:rsidP="00E360E5">
      <w:pPr>
        <w:pStyle w:val="Heading3"/>
      </w:pPr>
      <w:bookmarkStart w:id="626" w:name="_Toc59018812"/>
      <w:bookmarkStart w:id="627" w:name="_Toc59020356"/>
      <w:bookmarkStart w:id="628" w:name="_Toc59439578"/>
      <w:bookmarkStart w:id="629" w:name="_Toc89857850"/>
      <w:r>
        <w:t>Eligible population</w:t>
      </w:r>
      <w:bookmarkEnd w:id="626"/>
      <w:bookmarkEnd w:id="627"/>
      <w:bookmarkEnd w:id="628"/>
      <w:bookmarkEnd w:id="629"/>
    </w:p>
    <w:p w14:paraId="4C52AAFF" w14:textId="77777777" w:rsidR="00E360E5" w:rsidRDefault="00E360E5" w:rsidP="00E360E5">
      <w:pPr>
        <w:pStyle w:val="Heading4"/>
      </w:pPr>
      <w:r>
        <w:t>Cancer incidence: overall and by indication</w:t>
      </w:r>
    </w:p>
    <w:p w14:paraId="1A76CFC8" w14:textId="77777777" w:rsidR="00E360E5" w:rsidRDefault="00E360E5" w:rsidP="00E360E5">
      <w:pPr>
        <w:jc w:val="both"/>
      </w:pPr>
      <w:r>
        <w:t>The</w:t>
      </w:r>
      <w:r w:rsidRPr="00BA03F3">
        <w:t xml:space="preserve"> AIHW estimates approximately 145,000 new cancer cases</w:t>
      </w:r>
      <w:r>
        <w:t xml:space="preserve"> were diagnosed in Australia in 2020 (AIHW, 2020a).</w:t>
      </w:r>
    </w:p>
    <w:p w14:paraId="5B0DE8A6" w14:textId="0BB43891" w:rsidR="00E360E5" w:rsidRDefault="00E360E5" w:rsidP="00E360E5">
      <w:pPr>
        <w:jc w:val="both"/>
      </w:pPr>
      <w:r>
        <w:t>The Applicant stated initial clinical cases treated in Australia</w:t>
      </w:r>
      <w:r w:rsidRPr="00025773">
        <w:t xml:space="preserve"> have included </w:t>
      </w:r>
      <w:r>
        <w:t>o</w:t>
      </w:r>
      <w:r w:rsidRPr="00025773">
        <w:t>ligometastatic</w:t>
      </w:r>
      <w:r>
        <w:t xml:space="preserve"> (original sources of the cancer not specified)</w:t>
      </w:r>
      <w:r w:rsidRPr="00025773">
        <w:t xml:space="preserve">, </w:t>
      </w:r>
      <w:r>
        <w:t>p</w:t>
      </w:r>
      <w:r w:rsidRPr="00025773">
        <w:t xml:space="preserve">rostate, </w:t>
      </w:r>
      <w:r>
        <w:t>b</w:t>
      </w:r>
      <w:r w:rsidRPr="00025773">
        <w:t xml:space="preserve">ladder, </w:t>
      </w:r>
      <w:r>
        <w:t>p</w:t>
      </w:r>
      <w:r w:rsidRPr="00025773">
        <w:t xml:space="preserve">ancreas, and </w:t>
      </w:r>
      <w:r>
        <w:t>s</w:t>
      </w:r>
      <w:r w:rsidRPr="00025773">
        <w:t>pin</w:t>
      </w:r>
      <w:r>
        <w:t xml:space="preserve">al indications, with initial use of MR-linac </w:t>
      </w:r>
      <w:r w:rsidR="002F6E88">
        <w:t>upon any MBS listing</w:t>
      </w:r>
      <w:r>
        <w:t xml:space="preserve"> expected to focus on cancers of the brain, breast, cervix, bone, oesophagus, lung, oropharynx, pancreas, prostate, oligometastatic sites, liver, bladder, and rectum.</w:t>
      </w:r>
    </w:p>
    <w:p w14:paraId="3FA2FC99" w14:textId="77777777" w:rsidR="00E360E5" w:rsidRDefault="00E360E5" w:rsidP="00E360E5">
      <w:pPr>
        <w:jc w:val="both"/>
      </w:pPr>
      <w:r>
        <w:t>Historical incidence of these cancers between 1982 and 2019 (in some instances up to 2015) was sourced from Cancer Australia (2019) and the AIHW (2020).  The simple linear average rate of historical growth in overall incidence for each cancer was generally (examples of exceptions include prostate cancer, which has seen a marked decline in incident cases since 2004) applied against ABS population projection estimates from series 3222.0 (ABS, 2018) to determine forecast cancer incidence by indication.</w:t>
      </w:r>
    </w:p>
    <w:p w14:paraId="6AC160AE" w14:textId="54102D1F" w:rsidR="00E360E5" w:rsidRPr="00BA03F3" w:rsidRDefault="000F5A57" w:rsidP="00E360E5">
      <w:pPr>
        <w:jc w:val="both"/>
      </w:pPr>
      <w:r>
        <w:t>The p</w:t>
      </w:r>
      <w:r w:rsidR="00E360E5">
        <w:t>roject</w:t>
      </w:r>
      <w:r>
        <w:t>ed</w:t>
      </w:r>
      <w:r w:rsidR="00E360E5">
        <w:t xml:space="preserve"> incidence of these cancers in Australia between 2021 and 2025 is summarised in </w:t>
      </w:r>
      <w:r w:rsidR="00E360E5">
        <w:fldChar w:fldCharType="begin"/>
      </w:r>
      <w:r w:rsidR="00E360E5">
        <w:instrText xml:space="preserve"> REF _Ref58682345 \h </w:instrText>
      </w:r>
      <w:r w:rsidR="00E360E5">
        <w:fldChar w:fldCharType="separate"/>
      </w:r>
      <w:r w:rsidR="00451350">
        <w:t xml:space="preserve">Table </w:t>
      </w:r>
      <w:r w:rsidR="00451350">
        <w:rPr>
          <w:noProof/>
        </w:rPr>
        <w:t>57</w:t>
      </w:r>
      <w:r w:rsidR="00E360E5">
        <w:fldChar w:fldCharType="end"/>
      </w:r>
      <w:r w:rsidR="00E360E5">
        <w:t xml:space="preserve">, with comparison to forecast overall cancer incidence (based on historical AIHW data) also </w:t>
      </w:r>
      <w:r w:rsidR="00E360E5">
        <w:lastRenderedPageBreak/>
        <w:t>provided.  It is estimated that between 147,000 and 155,000 incident cancer cases will occur in Australia between 2021 and 2025, with approximately 48.2</w:t>
      </w:r>
      <w:r w:rsidR="001A3DF9">
        <w:t>%</w:t>
      </w:r>
      <w:r w:rsidR="00E360E5">
        <w:t xml:space="preserve"> to 49.4</w:t>
      </w:r>
      <w:r w:rsidR="001A3DF9">
        <w:t>%</w:t>
      </w:r>
      <w:r w:rsidR="00E360E5">
        <w:t xml:space="preserve"> related to cancers for which MR-linac may be used based on the Applicant’s stated intentions. </w:t>
      </w:r>
    </w:p>
    <w:p w14:paraId="17A6F105" w14:textId="6EF4678A" w:rsidR="00E360E5" w:rsidRDefault="00E360E5" w:rsidP="00E360E5">
      <w:pPr>
        <w:pStyle w:val="Caption"/>
        <w:spacing w:after="80" w:line="312" w:lineRule="auto"/>
        <w:ind w:left="1130" w:hanging="1130"/>
      </w:pPr>
      <w:bookmarkStart w:id="630" w:name="_Ref58682345"/>
      <w:bookmarkStart w:id="631" w:name="_Toc89857928"/>
      <w:r>
        <w:t xml:space="preserve">Table </w:t>
      </w:r>
      <w:r w:rsidR="00211285">
        <w:fldChar w:fldCharType="begin"/>
      </w:r>
      <w:r w:rsidR="00211285">
        <w:instrText xml:space="preserve"> SEQ Ta</w:instrText>
      </w:r>
      <w:r w:rsidR="00211285">
        <w:instrText xml:space="preserve">ble \* ARABIC </w:instrText>
      </w:r>
      <w:r w:rsidR="00211285">
        <w:fldChar w:fldCharType="separate"/>
      </w:r>
      <w:r w:rsidR="00451350">
        <w:rPr>
          <w:noProof/>
        </w:rPr>
        <w:t>57</w:t>
      </w:r>
      <w:r w:rsidR="00211285">
        <w:rPr>
          <w:noProof/>
        </w:rPr>
        <w:fldChar w:fldCharType="end"/>
      </w:r>
      <w:bookmarkEnd w:id="630"/>
      <w:r>
        <w:tab/>
        <w:t>Forecast Australian incidence of selected cancer indications and overall cancer incidence forecasts, 2021 to 2025</w:t>
      </w:r>
      <w:bookmarkEnd w:id="631"/>
    </w:p>
    <w:tbl>
      <w:tblPr>
        <w:tblStyle w:val="TableGrid1"/>
        <w:tblW w:w="5000" w:type="pct"/>
        <w:tblLook w:val="04A0" w:firstRow="1" w:lastRow="0" w:firstColumn="1" w:lastColumn="0" w:noHBand="0" w:noVBand="1"/>
      </w:tblPr>
      <w:tblGrid>
        <w:gridCol w:w="1572"/>
        <w:gridCol w:w="1489"/>
        <w:gridCol w:w="1489"/>
        <w:gridCol w:w="1489"/>
        <w:gridCol w:w="1489"/>
        <w:gridCol w:w="1488"/>
      </w:tblGrid>
      <w:tr w:rsidR="00E360E5" w:rsidRPr="00025773" w14:paraId="236B14EF" w14:textId="77777777" w:rsidTr="00A21A7F">
        <w:trPr>
          <w:cnfStyle w:val="100000000000" w:firstRow="1" w:lastRow="0" w:firstColumn="0" w:lastColumn="0" w:oddVBand="0" w:evenVBand="0" w:oddHBand="0" w:evenHBand="0" w:firstRowFirstColumn="0" w:firstRowLastColumn="0" w:lastRowFirstColumn="0" w:lastRowLastColumn="0"/>
          <w:trHeight w:val="290"/>
          <w:tblHead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8FF51" w14:textId="77777777" w:rsidR="00E360E5" w:rsidRPr="00025773" w:rsidRDefault="00E360E5" w:rsidP="003E4D05">
            <w:pPr>
              <w:pStyle w:val="Tabletext1"/>
              <w:rPr>
                <w:rFonts w:cs="Calibri"/>
                <w:b/>
                <w:bCs/>
                <w:color w:val="000000"/>
              </w:rPr>
            </w:pPr>
            <w:r w:rsidRPr="003E4D05">
              <w:rPr>
                <w:b/>
              </w:rPr>
              <w:t>Indication</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EE7B09A" w14:textId="77777777" w:rsidR="00E360E5" w:rsidRPr="00025773" w:rsidRDefault="00E360E5" w:rsidP="003E4D05">
            <w:pPr>
              <w:pStyle w:val="Tabletext1"/>
              <w:jc w:val="center"/>
              <w:rPr>
                <w:rFonts w:cs="Calibri"/>
                <w:b/>
                <w:bCs/>
                <w:color w:val="000000"/>
              </w:rPr>
            </w:pPr>
            <w:r w:rsidRPr="003E4D05">
              <w:rPr>
                <w:b/>
              </w:rPr>
              <w:t>2021</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696EC641" w14:textId="77777777" w:rsidR="00E360E5" w:rsidRPr="00025773" w:rsidRDefault="00E360E5" w:rsidP="003E4D05">
            <w:pPr>
              <w:pStyle w:val="Tabletext1"/>
              <w:jc w:val="center"/>
              <w:rPr>
                <w:rFonts w:cs="Calibri"/>
                <w:b/>
                <w:bCs/>
                <w:color w:val="000000"/>
              </w:rPr>
            </w:pPr>
            <w:r w:rsidRPr="003E4D05">
              <w:rPr>
                <w:b/>
              </w:rPr>
              <w:t>2022</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9B8A24C" w14:textId="77777777" w:rsidR="00E360E5" w:rsidRPr="00025773" w:rsidRDefault="00E360E5" w:rsidP="003E4D05">
            <w:pPr>
              <w:pStyle w:val="Tabletext1"/>
              <w:jc w:val="center"/>
              <w:rPr>
                <w:rFonts w:cs="Calibri"/>
                <w:b/>
                <w:bCs/>
                <w:color w:val="000000"/>
              </w:rPr>
            </w:pPr>
            <w:r w:rsidRPr="003E4D05">
              <w:rPr>
                <w:b/>
              </w:rPr>
              <w:t>2023</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B373306" w14:textId="77777777" w:rsidR="00E360E5" w:rsidRPr="00025773" w:rsidRDefault="00E360E5" w:rsidP="003E4D05">
            <w:pPr>
              <w:pStyle w:val="Tabletext1"/>
              <w:jc w:val="center"/>
              <w:rPr>
                <w:rFonts w:cs="Calibri"/>
                <w:b/>
                <w:bCs/>
                <w:color w:val="000000"/>
              </w:rPr>
            </w:pPr>
            <w:r w:rsidRPr="003E4D05">
              <w:rPr>
                <w:b/>
              </w:rPr>
              <w:t>2024</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FAD38DC" w14:textId="77777777" w:rsidR="00E360E5" w:rsidRPr="00025773" w:rsidRDefault="00E360E5" w:rsidP="003E4D05">
            <w:pPr>
              <w:pStyle w:val="Tabletext1"/>
              <w:jc w:val="center"/>
              <w:rPr>
                <w:rFonts w:cs="Calibri"/>
                <w:b/>
                <w:bCs/>
                <w:color w:val="000000"/>
              </w:rPr>
            </w:pPr>
            <w:r w:rsidRPr="003E4D05">
              <w:rPr>
                <w:b/>
              </w:rPr>
              <w:t>2025</w:t>
            </w:r>
          </w:p>
        </w:tc>
      </w:tr>
      <w:tr w:rsidR="00E360E5" w:rsidRPr="00025773" w14:paraId="73B09F2F"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tcPr>
          <w:p w14:paraId="5E0ED376" w14:textId="77777777" w:rsidR="00E360E5" w:rsidRPr="00025773" w:rsidRDefault="00E360E5" w:rsidP="003E4D05">
            <w:pPr>
              <w:pStyle w:val="Tabletext1"/>
              <w:rPr>
                <w:rFonts w:cs="Calibri"/>
                <w:color w:val="000000"/>
              </w:rPr>
            </w:pPr>
            <w:r>
              <w:t>Bladder</w:t>
            </w:r>
          </w:p>
        </w:tc>
        <w:tc>
          <w:tcPr>
            <w:tcW w:w="826" w:type="pct"/>
            <w:tcBorders>
              <w:top w:val="nil"/>
              <w:left w:val="nil"/>
              <w:bottom w:val="single" w:sz="4" w:space="0" w:color="auto"/>
              <w:right w:val="single" w:sz="4" w:space="0" w:color="auto"/>
            </w:tcBorders>
            <w:shd w:val="clear" w:color="auto" w:fill="auto"/>
            <w:noWrap/>
            <w:vAlign w:val="center"/>
          </w:tcPr>
          <w:p w14:paraId="79D3505F" w14:textId="77777777" w:rsidR="00E360E5" w:rsidRPr="00025773" w:rsidRDefault="00E360E5" w:rsidP="003E4D05">
            <w:pPr>
              <w:pStyle w:val="Tabletext1"/>
              <w:jc w:val="center"/>
              <w:rPr>
                <w:rFonts w:cs="Calibri"/>
                <w:color w:val="000000"/>
              </w:rPr>
            </w:pPr>
            <w:r>
              <w:t>3,354</w:t>
            </w:r>
          </w:p>
        </w:tc>
        <w:tc>
          <w:tcPr>
            <w:tcW w:w="826" w:type="pct"/>
            <w:tcBorders>
              <w:top w:val="nil"/>
              <w:left w:val="nil"/>
              <w:bottom w:val="single" w:sz="4" w:space="0" w:color="auto"/>
              <w:right w:val="single" w:sz="4" w:space="0" w:color="auto"/>
            </w:tcBorders>
            <w:shd w:val="clear" w:color="auto" w:fill="auto"/>
            <w:noWrap/>
            <w:vAlign w:val="center"/>
          </w:tcPr>
          <w:p w14:paraId="3ABF4C0A" w14:textId="77777777" w:rsidR="00E360E5" w:rsidRPr="00025773" w:rsidRDefault="00E360E5" w:rsidP="003E4D05">
            <w:pPr>
              <w:pStyle w:val="Tabletext1"/>
              <w:jc w:val="center"/>
              <w:rPr>
                <w:rFonts w:cs="Calibri"/>
                <w:color w:val="000000"/>
              </w:rPr>
            </w:pPr>
            <w:r>
              <w:t>3,451</w:t>
            </w:r>
          </w:p>
        </w:tc>
        <w:tc>
          <w:tcPr>
            <w:tcW w:w="826" w:type="pct"/>
            <w:tcBorders>
              <w:top w:val="nil"/>
              <w:left w:val="nil"/>
              <w:bottom w:val="single" w:sz="4" w:space="0" w:color="auto"/>
              <w:right w:val="single" w:sz="4" w:space="0" w:color="auto"/>
            </w:tcBorders>
            <w:shd w:val="clear" w:color="auto" w:fill="auto"/>
            <w:noWrap/>
            <w:vAlign w:val="center"/>
          </w:tcPr>
          <w:p w14:paraId="57D4FB77" w14:textId="77777777" w:rsidR="00E360E5" w:rsidRPr="00025773" w:rsidRDefault="00E360E5" w:rsidP="003E4D05">
            <w:pPr>
              <w:pStyle w:val="Tabletext1"/>
              <w:jc w:val="center"/>
              <w:rPr>
                <w:rFonts w:cs="Calibri"/>
                <w:color w:val="000000"/>
              </w:rPr>
            </w:pPr>
            <w:r>
              <w:t>3,550</w:t>
            </w:r>
          </w:p>
        </w:tc>
        <w:tc>
          <w:tcPr>
            <w:tcW w:w="826" w:type="pct"/>
            <w:tcBorders>
              <w:top w:val="nil"/>
              <w:left w:val="nil"/>
              <w:bottom w:val="single" w:sz="4" w:space="0" w:color="auto"/>
              <w:right w:val="single" w:sz="4" w:space="0" w:color="auto"/>
            </w:tcBorders>
            <w:shd w:val="clear" w:color="auto" w:fill="auto"/>
            <w:noWrap/>
            <w:vAlign w:val="center"/>
          </w:tcPr>
          <w:p w14:paraId="20BFEA49" w14:textId="77777777" w:rsidR="00E360E5" w:rsidRPr="00025773" w:rsidRDefault="00E360E5" w:rsidP="003E4D05">
            <w:pPr>
              <w:pStyle w:val="Tabletext1"/>
              <w:jc w:val="center"/>
              <w:rPr>
                <w:rFonts w:cs="Calibri"/>
                <w:color w:val="000000"/>
              </w:rPr>
            </w:pPr>
            <w:r>
              <w:t>3,653</w:t>
            </w:r>
          </w:p>
        </w:tc>
        <w:tc>
          <w:tcPr>
            <w:tcW w:w="826" w:type="pct"/>
            <w:tcBorders>
              <w:top w:val="nil"/>
              <w:left w:val="nil"/>
              <w:bottom w:val="single" w:sz="4" w:space="0" w:color="auto"/>
              <w:right w:val="single" w:sz="4" w:space="0" w:color="auto"/>
            </w:tcBorders>
            <w:shd w:val="clear" w:color="auto" w:fill="auto"/>
            <w:noWrap/>
            <w:vAlign w:val="center"/>
          </w:tcPr>
          <w:p w14:paraId="7D8BB521" w14:textId="77777777" w:rsidR="00E360E5" w:rsidRPr="00025773" w:rsidRDefault="00E360E5" w:rsidP="003E4D05">
            <w:pPr>
              <w:pStyle w:val="Tabletext1"/>
              <w:jc w:val="center"/>
              <w:rPr>
                <w:rFonts w:cs="Calibri"/>
                <w:color w:val="000000"/>
              </w:rPr>
            </w:pPr>
            <w:r>
              <w:t>3,759</w:t>
            </w:r>
          </w:p>
        </w:tc>
      </w:tr>
      <w:tr w:rsidR="00E360E5" w:rsidRPr="00025773" w14:paraId="4F47E7F0"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9D7B300" w14:textId="77777777" w:rsidR="00E360E5" w:rsidRPr="00025773" w:rsidRDefault="00E360E5" w:rsidP="003E4D05">
            <w:pPr>
              <w:pStyle w:val="Tabletext1"/>
              <w:rPr>
                <w:rFonts w:cs="Calibri"/>
                <w:color w:val="000000"/>
              </w:rPr>
            </w:pPr>
            <w:r w:rsidRPr="00025773">
              <w:t>Bone</w:t>
            </w:r>
          </w:p>
        </w:tc>
        <w:tc>
          <w:tcPr>
            <w:tcW w:w="826" w:type="pct"/>
            <w:tcBorders>
              <w:top w:val="nil"/>
              <w:left w:val="nil"/>
              <w:bottom w:val="single" w:sz="4" w:space="0" w:color="auto"/>
              <w:right w:val="single" w:sz="4" w:space="0" w:color="auto"/>
            </w:tcBorders>
            <w:shd w:val="clear" w:color="auto" w:fill="auto"/>
            <w:noWrap/>
            <w:vAlign w:val="center"/>
            <w:hideMark/>
          </w:tcPr>
          <w:p w14:paraId="42FAFA9D" w14:textId="77777777" w:rsidR="00E360E5" w:rsidRPr="00025773" w:rsidRDefault="00E360E5" w:rsidP="003E4D05">
            <w:pPr>
              <w:pStyle w:val="Tabletext1"/>
              <w:jc w:val="center"/>
              <w:rPr>
                <w:rFonts w:cs="Calibri"/>
                <w:color w:val="000000"/>
              </w:rPr>
            </w:pPr>
            <w:r>
              <w:t>296</w:t>
            </w:r>
          </w:p>
        </w:tc>
        <w:tc>
          <w:tcPr>
            <w:tcW w:w="826" w:type="pct"/>
            <w:tcBorders>
              <w:top w:val="nil"/>
              <w:left w:val="nil"/>
              <w:bottom w:val="single" w:sz="4" w:space="0" w:color="auto"/>
              <w:right w:val="single" w:sz="4" w:space="0" w:color="auto"/>
            </w:tcBorders>
            <w:shd w:val="clear" w:color="auto" w:fill="auto"/>
            <w:noWrap/>
            <w:vAlign w:val="center"/>
            <w:hideMark/>
          </w:tcPr>
          <w:p w14:paraId="316D3D4A" w14:textId="77777777" w:rsidR="00E360E5" w:rsidRPr="00025773" w:rsidRDefault="00E360E5" w:rsidP="003E4D05">
            <w:pPr>
              <w:pStyle w:val="Tabletext1"/>
              <w:jc w:val="center"/>
              <w:rPr>
                <w:rFonts w:cs="Calibri"/>
                <w:color w:val="000000"/>
              </w:rPr>
            </w:pPr>
            <w:r>
              <w:t>300</w:t>
            </w:r>
          </w:p>
        </w:tc>
        <w:tc>
          <w:tcPr>
            <w:tcW w:w="826" w:type="pct"/>
            <w:tcBorders>
              <w:top w:val="nil"/>
              <w:left w:val="nil"/>
              <w:bottom w:val="single" w:sz="4" w:space="0" w:color="auto"/>
              <w:right w:val="single" w:sz="4" w:space="0" w:color="auto"/>
            </w:tcBorders>
            <w:shd w:val="clear" w:color="auto" w:fill="auto"/>
            <w:noWrap/>
            <w:vAlign w:val="center"/>
            <w:hideMark/>
          </w:tcPr>
          <w:p w14:paraId="46D51B12" w14:textId="77777777" w:rsidR="00E360E5" w:rsidRPr="00025773" w:rsidRDefault="00E360E5" w:rsidP="003E4D05">
            <w:pPr>
              <w:pStyle w:val="Tabletext1"/>
              <w:jc w:val="center"/>
              <w:rPr>
                <w:rFonts w:cs="Calibri"/>
                <w:color w:val="000000"/>
              </w:rPr>
            </w:pPr>
            <w:r>
              <w:t>305</w:t>
            </w:r>
          </w:p>
        </w:tc>
        <w:tc>
          <w:tcPr>
            <w:tcW w:w="826" w:type="pct"/>
            <w:tcBorders>
              <w:top w:val="nil"/>
              <w:left w:val="nil"/>
              <w:bottom w:val="single" w:sz="4" w:space="0" w:color="auto"/>
              <w:right w:val="single" w:sz="4" w:space="0" w:color="auto"/>
            </w:tcBorders>
            <w:shd w:val="clear" w:color="auto" w:fill="auto"/>
            <w:noWrap/>
            <w:vAlign w:val="center"/>
            <w:hideMark/>
          </w:tcPr>
          <w:p w14:paraId="787C5D8C" w14:textId="77777777" w:rsidR="00E360E5" w:rsidRPr="00025773" w:rsidRDefault="00E360E5" w:rsidP="003E4D05">
            <w:pPr>
              <w:pStyle w:val="Tabletext1"/>
              <w:jc w:val="center"/>
              <w:rPr>
                <w:rFonts w:cs="Calibri"/>
                <w:color w:val="000000"/>
              </w:rPr>
            </w:pPr>
            <w:r>
              <w:t>309</w:t>
            </w:r>
          </w:p>
        </w:tc>
        <w:tc>
          <w:tcPr>
            <w:tcW w:w="826" w:type="pct"/>
            <w:tcBorders>
              <w:top w:val="nil"/>
              <w:left w:val="nil"/>
              <w:bottom w:val="single" w:sz="4" w:space="0" w:color="auto"/>
              <w:right w:val="single" w:sz="4" w:space="0" w:color="auto"/>
            </w:tcBorders>
            <w:shd w:val="clear" w:color="auto" w:fill="auto"/>
            <w:noWrap/>
            <w:vAlign w:val="center"/>
            <w:hideMark/>
          </w:tcPr>
          <w:p w14:paraId="561DC629" w14:textId="77777777" w:rsidR="00E360E5" w:rsidRPr="00025773" w:rsidRDefault="00E360E5" w:rsidP="003E4D05">
            <w:pPr>
              <w:pStyle w:val="Tabletext1"/>
              <w:jc w:val="center"/>
              <w:rPr>
                <w:rFonts w:cs="Calibri"/>
                <w:color w:val="000000"/>
              </w:rPr>
            </w:pPr>
            <w:r>
              <w:t>312</w:t>
            </w:r>
          </w:p>
        </w:tc>
      </w:tr>
      <w:tr w:rsidR="00E360E5" w:rsidRPr="00025773" w14:paraId="42F961C0"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499C240" w14:textId="77777777" w:rsidR="00E360E5" w:rsidRPr="00025773" w:rsidRDefault="00E360E5" w:rsidP="003E4D05">
            <w:pPr>
              <w:pStyle w:val="Tabletext1"/>
              <w:rPr>
                <w:rFonts w:cs="Calibri"/>
                <w:color w:val="000000"/>
              </w:rPr>
            </w:pPr>
            <w:r w:rsidRPr="00025773">
              <w:t>Breast</w:t>
            </w:r>
          </w:p>
        </w:tc>
        <w:tc>
          <w:tcPr>
            <w:tcW w:w="826" w:type="pct"/>
            <w:tcBorders>
              <w:top w:val="nil"/>
              <w:left w:val="nil"/>
              <w:bottom w:val="single" w:sz="4" w:space="0" w:color="auto"/>
              <w:right w:val="single" w:sz="4" w:space="0" w:color="auto"/>
            </w:tcBorders>
            <w:shd w:val="clear" w:color="auto" w:fill="auto"/>
            <w:noWrap/>
            <w:vAlign w:val="center"/>
            <w:hideMark/>
          </w:tcPr>
          <w:p w14:paraId="69BDBF7B" w14:textId="77777777" w:rsidR="00E360E5" w:rsidRPr="00025773" w:rsidRDefault="00E360E5" w:rsidP="003E4D05">
            <w:pPr>
              <w:pStyle w:val="Tabletext1"/>
              <w:jc w:val="center"/>
              <w:rPr>
                <w:rFonts w:cs="Calibri"/>
                <w:color w:val="000000"/>
              </w:rPr>
            </w:pPr>
            <w:r>
              <w:t>20,636</w:t>
            </w:r>
          </w:p>
        </w:tc>
        <w:tc>
          <w:tcPr>
            <w:tcW w:w="826" w:type="pct"/>
            <w:tcBorders>
              <w:top w:val="nil"/>
              <w:left w:val="nil"/>
              <w:bottom w:val="single" w:sz="4" w:space="0" w:color="auto"/>
              <w:right w:val="single" w:sz="4" w:space="0" w:color="auto"/>
            </w:tcBorders>
            <w:shd w:val="clear" w:color="auto" w:fill="auto"/>
            <w:noWrap/>
            <w:vAlign w:val="center"/>
            <w:hideMark/>
          </w:tcPr>
          <w:p w14:paraId="2F67AE4C" w14:textId="77777777" w:rsidR="00E360E5" w:rsidRPr="00025773" w:rsidRDefault="00E360E5" w:rsidP="003E4D05">
            <w:pPr>
              <w:pStyle w:val="Tabletext1"/>
              <w:jc w:val="center"/>
              <w:rPr>
                <w:rFonts w:cs="Calibri"/>
                <w:color w:val="000000"/>
              </w:rPr>
            </w:pPr>
            <w:r>
              <w:t>21,302</w:t>
            </w:r>
          </w:p>
        </w:tc>
        <w:tc>
          <w:tcPr>
            <w:tcW w:w="826" w:type="pct"/>
            <w:tcBorders>
              <w:top w:val="nil"/>
              <w:left w:val="nil"/>
              <w:bottom w:val="single" w:sz="4" w:space="0" w:color="auto"/>
              <w:right w:val="single" w:sz="4" w:space="0" w:color="auto"/>
            </w:tcBorders>
            <w:shd w:val="clear" w:color="auto" w:fill="auto"/>
            <w:noWrap/>
            <w:vAlign w:val="center"/>
            <w:hideMark/>
          </w:tcPr>
          <w:p w14:paraId="37966091" w14:textId="77777777" w:rsidR="00E360E5" w:rsidRPr="00025773" w:rsidRDefault="00E360E5" w:rsidP="003E4D05">
            <w:pPr>
              <w:pStyle w:val="Tabletext1"/>
              <w:jc w:val="center"/>
              <w:rPr>
                <w:rFonts w:cs="Calibri"/>
                <w:color w:val="000000"/>
              </w:rPr>
            </w:pPr>
            <w:r>
              <w:t>21,954</w:t>
            </w:r>
          </w:p>
        </w:tc>
        <w:tc>
          <w:tcPr>
            <w:tcW w:w="826" w:type="pct"/>
            <w:tcBorders>
              <w:top w:val="nil"/>
              <w:left w:val="nil"/>
              <w:bottom w:val="single" w:sz="4" w:space="0" w:color="auto"/>
              <w:right w:val="single" w:sz="4" w:space="0" w:color="auto"/>
            </w:tcBorders>
            <w:shd w:val="clear" w:color="auto" w:fill="auto"/>
            <w:noWrap/>
            <w:vAlign w:val="center"/>
            <w:hideMark/>
          </w:tcPr>
          <w:p w14:paraId="1F03750B" w14:textId="77777777" w:rsidR="00E360E5" w:rsidRPr="00025773" w:rsidRDefault="00E360E5" w:rsidP="003E4D05">
            <w:pPr>
              <w:pStyle w:val="Tabletext1"/>
              <w:jc w:val="center"/>
              <w:rPr>
                <w:rFonts w:cs="Calibri"/>
                <w:color w:val="000000"/>
              </w:rPr>
            </w:pPr>
            <w:r>
              <w:t>22,601</w:t>
            </w:r>
          </w:p>
        </w:tc>
        <w:tc>
          <w:tcPr>
            <w:tcW w:w="826" w:type="pct"/>
            <w:tcBorders>
              <w:top w:val="nil"/>
              <w:left w:val="nil"/>
              <w:bottom w:val="single" w:sz="4" w:space="0" w:color="auto"/>
              <w:right w:val="single" w:sz="4" w:space="0" w:color="auto"/>
            </w:tcBorders>
            <w:shd w:val="clear" w:color="auto" w:fill="auto"/>
            <w:noWrap/>
            <w:vAlign w:val="center"/>
            <w:hideMark/>
          </w:tcPr>
          <w:p w14:paraId="62ADDCB8" w14:textId="77777777" w:rsidR="00E360E5" w:rsidRPr="00025773" w:rsidRDefault="00E360E5" w:rsidP="003E4D05">
            <w:pPr>
              <w:pStyle w:val="Tabletext1"/>
              <w:jc w:val="center"/>
              <w:rPr>
                <w:rFonts w:cs="Calibri"/>
                <w:color w:val="000000"/>
              </w:rPr>
            </w:pPr>
            <w:r>
              <w:t>23,237</w:t>
            </w:r>
          </w:p>
        </w:tc>
      </w:tr>
      <w:tr w:rsidR="00E360E5" w:rsidRPr="00025773" w14:paraId="30ECDF32"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427D398" w14:textId="77777777" w:rsidR="00E360E5" w:rsidRPr="00025773" w:rsidRDefault="00E360E5" w:rsidP="003E4D05">
            <w:pPr>
              <w:pStyle w:val="Tabletext1"/>
              <w:rPr>
                <w:rFonts w:cs="Calibri"/>
                <w:color w:val="000000"/>
              </w:rPr>
            </w:pPr>
            <w:r w:rsidRPr="00025773">
              <w:t>Brain/</w:t>
            </w:r>
            <w:r>
              <w:rPr>
                <w:rFonts w:cs="Calibri"/>
                <w:color w:val="000000"/>
              </w:rPr>
              <w:t>glioblastoma</w:t>
            </w:r>
          </w:p>
        </w:tc>
        <w:tc>
          <w:tcPr>
            <w:tcW w:w="826" w:type="pct"/>
            <w:tcBorders>
              <w:top w:val="nil"/>
              <w:left w:val="nil"/>
              <w:bottom w:val="single" w:sz="4" w:space="0" w:color="auto"/>
              <w:right w:val="single" w:sz="4" w:space="0" w:color="auto"/>
            </w:tcBorders>
            <w:shd w:val="clear" w:color="auto" w:fill="auto"/>
            <w:noWrap/>
            <w:vAlign w:val="center"/>
            <w:hideMark/>
          </w:tcPr>
          <w:p w14:paraId="36ED6E0C" w14:textId="77777777" w:rsidR="00E360E5" w:rsidRPr="00025773" w:rsidRDefault="00E360E5" w:rsidP="003E4D05">
            <w:pPr>
              <w:pStyle w:val="Tabletext1"/>
              <w:jc w:val="center"/>
              <w:rPr>
                <w:rFonts w:cs="Calibri"/>
                <w:color w:val="000000"/>
              </w:rPr>
            </w:pPr>
            <w:r>
              <w:t>1,913</w:t>
            </w:r>
          </w:p>
        </w:tc>
        <w:tc>
          <w:tcPr>
            <w:tcW w:w="826" w:type="pct"/>
            <w:tcBorders>
              <w:top w:val="nil"/>
              <w:left w:val="nil"/>
              <w:bottom w:val="single" w:sz="4" w:space="0" w:color="auto"/>
              <w:right w:val="single" w:sz="4" w:space="0" w:color="auto"/>
            </w:tcBorders>
            <w:shd w:val="clear" w:color="auto" w:fill="auto"/>
            <w:noWrap/>
            <w:vAlign w:val="center"/>
            <w:hideMark/>
          </w:tcPr>
          <w:p w14:paraId="4DA397B4" w14:textId="77777777" w:rsidR="00E360E5" w:rsidRPr="00025773" w:rsidRDefault="00E360E5" w:rsidP="003E4D05">
            <w:pPr>
              <w:pStyle w:val="Tabletext1"/>
              <w:jc w:val="center"/>
              <w:rPr>
                <w:rFonts w:cs="Calibri"/>
                <w:color w:val="000000"/>
              </w:rPr>
            </w:pPr>
            <w:r>
              <w:t>1,940</w:t>
            </w:r>
          </w:p>
        </w:tc>
        <w:tc>
          <w:tcPr>
            <w:tcW w:w="826" w:type="pct"/>
            <w:tcBorders>
              <w:top w:val="nil"/>
              <w:left w:val="nil"/>
              <w:bottom w:val="single" w:sz="4" w:space="0" w:color="auto"/>
              <w:right w:val="single" w:sz="4" w:space="0" w:color="auto"/>
            </w:tcBorders>
            <w:shd w:val="clear" w:color="auto" w:fill="auto"/>
            <w:noWrap/>
            <w:vAlign w:val="center"/>
            <w:hideMark/>
          </w:tcPr>
          <w:p w14:paraId="17FFA9F6" w14:textId="77777777" w:rsidR="00E360E5" w:rsidRPr="00025773" w:rsidRDefault="00E360E5" w:rsidP="003E4D05">
            <w:pPr>
              <w:pStyle w:val="Tabletext1"/>
              <w:jc w:val="center"/>
              <w:rPr>
                <w:rFonts w:cs="Calibri"/>
                <w:color w:val="000000"/>
              </w:rPr>
            </w:pPr>
            <w:r>
              <w:t>1,967</w:t>
            </w:r>
          </w:p>
        </w:tc>
        <w:tc>
          <w:tcPr>
            <w:tcW w:w="826" w:type="pct"/>
            <w:tcBorders>
              <w:top w:val="nil"/>
              <w:left w:val="nil"/>
              <w:bottom w:val="single" w:sz="4" w:space="0" w:color="auto"/>
              <w:right w:val="single" w:sz="4" w:space="0" w:color="auto"/>
            </w:tcBorders>
            <w:shd w:val="clear" w:color="auto" w:fill="auto"/>
            <w:noWrap/>
            <w:vAlign w:val="center"/>
            <w:hideMark/>
          </w:tcPr>
          <w:p w14:paraId="4628067A" w14:textId="77777777" w:rsidR="00E360E5" w:rsidRPr="00025773" w:rsidRDefault="00E360E5" w:rsidP="003E4D05">
            <w:pPr>
              <w:pStyle w:val="Tabletext1"/>
              <w:jc w:val="center"/>
              <w:rPr>
                <w:rFonts w:cs="Calibri"/>
                <w:color w:val="000000"/>
              </w:rPr>
            </w:pPr>
            <w:r>
              <w:t>1,993</w:t>
            </w:r>
          </w:p>
        </w:tc>
        <w:tc>
          <w:tcPr>
            <w:tcW w:w="826" w:type="pct"/>
            <w:tcBorders>
              <w:top w:val="nil"/>
              <w:left w:val="nil"/>
              <w:bottom w:val="single" w:sz="4" w:space="0" w:color="auto"/>
              <w:right w:val="single" w:sz="4" w:space="0" w:color="auto"/>
            </w:tcBorders>
            <w:shd w:val="clear" w:color="auto" w:fill="auto"/>
            <w:noWrap/>
            <w:vAlign w:val="center"/>
            <w:hideMark/>
          </w:tcPr>
          <w:p w14:paraId="088D546F" w14:textId="77777777" w:rsidR="00E360E5" w:rsidRPr="00025773" w:rsidRDefault="00E360E5" w:rsidP="003E4D05">
            <w:pPr>
              <w:pStyle w:val="Tabletext1"/>
              <w:jc w:val="center"/>
              <w:rPr>
                <w:rFonts w:cs="Calibri"/>
                <w:color w:val="000000"/>
              </w:rPr>
            </w:pPr>
            <w:r>
              <w:t>2,018</w:t>
            </w:r>
          </w:p>
        </w:tc>
      </w:tr>
      <w:tr w:rsidR="00E360E5" w:rsidRPr="00025773" w14:paraId="4C7CF0AF" w14:textId="77777777" w:rsidTr="00A21A7F">
        <w:trPr>
          <w:trHeight w:val="338"/>
        </w:trPr>
        <w:tc>
          <w:tcPr>
            <w:tcW w:w="871" w:type="pct"/>
            <w:tcBorders>
              <w:top w:val="nil"/>
              <w:left w:val="single" w:sz="4" w:space="0" w:color="auto"/>
              <w:bottom w:val="single" w:sz="4" w:space="0" w:color="auto"/>
              <w:right w:val="single" w:sz="4" w:space="0" w:color="auto"/>
            </w:tcBorders>
            <w:shd w:val="clear" w:color="auto" w:fill="auto"/>
            <w:vAlign w:val="center"/>
          </w:tcPr>
          <w:p w14:paraId="0A3B55D6" w14:textId="77777777" w:rsidR="00E360E5" w:rsidRPr="00025773" w:rsidRDefault="00E360E5" w:rsidP="003E4D05">
            <w:pPr>
              <w:pStyle w:val="Tabletext1"/>
              <w:rPr>
                <w:rFonts w:cs="Calibri"/>
                <w:color w:val="000000"/>
              </w:rPr>
            </w:pPr>
            <w:r>
              <w:t>Cerv</w:t>
            </w:r>
            <w:r>
              <w:rPr>
                <w:rFonts w:cs="Calibri"/>
                <w:color w:val="000000"/>
              </w:rPr>
              <w:t>ix</w:t>
            </w:r>
          </w:p>
        </w:tc>
        <w:tc>
          <w:tcPr>
            <w:tcW w:w="826" w:type="pct"/>
            <w:tcBorders>
              <w:top w:val="nil"/>
              <w:left w:val="nil"/>
              <w:bottom w:val="single" w:sz="4" w:space="0" w:color="auto"/>
              <w:right w:val="single" w:sz="4" w:space="0" w:color="auto"/>
            </w:tcBorders>
            <w:shd w:val="clear" w:color="auto" w:fill="auto"/>
            <w:noWrap/>
            <w:vAlign w:val="center"/>
          </w:tcPr>
          <w:p w14:paraId="2158AFF6" w14:textId="77777777" w:rsidR="00E360E5" w:rsidRPr="00025773" w:rsidRDefault="00E360E5" w:rsidP="003E4D05">
            <w:pPr>
              <w:pStyle w:val="Tabletext1"/>
              <w:jc w:val="center"/>
              <w:rPr>
                <w:rFonts w:cs="Calibri"/>
                <w:color w:val="000000"/>
              </w:rPr>
            </w:pPr>
            <w:r>
              <w:t>987</w:t>
            </w:r>
          </w:p>
        </w:tc>
        <w:tc>
          <w:tcPr>
            <w:tcW w:w="826" w:type="pct"/>
            <w:tcBorders>
              <w:top w:val="nil"/>
              <w:left w:val="nil"/>
              <w:bottom w:val="single" w:sz="4" w:space="0" w:color="auto"/>
              <w:right w:val="single" w:sz="4" w:space="0" w:color="auto"/>
            </w:tcBorders>
            <w:shd w:val="clear" w:color="auto" w:fill="auto"/>
            <w:noWrap/>
            <w:vAlign w:val="center"/>
          </w:tcPr>
          <w:p w14:paraId="62633334" w14:textId="77777777" w:rsidR="00E360E5" w:rsidRPr="00025773" w:rsidRDefault="00E360E5" w:rsidP="003E4D05">
            <w:pPr>
              <w:pStyle w:val="Tabletext1"/>
              <w:jc w:val="center"/>
              <w:rPr>
                <w:rFonts w:cs="Calibri"/>
                <w:color w:val="000000"/>
              </w:rPr>
            </w:pPr>
            <w:r>
              <w:t>1,006</w:t>
            </w:r>
          </w:p>
        </w:tc>
        <w:tc>
          <w:tcPr>
            <w:tcW w:w="826" w:type="pct"/>
            <w:tcBorders>
              <w:top w:val="nil"/>
              <w:left w:val="nil"/>
              <w:bottom w:val="single" w:sz="4" w:space="0" w:color="auto"/>
              <w:right w:val="single" w:sz="4" w:space="0" w:color="auto"/>
            </w:tcBorders>
            <w:shd w:val="clear" w:color="auto" w:fill="auto"/>
            <w:noWrap/>
            <w:vAlign w:val="center"/>
          </w:tcPr>
          <w:p w14:paraId="12B02CA2" w14:textId="77777777" w:rsidR="00E360E5" w:rsidRPr="00025773" w:rsidRDefault="00E360E5" w:rsidP="003E4D05">
            <w:pPr>
              <w:pStyle w:val="Tabletext1"/>
              <w:jc w:val="center"/>
              <w:rPr>
                <w:rFonts w:cs="Calibri"/>
                <w:color w:val="000000"/>
              </w:rPr>
            </w:pPr>
            <w:r>
              <w:t>1,025</w:t>
            </w:r>
          </w:p>
        </w:tc>
        <w:tc>
          <w:tcPr>
            <w:tcW w:w="826" w:type="pct"/>
            <w:tcBorders>
              <w:top w:val="nil"/>
              <w:left w:val="nil"/>
              <w:bottom w:val="single" w:sz="4" w:space="0" w:color="auto"/>
              <w:right w:val="single" w:sz="4" w:space="0" w:color="auto"/>
            </w:tcBorders>
            <w:shd w:val="clear" w:color="auto" w:fill="auto"/>
            <w:noWrap/>
            <w:vAlign w:val="center"/>
          </w:tcPr>
          <w:p w14:paraId="0BACF50F" w14:textId="77777777" w:rsidR="00E360E5" w:rsidRPr="00025773" w:rsidRDefault="00E360E5" w:rsidP="003E4D05">
            <w:pPr>
              <w:pStyle w:val="Tabletext1"/>
              <w:jc w:val="center"/>
              <w:rPr>
                <w:rFonts w:cs="Calibri"/>
                <w:color w:val="000000"/>
              </w:rPr>
            </w:pPr>
            <w:r>
              <w:t>1,045</w:t>
            </w:r>
          </w:p>
        </w:tc>
        <w:tc>
          <w:tcPr>
            <w:tcW w:w="826" w:type="pct"/>
            <w:tcBorders>
              <w:top w:val="nil"/>
              <w:left w:val="nil"/>
              <w:bottom w:val="single" w:sz="4" w:space="0" w:color="auto"/>
              <w:right w:val="single" w:sz="4" w:space="0" w:color="auto"/>
            </w:tcBorders>
            <w:shd w:val="clear" w:color="auto" w:fill="auto"/>
            <w:noWrap/>
            <w:vAlign w:val="center"/>
          </w:tcPr>
          <w:p w14:paraId="0541E864" w14:textId="77777777" w:rsidR="00E360E5" w:rsidRPr="00025773" w:rsidRDefault="00E360E5" w:rsidP="003E4D05">
            <w:pPr>
              <w:pStyle w:val="Tabletext1"/>
              <w:jc w:val="center"/>
              <w:rPr>
                <w:rFonts w:cs="Calibri"/>
                <w:color w:val="000000"/>
              </w:rPr>
            </w:pPr>
            <w:r>
              <w:t>1,065</w:t>
            </w:r>
          </w:p>
        </w:tc>
      </w:tr>
      <w:tr w:rsidR="00E360E5" w:rsidRPr="00025773" w14:paraId="48199659" w14:textId="77777777" w:rsidTr="00A21A7F">
        <w:trPr>
          <w:trHeight w:val="598"/>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02A57CB" w14:textId="77777777" w:rsidR="00E360E5" w:rsidRPr="00025773" w:rsidRDefault="00E360E5" w:rsidP="003E4D05">
            <w:pPr>
              <w:pStyle w:val="Tabletext1"/>
              <w:rPr>
                <w:rFonts w:cs="Calibri"/>
                <w:color w:val="000000"/>
              </w:rPr>
            </w:pPr>
            <w:r w:rsidRPr="00025773">
              <w:t>Head</w:t>
            </w:r>
            <w:r w:rsidRPr="00B31C90">
              <w:rPr>
                <w:rFonts w:cs="Calibri"/>
                <w:color w:val="000000"/>
              </w:rPr>
              <w:t xml:space="preserve"> </w:t>
            </w:r>
            <w:r>
              <w:rPr>
                <w:rFonts w:cs="Calibri"/>
                <w:color w:val="000000"/>
              </w:rPr>
              <w:t>and n</w:t>
            </w:r>
            <w:r w:rsidRPr="00025773">
              <w:rPr>
                <w:rFonts w:cs="Calibri"/>
                <w:color w:val="000000"/>
              </w:rPr>
              <w:t>eck (excluding lip)</w:t>
            </w:r>
          </w:p>
        </w:tc>
        <w:tc>
          <w:tcPr>
            <w:tcW w:w="826" w:type="pct"/>
            <w:tcBorders>
              <w:top w:val="nil"/>
              <w:left w:val="nil"/>
              <w:bottom w:val="single" w:sz="4" w:space="0" w:color="auto"/>
              <w:right w:val="single" w:sz="4" w:space="0" w:color="auto"/>
            </w:tcBorders>
            <w:shd w:val="clear" w:color="auto" w:fill="auto"/>
            <w:noWrap/>
            <w:vAlign w:val="center"/>
            <w:hideMark/>
          </w:tcPr>
          <w:p w14:paraId="2376E801" w14:textId="77777777" w:rsidR="00E360E5" w:rsidRPr="00025773" w:rsidRDefault="00E360E5" w:rsidP="003E4D05">
            <w:pPr>
              <w:pStyle w:val="Tabletext1"/>
              <w:jc w:val="center"/>
              <w:rPr>
                <w:rFonts w:cs="Calibri"/>
                <w:color w:val="000000"/>
              </w:rPr>
            </w:pPr>
            <w:r>
              <w:t>4,323</w:t>
            </w:r>
          </w:p>
        </w:tc>
        <w:tc>
          <w:tcPr>
            <w:tcW w:w="826" w:type="pct"/>
            <w:tcBorders>
              <w:top w:val="nil"/>
              <w:left w:val="nil"/>
              <w:bottom w:val="single" w:sz="4" w:space="0" w:color="auto"/>
              <w:right w:val="single" w:sz="4" w:space="0" w:color="auto"/>
            </w:tcBorders>
            <w:shd w:val="clear" w:color="auto" w:fill="auto"/>
            <w:noWrap/>
            <w:vAlign w:val="center"/>
            <w:hideMark/>
          </w:tcPr>
          <w:p w14:paraId="23AF3F83" w14:textId="77777777" w:rsidR="00E360E5" w:rsidRPr="00025773" w:rsidRDefault="00E360E5" w:rsidP="003E4D05">
            <w:pPr>
              <w:pStyle w:val="Tabletext1"/>
              <w:jc w:val="center"/>
              <w:rPr>
                <w:rFonts w:cs="Calibri"/>
                <w:color w:val="000000"/>
              </w:rPr>
            </w:pPr>
            <w:r>
              <w:t>4,386</w:t>
            </w:r>
          </w:p>
        </w:tc>
        <w:tc>
          <w:tcPr>
            <w:tcW w:w="826" w:type="pct"/>
            <w:tcBorders>
              <w:top w:val="nil"/>
              <w:left w:val="nil"/>
              <w:bottom w:val="single" w:sz="4" w:space="0" w:color="auto"/>
              <w:right w:val="single" w:sz="4" w:space="0" w:color="auto"/>
            </w:tcBorders>
            <w:shd w:val="clear" w:color="auto" w:fill="auto"/>
            <w:noWrap/>
            <w:vAlign w:val="center"/>
            <w:hideMark/>
          </w:tcPr>
          <w:p w14:paraId="15245391" w14:textId="77777777" w:rsidR="00E360E5" w:rsidRPr="00025773" w:rsidRDefault="00E360E5" w:rsidP="003E4D05">
            <w:pPr>
              <w:pStyle w:val="Tabletext1"/>
              <w:jc w:val="center"/>
              <w:rPr>
                <w:rFonts w:cs="Calibri"/>
                <w:color w:val="000000"/>
              </w:rPr>
            </w:pPr>
            <w:r>
              <w:t>4,447</w:t>
            </w:r>
          </w:p>
        </w:tc>
        <w:tc>
          <w:tcPr>
            <w:tcW w:w="826" w:type="pct"/>
            <w:tcBorders>
              <w:top w:val="nil"/>
              <w:left w:val="nil"/>
              <w:bottom w:val="single" w:sz="4" w:space="0" w:color="auto"/>
              <w:right w:val="single" w:sz="4" w:space="0" w:color="auto"/>
            </w:tcBorders>
            <w:shd w:val="clear" w:color="auto" w:fill="auto"/>
            <w:noWrap/>
            <w:vAlign w:val="center"/>
            <w:hideMark/>
          </w:tcPr>
          <w:p w14:paraId="2DA6A663" w14:textId="77777777" w:rsidR="00E360E5" w:rsidRPr="00025773" w:rsidRDefault="00E360E5" w:rsidP="003E4D05">
            <w:pPr>
              <w:pStyle w:val="Tabletext1"/>
              <w:jc w:val="center"/>
              <w:rPr>
                <w:rFonts w:cs="Calibri"/>
                <w:color w:val="000000"/>
              </w:rPr>
            </w:pPr>
            <w:r>
              <w:t>4,505</w:t>
            </w:r>
          </w:p>
        </w:tc>
        <w:tc>
          <w:tcPr>
            <w:tcW w:w="826" w:type="pct"/>
            <w:tcBorders>
              <w:top w:val="nil"/>
              <w:left w:val="nil"/>
              <w:bottom w:val="single" w:sz="4" w:space="0" w:color="auto"/>
              <w:right w:val="single" w:sz="4" w:space="0" w:color="auto"/>
            </w:tcBorders>
            <w:shd w:val="clear" w:color="auto" w:fill="auto"/>
            <w:noWrap/>
            <w:vAlign w:val="center"/>
            <w:hideMark/>
          </w:tcPr>
          <w:p w14:paraId="6D49ED18" w14:textId="77777777" w:rsidR="00E360E5" w:rsidRPr="00025773" w:rsidRDefault="00E360E5" w:rsidP="003E4D05">
            <w:pPr>
              <w:pStyle w:val="Tabletext1"/>
              <w:jc w:val="center"/>
              <w:rPr>
                <w:rFonts w:cs="Calibri"/>
                <w:color w:val="000000"/>
              </w:rPr>
            </w:pPr>
            <w:r>
              <w:t>4,561</w:t>
            </w:r>
          </w:p>
        </w:tc>
      </w:tr>
      <w:tr w:rsidR="00E360E5" w:rsidRPr="00025773" w14:paraId="087FC639"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8A9AC13" w14:textId="77777777" w:rsidR="00E360E5" w:rsidRPr="00025773" w:rsidRDefault="00E360E5" w:rsidP="003E4D05">
            <w:pPr>
              <w:pStyle w:val="Tabletext1"/>
              <w:rPr>
                <w:rFonts w:cs="Calibri"/>
                <w:color w:val="000000"/>
              </w:rPr>
            </w:pPr>
            <w:r w:rsidRPr="00025773">
              <w:t>Larynx</w:t>
            </w:r>
          </w:p>
        </w:tc>
        <w:tc>
          <w:tcPr>
            <w:tcW w:w="826" w:type="pct"/>
            <w:tcBorders>
              <w:top w:val="nil"/>
              <w:left w:val="nil"/>
              <w:bottom w:val="single" w:sz="4" w:space="0" w:color="auto"/>
              <w:right w:val="single" w:sz="4" w:space="0" w:color="auto"/>
            </w:tcBorders>
            <w:shd w:val="clear" w:color="auto" w:fill="auto"/>
            <w:noWrap/>
            <w:vAlign w:val="center"/>
            <w:hideMark/>
          </w:tcPr>
          <w:p w14:paraId="403B2347" w14:textId="77777777" w:rsidR="00E360E5" w:rsidRPr="00025773" w:rsidRDefault="00E360E5" w:rsidP="003E4D05">
            <w:pPr>
              <w:pStyle w:val="Tabletext1"/>
              <w:jc w:val="center"/>
              <w:rPr>
                <w:rFonts w:cs="Calibri"/>
                <w:color w:val="000000"/>
              </w:rPr>
            </w:pPr>
            <w:r>
              <w:t>567</w:t>
            </w:r>
          </w:p>
        </w:tc>
        <w:tc>
          <w:tcPr>
            <w:tcW w:w="826" w:type="pct"/>
            <w:tcBorders>
              <w:top w:val="nil"/>
              <w:left w:val="nil"/>
              <w:bottom w:val="single" w:sz="4" w:space="0" w:color="auto"/>
              <w:right w:val="single" w:sz="4" w:space="0" w:color="auto"/>
            </w:tcBorders>
            <w:shd w:val="clear" w:color="auto" w:fill="auto"/>
            <w:noWrap/>
            <w:vAlign w:val="center"/>
            <w:hideMark/>
          </w:tcPr>
          <w:p w14:paraId="37C5347C" w14:textId="77777777" w:rsidR="00E360E5" w:rsidRPr="00025773" w:rsidRDefault="00E360E5" w:rsidP="003E4D05">
            <w:pPr>
              <w:pStyle w:val="Tabletext1"/>
              <w:jc w:val="center"/>
              <w:rPr>
                <w:rFonts w:cs="Calibri"/>
                <w:color w:val="000000"/>
              </w:rPr>
            </w:pPr>
            <w:r>
              <w:t>557</w:t>
            </w:r>
          </w:p>
        </w:tc>
        <w:tc>
          <w:tcPr>
            <w:tcW w:w="826" w:type="pct"/>
            <w:tcBorders>
              <w:top w:val="nil"/>
              <w:left w:val="nil"/>
              <w:bottom w:val="single" w:sz="4" w:space="0" w:color="auto"/>
              <w:right w:val="single" w:sz="4" w:space="0" w:color="auto"/>
            </w:tcBorders>
            <w:shd w:val="clear" w:color="auto" w:fill="auto"/>
            <w:noWrap/>
            <w:vAlign w:val="center"/>
            <w:hideMark/>
          </w:tcPr>
          <w:p w14:paraId="237B3CC9" w14:textId="77777777" w:rsidR="00E360E5" w:rsidRPr="00025773" w:rsidRDefault="00E360E5" w:rsidP="003E4D05">
            <w:pPr>
              <w:pStyle w:val="Tabletext1"/>
              <w:jc w:val="center"/>
              <w:rPr>
                <w:rFonts w:cs="Calibri"/>
                <w:color w:val="000000"/>
              </w:rPr>
            </w:pPr>
            <w:r>
              <w:t>547</w:t>
            </w:r>
          </w:p>
        </w:tc>
        <w:tc>
          <w:tcPr>
            <w:tcW w:w="826" w:type="pct"/>
            <w:tcBorders>
              <w:top w:val="nil"/>
              <w:left w:val="nil"/>
              <w:bottom w:val="single" w:sz="4" w:space="0" w:color="auto"/>
              <w:right w:val="single" w:sz="4" w:space="0" w:color="auto"/>
            </w:tcBorders>
            <w:shd w:val="clear" w:color="auto" w:fill="auto"/>
            <w:noWrap/>
            <w:vAlign w:val="center"/>
            <w:hideMark/>
          </w:tcPr>
          <w:p w14:paraId="49D7A64A" w14:textId="77777777" w:rsidR="00E360E5" w:rsidRPr="00025773" w:rsidRDefault="00E360E5" w:rsidP="003E4D05">
            <w:pPr>
              <w:pStyle w:val="Tabletext1"/>
              <w:jc w:val="center"/>
              <w:rPr>
                <w:rFonts w:cs="Calibri"/>
                <w:color w:val="000000"/>
              </w:rPr>
            </w:pPr>
            <w:r>
              <w:t>537</w:t>
            </w:r>
          </w:p>
        </w:tc>
        <w:tc>
          <w:tcPr>
            <w:tcW w:w="826" w:type="pct"/>
            <w:tcBorders>
              <w:top w:val="nil"/>
              <w:left w:val="nil"/>
              <w:bottom w:val="single" w:sz="4" w:space="0" w:color="auto"/>
              <w:right w:val="single" w:sz="4" w:space="0" w:color="auto"/>
            </w:tcBorders>
            <w:shd w:val="clear" w:color="auto" w:fill="auto"/>
            <w:noWrap/>
            <w:vAlign w:val="center"/>
            <w:hideMark/>
          </w:tcPr>
          <w:p w14:paraId="7113325B" w14:textId="77777777" w:rsidR="00E360E5" w:rsidRPr="00025773" w:rsidRDefault="00E360E5" w:rsidP="003E4D05">
            <w:pPr>
              <w:pStyle w:val="Tabletext1"/>
              <w:jc w:val="center"/>
              <w:rPr>
                <w:rFonts w:cs="Calibri"/>
                <w:color w:val="000000"/>
              </w:rPr>
            </w:pPr>
            <w:r>
              <w:t>527</w:t>
            </w:r>
          </w:p>
        </w:tc>
      </w:tr>
      <w:tr w:rsidR="00E360E5" w:rsidRPr="00025773" w14:paraId="4496F249"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8E4213F" w14:textId="77777777" w:rsidR="00E360E5" w:rsidRPr="00025773" w:rsidRDefault="00E360E5" w:rsidP="003E4D05">
            <w:pPr>
              <w:pStyle w:val="Tabletext1"/>
              <w:rPr>
                <w:rFonts w:cs="Calibri"/>
                <w:color w:val="000000"/>
              </w:rPr>
            </w:pPr>
            <w:r w:rsidRPr="00025773">
              <w:t>Liver</w:t>
            </w:r>
          </w:p>
        </w:tc>
        <w:tc>
          <w:tcPr>
            <w:tcW w:w="826" w:type="pct"/>
            <w:tcBorders>
              <w:top w:val="nil"/>
              <w:left w:val="nil"/>
              <w:bottom w:val="single" w:sz="4" w:space="0" w:color="auto"/>
              <w:right w:val="single" w:sz="4" w:space="0" w:color="auto"/>
            </w:tcBorders>
            <w:shd w:val="clear" w:color="auto" w:fill="auto"/>
            <w:noWrap/>
            <w:vAlign w:val="center"/>
            <w:hideMark/>
          </w:tcPr>
          <w:p w14:paraId="52DC2BA0" w14:textId="77777777" w:rsidR="00E360E5" w:rsidRPr="00025773" w:rsidRDefault="00E360E5" w:rsidP="003E4D05">
            <w:pPr>
              <w:pStyle w:val="Tabletext1"/>
              <w:jc w:val="center"/>
              <w:rPr>
                <w:rFonts w:cs="Calibri"/>
                <w:color w:val="000000"/>
              </w:rPr>
            </w:pPr>
            <w:r>
              <w:t>2,699</w:t>
            </w:r>
          </w:p>
        </w:tc>
        <w:tc>
          <w:tcPr>
            <w:tcW w:w="826" w:type="pct"/>
            <w:tcBorders>
              <w:top w:val="nil"/>
              <w:left w:val="nil"/>
              <w:bottom w:val="single" w:sz="4" w:space="0" w:color="auto"/>
              <w:right w:val="single" w:sz="4" w:space="0" w:color="auto"/>
            </w:tcBorders>
            <w:shd w:val="clear" w:color="auto" w:fill="auto"/>
            <w:noWrap/>
            <w:vAlign w:val="center"/>
            <w:hideMark/>
          </w:tcPr>
          <w:p w14:paraId="63828CBD" w14:textId="77777777" w:rsidR="00E360E5" w:rsidRPr="00025773" w:rsidRDefault="00E360E5" w:rsidP="003E4D05">
            <w:pPr>
              <w:pStyle w:val="Tabletext1"/>
              <w:jc w:val="center"/>
              <w:rPr>
                <w:rFonts w:cs="Calibri"/>
                <w:color w:val="000000"/>
              </w:rPr>
            </w:pPr>
            <w:r>
              <w:t>2,738</w:t>
            </w:r>
          </w:p>
        </w:tc>
        <w:tc>
          <w:tcPr>
            <w:tcW w:w="826" w:type="pct"/>
            <w:tcBorders>
              <w:top w:val="nil"/>
              <w:left w:val="nil"/>
              <w:bottom w:val="single" w:sz="4" w:space="0" w:color="auto"/>
              <w:right w:val="single" w:sz="4" w:space="0" w:color="auto"/>
            </w:tcBorders>
            <w:shd w:val="clear" w:color="auto" w:fill="auto"/>
            <w:noWrap/>
            <w:vAlign w:val="center"/>
            <w:hideMark/>
          </w:tcPr>
          <w:p w14:paraId="225E12EB" w14:textId="77777777" w:rsidR="00E360E5" w:rsidRPr="00025773" w:rsidRDefault="00E360E5" w:rsidP="003E4D05">
            <w:pPr>
              <w:pStyle w:val="Tabletext1"/>
              <w:jc w:val="center"/>
              <w:rPr>
                <w:rFonts w:cs="Calibri"/>
                <w:color w:val="000000"/>
              </w:rPr>
            </w:pPr>
            <w:r>
              <w:t>2,776</w:t>
            </w:r>
          </w:p>
        </w:tc>
        <w:tc>
          <w:tcPr>
            <w:tcW w:w="826" w:type="pct"/>
            <w:tcBorders>
              <w:top w:val="nil"/>
              <w:left w:val="nil"/>
              <w:bottom w:val="single" w:sz="4" w:space="0" w:color="auto"/>
              <w:right w:val="single" w:sz="4" w:space="0" w:color="auto"/>
            </w:tcBorders>
            <w:shd w:val="clear" w:color="auto" w:fill="auto"/>
            <w:noWrap/>
            <w:vAlign w:val="center"/>
            <w:hideMark/>
          </w:tcPr>
          <w:p w14:paraId="0E087633" w14:textId="77777777" w:rsidR="00E360E5" w:rsidRPr="00025773" w:rsidRDefault="00E360E5" w:rsidP="003E4D05">
            <w:pPr>
              <w:pStyle w:val="Tabletext1"/>
              <w:jc w:val="center"/>
              <w:rPr>
                <w:rFonts w:cs="Calibri"/>
                <w:color w:val="000000"/>
              </w:rPr>
            </w:pPr>
            <w:r>
              <w:t>2,812</w:t>
            </w:r>
          </w:p>
        </w:tc>
        <w:tc>
          <w:tcPr>
            <w:tcW w:w="826" w:type="pct"/>
            <w:tcBorders>
              <w:top w:val="nil"/>
              <w:left w:val="nil"/>
              <w:bottom w:val="single" w:sz="4" w:space="0" w:color="auto"/>
              <w:right w:val="single" w:sz="4" w:space="0" w:color="auto"/>
            </w:tcBorders>
            <w:shd w:val="clear" w:color="auto" w:fill="auto"/>
            <w:noWrap/>
            <w:vAlign w:val="center"/>
            <w:hideMark/>
          </w:tcPr>
          <w:p w14:paraId="75AB382C" w14:textId="77777777" w:rsidR="00E360E5" w:rsidRPr="00025773" w:rsidRDefault="00E360E5" w:rsidP="003E4D05">
            <w:pPr>
              <w:pStyle w:val="Tabletext1"/>
              <w:jc w:val="center"/>
              <w:rPr>
                <w:rFonts w:cs="Calibri"/>
                <w:color w:val="000000"/>
              </w:rPr>
            </w:pPr>
            <w:r>
              <w:t>2,847</w:t>
            </w:r>
          </w:p>
        </w:tc>
      </w:tr>
      <w:tr w:rsidR="00E360E5" w:rsidRPr="00025773" w14:paraId="147E0A16"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DD9AF90" w14:textId="77777777" w:rsidR="00E360E5" w:rsidRPr="00025773" w:rsidRDefault="00E360E5" w:rsidP="003E4D05">
            <w:pPr>
              <w:pStyle w:val="Tabletext1"/>
              <w:rPr>
                <w:rFonts w:cs="Calibri"/>
                <w:color w:val="000000"/>
              </w:rPr>
            </w:pPr>
            <w:r w:rsidRPr="00025773">
              <w:t>Lung</w:t>
            </w:r>
          </w:p>
        </w:tc>
        <w:tc>
          <w:tcPr>
            <w:tcW w:w="826" w:type="pct"/>
            <w:tcBorders>
              <w:top w:val="nil"/>
              <w:left w:val="nil"/>
              <w:bottom w:val="single" w:sz="4" w:space="0" w:color="auto"/>
              <w:right w:val="single" w:sz="4" w:space="0" w:color="auto"/>
            </w:tcBorders>
            <w:shd w:val="clear" w:color="auto" w:fill="auto"/>
            <w:noWrap/>
            <w:vAlign w:val="center"/>
            <w:hideMark/>
          </w:tcPr>
          <w:p w14:paraId="5331075F" w14:textId="77777777" w:rsidR="00E360E5" w:rsidRPr="00025773" w:rsidRDefault="00E360E5" w:rsidP="003E4D05">
            <w:pPr>
              <w:pStyle w:val="Tabletext1"/>
              <w:jc w:val="center"/>
              <w:rPr>
                <w:rFonts w:cs="Calibri"/>
                <w:color w:val="000000"/>
              </w:rPr>
            </w:pPr>
            <w:r>
              <w:t>13,331</w:t>
            </w:r>
          </w:p>
        </w:tc>
        <w:tc>
          <w:tcPr>
            <w:tcW w:w="826" w:type="pct"/>
            <w:tcBorders>
              <w:top w:val="nil"/>
              <w:left w:val="nil"/>
              <w:bottom w:val="single" w:sz="4" w:space="0" w:color="auto"/>
              <w:right w:val="single" w:sz="4" w:space="0" w:color="auto"/>
            </w:tcBorders>
            <w:shd w:val="clear" w:color="auto" w:fill="auto"/>
            <w:noWrap/>
            <w:vAlign w:val="center"/>
            <w:hideMark/>
          </w:tcPr>
          <w:p w14:paraId="1AF49C42" w14:textId="77777777" w:rsidR="00E360E5" w:rsidRPr="00025773" w:rsidRDefault="00E360E5" w:rsidP="003E4D05">
            <w:pPr>
              <w:pStyle w:val="Tabletext1"/>
              <w:jc w:val="center"/>
              <w:rPr>
                <w:rFonts w:cs="Calibri"/>
                <w:color w:val="000000"/>
              </w:rPr>
            </w:pPr>
            <w:r>
              <w:t>13,660</w:t>
            </w:r>
          </w:p>
        </w:tc>
        <w:tc>
          <w:tcPr>
            <w:tcW w:w="826" w:type="pct"/>
            <w:tcBorders>
              <w:top w:val="nil"/>
              <w:left w:val="nil"/>
              <w:bottom w:val="single" w:sz="4" w:space="0" w:color="auto"/>
              <w:right w:val="single" w:sz="4" w:space="0" w:color="auto"/>
            </w:tcBorders>
            <w:shd w:val="clear" w:color="auto" w:fill="auto"/>
            <w:noWrap/>
            <w:vAlign w:val="center"/>
            <w:hideMark/>
          </w:tcPr>
          <w:p w14:paraId="351B542A" w14:textId="77777777" w:rsidR="00E360E5" w:rsidRPr="00025773" w:rsidRDefault="00E360E5" w:rsidP="003E4D05">
            <w:pPr>
              <w:pStyle w:val="Tabletext1"/>
              <w:jc w:val="center"/>
              <w:rPr>
                <w:rFonts w:cs="Calibri"/>
                <w:color w:val="000000"/>
              </w:rPr>
            </w:pPr>
            <w:r>
              <w:t>13,951</w:t>
            </w:r>
          </w:p>
        </w:tc>
        <w:tc>
          <w:tcPr>
            <w:tcW w:w="826" w:type="pct"/>
            <w:tcBorders>
              <w:top w:val="nil"/>
              <w:left w:val="nil"/>
              <w:bottom w:val="single" w:sz="4" w:space="0" w:color="auto"/>
              <w:right w:val="single" w:sz="4" w:space="0" w:color="auto"/>
            </w:tcBorders>
            <w:shd w:val="clear" w:color="auto" w:fill="auto"/>
            <w:noWrap/>
            <w:vAlign w:val="center"/>
            <w:hideMark/>
          </w:tcPr>
          <w:p w14:paraId="74788DF8" w14:textId="77777777" w:rsidR="00E360E5" w:rsidRPr="00025773" w:rsidRDefault="00E360E5" w:rsidP="003E4D05">
            <w:pPr>
              <w:pStyle w:val="Tabletext1"/>
              <w:jc w:val="center"/>
              <w:rPr>
                <w:rFonts w:cs="Calibri"/>
                <w:color w:val="000000"/>
              </w:rPr>
            </w:pPr>
            <w:r>
              <w:t>14,221</w:t>
            </w:r>
          </w:p>
        </w:tc>
        <w:tc>
          <w:tcPr>
            <w:tcW w:w="826" w:type="pct"/>
            <w:tcBorders>
              <w:top w:val="nil"/>
              <w:left w:val="nil"/>
              <w:bottom w:val="single" w:sz="4" w:space="0" w:color="auto"/>
              <w:right w:val="single" w:sz="4" w:space="0" w:color="auto"/>
            </w:tcBorders>
            <w:shd w:val="clear" w:color="auto" w:fill="auto"/>
            <w:noWrap/>
            <w:vAlign w:val="center"/>
            <w:hideMark/>
          </w:tcPr>
          <w:p w14:paraId="4FEB6492" w14:textId="77777777" w:rsidR="00E360E5" w:rsidRPr="00025773" w:rsidRDefault="00E360E5" w:rsidP="003E4D05">
            <w:pPr>
              <w:pStyle w:val="Tabletext1"/>
              <w:jc w:val="center"/>
              <w:rPr>
                <w:rFonts w:cs="Calibri"/>
                <w:color w:val="000000"/>
              </w:rPr>
            </w:pPr>
            <w:r>
              <w:t>14,481</w:t>
            </w:r>
          </w:p>
        </w:tc>
      </w:tr>
      <w:tr w:rsidR="00E360E5" w:rsidRPr="00025773" w14:paraId="247399C9" w14:textId="77777777" w:rsidTr="00A21A7F">
        <w:trPr>
          <w:trHeight w:val="52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255A7B0" w14:textId="77777777" w:rsidR="00E360E5" w:rsidRPr="00025773" w:rsidRDefault="00E360E5" w:rsidP="003E4D05">
            <w:pPr>
              <w:pStyle w:val="Tabletext1"/>
              <w:rPr>
                <w:rFonts w:cs="Calibri"/>
                <w:color w:val="000000"/>
              </w:rPr>
            </w:pPr>
            <w:r w:rsidRPr="00025773">
              <w:t>Oligometastatic (prostate)</w:t>
            </w:r>
          </w:p>
        </w:tc>
        <w:tc>
          <w:tcPr>
            <w:tcW w:w="826" w:type="pct"/>
            <w:tcBorders>
              <w:top w:val="nil"/>
              <w:left w:val="nil"/>
              <w:bottom w:val="single" w:sz="4" w:space="0" w:color="auto"/>
              <w:right w:val="single" w:sz="4" w:space="0" w:color="auto"/>
            </w:tcBorders>
            <w:shd w:val="clear" w:color="auto" w:fill="auto"/>
            <w:noWrap/>
            <w:vAlign w:val="center"/>
            <w:hideMark/>
          </w:tcPr>
          <w:p w14:paraId="6B0EDF87" w14:textId="77777777" w:rsidR="00E360E5" w:rsidRPr="00025773" w:rsidRDefault="00E360E5" w:rsidP="003E4D05">
            <w:pPr>
              <w:pStyle w:val="Tabletext1"/>
              <w:jc w:val="center"/>
              <w:rPr>
                <w:rFonts w:cs="Calibri"/>
                <w:color w:val="000000"/>
              </w:rPr>
            </w:pPr>
            <w:r>
              <w:t>1,951</w:t>
            </w:r>
          </w:p>
        </w:tc>
        <w:tc>
          <w:tcPr>
            <w:tcW w:w="826" w:type="pct"/>
            <w:tcBorders>
              <w:top w:val="nil"/>
              <w:left w:val="nil"/>
              <w:bottom w:val="single" w:sz="4" w:space="0" w:color="auto"/>
              <w:right w:val="single" w:sz="4" w:space="0" w:color="auto"/>
            </w:tcBorders>
            <w:shd w:val="clear" w:color="auto" w:fill="auto"/>
            <w:noWrap/>
            <w:vAlign w:val="center"/>
            <w:hideMark/>
          </w:tcPr>
          <w:p w14:paraId="34A24105" w14:textId="77777777" w:rsidR="00E360E5" w:rsidRPr="00025773" w:rsidRDefault="00E360E5" w:rsidP="003E4D05">
            <w:pPr>
              <w:pStyle w:val="Tabletext1"/>
              <w:jc w:val="center"/>
              <w:rPr>
                <w:rFonts w:cs="Calibri"/>
                <w:color w:val="000000"/>
              </w:rPr>
            </w:pPr>
            <w:r>
              <w:t>1,980</w:t>
            </w:r>
          </w:p>
        </w:tc>
        <w:tc>
          <w:tcPr>
            <w:tcW w:w="826" w:type="pct"/>
            <w:tcBorders>
              <w:top w:val="nil"/>
              <w:left w:val="nil"/>
              <w:bottom w:val="single" w:sz="4" w:space="0" w:color="auto"/>
              <w:right w:val="single" w:sz="4" w:space="0" w:color="auto"/>
            </w:tcBorders>
            <w:shd w:val="clear" w:color="auto" w:fill="auto"/>
            <w:noWrap/>
            <w:vAlign w:val="center"/>
            <w:hideMark/>
          </w:tcPr>
          <w:p w14:paraId="4FA523C6" w14:textId="77777777" w:rsidR="00E360E5" w:rsidRPr="00025773" w:rsidRDefault="00E360E5" w:rsidP="003E4D05">
            <w:pPr>
              <w:pStyle w:val="Tabletext1"/>
              <w:jc w:val="center"/>
              <w:rPr>
                <w:rFonts w:cs="Calibri"/>
                <w:color w:val="000000"/>
              </w:rPr>
            </w:pPr>
            <w:r>
              <w:t>2,007</w:t>
            </w:r>
          </w:p>
        </w:tc>
        <w:tc>
          <w:tcPr>
            <w:tcW w:w="826" w:type="pct"/>
            <w:tcBorders>
              <w:top w:val="nil"/>
              <w:left w:val="nil"/>
              <w:bottom w:val="single" w:sz="4" w:space="0" w:color="auto"/>
              <w:right w:val="single" w:sz="4" w:space="0" w:color="auto"/>
            </w:tcBorders>
            <w:shd w:val="clear" w:color="auto" w:fill="auto"/>
            <w:noWrap/>
            <w:vAlign w:val="center"/>
            <w:hideMark/>
          </w:tcPr>
          <w:p w14:paraId="0D5A3D4C" w14:textId="77777777" w:rsidR="00E360E5" w:rsidRPr="00025773" w:rsidRDefault="00E360E5" w:rsidP="003E4D05">
            <w:pPr>
              <w:pStyle w:val="Tabletext1"/>
              <w:jc w:val="center"/>
              <w:rPr>
                <w:rFonts w:cs="Calibri"/>
                <w:color w:val="000000"/>
              </w:rPr>
            </w:pPr>
            <w:r>
              <w:t>2,033</w:t>
            </w:r>
          </w:p>
        </w:tc>
        <w:tc>
          <w:tcPr>
            <w:tcW w:w="826" w:type="pct"/>
            <w:tcBorders>
              <w:top w:val="nil"/>
              <w:left w:val="nil"/>
              <w:bottom w:val="single" w:sz="4" w:space="0" w:color="auto"/>
              <w:right w:val="single" w:sz="4" w:space="0" w:color="auto"/>
            </w:tcBorders>
            <w:shd w:val="clear" w:color="auto" w:fill="auto"/>
            <w:noWrap/>
            <w:vAlign w:val="center"/>
            <w:hideMark/>
          </w:tcPr>
          <w:p w14:paraId="59EE4255" w14:textId="77777777" w:rsidR="00E360E5" w:rsidRPr="00025773" w:rsidRDefault="00E360E5" w:rsidP="003E4D05">
            <w:pPr>
              <w:pStyle w:val="Tabletext1"/>
              <w:jc w:val="center"/>
              <w:rPr>
                <w:rFonts w:cs="Calibri"/>
                <w:color w:val="000000"/>
              </w:rPr>
            </w:pPr>
            <w:r>
              <w:t>2,059</w:t>
            </w:r>
          </w:p>
        </w:tc>
      </w:tr>
      <w:tr w:rsidR="00E360E5" w:rsidRPr="00025773" w14:paraId="4400BE72" w14:textId="77777777" w:rsidTr="00A21A7F">
        <w:trPr>
          <w:trHeight w:val="271"/>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1DF84DF" w14:textId="77777777" w:rsidR="00E360E5" w:rsidRPr="00025773" w:rsidRDefault="00E360E5" w:rsidP="003E4D05">
            <w:pPr>
              <w:pStyle w:val="Tabletext1"/>
              <w:rPr>
                <w:rFonts w:cs="Calibri"/>
                <w:color w:val="000000"/>
              </w:rPr>
            </w:pPr>
            <w:r w:rsidRPr="00025773">
              <w:t>Oesophagus</w:t>
            </w:r>
          </w:p>
        </w:tc>
        <w:tc>
          <w:tcPr>
            <w:tcW w:w="826" w:type="pct"/>
            <w:tcBorders>
              <w:top w:val="nil"/>
              <w:left w:val="nil"/>
              <w:bottom w:val="single" w:sz="4" w:space="0" w:color="auto"/>
              <w:right w:val="single" w:sz="4" w:space="0" w:color="auto"/>
            </w:tcBorders>
            <w:shd w:val="clear" w:color="auto" w:fill="auto"/>
            <w:noWrap/>
            <w:vAlign w:val="center"/>
            <w:hideMark/>
          </w:tcPr>
          <w:p w14:paraId="76F9121C" w14:textId="77777777" w:rsidR="00E360E5" w:rsidRPr="00025773" w:rsidRDefault="00E360E5" w:rsidP="003E4D05">
            <w:pPr>
              <w:pStyle w:val="Tabletext1"/>
              <w:jc w:val="center"/>
              <w:rPr>
                <w:rFonts w:cs="Calibri"/>
                <w:color w:val="000000"/>
              </w:rPr>
            </w:pPr>
            <w:r>
              <w:t>1,598</w:t>
            </w:r>
          </w:p>
        </w:tc>
        <w:tc>
          <w:tcPr>
            <w:tcW w:w="826" w:type="pct"/>
            <w:tcBorders>
              <w:top w:val="nil"/>
              <w:left w:val="nil"/>
              <w:bottom w:val="single" w:sz="4" w:space="0" w:color="auto"/>
              <w:right w:val="single" w:sz="4" w:space="0" w:color="auto"/>
            </w:tcBorders>
            <w:shd w:val="clear" w:color="auto" w:fill="auto"/>
            <w:noWrap/>
            <w:vAlign w:val="center"/>
            <w:hideMark/>
          </w:tcPr>
          <w:p w14:paraId="4C38B7BB" w14:textId="77777777" w:rsidR="00E360E5" w:rsidRPr="00025773" w:rsidRDefault="00E360E5" w:rsidP="003E4D05">
            <w:pPr>
              <w:pStyle w:val="Tabletext1"/>
              <w:jc w:val="center"/>
              <w:rPr>
                <w:rFonts w:cs="Calibri"/>
                <w:color w:val="000000"/>
              </w:rPr>
            </w:pPr>
            <w:r>
              <w:t>1,622</w:t>
            </w:r>
          </w:p>
        </w:tc>
        <w:tc>
          <w:tcPr>
            <w:tcW w:w="826" w:type="pct"/>
            <w:tcBorders>
              <w:top w:val="nil"/>
              <w:left w:val="nil"/>
              <w:bottom w:val="single" w:sz="4" w:space="0" w:color="auto"/>
              <w:right w:val="single" w:sz="4" w:space="0" w:color="auto"/>
            </w:tcBorders>
            <w:shd w:val="clear" w:color="auto" w:fill="auto"/>
            <w:noWrap/>
            <w:vAlign w:val="center"/>
            <w:hideMark/>
          </w:tcPr>
          <w:p w14:paraId="36ED5F92" w14:textId="77777777" w:rsidR="00E360E5" w:rsidRPr="00025773" w:rsidRDefault="00E360E5" w:rsidP="003E4D05">
            <w:pPr>
              <w:pStyle w:val="Tabletext1"/>
              <w:jc w:val="center"/>
              <w:rPr>
                <w:rFonts w:cs="Calibri"/>
                <w:color w:val="000000"/>
              </w:rPr>
            </w:pPr>
            <w:r>
              <w:t>1,644</w:t>
            </w:r>
          </w:p>
        </w:tc>
        <w:tc>
          <w:tcPr>
            <w:tcW w:w="826" w:type="pct"/>
            <w:tcBorders>
              <w:top w:val="nil"/>
              <w:left w:val="nil"/>
              <w:bottom w:val="single" w:sz="4" w:space="0" w:color="auto"/>
              <w:right w:val="single" w:sz="4" w:space="0" w:color="auto"/>
            </w:tcBorders>
            <w:shd w:val="clear" w:color="auto" w:fill="auto"/>
            <w:noWrap/>
            <w:vAlign w:val="center"/>
            <w:hideMark/>
          </w:tcPr>
          <w:p w14:paraId="4B782753" w14:textId="77777777" w:rsidR="00E360E5" w:rsidRPr="00025773" w:rsidRDefault="00E360E5" w:rsidP="003E4D05">
            <w:pPr>
              <w:pStyle w:val="Tabletext1"/>
              <w:jc w:val="center"/>
              <w:rPr>
                <w:rFonts w:cs="Calibri"/>
                <w:color w:val="000000"/>
              </w:rPr>
            </w:pPr>
            <w:r>
              <w:t>1,666</w:t>
            </w:r>
          </w:p>
        </w:tc>
        <w:tc>
          <w:tcPr>
            <w:tcW w:w="826" w:type="pct"/>
            <w:tcBorders>
              <w:top w:val="nil"/>
              <w:left w:val="nil"/>
              <w:bottom w:val="single" w:sz="4" w:space="0" w:color="auto"/>
              <w:right w:val="single" w:sz="4" w:space="0" w:color="auto"/>
            </w:tcBorders>
            <w:shd w:val="clear" w:color="auto" w:fill="auto"/>
            <w:noWrap/>
            <w:vAlign w:val="center"/>
            <w:hideMark/>
          </w:tcPr>
          <w:p w14:paraId="5B897956" w14:textId="77777777" w:rsidR="00E360E5" w:rsidRPr="00025773" w:rsidRDefault="00E360E5" w:rsidP="003E4D05">
            <w:pPr>
              <w:pStyle w:val="Tabletext1"/>
              <w:jc w:val="center"/>
              <w:rPr>
                <w:rFonts w:cs="Calibri"/>
                <w:color w:val="000000"/>
              </w:rPr>
            </w:pPr>
            <w:r>
              <w:t>1,686</w:t>
            </w:r>
          </w:p>
        </w:tc>
      </w:tr>
      <w:tr w:rsidR="00E360E5" w:rsidRPr="00025773" w14:paraId="7AD2470C"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B96EBF6" w14:textId="77777777" w:rsidR="00E360E5" w:rsidRPr="00025773" w:rsidRDefault="00E360E5" w:rsidP="003E4D05">
            <w:pPr>
              <w:pStyle w:val="Tabletext1"/>
              <w:rPr>
                <w:rFonts w:cs="Calibri"/>
                <w:color w:val="000000"/>
              </w:rPr>
            </w:pPr>
            <w:r w:rsidRPr="00025773">
              <w:t>Pancreas</w:t>
            </w:r>
          </w:p>
        </w:tc>
        <w:tc>
          <w:tcPr>
            <w:tcW w:w="826" w:type="pct"/>
            <w:tcBorders>
              <w:top w:val="nil"/>
              <w:left w:val="nil"/>
              <w:bottom w:val="single" w:sz="4" w:space="0" w:color="auto"/>
              <w:right w:val="single" w:sz="4" w:space="0" w:color="auto"/>
            </w:tcBorders>
            <w:shd w:val="clear" w:color="auto" w:fill="auto"/>
            <w:noWrap/>
            <w:vAlign w:val="center"/>
            <w:hideMark/>
          </w:tcPr>
          <w:p w14:paraId="17E72053" w14:textId="77777777" w:rsidR="00E360E5" w:rsidRPr="00025773" w:rsidRDefault="00E360E5" w:rsidP="003E4D05">
            <w:pPr>
              <w:pStyle w:val="Tabletext1"/>
              <w:jc w:val="center"/>
              <w:rPr>
                <w:rFonts w:cs="Calibri"/>
                <w:color w:val="000000"/>
              </w:rPr>
            </w:pPr>
            <w:r>
              <w:t>3,983</w:t>
            </w:r>
          </w:p>
        </w:tc>
        <w:tc>
          <w:tcPr>
            <w:tcW w:w="826" w:type="pct"/>
            <w:tcBorders>
              <w:top w:val="nil"/>
              <w:left w:val="nil"/>
              <w:bottom w:val="single" w:sz="4" w:space="0" w:color="auto"/>
              <w:right w:val="single" w:sz="4" w:space="0" w:color="auto"/>
            </w:tcBorders>
            <w:shd w:val="clear" w:color="auto" w:fill="auto"/>
            <w:noWrap/>
            <w:vAlign w:val="center"/>
            <w:hideMark/>
          </w:tcPr>
          <w:p w14:paraId="18CFCF9F" w14:textId="77777777" w:rsidR="00E360E5" w:rsidRPr="00025773" w:rsidRDefault="00E360E5" w:rsidP="003E4D05">
            <w:pPr>
              <w:pStyle w:val="Tabletext1"/>
              <w:jc w:val="center"/>
              <w:rPr>
                <w:rFonts w:cs="Calibri"/>
                <w:color w:val="000000"/>
              </w:rPr>
            </w:pPr>
            <w:r>
              <w:t>4,040</w:t>
            </w:r>
          </w:p>
        </w:tc>
        <w:tc>
          <w:tcPr>
            <w:tcW w:w="826" w:type="pct"/>
            <w:tcBorders>
              <w:top w:val="nil"/>
              <w:left w:val="nil"/>
              <w:bottom w:val="single" w:sz="4" w:space="0" w:color="auto"/>
              <w:right w:val="single" w:sz="4" w:space="0" w:color="auto"/>
            </w:tcBorders>
            <w:shd w:val="clear" w:color="auto" w:fill="auto"/>
            <w:noWrap/>
            <w:vAlign w:val="center"/>
            <w:hideMark/>
          </w:tcPr>
          <w:p w14:paraId="775CB477" w14:textId="77777777" w:rsidR="00E360E5" w:rsidRPr="00025773" w:rsidRDefault="00E360E5" w:rsidP="003E4D05">
            <w:pPr>
              <w:pStyle w:val="Tabletext1"/>
              <w:jc w:val="center"/>
              <w:rPr>
                <w:rFonts w:cs="Calibri"/>
                <w:color w:val="000000"/>
              </w:rPr>
            </w:pPr>
            <w:r>
              <w:t>4,096</w:t>
            </w:r>
          </w:p>
        </w:tc>
        <w:tc>
          <w:tcPr>
            <w:tcW w:w="826" w:type="pct"/>
            <w:tcBorders>
              <w:top w:val="nil"/>
              <w:left w:val="nil"/>
              <w:bottom w:val="single" w:sz="4" w:space="0" w:color="auto"/>
              <w:right w:val="single" w:sz="4" w:space="0" w:color="auto"/>
            </w:tcBorders>
            <w:shd w:val="clear" w:color="auto" w:fill="auto"/>
            <w:noWrap/>
            <w:vAlign w:val="center"/>
            <w:hideMark/>
          </w:tcPr>
          <w:p w14:paraId="3A8431CA" w14:textId="77777777" w:rsidR="00E360E5" w:rsidRPr="00025773" w:rsidRDefault="00E360E5" w:rsidP="003E4D05">
            <w:pPr>
              <w:pStyle w:val="Tabletext1"/>
              <w:jc w:val="center"/>
              <w:rPr>
                <w:rFonts w:cs="Calibri"/>
                <w:color w:val="000000"/>
              </w:rPr>
            </w:pPr>
            <w:r>
              <w:t>4,150</w:t>
            </w:r>
          </w:p>
        </w:tc>
        <w:tc>
          <w:tcPr>
            <w:tcW w:w="826" w:type="pct"/>
            <w:tcBorders>
              <w:top w:val="nil"/>
              <w:left w:val="nil"/>
              <w:bottom w:val="single" w:sz="4" w:space="0" w:color="auto"/>
              <w:right w:val="single" w:sz="4" w:space="0" w:color="auto"/>
            </w:tcBorders>
            <w:shd w:val="clear" w:color="auto" w:fill="auto"/>
            <w:noWrap/>
            <w:vAlign w:val="center"/>
            <w:hideMark/>
          </w:tcPr>
          <w:p w14:paraId="7C76F642" w14:textId="77777777" w:rsidR="00E360E5" w:rsidRPr="00025773" w:rsidRDefault="00E360E5" w:rsidP="003E4D05">
            <w:pPr>
              <w:pStyle w:val="Tabletext1"/>
              <w:jc w:val="center"/>
              <w:rPr>
                <w:rFonts w:cs="Calibri"/>
                <w:color w:val="000000"/>
              </w:rPr>
            </w:pPr>
            <w:r>
              <w:t>4,202</w:t>
            </w:r>
          </w:p>
        </w:tc>
      </w:tr>
      <w:tr w:rsidR="00E360E5" w:rsidRPr="00025773" w14:paraId="229DCF75" w14:textId="77777777" w:rsidTr="003E4D05">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FFC87F9" w14:textId="77777777" w:rsidR="00E360E5" w:rsidRPr="00025773" w:rsidRDefault="00E360E5" w:rsidP="003E4D05">
            <w:pPr>
              <w:pStyle w:val="Tabletext1"/>
              <w:rPr>
                <w:rFonts w:cs="Calibri"/>
                <w:color w:val="000000"/>
              </w:rPr>
            </w:pPr>
            <w:r w:rsidRPr="00025773">
              <w:t>Prostate</w:t>
            </w:r>
          </w:p>
        </w:tc>
        <w:tc>
          <w:tcPr>
            <w:tcW w:w="826" w:type="pct"/>
            <w:tcBorders>
              <w:top w:val="nil"/>
              <w:left w:val="nil"/>
              <w:bottom w:val="single" w:sz="4" w:space="0" w:color="auto"/>
              <w:right w:val="single" w:sz="4" w:space="0" w:color="auto"/>
            </w:tcBorders>
            <w:shd w:val="clear" w:color="auto" w:fill="auto"/>
            <w:vAlign w:val="center"/>
            <w:hideMark/>
          </w:tcPr>
          <w:p w14:paraId="45F95BF6" w14:textId="77777777" w:rsidR="00E360E5" w:rsidRPr="00025773" w:rsidRDefault="00E360E5" w:rsidP="003E4D05">
            <w:pPr>
              <w:pStyle w:val="Tabletext1"/>
              <w:jc w:val="center"/>
              <w:rPr>
                <w:rFonts w:cs="Calibri"/>
                <w:color w:val="000000"/>
              </w:rPr>
            </w:pPr>
            <w:r>
              <w:t>16,952</w:t>
            </w:r>
          </w:p>
        </w:tc>
        <w:tc>
          <w:tcPr>
            <w:tcW w:w="826" w:type="pct"/>
            <w:tcBorders>
              <w:top w:val="nil"/>
              <w:left w:val="nil"/>
              <w:bottom w:val="single" w:sz="4" w:space="0" w:color="auto"/>
              <w:right w:val="single" w:sz="4" w:space="0" w:color="auto"/>
            </w:tcBorders>
            <w:shd w:val="clear" w:color="auto" w:fill="auto"/>
            <w:vAlign w:val="center"/>
            <w:hideMark/>
          </w:tcPr>
          <w:p w14:paraId="0A49B3A1" w14:textId="77777777" w:rsidR="00E360E5" w:rsidRPr="00025773" w:rsidRDefault="00E360E5" w:rsidP="003E4D05">
            <w:pPr>
              <w:pStyle w:val="Tabletext1"/>
              <w:jc w:val="center"/>
              <w:rPr>
                <w:rFonts w:cs="Calibri"/>
                <w:color w:val="000000"/>
              </w:rPr>
            </w:pPr>
            <w:r>
              <w:t>17,199</w:t>
            </w:r>
          </w:p>
        </w:tc>
        <w:tc>
          <w:tcPr>
            <w:tcW w:w="826" w:type="pct"/>
            <w:tcBorders>
              <w:top w:val="nil"/>
              <w:left w:val="nil"/>
              <w:bottom w:val="single" w:sz="4" w:space="0" w:color="auto"/>
              <w:right w:val="single" w:sz="4" w:space="0" w:color="auto"/>
            </w:tcBorders>
            <w:shd w:val="clear" w:color="auto" w:fill="auto"/>
            <w:vAlign w:val="center"/>
            <w:hideMark/>
          </w:tcPr>
          <w:p w14:paraId="487CD100" w14:textId="77777777" w:rsidR="00E360E5" w:rsidRPr="00025773" w:rsidRDefault="00E360E5" w:rsidP="003E4D05">
            <w:pPr>
              <w:pStyle w:val="Tabletext1"/>
              <w:jc w:val="center"/>
              <w:rPr>
                <w:rFonts w:cs="Calibri"/>
                <w:color w:val="000000"/>
              </w:rPr>
            </w:pPr>
            <w:r>
              <w:t>17,437</w:t>
            </w:r>
          </w:p>
        </w:tc>
        <w:tc>
          <w:tcPr>
            <w:tcW w:w="826" w:type="pct"/>
            <w:tcBorders>
              <w:top w:val="nil"/>
              <w:left w:val="nil"/>
              <w:bottom w:val="single" w:sz="4" w:space="0" w:color="auto"/>
              <w:right w:val="single" w:sz="4" w:space="0" w:color="auto"/>
            </w:tcBorders>
            <w:shd w:val="clear" w:color="auto" w:fill="auto"/>
            <w:vAlign w:val="center"/>
            <w:hideMark/>
          </w:tcPr>
          <w:p w14:paraId="776AB899" w14:textId="77777777" w:rsidR="00E360E5" w:rsidRPr="00025773" w:rsidRDefault="00E360E5" w:rsidP="003E4D05">
            <w:pPr>
              <w:pStyle w:val="Tabletext1"/>
              <w:jc w:val="center"/>
              <w:rPr>
                <w:rFonts w:cs="Calibri"/>
                <w:color w:val="000000"/>
              </w:rPr>
            </w:pPr>
            <w:r>
              <w:t>17,666</w:t>
            </w:r>
          </w:p>
        </w:tc>
        <w:tc>
          <w:tcPr>
            <w:tcW w:w="826" w:type="pct"/>
            <w:tcBorders>
              <w:top w:val="nil"/>
              <w:left w:val="nil"/>
              <w:bottom w:val="single" w:sz="4" w:space="0" w:color="auto"/>
              <w:right w:val="single" w:sz="4" w:space="0" w:color="auto"/>
            </w:tcBorders>
            <w:shd w:val="clear" w:color="auto" w:fill="auto"/>
            <w:vAlign w:val="center"/>
            <w:hideMark/>
          </w:tcPr>
          <w:p w14:paraId="5438D059" w14:textId="77777777" w:rsidR="00E360E5" w:rsidRPr="00025773" w:rsidRDefault="00E360E5" w:rsidP="003E4D05">
            <w:pPr>
              <w:pStyle w:val="Tabletext1"/>
              <w:jc w:val="center"/>
              <w:rPr>
                <w:rFonts w:cs="Calibri"/>
                <w:color w:val="000000"/>
              </w:rPr>
            </w:pPr>
            <w:r>
              <w:t>17,885</w:t>
            </w:r>
          </w:p>
        </w:tc>
      </w:tr>
      <w:tr w:rsidR="00E360E5" w:rsidRPr="00025773" w14:paraId="51AC5154"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B2C8F47" w14:textId="77777777" w:rsidR="00E360E5" w:rsidRPr="00025773" w:rsidRDefault="00E360E5" w:rsidP="003E4D05">
            <w:pPr>
              <w:pStyle w:val="Tabletext1"/>
              <w:rPr>
                <w:rFonts w:cs="Calibri"/>
                <w:color w:val="000000"/>
              </w:rPr>
            </w:pPr>
            <w:r w:rsidRPr="00025773">
              <w:t>Rectum</w:t>
            </w:r>
          </w:p>
        </w:tc>
        <w:tc>
          <w:tcPr>
            <w:tcW w:w="826" w:type="pct"/>
            <w:tcBorders>
              <w:top w:val="nil"/>
              <w:left w:val="nil"/>
              <w:bottom w:val="single" w:sz="4" w:space="0" w:color="auto"/>
              <w:right w:val="single" w:sz="4" w:space="0" w:color="auto"/>
            </w:tcBorders>
            <w:shd w:val="clear" w:color="auto" w:fill="auto"/>
            <w:noWrap/>
            <w:vAlign w:val="center"/>
            <w:hideMark/>
          </w:tcPr>
          <w:p w14:paraId="17814D1E" w14:textId="77777777" w:rsidR="00E360E5" w:rsidRPr="00025773" w:rsidRDefault="00E360E5" w:rsidP="003E4D05">
            <w:pPr>
              <w:pStyle w:val="Tabletext1"/>
              <w:jc w:val="center"/>
              <w:rPr>
                <w:rFonts w:cs="Calibri"/>
                <w:color w:val="000000"/>
              </w:rPr>
            </w:pPr>
            <w:r>
              <w:t>4,742</w:t>
            </w:r>
          </w:p>
        </w:tc>
        <w:tc>
          <w:tcPr>
            <w:tcW w:w="826" w:type="pct"/>
            <w:tcBorders>
              <w:top w:val="nil"/>
              <w:left w:val="nil"/>
              <w:bottom w:val="single" w:sz="4" w:space="0" w:color="auto"/>
              <w:right w:val="single" w:sz="4" w:space="0" w:color="auto"/>
            </w:tcBorders>
            <w:shd w:val="clear" w:color="auto" w:fill="auto"/>
            <w:noWrap/>
            <w:vAlign w:val="center"/>
            <w:hideMark/>
          </w:tcPr>
          <w:p w14:paraId="567845D3" w14:textId="77777777" w:rsidR="00E360E5" w:rsidRPr="00025773" w:rsidRDefault="00E360E5" w:rsidP="003E4D05">
            <w:pPr>
              <w:pStyle w:val="Tabletext1"/>
              <w:jc w:val="center"/>
              <w:rPr>
                <w:rFonts w:cs="Calibri"/>
                <w:color w:val="000000"/>
              </w:rPr>
            </w:pPr>
            <w:r>
              <w:t>4,811</w:t>
            </w:r>
          </w:p>
        </w:tc>
        <w:tc>
          <w:tcPr>
            <w:tcW w:w="826" w:type="pct"/>
            <w:tcBorders>
              <w:top w:val="nil"/>
              <w:left w:val="nil"/>
              <w:bottom w:val="single" w:sz="4" w:space="0" w:color="auto"/>
              <w:right w:val="single" w:sz="4" w:space="0" w:color="auto"/>
            </w:tcBorders>
            <w:shd w:val="clear" w:color="auto" w:fill="auto"/>
            <w:noWrap/>
            <w:vAlign w:val="center"/>
            <w:hideMark/>
          </w:tcPr>
          <w:p w14:paraId="5F1B85E5" w14:textId="77777777" w:rsidR="00E360E5" w:rsidRPr="00025773" w:rsidRDefault="00E360E5" w:rsidP="003E4D05">
            <w:pPr>
              <w:pStyle w:val="Tabletext1"/>
              <w:jc w:val="center"/>
              <w:rPr>
                <w:rFonts w:cs="Calibri"/>
                <w:color w:val="000000"/>
              </w:rPr>
            </w:pPr>
            <w:r>
              <w:t>4,878</w:t>
            </w:r>
          </w:p>
        </w:tc>
        <w:tc>
          <w:tcPr>
            <w:tcW w:w="826" w:type="pct"/>
            <w:tcBorders>
              <w:top w:val="nil"/>
              <w:left w:val="nil"/>
              <w:bottom w:val="single" w:sz="4" w:space="0" w:color="auto"/>
              <w:right w:val="single" w:sz="4" w:space="0" w:color="auto"/>
            </w:tcBorders>
            <w:shd w:val="clear" w:color="auto" w:fill="auto"/>
            <w:noWrap/>
            <w:vAlign w:val="center"/>
            <w:hideMark/>
          </w:tcPr>
          <w:p w14:paraId="3DEC7EA7" w14:textId="77777777" w:rsidR="00E360E5" w:rsidRPr="00025773" w:rsidRDefault="00E360E5" w:rsidP="003E4D05">
            <w:pPr>
              <w:pStyle w:val="Tabletext1"/>
              <w:jc w:val="center"/>
              <w:rPr>
                <w:rFonts w:cs="Calibri"/>
                <w:color w:val="000000"/>
              </w:rPr>
            </w:pPr>
            <w:r>
              <w:t>4,942</w:t>
            </w:r>
          </w:p>
        </w:tc>
        <w:tc>
          <w:tcPr>
            <w:tcW w:w="826" w:type="pct"/>
            <w:tcBorders>
              <w:top w:val="nil"/>
              <w:left w:val="nil"/>
              <w:bottom w:val="single" w:sz="4" w:space="0" w:color="auto"/>
              <w:right w:val="single" w:sz="4" w:space="0" w:color="auto"/>
            </w:tcBorders>
            <w:shd w:val="clear" w:color="auto" w:fill="auto"/>
            <w:noWrap/>
            <w:vAlign w:val="center"/>
            <w:hideMark/>
          </w:tcPr>
          <w:p w14:paraId="34C3AC0D" w14:textId="77777777" w:rsidR="00E360E5" w:rsidRPr="00025773" w:rsidRDefault="00E360E5" w:rsidP="003E4D05">
            <w:pPr>
              <w:pStyle w:val="Tabletext1"/>
              <w:jc w:val="center"/>
              <w:rPr>
                <w:rFonts w:cs="Calibri"/>
                <w:color w:val="000000"/>
              </w:rPr>
            </w:pPr>
            <w:r>
              <w:t>5,003</w:t>
            </w:r>
          </w:p>
        </w:tc>
      </w:tr>
      <w:tr w:rsidR="00E360E5" w:rsidRPr="00025773" w14:paraId="7CD92303"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AB8DEDA" w14:textId="77777777" w:rsidR="00E360E5" w:rsidRPr="00025773" w:rsidRDefault="00E360E5" w:rsidP="003E4D05">
            <w:pPr>
              <w:pStyle w:val="Tabletext1"/>
              <w:rPr>
                <w:rFonts w:cs="Calibri"/>
                <w:b/>
                <w:bCs/>
                <w:color w:val="000000"/>
              </w:rPr>
            </w:pPr>
            <w:r w:rsidRPr="007D0132">
              <w:rPr>
                <w:b/>
              </w:rPr>
              <w:t>Total</w:t>
            </w:r>
          </w:p>
        </w:tc>
        <w:tc>
          <w:tcPr>
            <w:tcW w:w="826" w:type="pct"/>
            <w:tcBorders>
              <w:top w:val="nil"/>
              <w:left w:val="nil"/>
              <w:bottom w:val="single" w:sz="4" w:space="0" w:color="auto"/>
              <w:right w:val="single" w:sz="4" w:space="0" w:color="auto"/>
            </w:tcBorders>
            <w:shd w:val="clear" w:color="auto" w:fill="auto"/>
            <w:noWrap/>
            <w:vAlign w:val="center"/>
            <w:hideMark/>
          </w:tcPr>
          <w:p w14:paraId="014A3B26" w14:textId="77777777" w:rsidR="00E360E5" w:rsidRPr="00025773" w:rsidRDefault="00E360E5" w:rsidP="003E4D05">
            <w:pPr>
              <w:pStyle w:val="Tabletext1"/>
              <w:jc w:val="center"/>
              <w:rPr>
                <w:rFonts w:cs="Calibri"/>
                <w:b/>
                <w:bCs/>
                <w:color w:val="000000"/>
              </w:rPr>
            </w:pPr>
            <w:r w:rsidRPr="007D0132">
              <w:rPr>
                <w:b/>
              </w:rPr>
              <w:t>73,978</w:t>
            </w:r>
          </w:p>
        </w:tc>
        <w:tc>
          <w:tcPr>
            <w:tcW w:w="826" w:type="pct"/>
            <w:tcBorders>
              <w:top w:val="nil"/>
              <w:left w:val="nil"/>
              <w:bottom w:val="single" w:sz="4" w:space="0" w:color="auto"/>
              <w:right w:val="single" w:sz="4" w:space="0" w:color="auto"/>
            </w:tcBorders>
            <w:shd w:val="clear" w:color="auto" w:fill="auto"/>
            <w:noWrap/>
            <w:vAlign w:val="center"/>
            <w:hideMark/>
          </w:tcPr>
          <w:p w14:paraId="17CBCE24" w14:textId="77777777" w:rsidR="00E360E5" w:rsidRPr="00025773" w:rsidRDefault="00E360E5" w:rsidP="003E4D05">
            <w:pPr>
              <w:pStyle w:val="Tabletext1"/>
              <w:jc w:val="center"/>
              <w:rPr>
                <w:rFonts w:cs="Calibri"/>
                <w:b/>
                <w:bCs/>
                <w:color w:val="000000"/>
              </w:rPr>
            </w:pPr>
            <w:r w:rsidRPr="007D0132">
              <w:rPr>
                <w:b/>
              </w:rPr>
              <w:t>75,541</w:t>
            </w:r>
          </w:p>
        </w:tc>
        <w:tc>
          <w:tcPr>
            <w:tcW w:w="826" w:type="pct"/>
            <w:tcBorders>
              <w:top w:val="nil"/>
              <w:left w:val="nil"/>
              <w:bottom w:val="single" w:sz="4" w:space="0" w:color="auto"/>
              <w:right w:val="single" w:sz="4" w:space="0" w:color="auto"/>
            </w:tcBorders>
            <w:shd w:val="clear" w:color="auto" w:fill="auto"/>
            <w:noWrap/>
            <w:vAlign w:val="center"/>
            <w:hideMark/>
          </w:tcPr>
          <w:p w14:paraId="00AFEA70" w14:textId="77777777" w:rsidR="00E360E5" w:rsidRPr="00025773" w:rsidRDefault="00E360E5" w:rsidP="003E4D05">
            <w:pPr>
              <w:pStyle w:val="Tabletext1"/>
              <w:jc w:val="center"/>
              <w:rPr>
                <w:rFonts w:cs="Calibri"/>
                <w:b/>
                <w:bCs/>
                <w:color w:val="000000"/>
              </w:rPr>
            </w:pPr>
            <w:r w:rsidRPr="007D0132">
              <w:rPr>
                <w:b/>
              </w:rPr>
              <w:t>77,035</w:t>
            </w:r>
          </w:p>
        </w:tc>
        <w:tc>
          <w:tcPr>
            <w:tcW w:w="826" w:type="pct"/>
            <w:tcBorders>
              <w:top w:val="nil"/>
              <w:left w:val="nil"/>
              <w:bottom w:val="single" w:sz="4" w:space="0" w:color="auto"/>
              <w:right w:val="single" w:sz="4" w:space="0" w:color="auto"/>
            </w:tcBorders>
            <w:shd w:val="clear" w:color="auto" w:fill="auto"/>
            <w:noWrap/>
            <w:vAlign w:val="center"/>
            <w:hideMark/>
          </w:tcPr>
          <w:p w14:paraId="77C181DE" w14:textId="77777777" w:rsidR="00E360E5" w:rsidRPr="00025773" w:rsidRDefault="00E360E5" w:rsidP="003E4D05">
            <w:pPr>
              <w:pStyle w:val="Tabletext1"/>
              <w:jc w:val="center"/>
              <w:rPr>
                <w:rFonts w:cs="Calibri"/>
                <w:b/>
                <w:bCs/>
                <w:color w:val="000000"/>
              </w:rPr>
            </w:pPr>
            <w:r w:rsidRPr="007D0132">
              <w:rPr>
                <w:b/>
              </w:rPr>
              <w:t>78,479</w:t>
            </w:r>
          </w:p>
        </w:tc>
        <w:tc>
          <w:tcPr>
            <w:tcW w:w="826" w:type="pct"/>
            <w:tcBorders>
              <w:top w:val="nil"/>
              <w:left w:val="nil"/>
              <w:bottom w:val="single" w:sz="4" w:space="0" w:color="auto"/>
              <w:right w:val="single" w:sz="4" w:space="0" w:color="auto"/>
            </w:tcBorders>
            <w:shd w:val="clear" w:color="auto" w:fill="auto"/>
            <w:noWrap/>
            <w:vAlign w:val="center"/>
            <w:hideMark/>
          </w:tcPr>
          <w:p w14:paraId="55A02C87" w14:textId="77777777" w:rsidR="00E360E5" w:rsidRPr="00025773" w:rsidRDefault="00E360E5" w:rsidP="003E4D05">
            <w:pPr>
              <w:pStyle w:val="Tabletext1"/>
              <w:jc w:val="center"/>
              <w:rPr>
                <w:rFonts w:cs="Calibri"/>
                <w:b/>
                <w:bCs/>
                <w:color w:val="000000"/>
              </w:rPr>
            </w:pPr>
            <w:r w:rsidRPr="007D0132">
              <w:rPr>
                <w:b/>
              </w:rPr>
              <w:t>79,882</w:t>
            </w:r>
          </w:p>
        </w:tc>
      </w:tr>
      <w:tr w:rsidR="00E360E5" w:rsidRPr="00025773" w14:paraId="1A0C2F3B" w14:textId="77777777" w:rsidTr="00A21A7F">
        <w:trPr>
          <w:trHeight w:val="29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121207A" w14:textId="77777777" w:rsidR="00E360E5" w:rsidRPr="00025773" w:rsidRDefault="00E360E5" w:rsidP="003E4D05">
            <w:pPr>
              <w:pStyle w:val="Tabletext1"/>
              <w:rPr>
                <w:rFonts w:cs="Calibri"/>
                <w:b/>
                <w:bCs/>
                <w:color w:val="000000"/>
              </w:rPr>
            </w:pPr>
            <w:r w:rsidRPr="007D0132">
              <w:rPr>
                <w:b/>
              </w:rPr>
              <w:t>All cancers</w:t>
            </w:r>
          </w:p>
        </w:tc>
        <w:tc>
          <w:tcPr>
            <w:tcW w:w="826" w:type="pct"/>
            <w:tcBorders>
              <w:top w:val="nil"/>
              <w:left w:val="nil"/>
              <w:bottom w:val="single" w:sz="4" w:space="0" w:color="auto"/>
              <w:right w:val="single" w:sz="4" w:space="0" w:color="auto"/>
            </w:tcBorders>
            <w:shd w:val="clear" w:color="auto" w:fill="auto"/>
            <w:noWrap/>
            <w:vAlign w:val="center"/>
            <w:hideMark/>
          </w:tcPr>
          <w:p w14:paraId="5EE7C1DC" w14:textId="77777777" w:rsidR="00E360E5" w:rsidRPr="00025773" w:rsidRDefault="00E360E5" w:rsidP="003E4D05">
            <w:pPr>
              <w:pStyle w:val="Tabletext1"/>
              <w:jc w:val="center"/>
              <w:rPr>
                <w:rFonts w:cs="Calibri"/>
                <w:b/>
                <w:bCs/>
                <w:color w:val="000000"/>
              </w:rPr>
            </w:pPr>
            <w:r w:rsidRPr="007D0132">
              <w:rPr>
                <w:b/>
              </w:rPr>
              <w:t>147,327</w:t>
            </w:r>
          </w:p>
        </w:tc>
        <w:tc>
          <w:tcPr>
            <w:tcW w:w="826" w:type="pct"/>
            <w:tcBorders>
              <w:top w:val="nil"/>
              <w:left w:val="nil"/>
              <w:bottom w:val="single" w:sz="4" w:space="0" w:color="auto"/>
              <w:right w:val="single" w:sz="4" w:space="0" w:color="auto"/>
            </w:tcBorders>
            <w:shd w:val="clear" w:color="auto" w:fill="auto"/>
            <w:noWrap/>
            <w:vAlign w:val="center"/>
            <w:hideMark/>
          </w:tcPr>
          <w:p w14:paraId="7C04F115" w14:textId="77777777" w:rsidR="00E360E5" w:rsidRPr="00025773" w:rsidRDefault="00E360E5" w:rsidP="003E4D05">
            <w:pPr>
              <w:pStyle w:val="Tabletext1"/>
              <w:jc w:val="center"/>
              <w:rPr>
                <w:rFonts w:cs="Calibri"/>
                <w:b/>
                <w:bCs/>
                <w:color w:val="000000"/>
              </w:rPr>
            </w:pPr>
            <w:r w:rsidRPr="007D0132">
              <w:rPr>
                <w:b/>
              </w:rPr>
              <w:t>149,471</w:t>
            </w:r>
          </w:p>
        </w:tc>
        <w:tc>
          <w:tcPr>
            <w:tcW w:w="826" w:type="pct"/>
            <w:tcBorders>
              <w:top w:val="nil"/>
              <w:left w:val="nil"/>
              <w:bottom w:val="single" w:sz="4" w:space="0" w:color="auto"/>
              <w:right w:val="single" w:sz="4" w:space="0" w:color="auto"/>
            </w:tcBorders>
            <w:shd w:val="clear" w:color="auto" w:fill="auto"/>
            <w:noWrap/>
            <w:vAlign w:val="center"/>
            <w:hideMark/>
          </w:tcPr>
          <w:p w14:paraId="64A19C80" w14:textId="77777777" w:rsidR="00E360E5" w:rsidRPr="00025773" w:rsidRDefault="00E360E5" w:rsidP="003E4D05">
            <w:pPr>
              <w:pStyle w:val="Tabletext1"/>
              <w:jc w:val="center"/>
              <w:rPr>
                <w:rFonts w:cs="Calibri"/>
                <w:b/>
                <w:bCs/>
                <w:color w:val="000000"/>
              </w:rPr>
            </w:pPr>
            <w:r w:rsidRPr="007D0132">
              <w:rPr>
                <w:b/>
              </w:rPr>
              <w:t>151,540</w:t>
            </w:r>
          </w:p>
        </w:tc>
        <w:tc>
          <w:tcPr>
            <w:tcW w:w="826" w:type="pct"/>
            <w:tcBorders>
              <w:top w:val="nil"/>
              <w:left w:val="nil"/>
              <w:bottom w:val="single" w:sz="4" w:space="0" w:color="auto"/>
              <w:right w:val="single" w:sz="4" w:space="0" w:color="auto"/>
            </w:tcBorders>
            <w:shd w:val="clear" w:color="auto" w:fill="auto"/>
            <w:noWrap/>
            <w:vAlign w:val="center"/>
            <w:hideMark/>
          </w:tcPr>
          <w:p w14:paraId="26FDCDAB" w14:textId="77777777" w:rsidR="00E360E5" w:rsidRPr="00025773" w:rsidRDefault="00E360E5" w:rsidP="003E4D05">
            <w:pPr>
              <w:pStyle w:val="Tabletext1"/>
              <w:jc w:val="center"/>
              <w:rPr>
                <w:rFonts w:cs="Calibri"/>
                <w:b/>
                <w:bCs/>
                <w:color w:val="000000"/>
              </w:rPr>
            </w:pPr>
            <w:r w:rsidRPr="007D0132">
              <w:rPr>
                <w:b/>
              </w:rPr>
              <w:t>153,530</w:t>
            </w:r>
          </w:p>
        </w:tc>
        <w:tc>
          <w:tcPr>
            <w:tcW w:w="826" w:type="pct"/>
            <w:tcBorders>
              <w:top w:val="nil"/>
              <w:left w:val="nil"/>
              <w:bottom w:val="single" w:sz="4" w:space="0" w:color="auto"/>
              <w:right w:val="single" w:sz="4" w:space="0" w:color="auto"/>
            </w:tcBorders>
            <w:shd w:val="clear" w:color="auto" w:fill="auto"/>
            <w:noWrap/>
            <w:vAlign w:val="center"/>
            <w:hideMark/>
          </w:tcPr>
          <w:p w14:paraId="71C7D390" w14:textId="77777777" w:rsidR="00E360E5" w:rsidRPr="00025773" w:rsidRDefault="00E360E5" w:rsidP="003E4D05">
            <w:pPr>
              <w:pStyle w:val="Tabletext1"/>
              <w:jc w:val="center"/>
              <w:rPr>
                <w:rFonts w:cs="Calibri"/>
                <w:b/>
                <w:bCs/>
                <w:color w:val="000000"/>
              </w:rPr>
            </w:pPr>
            <w:r w:rsidRPr="007D0132">
              <w:rPr>
                <w:b/>
              </w:rPr>
              <w:t>155,</w:t>
            </w:r>
            <w:r>
              <w:rPr>
                <w:rFonts w:cs="Calibri"/>
                <w:b/>
                <w:bCs/>
                <w:color w:val="000000"/>
              </w:rPr>
              <w:t>437</w:t>
            </w:r>
          </w:p>
        </w:tc>
      </w:tr>
      <w:tr w:rsidR="00E360E5" w:rsidRPr="00025773" w14:paraId="0E58C401" w14:textId="77777777" w:rsidTr="00A21A7F">
        <w:trPr>
          <w:trHeight w:val="520"/>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07C9DE8" w14:textId="77777777" w:rsidR="00E360E5" w:rsidRPr="00025773" w:rsidRDefault="00E360E5" w:rsidP="003E4D05">
            <w:pPr>
              <w:pStyle w:val="Tabletext1"/>
              <w:rPr>
                <w:rFonts w:cs="Calibri"/>
                <w:b/>
                <w:bCs/>
                <w:color w:val="000000"/>
              </w:rPr>
            </w:pPr>
            <w:r w:rsidRPr="007D0132">
              <w:rPr>
                <w:b/>
              </w:rPr>
              <w:t>Selected cancer</w:t>
            </w:r>
            <w:r>
              <w:rPr>
                <w:rFonts w:cs="Calibri"/>
                <w:b/>
                <w:bCs/>
                <w:color w:val="000000"/>
              </w:rPr>
              <w:t>s</w:t>
            </w:r>
            <w:r w:rsidRPr="00B31C90">
              <w:rPr>
                <w:rFonts w:cs="Calibri"/>
                <w:b/>
                <w:bCs/>
                <w:color w:val="000000"/>
              </w:rPr>
              <w:t xml:space="preserve"> as % of </w:t>
            </w:r>
            <w:r>
              <w:rPr>
                <w:rFonts w:cs="Calibri"/>
                <w:b/>
                <w:bCs/>
                <w:color w:val="000000"/>
              </w:rPr>
              <w:t>over</w:t>
            </w:r>
            <w:r w:rsidRPr="00B31C90">
              <w:rPr>
                <w:rFonts w:cs="Calibri"/>
                <w:b/>
                <w:bCs/>
                <w:color w:val="000000"/>
              </w:rPr>
              <w:t>all</w:t>
            </w:r>
          </w:p>
        </w:tc>
        <w:tc>
          <w:tcPr>
            <w:tcW w:w="826" w:type="pct"/>
            <w:tcBorders>
              <w:top w:val="nil"/>
              <w:left w:val="nil"/>
              <w:bottom w:val="single" w:sz="4" w:space="0" w:color="auto"/>
              <w:right w:val="single" w:sz="4" w:space="0" w:color="auto"/>
            </w:tcBorders>
            <w:shd w:val="clear" w:color="auto" w:fill="auto"/>
            <w:vAlign w:val="center"/>
            <w:hideMark/>
          </w:tcPr>
          <w:p w14:paraId="27C2C551" w14:textId="77777777" w:rsidR="00E360E5" w:rsidRPr="00025773" w:rsidRDefault="00E360E5" w:rsidP="003E4D05">
            <w:pPr>
              <w:pStyle w:val="Tabletext1"/>
              <w:jc w:val="center"/>
              <w:rPr>
                <w:rFonts w:cs="Calibri"/>
                <w:b/>
                <w:bCs/>
                <w:color w:val="000000"/>
              </w:rPr>
            </w:pPr>
            <w:r w:rsidRPr="007D0132">
              <w:rPr>
                <w:b/>
              </w:rPr>
              <w:t>50.2%</w:t>
            </w:r>
          </w:p>
        </w:tc>
        <w:tc>
          <w:tcPr>
            <w:tcW w:w="826" w:type="pct"/>
            <w:tcBorders>
              <w:top w:val="nil"/>
              <w:left w:val="nil"/>
              <w:bottom w:val="single" w:sz="4" w:space="0" w:color="auto"/>
              <w:right w:val="single" w:sz="4" w:space="0" w:color="auto"/>
            </w:tcBorders>
            <w:shd w:val="clear" w:color="auto" w:fill="auto"/>
            <w:vAlign w:val="center"/>
            <w:hideMark/>
          </w:tcPr>
          <w:p w14:paraId="76188DD0" w14:textId="77777777" w:rsidR="00E360E5" w:rsidRPr="00025773" w:rsidRDefault="00E360E5" w:rsidP="003E4D05">
            <w:pPr>
              <w:pStyle w:val="Tabletext1"/>
              <w:jc w:val="center"/>
              <w:rPr>
                <w:rFonts w:cs="Calibri"/>
                <w:b/>
                <w:bCs/>
                <w:color w:val="000000"/>
              </w:rPr>
            </w:pPr>
            <w:r w:rsidRPr="007D0132">
              <w:rPr>
                <w:b/>
              </w:rPr>
              <w:t>50.5%</w:t>
            </w:r>
          </w:p>
        </w:tc>
        <w:tc>
          <w:tcPr>
            <w:tcW w:w="826" w:type="pct"/>
            <w:tcBorders>
              <w:top w:val="nil"/>
              <w:left w:val="nil"/>
              <w:bottom w:val="single" w:sz="4" w:space="0" w:color="auto"/>
              <w:right w:val="single" w:sz="4" w:space="0" w:color="auto"/>
            </w:tcBorders>
            <w:shd w:val="clear" w:color="auto" w:fill="auto"/>
            <w:vAlign w:val="center"/>
            <w:hideMark/>
          </w:tcPr>
          <w:p w14:paraId="27055927" w14:textId="77777777" w:rsidR="00E360E5" w:rsidRPr="00025773" w:rsidRDefault="00E360E5" w:rsidP="003E4D05">
            <w:pPr>
              <w:pStyle w:val="Tabletext1"/>
              <w:jc w:val="center"/>
              <w:rPr>
                <w:rFonts w:cs="Calibri"/>
                <w:b/>
                <w:bCs/>
                <w:color w:val="000000"/>
              </w:rPr>
            </w:pPr>
            <w:r w:rsidRPr="007D0132">
              <w:rPr>
                <w:b/>
              </w:rPr>
              <w:t>50.8%</w:t>
            </w:r>
          </w:p>
        </w:tc>
        <w:tc>
          <w:tcPr>
            <w:tcW w:w="826" w:type="pct"/>
            <w:tcBorders>
              <w:top w:val="nil"/>
              <w:left w:val="nil"/>
              <w:bottom w:val="single" w:sz="4" w:space="0" w:color="auto"/>
              <w:right w:val="single" w:sz="4" w:space="0" w:color="auto"/>
            </w:tcBorders>
            <w:shd w:val="clear" w:color="auto" w:fill="auto"/>
            <w:vAlign w:val="center"/>
            <w:hideMark/>
          </w:tcPr>
          <w:p w14:paraId="1339F8EC" w14:textId="77777777" w:rsidR="00E360E5" w:rsidRPr="00025773" w:rsidRDefault="00E360E5" w:rsidP="003E4D05">
            <w:pPr>
              <w:pStyle w:val="Tabletext1"/>
              <w:jc w:val="center"/>
              <w:rPr>
                <w:rFonts w:cs="Calibri"/>
                <w:b/>
                <w:bCs/>
                <w:color w:val="000000"/>
              </w:rPr>
            </w:pPr>
            <w:r w:rsidRPr="007D0132">
              <w:rPr>
                <w:b/>
              </w:rPr>
              <w:t>51.1%</w:t>
            </w:r>
          </w:p>
        </w:tc>
        <w:tc>
          <w:tcPr>
            <w:tcW w:w="826" w:type="pct"/>
            <w:tcBorders>
              <w:top w:val="nil"/>
              <w:left w:val="nil"/>
              <w:bottom w:val="single" w:sz="4" w:space="0" w:color="auto"/>
              <w:right w:val="single" w:sz="4" w:space="0" w:color="auto"/>
            </w:tcBorders>
            <w:shd w:val="clear" w:color="auto" w:fill="auto"/>
            <w:vAlign w:val="center"/>
            <w:hideMark/>
          </w:tcPr>
          <w:p w14:paraId="320F41B6" w14:textId="77777777" w:rsidR="00E360E5" w:rsidRPr="00025773" w:rsidRDefault="00E360E5" w:rsidP="003E4D05">
            <w:pPr>
              <w:pStyle w:val="Tabletext1"/>
              <w:jc w:val="center"/>
              <w:rPr>
                <w:rFonts w:cs="Calibri"/>
                <w:b/>
                <w:bCs/>
                <w:color w:val="000000"/>
              </w:rPr>
            </w:pPr>
            <w:r w:rsidRPr="007D0132">
              <w:rPr>
                <w:b/>
              </w:rPr>
              <w:t>51.4%</w:t>
            </w:r>
          </w:p>
        </w:tc>
      </w:tr>
    </w:tbl>
    <w:p w14:paraId="5EA7ABF5" w14:textId="10403774" w:rsidR="00E360E5" w:rsidRPr="00411D51" w:rsidRDefault="00E360E5" w:rsidP="009D6338">
      <w:pPr>
        <w:pStyle w:val="Tablenotes0"/>
        <w:jc w:val="left"/>
      </w:pPr>
      <w:r w:rsidRPr="00411D51">
        <w:t>Source: Based on projections of historical data from Cancer Australia, 2019 (</w:t>
      </w:r>
      <w:hyperlink r:id="rId34" w:history="1">
        <w:r w:rsidRPr="00411D51">
          <w:rPr>
            <w:rStyle w:val="Hyperlink"/>
            <w:color w:val="auto"/>
            <w:u w:val="none"/>
          </w:rPr>
          <w:t>https://ncci.canceraustralia.gov.au/diagnosis/cancer-incidence/cancer-incidence</w:t>
        </w:r>
      </w:hyperlink>
      <w:r w:rsidRPr="00411D51">
        <w:t>) and the AIHW, 2020 (</w:t>
      </w:r>
      <w:hyperlink r:id="rId35" w:history="1">
        <w:r w:rsidRPr="00411D51">
          <w:rPr>
            <w:rStyle w:val="Hyperlink"/>
            <w:color w:val="auto"/>
            <w:u w:val="none"/>
          </w:rPr>
          <w:t>https://www.aihw.gov.au/reports/cancer/cancer-data-in-australia/contents/cancer-summary-data-visualisation</w:t>
        </w:r>
      </w:hyperlink>
      <w:r w:rsidRPr="00411D51">
        <w:t xml:space="preserve">) </w:t>
      </w:r>
      <w:r w:rsidR="00411D51">
        <w:br/>
      </w:r>
      <w:r w:rsidRPr="00411D51">
        <w:t>Note: Cancer indications reflect those identified by the Applicant as currently being use for, and likely to, or having the potential to, be treated by MR-IGRT. No indication-specific data on oligometastatic data was found; based on oligometastatic treatment to date in Australia, the oligometastatic projections assume the underlying cancer is prostate cancer.  Applying estimated proportions of prostate cancers that are locally advanced as a proxy for oligometastatic disease state.</w:t>
      </w:r>
    </w:p>
    <w:p w14:paraId="0AFF1A47" w14:textId="77777777" w:rsidR="00E360E5" w:rsidRDefault="00E360E5" w:rsidP="00E360E5">
      <w:pPr>
        <w:pStyle w:val="Heading4"/>
      </w:pPr>
      <w:r>
        <w:t>Radiation therapy use in Australia</w:t>
      </w:r>
    </w:p>
    <w:p w14:paraId="779FCAEA" w14:textId="0F4C0A63" w:rsidR="00E360E5" w:rsidRDefault="00E360E5" w:rsidP="00E360E5">
      <w:pPr>
        <w:jc w:val="both"/>
      </w:pPr>
      <w:r>
        <w:t xml:space="preserve">The AIHW has reported on the use of radiation therapy in Australia from the 2013-14 calendar year.  The AIHW annual report defines radiotherapy as </w:t>
      </w:r>
      <w:r w:rsidRPr="00FE40CF">
        <w:t xml:space="preserve">a series of one or more </w:t>
      </w:r>
      <w:r>
        <w:t>EBRT</w:t>
      </w:r>
      <w:r w:rsidRPr="00FE40CF">
        <w:t xml:space="preserve"> treatments prescribed by a radiation oncologist.</w:t>
      </w:r>
      <w:r>
        <w:t xml:space="preserve">  </w:t>
      </w:r>
      <w:r>
        <w:fldChar w:fldCharType="begin"/>
      </w:r>
      <w:r>
        <w:instrText xml:space="preserve"> REF _Ref58700378 \h </w:instrText>
      </w:r>
      <w:r>
        <w:fldChar w:fldCharType="separate"/>
      </w:r>
      <w:r w:rsidR="00451350">
        <w:t xml:space="preserve">Table </w:t>
      </w:r>
      <w:r w:rsidR="00451350">
        <w:rPr>
          <w:noProof/>
        </w:rPr>
        <w:t>58</w:t>
      </w:r>
      <w:r>
        <w:fldChar w:fldCharType="end"/>
      </w:r>
      <w:r>
        <w:t xml:space="preserve"> summarises estimated annual courses of radiation therapy since 2013-14.  Growth in radiation therapy use has steadily risen during this period.  It should be noted data is reflective of the proportion of radiation therapy centres in Australia participating in data collection</w:t>
      </w:r>
      <w:r w:rsidR="003F6BD2">
        <w:t>, with full participation in the annual reporting achieved in 2016-17.  Overall, there has been steady growth in in the use of EBRT therapy in Australia in the last six financial y</w:t>
      </w:r>
      <w:r w:rsidR="003172DA">
        <w:t>ears, with courses of EBRT approaching 50</w:t>
      </w:r>
      <w:r w:rsidR="001A3DF9">
        <w:t>%</w:t>
      </w:r>
      <w:r w:rsidR="003172DA">
        <w:t xml:space="preserve"> of all Australian cancer incidence numbers.</w:t>
      </w:r>
    </w:p>
    <w:p w14:paraId="48386AE5" w14:textId="3FCFF0F4" w:rsidR="00E360E5" w:rsidRDefault="00E360E5" w:rsidP="006D66DC">
      <w:pPr>
        <w:pStyle w:val="Caption"/>
        <w:keepNext/>
      </w:pPr>
      <w:bookmarkStart w:id="632" w:name="_Ref58700378"/>
      <w:bookmarkStart w:id="633" w:name="_Ref58700370"/>
      <w:bookmarkStart w:id="634" w:name="_Toc89857929"/>
      <w:r>
        <w:lastRenderedPageBreak/>
        <w:t xml:space="preserve">Table </w:t>
      </w:r>
      <w:r w:rsidR="00211285">
        <w:fldChar w:fldCharType="begin"/>
      </w:r>
      <w:r w:rsidR="00211285">
        <w:instrText xml:space="preserve"> SEQ Table \* ARABIC </w:instrText>
      </w:r>
      <w:r w:rsidR="00211285">
        <w:fldChar w:fldCharType="separate"/>
      </w:r>
      <w:r w:rsidR="00451350">
        <w:rPr>
          <w:noProof/>
        </w:rPr>
        <w:t>58</w:t>
      </w:r>
      <w:r w:rsidR="00211285">
        <w:rPr>
          <w:noProof/>
        </w:rPr>
        <w:fldChar w:fldCharType="end"/>
      </w:r>
      <w:bookmarkEnd w:id="632"/>
      <w:r>
        <w:tab/>
        <w:t>Courses of EBRT delivered in Australia, 2013-14 to 2018-19</w:t>
      </w:r>
      <w:bookmarkEnd w:id="633"/>
      <w:bookmarkEnd w:id="634"/>
      <w:r>
        <w:t xml:space="preserve"> </w:t>
      </w:r>
    </w:p>
    <w:tbl>
      <w:tblPr>
        <w:tblStyle w:val="TableGrid1"/>
        <w:tblW w:w="5000" w:type="pct"/>
        <w:tblLook w:val="04A0" w:firstRow="1" w:lastRow="0" w:firstColumn="1" w:lastColumn="0" w:noHBand="0" w:noVBand="1"/>
      </w:tblPr>
      <w:tblGrid>
        <w:gridCol w:w="2785"/>
        <w:gridCol w:w="2827"/>
        <w:gridCol w:w="3404"/>
      </w:tblGrid>
      <w:tr w:rsidR="00E360E5" w:rsidRPr="005C3755" w14:paraId="7EC7B5D2" w14:textId="77777777" w:rsidTr="00A21A7F">
        <w:trPr>
          <w:cnfStyle w:val="100000000000" w:firstRow="1" w:lastRow="0" w:firstColumn="0" w:lastColumn="0" w:oddVBand="0" w:evenVBand="0" w:oddHBand="0" w:evenHBand="0" w:firstRowFirstColumn="0" w:firstRowLastColumn="0" w:lastRowFirstColumn="0" w:lastRowLastColumn="0"/>
          <w:trHeight w:val="454"/>
          <w:tblHeader/>
        </w:trPr>
        <w:tc>
          <w:tcPr>
            <w:tcW w:w="1544" w:type="pct"/>
            <w:shd w:val="clear" w:color="auto" w:fill="auto"/>
            <w:vAlign w:val="center"/>
            <w:hideMark/>
          </w:tcPr>
          <w:p w14:paraId="37699EA5" w14:textId="77777777" w:rsidR="00E360E5" w:rsidRPr="005C3755" w:rsidRDefault="00E360E5" w:rsidP="006D66DC">
            <w:pPr>
              <w:pStyle w:val="Tabletext1"/>
              <w:keepNext/>
              <w:rPr>
                <w:rFonts w:cs="Calibri"/>
                <w:b/>
                <w:bCs/>
                <w:color w:val="000000"/>
              </w:rPr>
            </w:pPr>
            <w:r w:rsidRPr="007D0132">
              <w:rPr>
                <w:b/>
              </w:rPr>
              <w:t>Financial year</w:t>
            </w:r>
          </w:p>
        </w:tc>
        <w:tc>
          <w:tcPr>
            <w:tcW w:w="1568" w:type="pct"/>
            <w:shd w:val="clear" w:color="auto" w:fill="auto"/>
            <w:vAlign w:val="center"/>
            <w:hideMark/>
          </w:tcPr>
          <w:p w14:paraId="69F7F668" w14:textId="77777777" w:rsidR="00E360E5" w:rsidRPr="005C3755" w:rsidRDefault="00E360E5" w:rsidP="006D66DC">
            <w:pPr>
              <w:pStyle w:val="Tabletext1"/>
              <w:keepNext/>
              <w:jc w:val="center"/>
              <w:rPr>
                <w:rFonts w:cs="Calibri"/>
                <w:b/>
                <w:bCs/>
                <w:color w:val="000000"/>
              </w:rPr>
            </w:pPr>
            <w:r w:rsidRPr="007D0132">
              <w:rPr>
                <w:b/>
              </w:rPr>
              <w:t>Courses of Radiation therapy</w:t>
            </w:r>
          </w:p>
        </w:tc>
        <w:tc>
          <w:tcPr>
            <w:tcW w:w="1888" w:type="pct"/>
            <w:shd w:val="clear" w:color="auto" w:fill="auto"/>
            <w:vAlign w:val="center"/>
            <w:hideMark/>
          </w:tcPr>
          <w:p w14:paraId="68B4E525" w14:textId="77777777" w:rsidR="00E360E5" w:rsidRPr="005C3755" w:rsidRDefault="00E360E5" w:rsidP="006D66DC">
            <w:pPr>
              <w:pStyle w:val="Tabletext1"/>
              <w:keepNext/>
              <w:jc w:val="center"/>
              <w:rPr>
                <w:rFonts w:cs="Calibri"/>
                <w:b/>
                <w:bCs/>
                <w:color w:val="000000"/>
              </w:rPr>
            </w:pPr>
            <w:r w:rsidRPr="007D0132">
              <w:rPr>
                <w:b/>
              </w:rPr>
              <w:t xml:space="preserve">% </w:t>
            </w:r>
            <w:r w:rsidRPr="005C3755">
              <w:rPr>
                <w:rFonts w:cs="Calibri"/>
                <w:b/>
                <w:bCs/>
                <w:color w:val="000000"/>
              </w:rPr>
              <w:t>radiation centres participating</w:t>
            </w:r>
          </w:p>
        </w:tc>
      </w:tr>
      <w:tr w:rsidR="00E360E5" w:rsidRPr="005C3755" w14:paraId="70858FB7" w14:textId="77777777" w:rsidTr="00A21A7F">
        <w:trPr>
          <w:trHeight w:val="290"/>
        </w:trPr>
        <w:tc>
          <w:tcPr>
            <w:tcW w:w="1544" w:type="pct"/>
            <w:shd w:val="clear" w:color="auto" w:fill="auto"/>
            <w:vAlign w:val="center"/>
            <w:hideMark/>
          </w:tcPr>
          <w:p w14:paraId="4E974362" w14:textId="77777777" w:rsidR="00E360E5" w:rsidRPr="005C3755" w:rsidRDefault="00E360E5" w:rsidP="006D66DC">
            <w:pPr>
              <w:pStyle w:val="Tabletext1"/>
              <w:keepNext/>
              <w:rPr>
                <w:rFonts w:cs="Calibri"/>
              </w:rPr>
            </w:pPr>
            <w:r w:rsidRPr="005C3755">
              <w:t>2013–14</w:t>
            </w:r>
          </w:p>
        </w:tc>
        <w:tc>
          <w:tcPr>
            <w:tcW w:w="1568" w:type="pct"/>
            <w:shd w:val="clear" w:color="auto" w:fill="auto"/>
            <w:vAlign w:val="center"/>
            <w:hideMark/>
          </w:tcPr>
          <w:p w14:paraId="1C00D774" w14:textId="77777777" w:rsidR="00E360E5" w:rsidRPr="005C3755" w:rsidRDefault="00E360E5" w:rsidP="006D66DC">
            <w:pPr>
              <w:pStyle w:val="Tabletext1"/>
              <w:keepNext/>
              <w:jc w:val="center"/>
              <w:rPr>
                <w:rFonts w:cs="Calibri"/>
                <w:color w:val="000000"/>
              </w:rPr>
            </w:pPr>
            <w:r w:rsidRPr="005C3755">
              <w:t>47,657</w:t>
            </w:r>
          </w:p>
        </w:tc>
        <w:tc>
          <w:tcPr>
            <w:tcW w:w="1888" w:type="pct"/>
            <w:shd w:val="clear" w:color="auto" w:fill="auto"/>
            <w:vAlign w:val="center"/>
            <w:hideMark/>
          </w:tcPr>
          <w:p w14:paraId="6756303D" w14:textId="77777777" w:rsidR="00E360E5" w:rsidRPr="00E41B82" w:rsidRDefault="00E360E5" w:rsidP="006D66DC">
            <w:pPr>
              <w:pStyle w:val="Tabletext1"/>
              <w:keepNext/>
              <w:jc w:val="center"/>
              <w:rPr>
                <w:rFonts w:cs="Calibri"/>
              </w:rPr>
            </w:pPr>
            <w:r w:rsidRPr="00E41B82">
              <w:t>81%</w:t>
            </w:r>
          </w:p>
        </w:tc>
      </w:tr>
      <w:tr w:rsidR="00E360E5" w:rsidRPr="005C3755" w14:paraId="133FB0C0" w14:textId="77777777" w:rsidTr="00A21A7F">
        <w:trPr>
          <w:trHeight w:val="290"/>
        </w:trPr>
        <w:tc>
          <w:tcPr>
            <w:tcW w:w="1544" w:type="pct"/>
            <w:shd w:val="clear" w:color="auto" w:fill="auto"/>
            <w:vAlign w:val="center"/>
            <w:hideMark/>
          </w:tcPr>
          <w:p w14:paraId="4EE74D7A" w14:textId="77777777" w:rsidR="00E360E5" w:rsidRPr="005C3755" w:rsidRDefault="00E360E5" w:rsidP="006D66DC">
            <w:pPr>
              <w:pStyle w:val="Tabletext1"/>
              <w:keepNext/>
              <w:rPr>
                <w:rFonts w:cs="Calibri"/>
              </w:rPr>
            </w:pPr>
            <w:r w:rsidRPr="005C3755">
              <w:t>2014–15</w:t>
            </w:r>
          </w:p>
        </w:tc>
        <w:tc>
          <w:tcPr>
            <w:tcW w:w="1568" w:type="pct"/>
            <w:shd w:val="clear" w:color="auto" w:fill="auto"/>
            <w:vAlign w:val="center"/>
            <w:hideMark/>
          </w:tcPr>
          <w:p w14:paraId="1A940DAD" w14:textId="77777777" w:rsidR="00E360E5" w:rsidRPr="005C3755" w:rsidRDefault="00E360E5" w:rsidP="006D66DC">
            <w:pPr>
              <w:pStyle w:val="Tabletext1"/>
              <w:keepNext/>
              <w:jc w:val="center"/>
              <w:rPr>
                <w:rFonts w:cs="Calibri"/>
                <w:color w:val="000000"/>
              </w:rPr>
            </w:pPr>
            <w:r w:rsidRPr="005C3755">
              <w:t>56,376</w:t>
            </w:r>
          </w:p>
        </w:tc>
        <w:tc>
          <w:tcPr>
            <w:tcW w:w="1888" w:type="pct"/>
            <w:shd w:val="clear" w:color="auto" w:fill="auto"/>
            <w:vAlign w:val="center"/>
            <w:hideMark/>
          </w:tcPr>
          <w:p w14:paraId="3CDD5CD8" w14:textId="77777777" w:rsidR="00E360E5" w:rsidRPr="00E41B82" w:rsidRDefault="00E360E5" w:rsidP="006D66DC">
            <w:pPr>
              <w:pStyle w:val="Tabletext1"/>
              <w:keepNext/>
              <w:jc w:val="center"/>
              <w:rPr>
                <w:rFonts w:cs="Calibri"/>
              </w:rPr>
            </w:pPr>
            <w:r w:rsidRPr="00E41B82">
              <w:t>93%</w:t>
            </w:r>
          </w:p>
        </w:tc>
      </w:tr>
      <w:tr w:rsidR="00E360E5" w:rsidRPr="005C3755" w14:paraId="5810E372" w14:textId="77777777" w:rsidTr="00A21A7F">
        <w:trPr>
          <w:trHeight w:val="290"/>
        </w:trPr>
        <w:tc>
          <w:tcPr>
            <w:tcW w:w="1544" w:type="pct"/>
            <w:shd w:val="clear" w:color="auto" w:fill="auto"/>
            <w:vAlign w:val="center"/>
            <w:hideMark/>
          </w:tcPr>
          <w:p w14:paraId="0D6C66E8" w14:textId="77777777" w:rsidR="00E360E5" w:rsidRPr="005C3755" w:rsidRDefault="00E360E5" w:rsidP="007D0132">
            <w:pPr>
              <w:pStyle w:val="Tabletext1"/>
              <w:rPr>
                <w:rFonts w:cs="Calibri"/>
              </w:rPr>
            </w:pPr>
            <w:r w:rsidRPr="005C3755">
              <w:t>2015–16</w:t>
            </w:r>
          </w:p>
        </w:tc>
        <w:tc>
          <w:tcPr>
            <w:tcW w:w="1568" w:type="pct"/>
            <w:shd w:val="clear" w:color="auto" w:fill="auto"/>
            <w:vAlign w:val="center"/>
            <w:hideMark/>
          </w:tcPr>
          <w:p w14:paraId="12B48BC1" w14:textId="77777777" w:rsidR="00E360E5" w:rsidRPr="005C3755" w:rsidRDefault="00E360E5" w:rsidP="007D0132">
            <w:pPr>
              <w:pStyle w:val="Tabletext1"/>
              <w:jc w:val="center"/>
              <w:rPr>
                <w:rFonts w:cs="Calibri"/>
                <w:color w:val="000000"/>
              </w:rPr>
            </w:pPr>
            <w:r w:rsidRPr="005C3755">
              <w:t>60,580</w:t>
            </w:r>
          </w:p>
        </w:tc>
        <w:tc>
          <w:tcPr>
            <w:tcW w:w="1888" w:type="pct"/>
            <w:shd w:val="clear" w:color="auto" w:fill="auto"/>
            <w:vAlign w:val="center"/>
            <w:hideMark/>
          </w:tcPr>
          <w:p w14:paraId="33622ACE" w14:textId="77777777" w:rsidR="00E360E5" w:rsidRPr="00E41B82" w:rsidRDefault="00E360E5" w:rsidP="007D0132">
            <w:pPr>
              <w:pStyle w:val="Tabletext1"/>
              <w:jc w:val="center"/>
              <w:rPr>
                <w:rFonts w:cs="Calibri"/>
              </w:rPr>
            </w:pPr>
            <w:r w:rsidRPr="00E41B82">
              <w:t>97%</w:t>
            </w:r>
          </w:p>
        </w:tc>
      </w:tr>
      <w:tr w:rsidR="00E360E5" w:rsidRPr="005C3755" w14:paraId="3867C48C" w14:textId="77777777" w:rsidTr="00A21A7F">
        <w:trPr>
          <w:trHeight w:val="290"/>
        </w:trPr>
        <w:tc>
          <w:tcPr>
            <w:tcW w:w="1544" w:type="pct"/>
            <w:shd w:val="clear" w:color="auto" w:fill="auto"/>
            <w:vAlign w:val="center"/>
            <w:hideMark/>
          </w:tcPr>
          <w:p w14:paraId="1AF2789D" w14:textId="77777777" w:rsidR="00E360E5" w:rsidRPr="005C3755" w:rsidRDefault="00E360E5" w:rsidP="007D0132">
            <w:pPr>
              <w:pStyle w:val="Tabletext1"/>
              <w:rPr>
                <w:rFonts w:cs="Calibri"/>
              </w:rPr>
            </w:pPr>
            <w:r w:rsidRPr="005C3755">
              <w:t>2016–17</w:t>
            </w:r>
          </w:p>
        </w:tc>
        <w:tc>
          <w:tcPr>
            <w:tcW w:w="1568" w:type="pct"/>
            <w:shd w:val="clear" w:color="auto" w:fill="auto"/>
            <w:vAlign w:val="center"/>
            <w:hideMark/>
          </w:tcPr>
          <w:p w14:paraId="6309DD99" w14:textId="77777777" w:rsidR="00E360E5" w:rsidRPr="005C3755" w:rsidRDefault="00E360E5" w:rsidP="007D0132">
            <w:pPr>
              <w:pStyle w:val="Tabletext1"/>
              <w:jc w:val="center"/>
              <w:rPr>
                <w:rFonts w:cs="Calibri"/>
                <w:color w:val="000000"/>
              </w:rPr>
            </w:pPr>
            <w:r w:rsidRPr="005C3755">
              <w:t>63,531</w:t>
            </w:r>
          </w:p>
        </w:tc>
        <w:tc>
          <w:tcPr>
            <w:tcW w:w="1888" w:type="pct"/>
            <w:shd w:val="clear" w:color="auto" w:fill="auto"/>
            <w:vAlign w:val="center"/>
            <w:hideMark/>
          </w:tcPr>
          <w:p w14:paraId="0C872A20" w14:textId="77777777" w:rsidR="00E360E5" w:rsidRPr="00E41B82" w:rsidRDefault="00E360E5" w:rsidP="007D0132">
            <w:pPr>
              <w:pStyle w:val="Tabletext1"/>
              <w:jc w:val="center"/>
              <w:rPr>
                <w:rFonts w:cs="Calibri"/>
              </w:rPr>
            </w:pPr>
            <w:r w:rsidRPr="00E41B82">
              <w:t>100%</w:t>
            </w:r>
            <w:r w:rsidRPr="00E41B82">
              <w:rPr>
                <w:rFonts w:cs="Calibri"/>
                <w:vertAlign w:val="superscript"/>
              </w:rPr>
              <w:t>(a)</w:t>
            </w:r>
          </w:p>
        </w:tc>
      </w:tr>
      <w:tr w:rsidR="00E360E5" w:rsidRPr="005C3755" w14:paraId="3CE3FDC5" w14:textId="77777777" w:rsidTr="00A21A7F">
        <w:trPr>
          <w:trHeight w:val="290"/>
        </w:trPr>
        <w:tc>
          <w:tcPr>
            <w:tcW w:w="1544" w:type="pct"/>
            <w:shd w:val="clear" w:color="auto" w:fill="auto"/>
            <w:vAlign w:val="center"/>
            <w:hideMark/>
          </w:tcPr>
          <w:p w14:paraId="7FEC0E2A" w14:textId="77777777" w:rsidR="00E360E5" w:rsidRPr="005C3755" w:rsidRDefault="00E360E5" w:rsidP="007D0132">
            <w:pPr>
              <w:pStyle w:val="Tabletext1"/>
              <w:rPr>
                <w:rFonts w:cs="Calibri"/>
              </w:rPr>
            </w:pPr>
            <w:r w:rsidRPr="005C3755">
              <w:t>2017–18</w:t>
            </w:r>
          </w:p>
        </w:tc>
        <w:tc>
          <w:tcPr>
            <w:tcW w:w="1568" w:type="pct"/>
            <w:shd w:val="clear" w:color="auto" w:fill="auto"/>
            <w:vAlign w:val="center"/>
            <w:hideMark/>
          </w:tcPr>
          <w:p w14:paraId="1DE86343" w14:textId="77777777" w:rsidR="00E360E5" w:rsidRPr="005C3755" w:rsidRDefault="00E360E5" w:rsidP="007D0132">
            <w:pPr>
              <w:pStyle w:val="Tabletext1"/>
              <w:jc w:val="center"/>
              <w:rPr>
                <w:rFonts w:cs="Calibri"/>
                <w:color w:val="000000"/>
              </w:rPr>
            </w:pPr>
            <w:r w:rsidRPr="005C3755">
              <w:t>67,773</w:t>
            </w:r>
          </w:p>
        </w:tc>
        <w:tc>
          <w:tcPr>
            <w:tcW w:w="1888" w:type="pct"/>
            <w:shd w:val="clear" w:color="auto" w:fill="auto"/>
            <w:vAlign w:val="center"/>
            <w:hideMark/>
          </w:tcPr>
          <w:p w14:paraId="7734BA82" w14:textId="77777777" w:rsidR="00E360E5" w:rsidRPr="00E41B82" w:rsidRDefault="00E360E5" w:rsidP="007D0132">
            <w:pPr>
              <w:pStyle w:val="Tabletext1"/>
              <w:jc w:val="center"/>
              <w:rPr>
                <w:rFonts w:cs="Calibri"/>
              </w:rPr>
            </w:pPr>
            <w:r w:rsidRPr="00E41B82">
              <w:t>99%</w:t>
            </w:r>
          </w:p>
        </w:tc>
      </w:tr>
      <w:tr w:rsidR="00E360E5" w:rsidRPr="005C3755" w14:paraId="69F353C9" w14:textId="77777777" w:rsidTr="00A21A7F">
        <w:trPr>
          <w:trHeight w:val="290"/>
        </w:trPr>
        <w:tc>
          <w:tcPr>
            <w:tcW w:w="1544" w:type="pct"/>
            <w:shd w:val="clear" w:color="auto" w:fill="auto"/>
            <w:vAlign w:val="center"/>
            <w:hideMark/>
          </w:tcPr>
          <w:p w14:paraId="118B41D1" w14:textId="77777777" w:rsidR="00E360E5" w:rsidRPr="005C3755" w:rsidRDefault="00E360E5" w:rsidP="007D0132">
            <w:pPr>
              <w:pStyle w:val="Tabletext1"/>
              <w:rPr>
                <w:rFonts w:cs="Calibri"/>
              </w:rPr>
            </w:pPr>
            <w:r w:rsidRPr="005C3755">
              <w:t>2018–19</w:t>
            </w:r>
          </w:p>
        </w:tc>
        <w:tc>
          <w:tcPr>
            <w:tcW w:w="1568" w:type="pct"/>
            <w:shd w:val="clear" w:color="auto" w:fill="auto"/>
            <w:vAlign w:val="center"/>
            <w:hideMark/>
          </w:tcPr>
          <w:p w14:paraId="26689AD6" w14:textId="77777777" w:rsidR="00E360E5" w:rsidRPr="005C3755" w:rsidRDefault="00E360E5" w:rsidP="007D0132">
            <w:pPr>
              <w:pStyle w:val="Tabletext1"/>
              <w:jc w:val="center"/>
              <w:rPr>
                <w:rFonts w:cs="Calibri"/>
                <w:color w:val="000000"/>
              </w:rPr>
            </w:pPr>
            <w:r w:rsidRPr="005C3755">
              <w:t>74,199</w:t>
            </w:r>
          </w:p>
        </w:tc>
        <w:tc>
          <w:tcPr>
            <w:tcW w:w="1888" w:type="pct"/>
            <w:shd w:val="clear" w:color="auto" w:fill="auto"/>
            <w:vAlign w:val="center"/>
            <w:hideMark/>
          </w:tcPr>
          <w:p w14:paraId="1608C828" w14:textId="77777777" w:rsidR="00E360E5" w:rsidRPr="00E41B82" w:rsidRDefault="00E360E5" w:rsidP="007D0132">
            <w:pPr>
              <w:pStyle w:val="Tabletext1"/>
              <w:jc w:val="center"/>
              <w:rPr>
                <w:rFonts w:cs="Calibri"/>
              </w:rPr>
            </w:pPr>
            <w:r w:rsidRPr="00E41B82">
              <w:t>99%</w:t>
            </w:r>
          </w:p>
        </w:tc>
      </w:tr>
    </w:tbl>
    <w:p w14:paraId="3C278CCF" w14:textId="0F6AFB52" w:rsidR="00E360E5" w:rsidRDefault="00E360E5" w:rsidP="00411D51">
      <w:pPr>
        <w:pStyle w:val="Tablenotes0"/>
        <w:jc w:val="left"/>
      </w:pPr>
      <w:r>
        <w:t>Source: AIHW, 2020.  Radiotherapy in Australia, 2018-19</w:t>
      </w:r>
      <w:r w:rsidR="00411D51">
        <w:br/>
      </w:r>
      <w:r>
        <w:t xml:space="preserve">Note: a) </w:t>
      </w:r>
      <w:r w:rsidRPr="005C3755">
        <w:t>Rounded to 100%, 0.4% of records (250 records) were missing waiting times data.</w:t>
      </w:r>
      <w:r w:rsidR="00411D51">
        <w:br/>
      </w:r>
      <w:r>
        <w:t>Abbreviations: EBRT=external beam radiation therapy</w:t>
      </w:r>
    </w:p>
    <w:p w14:paraId="5FF40F9F" w14:textId="4E010182" w:rsidR="00E360E5" w:rsidRDefault="00E360E5" w:rsidP="00E360E5">
      <w:pPr>
        <w:spacing w:after="0"/>
        <w:jc w:val="both"/>
      </w:pPr>
      <w:r w:rsidRPr="00312AB4">
        <w:rPr>
          <w:rFonts w:asciiTheme="minorHAnsi" w:hAnsiTheme="minorHAnsi" w:cstheme="minorHAnsi"/>
        </w:rPr>
        <w:t>The breakdown of radiation therapy courses by indication between 2013-14 and 2018-19 is summarised in</w:t>
      </w:r>
      <w:r>
        <w:rPr>
          <w:rFonts w:asciiTheme="minorHAnsi" w:hAnsiTheme="minorHAnsi" w:cstheme="minorHAnsi"/>
        </w:rPr>
        <w:t xml:space="preserve"> </w:t>
      </w:r>
      <w:r w:rsidRPr="00312AB4">
        <w:rPr>
          <w:rFonts w:asciiTheme="minorHAnsi" w:hAnsiTheme="minorHAnsi" w:cstheme="minorHAnsi"/>
        </w:rPr>
        <w:fldChar w:fldCharType="begin"/>
      </w:r>
      <w:r w:rsidRPr="00312AB4">
        <w:rPr>
          <w:rFonts w:asciiTheme="minorHAnsi" w:hAnsiTheme="minorHAnsi" w:cstheme="minorHAnsi"/>
        </w:rPr>
        <w:instrText xml:space="preserve"> REF _Ref58747766 \h </w:instrText>
      </w:r>
      <w:r>
        <w:rPr>
          <w:rFonts w:asciiTheme="minorHAnsi" w:hAnsiTheme="minorHAnsi" w:cstheme="minorHAnsi"/>
        </w:rPr>
        <w:instrText xml:space="preserve"> \* MERGEFORMAT </w:instrText>
      </w:r>
      <w:r w:rsidRPr="00312AB4">
        <w:rPr>
          <w:rFonts w:asciiTheme="minorHAnsi" w:hAnsiTheme="minorHAnsi" w:cstheme="minorHAnsi"/>
        </w:rPr>
      </w:r>
      <w:r w:rsidRPr="00312AB4">
        <w:rPr>
          <w:rFonts w:asciiTheme="minorHAnsi" w:hAnsiTheme="minorHAnsi" w:cstheme="minorHAnsi"/>
        </w:rPr>
        <w:fldChar w:fldCharType="separate"/>
      </w:r>
      <w:r w:rsidR="00451350" w:rsidRPr="00451350">
        <w:rPr>
          <w:rFonts w:asciiTheme="minorHAnsi" w:hAnsiTheme="minorHAnsi" w:cstheme="minorHAnsi"/>
        </w:rPr>
        <w:t xml:space="preserve">Table </w:t>
      </w:r>
      <w:r w:rsidR="00451350" w:rsidRPr="00451350">
        <w:rPr>
          <w:rFonts w:asciiTheme="minorHAnsi" w:hAnsiTheme="minorHAnsi" w:cstheme="minorHAnsi"/>
          <w:noProof/>
        </w:rPr>
        <w:t>59</w:t>
      </w:r>
      <w:r w:rsidRPr="00312AB4">
        <w:rPr>
          <w:rFonts w:asciiTheme="minorHAnsi" w:hAnsiTheme="minorHAnsi" w:cstheme="minorHAnsi"/>
        </w:rPr>
        <w:fldChar w:fldCharType="end"/>
      </w:r>
      <w:r w:rsidRPr="00312AB4">
        <w:rPr>
          <w:rFonts w:asciiTheme="minorHAnsi" w:hAnsiTheme="minorHAnsi" w:cstheme="minorHAnsi"/>
        </w:rPr>
        <w:t>.</w:t>
      </w:r>
    </w:p>
    <w:p w14:paraId="20981CF4" w14:textId="7C9E4028" w:rsidR="00E360E5" w:rsidRDefault="00E360E5" w:rsidP="00E360E5">
      <w:pPr>
        <w:pStyle w:val="Caption"/>
      </w:pPr>
      <w:bookmarkStart w:id="635" w:name="_Ref58747766"/>
      <w:bookmarkStart w:id="636" w:name="_Ref58760127"/>
      <w:bookmarkStart w:id="637" w:name="_Toc89857930"/>
      <w:r>
        <w:t xml:space="preserve">Table </w:t>
      </w:r>
      <w:r w:rsidR="00211285">
        <w:fldChar w:fldCharType="begin"/>
      </w:r>
      <w:r w:rsidR="00211285">
        <w:instrText xml:space="preserve"> SEQ Table \* ARABIC </w:instrText>
      </w:r>
      <w:r w:rsidR="00211285">
        <w:fldChar w:fldCharType="separate"/>
      </w:r>
      <w:r w:rsidR="00451350">
        <w:rPr>
          <w:noProof/>
        </w:rPr>
        <w:t>59</w:t>
      </w:r>
      <w:r w:rsidR="00211285">
        <w:rPr>
          <w:noProof/>
        </w:rPr>
        <w:fldChar w:fldCharType="end"/>
      </w:r>
      <w:bookmarkEnd w:id="635"/>
      <w:r>
        <w:tab/>
        <w:t>EBRT courses by cancer indication, 2013-14 to 2019</w:t>
      </w:r>
      <w:bookmarkEnd w:id="636"/>
      <w:bookmarkEnd w:id="637"/>
    </w:p>
    <w:tbl>
      <w:tblPr>
        <w:tblStyle w:val="TableGrid"/>
        <w:tblW w:w="5000" w:type="pct"/>
        <w:tblLook w:val="04A0" w:firstRow="1" w:lastRow="0" w:firstColumn="1" w:lastColumn="0" w:noHBand="0" w:noVBand="1"/>
      </w:tblPr>
      <w:tblGrid>
        <w:gridCol w:w="1738"/>
        <w:gridCol w:w="1215"/>
        <w:gridCol w:w="1259"/>
        <w:gridCol w:w="1098"/>
        <w:gridCol w:w="1188"/>
        <w:gridCol w:w="1259"/>
        <w:gridCol w:w="1259"/>
      </w:tblGrid>
      <w:tr w:rsidR="00E360E5" w:rsidRPr="00444C82" w14:paraId="6AABCDC3" w14:textId="77777777" w:rsidTr="00A21A7F">
        <w:tc>
          <w:tcPr>
            <w:tcW w:w="964" w:type="pct"/>
            <w:vAlign w:val="center"/>
          </w:tcPr>
          <w:p w14:paraId="069B8E77" w14:textId="77777777" w:rsidR="00E360E5" w:rsidRPr="004749D7" w:rsidRDefault="00E360E5" w:rsidP="009E682D">
            <w:pPr>
              <w:spacing w:before="40" w:line="240" w:lineRule="auto"/>
              <w:ind w:left="0"/>
              <w:rPr>
                <w:rFonts w:ascii="Arial Narrow" w:hAnsi="Arial Narrow"/>
                <w:b/>
                <w:bCs/>
                <w:sz w:val="20"/>
                <w:szCs w:val="20"/>
              </w:rPr>
            </w:pPr>
            <w:r w:rsidRPr="004749D7">
              <w:rPr>
                <w:rFonts w:ascii="Arial Narrow" w:hAnsi="Arial Narrow" w:cs="Calibri"/>
                <w:b/>
                <w:bCs/>
                <w:color w:val="000000"/>
                <w:sz w:val="20"/>
                <w:szCs w:val="20"/>
              </w:rPr>
              <w:t>Indication</w:t>
            </w:r>
          </w:p>
        </w:tc>
        <w:tc>
          <w:tcPr>
            <w:tcW w:w="674" w:type="pct"/>
            <w:vAlign w:val="center"/>
          </w:tcPr>
          <w:p w14:paraId="18B52C32"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2013-14</w:t>
            </w:r>
          </w:p>
        </w:tc>
        <w:tc>
          <w:tcPr>
            <w:tcW w:w="698" w:type="pct"/>
            <w:vAlign w:val="center"/>
          </w:tcPr>
          <w:p w14:paraId="796D4025"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2014-15</w:t>
            </w:r>
          </w:p>
        </w:tc>
        <w:tc>
          <w:tcPr>
            <w:tcW w:w="609" w:type="pct"/>
            <w:vAlign w:val="center"/>
          </w:tcPr>
          <w:p w14:paraId="6F42BE4E"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2015-16</w:t>
            </w:r>
          </w:p>
        </w:tc>
        <w:tc>
          <w:tcPr>
            <w:tcW w:w="659" w:type="pct"/>
            <w:vAlign w:val="center"/>
          </w:tcPr>
          <w:p w14:paraId="6E8BA1B5"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2016-17</w:t>
            </w:r>
          </w:p>
        </w:tc>
        <w:tc>
          <w:tcPr>
            <w:tcW w:w="698" w:type="pct"/>
            <w:vAlign w:val="center"/>
          </w:tcPr>
          <w:p w14:paraId="7DC781D4"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2017-18</w:t>
            </w:r>
          </w:p>
        </w:tc>
        <w:tc>
          <w:tcPr>
            <w:tcW w:w="698" w:type="pct"/>
            <w:vAlign w:val="center"/>
          </w:tcPr>
          <w:p w14:paraId="69CCA390"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2018-19</w:t>
            </w:r>
          </w:p>
        </w:tc>
      </w:tr>
      <w:tr w:rsidR="00E360E5" w:rsidRPr="00444C82" w14:paraId="12E06095" w14:textId="77777777" w:rsidTr="00A21A7F">
        <w:tc>
          <w:tcPr>
            <w:tcW w:w="964" w:type="pct"/>
            <w:vAlign w:val="center"/>
          </w:tcPr>
          <w:p w14:paraId="5C0194BE"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Bladder cancer</w:t>
            </w:r>
          </w:p>
        </w:tc>
        <w:tc>
          <w:tcPr>
            <w:tcW w:w="674" w:type="pct"/>
            <w:vAlign w:val="center"/>
          </w:tcPr>
          <w:p w14:paraId="43B4343C"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464</w:t>
            </w:r>
          </w:p>
        </w:tc>
        <w:tc>
          <w:tcPr>
            <w:tcW w:w="698" w:type="pct"/>
            <w:vAlign w:val="center"/>
          </w:tcPr>
          <w:p w14:paraId="7344BB4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535</w:t>
            </w:r>
          </w:p>
        </w:tc>
        <w:tc>
          <w:tcPr>
            <w:tcW w:w="609" w:type="pct"/>
            <w:vAlign w:val="center"/>
          </w:tcPr>
          <w:p w14:paraId="2ED0CE89"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612</w:t>
            </w:r>
          </w:p>
        </w:tc>
        <w:tc>
          <w:tcPr>
            <w:tcW w:w="659" w:type="pct"/>
            <w:vAlign w:val="center"/>
          </w:tcPr>
          <w:p w14:paraId="1B90257A"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557</w:t>
            </w:r>
          </w:p>
        </w:tc>
        <w:tc>
          <w:tcPr>
            <w:tcW w:w="698" w:type="pct"/>
            <w:vAlign w:val="center"/>
          </w:tcPr>
          <w:p w14:paraId="03FA8CA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666</w:t>
            </w:r>
          </w:p>
        </w:tc>
        <w:tc>
          <w:tcPr>
            <w:tcW w:w="698" w:type="pct"/>
            <w:vAlign w:val="center"/>
          </w:tcPr>
          <w:p w14:paraId="3DF248D1"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639</w:t>
            </w:r>
          </w:p>
        </w:tc>
      </w:tr>
      <w:tr w:rsidR="00E360E5" w:rsidRPr="00444C82" w14:paraId="2344BC03" w14:textId="77777777" w:rsidTr="00A21A7F">
        <w:tc>
          <w:tcPr>
            <w:tcW w:w="964" w:type="pct"/>
            <w:vAlign w:val="center"/>
          </w:tcPr>
          <w:p w14:paraId="44E5E1C3"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Breast cancer </w:t>
            </w:r>
          </w:p>
        </w:tc>
        <w:tc>
          <w:tcPr>
            <w:tcW w:w="674" w:type="pct"/>
            <w:vAlign w:val="center"/>
          </w:tcPr>
          <w:p w14:paraId="4212C111"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10,831</w:t>
            </w:r>
          </w:p>
        </w:tc>
        <w:tc>
          <w:tcPr>
            <w:tcW w:w="698" w:type="pct"/>
            <w:vAlign w:val="center"/>
          </w:tcPr>
          <w:p w14:paraId="64859119"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12,716</w:t>
            </w:r>
          </w:p>
        </w:tc>
        <w:tc>
          <w:tcPr>
            <w:tcW w:w="609" w:type="pct"/>
            <w:vAlign w:val="center"/>
          </w:tcPr>
          <w:p w14:paraId="731C69CF"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13,969</w:t>
            </w:r>
          </w:p>
        </w:tc>
        <w:tc>
          <w:tcPr>
            <w:tcW w:w="659" w:type="pct"/>
            <w:vAlign w:val="center"/>
          </w:tcPr>
          <w:p w14:paraId="24142276"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14,376</w:t>
            </w:r>
          </w:p>
        </w:tc>
        <w:tc>
          <w:tcPr>
            <w:tcW w:w="698" w:type="pct"/>
            <w:vAlign w:val="center"/>
          </w:tcPr>
          <w:p w14:paraId="337AD0E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15,133</w:t>
            </w:r>
          </w:p>
        </w:tc>
        <w:tc>
          <w:tcPr>
            <w:tcW w:w="698" w:type="pct"/>
            <w:vAlign w:val="center"/>
          </w:tcPr>
          <w:p w14:paraId="09ABEA3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14,933</w:t>
            </w:r>
          </w:p>
        </w:tc>
      </w:tr>
      <w:tr w:rsidR="00E360E5" w:rsidRPr="00444C82" w14:paraId="4B2FD4D4" w14:textId="77777777" w:rsidTr="00A21A7F">
        <w:tc>
          <w:tcPr>
            <w:tcW w:w="964" w:type="pct"/>
            <w:vAlign w:val="center"/>
          </w:tcPr>
          <w:p w14:paraId="1EED80E1"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Colorectal cancer </w:t>
            </w:r>
          </w:p>
        </w:tc>
        <w:tc>
          <w:tcPr>
            <w:tcW w:w="674" w:type="pct"/>
            <w:vAlign w:val="center"/>
          </w:tcPr>
          <w:p w14:paraId="1875FDA6"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2,251</w:t>
            </w:r>
          </w:p>
        </w:tc>
        <w:tc>
          <w:tcPr>
            <w:tcW w:w="698" w:type="pct"/>
            <w:vAlign w:val="center"/>
          </w:tcPr>
          <w:p w14:paraId="01908ED8"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1,628</w:t>
            </w:r>
          </w:p>
        </w:tc>
        <w:tc>
          <w:tcPr>
            <w:tcW w:w="609" w:type="pct"/>
            <w:vAlign w:val="center"/>
          </w:tcPr>
          <w:p w14:paraId="21C4972A"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1,795</w:t>
            </w:r>
          </w:p>
        </w:tc>
        <w:tc>
          <w:tcPr>
            <w:tcW w:w="659" w:type="pct"/>
            <w:vAlign w:val="center"/>
          </w:tcPr>
          <w:p w14:paraId="0DE7DD8F"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1,805</w:t>
            </w:r>
          </w:p>
        </w:tc>
        <w:tc>
          <w:tcPr>
            <w:tcW w:w="698" w:type="pct"/>
            <w:vAlign w:val="center"/>
          </w:tcPr>
          <w:p w14:paraId="132B77E1"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1,838</w:t>
            </w:r>
          </w:p>
        </w:tc>
        <w:tc>
          <w:tcPr>
            <w:tcW w:w="698" w:type="pct"/>
            <w:vAlign w:val="center"/>
          </w:tcPr>
          <w:p w14:paraId="05A2A20F"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1,878</w:t>
            </w:r>
          </w:p>
        </w:tc>
      </w:tr>
      <w:tr w:rsidR="00E360E5" w:rsidRPr="00444C82" w14:paraId="4A25F112" w14:textId="77777777" w:rsidTr="00A21A7F">
        <w:tc>
          <w:tcPr>
            <w:tcW w:w="964" w:type="pct"/>
            <w:vAlign w:val="center"/>
          </w:tcPr>
          <w:p w14:paraId="0504B421"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Head and neck cancers</w:t>
            </w:r>
          </w:p>
        </w:tc>
        <w:tc>
          <w:tcPr>
            <w:tcW w:w="674" w:type="pct"/>
            <w:vAlign w:val="center"/>
          </w:tcPr>
          <w:p w14:paraId="207F0F63"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1,808</w:t>
            </w:r>
          </w:p>
        </w:tc>
        <w:tc>
          <w:tcPr>
            <w:tcW w:w="698" w:type="pct"/>
            <w:vAlign w:val="center"/>
          </w:tcPr>
          <w:p w14:paraId="457E01B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2,152</w:t>
            </w:r>
          </w:p>
        </w:tc>
        <w:tc>
          <w:tcPr>
            <w:tcW w:w="609" w:type="pct"/>
            <w:vAlign w:val="center"/>
          </w:tcPr>
          <w:p w14:paraId="0E1383AC"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2,395</w:t>
            </w:r>
          </w:p>
        </w:tc>
        <w:tc>
          <w:tcPr>
            <w:tcW w:w="659" w:type="pct"/>
            <w:vAlign w:val="center"/>
          </w:tcPr>
          <w:p w14:paraId="1DAF22F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2,475</w:t>
            </w:r>
          </w:p>
        </w:tc>
        <w:tc>
          <w:tcPr>
            <w:tcW w:w="698" w:type="pct"/>
            <w:vAlign w:val="center"/>
          </w:tcPr>
          <w:p w14:paraId="62DC600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2,423</w:t>
            </w:r>
          </w:p>
        </w:tc>
        <w:tc>
          <w:tcPr>
            <w:tcW w:w="698" w:type="pct"/>
            <w:vAlign w:val="center"/>
          </w:tcPr>
          <w:p w14:paraId="3B5BC1C8"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2,574</w:t>
            </w:r>
          </w:p>
        </w:tc>
      </w:tr>
      <w:tr w:rsidR="00E360E5" w:rsidRPr="00444C82" w14:paraId="35BF6520" w14:textId="77777777" w:rsidTr="00A21A7F">
        <w:tc>
          <w:tcPr>
            <w:tcW w:w="964" w:type="pct"/>
            <w:vAlign w:val="center"/>
          </w:tcPr>
          <w:p w14:paraId="2C9E0A18"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Kidney </w:t>
            </w:r>
          </w:p>
        </w:tc>
        <w:tc>
          <w:tcPr>
            <w:tcW w:w="674" w:type="pct"/>
            <w:vAlign w:val="center"/>
          </w:tcPr>
          <w:p w14:paraId="45F60A4B"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363</w:t>
            </w:r>
          </w:p>
        </w:tc>
        <w:tc>
          <w:tcPr>
            <w:tcW w:w="698" w:type="pct"/>
            <w:vAlign w:val="center"/>
          </w:tcPr>
          <w:p w14:paraId="0AF5B558"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414</w:t>
            </w:r>
          </w:p>
        </w:tc>
        <w:tc>
          <w:tcPr>
            <w:tcW w:w="609" w:type="pct"/>
            <w:vAlign w:val="center"/>
          </w:tcPr>
          <w:p w14:paraId="0F3A992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450</w:t>
            </w:r>
          </w:p>
        </w:tc>
        <w:tc>
          <w:tcPr>
            <w:tcW w:w="659" w:type="pct"/>
            <w:vAlign w:val="center"/>
          </w:tcPr>
          <w:p w14:paraId="56116E9D"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464</w:t>
            </w:r>
          </w:p>
        </w:tc>
        <w:tc>
          <w:tcPr>
            <w:tcW w:w="698" w:type="pct"/>
            <w:vAlign w:val="center"/>
          </w:tcPr>
          <w:p w14:paraId="75CD5EE3"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507</w:t>
            </w:r>
          </w:p>
        </w:tc>
        <w:tc>
          <w:tcPr>
            <w:tcW w:w="698" w:type="pct"/>
            <w:vAlign w:val="center"/>
          </w:tcPr>
          <w:p w14:paraId="62BE333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550</w:t>
            </w:r>
          </w:p>
        </w:tc>
      </w:tr>
      <w:tr w:rsidR="00E360E5" w:rsidRPr="00444C82" w14:paraId="4725A62B" w14:textId="77777777" w:rsidTr="00A21A7F">
        <w:tc>
          <w:tcPr>
            <w:tcW w:w="964" w:type="pct"/>
            <w:vAlign w:val="center"/>
          </w:tcPr>
          <w:p w14:paraId="0A97538C"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Leukaemia </w:t>
            </w:r>
          </w:p>
        </w:tc>
        <w:tc>
          <w:tcPr>
            <w:tcW w:w="674" w:type="pct"/>
            <w:vAlign w:val="center"/>
          </w:tcPr>
          <w:p w14:paraId="6A6CC9F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165</w:t>
            </w:r>
          </w:p>
        </w:tc>
        <w:tc>
          <w:tcPr>
            <w:tcW w:w="698" w:type="pct"/>
            <w:vAlign w:val="center"/>
          </w:tcPr>
          <w:p w14:paraId="6A8C299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130</w:t>
            </w:r>
          </w:p>
        </w:tc>
        <w:tc>
          <w:tcPr>
            <w:tcW w:w="609" w:type="pct"/>
            <w:vAlign w:val="center"/>
          </w:tcPr>
          <w:p w14:paraId="1E23AC0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135</w:t>
            </w:r>
          </w:p>
        </w:tc>
        <w:tc>
          <w:tcPr>
            <w:tcW w:w="659" w:type="pct"/>
            <w:vAlign w:val="center"/>
          </w:tcPr>
          <w:p w14:paraId="598AF77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126</w:t>
            </w:r>
          </w:p>
        </w:tc>
        <w:tc>
          <w:tcPr>
            <w:tcW w:w="698" w:type="pct"/>
            <w:vAlign w:val="center"/>
          </w:tcPr>
          <w:p w14:paraId="434433D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131</w:t>
            </w:r>
          </w:p>
        </w:tc>
        <w:tc>
          <w:tcPr>
            <w:tcW w:w="698" w:type="pct"/>
            <w:vAlign w:val="center"/>
          </w:tcPr>
          <w:p w14:paraId="2A84E3D8"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164</w:t>
            </w:r>
          </w:p>
        </w:tc>
      </w:tr>
      <w:tr w:rsidR="00E360E5" w:rsidRPr="00444C82" w14:paraId="5FDA29C5" w14:textId="77777777" w:rsidTr="00A21A7F">
        <w:tc>
          <w:tcPr>
            <w:tcW w:w="964" w:type="pct"/>
            <w:vAlign w:val="center"/>
          </w:tcPr>
          <w:p w14:paraId="0A648B27"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Lung cancer </w:t>
            </w:r>
          </w:p>
        </w:tc>
        <w:tc>
          <w:tcPr>
            <w:tcW w:w="674" w:type="pct"/>
            <w:vAlign w:val="center"/>
          </w:tcPr>
          <w:p w14:paraId="4E3B0E3D"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5,718</w:t>
            </w:r>
          </w:p>
        </w:tc>
        <w:tc>
          <w:tcPr>
            <w:tcW w:w="698" w:type="pct"/>
            <w:vAlign w:val="center"/>
          </w:tcPr>
          <w:p w14:paraId="4A9E2768"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3,921</w:t>
            </w:r>
          </w:p>
        </w:tc>
        <w:tc>
          <w:tcPr>
            <w:tcW w:w="609" w:type="pct"/>
            <w:vAlign w:val="center"/>
          </w:tcPr>
          <w:p w14:paraId="305A942D"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4,518</w:t>
            </w:r>
          </w:p>
        </w:tc>
        <w:tc>
          <w:tcPr>
            <w:tcW w:w="659" w:type="pct"/>
            <w:vAlign w:val="center"/>
          </w:tcPr>
          <w:p w14:paraId="1DF3628F"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4,254</w:t>
            </w:r>
          </w:p>
        </w:tc>
        <w:tc>
          <w:tcPr>
            <w:tcW w:w="698" w:type="pct"/>
            <w:vAlign w:val="center"/>
          </w:tcPr>
          <w:p w14:paraId="1D18C41E"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5,025</w:t>
            </w:r>
          </w:p>
        </w:tc>
        <w:tc>
          <w:tcPr>
            <w:tcW w:w="698" w:type="pct"/>
            <w:vAlign w:val="center"/>
          </w:tcPr>
          <w:p w14:paraId="5A288744"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5,151</w:t>
            </w:r>
          </w:p>
        </w:tc>
      </w:tr>
      <w:tr w:rsidR="00E360E5" w:rsidRPr="00444C82" w14:paraId="3CACF668" w14:textId="77777777" w:rsidTr="00A21A7F">
        <w:tc>
          <w:tcPr>
            <w:tcW w:w="964" w:type="pct"/>
            <w:vAlign w:val="center"/>
          </w:tcPr>
          <w:p w14:paraId="4F816440"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Lymphoma </w:t>
            </w:r>
          </w:p>
        </w:tc>
        <w:tc>
          <w:tcPr>
            <w:tcW w:w="674" w:type="pct"/>
            <w:vAlign w:val="center"/>
          </w:tcPr>
          <w:p w14:paraId="31EFC47E"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1,417</w:t>
            </w:r>
          </w:p>
        </w:tc>
        <w:tc>
          <w:tcPr>
            <w:tcW w:w="698" w:type="pct"/>
            <w:vAlign w:val="center"/>
          </w:tcPr>
          <w:p w14:paraId="5651D61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957</w:t>
            </w:r>
          </w:p>
        </w:tc>
        <w:tc>
          <w:tcPr>
            <w:tcW w:w="609" w:type="pct"/>
            <w:vAlign w:val="center"/>
          </w:tcPr>
          <w:p w14:paraId="1C8DF7CF"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996</w:t>
            </w:r>
          </w:p>
        </w:tc>
        <w:tc>
          <w:tcPr>
            <w:tcW w:w="659" w:type="pct"/>
            <w:vAlign w:val="center"/>
          </w:tcPr>
          <w:p w14:paraId="0D688B6E"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1,041</w:t>
            </w:r>
          </w:p>
        </w:tc>
        <w:tc>
          <w:tcPr>
            <w:tcW w:w="698" w:type="pct"/>
            <w:vAlign w:val="center"/>
          </w:tcPr>
          <w:p w14:paraId="7EB9BC8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1,137</w:t>
            </w:r>
          </w:p>
        </w:tc>
        <w:tc>
          <w:tcPr>
            <w:tcW w:w="698" w:type="pct"/>
            <w:vAlign w:val="center"/>
          </w:tcPr>
          <w:p w14:paraId="3682380C"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1,162</w:t>
            </w:r>
          </w:p>
        </w:tc>
      </w:tr>
      <w:tr w:rsidR="00E360E5" w:rsidRPr="00444C82" w14:paraId="344F4F86" w14:textId="77777777" w:rsidTr="00A21A7F">
        <w:tc>
          <w:tcPr>
            <w:tcW w:w="964" w:type="pct"/>
            <w:vAlign w:val="center"/>
          </w:tcPr>
          <w:p w14:paraId="5275C9A6"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Melanoma of skin </w:t>
            </w:r>
          </w:p>
        </w:tc>
        <w:tc>
          <w:tcPr>
            <w:tcW w:w="674" w:type="pct"/>
            <w:vAlign w:val="center"/>
          </w:tcPr>
          <w:p w14:paraId="0BC5C54B"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1,129</w:t>
            </w:r>
          </w:p>
        </w:tc>
        <w:tc>
          <w:tcPr>
            <w:tcW w:w="698" w:type="pct"/>
            <w:vAlign w:val="center"/>
          </w:tcPr>
          <w:p w14:paraId="3D2E758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903</w:t>
            </w:r>
          </w:p>
        </w:tc>
        <w:tc>
          <w:tcPr>
            <w:tcW w:w="609" w:type="pct"/>
            <w:vAlign w:val="center"/>
          </w:tcPr>
          <w:p w14:paraId="3A5EDCF6"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816</w:t>
            </w:r>
          </w:p>
        </w:tc>
        <w:tc>
          <w:tcPr>
            <w:tcW w:w="659" w:type="pct"/>
            <w:vAlign w:val="center"/>
          </w:tcPr>
          <w:p w14:paraId="644F8FF3"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849</w:t>
            </w:r>
          </w:p>
        </w:tc>
        <w:tc>
          <w:tcPr>
            <w:tcW w:w="698" w:type="pct"/>
            <w:vAlign w:val="center"/>
          </w:tcPr>
          <w:p w14:paraId="5B523B29"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907</w:t>
            </w:r>
          </w:p>
        </w:tc>
        <w:tc>
          <w:tcPr>
            <w:tcW w:w="698" w:type="pct"/>
            <w:vAlign w:val="center"/>
          </w:tcPr>
          <w:p w14:paraId="7CB4849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864</w:t>
            </w:r>
          </w:p>
        </w:tc>
      </w:tr>
      <w:tr w:rsidR="00E360E5" w:rsidRPr="00444C82" w14:paraId="1E058AA3" w14:textId="77777777" w:rsidTr="00A21A7F">
        <w:tc>
          <w:tcPr>
            <w:tcW w:w="964" w:type="pct"/>
            <w:vAlign w:val="center"/>
          </w:tcPr>
          <w:p w14:paraId="61AAAA35"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Non cancer </w:t>
            </w:r>
          </w:p>
        </w:tc>
        <w:tc>
          <w:tcPr>
            <w:tcW w:w="674" w:type="pct"/>
            <w:vAlign w:val="center"/>
          </w:tcPr>
          <w:p w14:paraId="6B50ADFC"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289</w:t>
            </w:r>
          </w:p>
        </w:tc>
        <w:tc>
          <w:tcPr>
            <w:tcW w:w="698" w:type="pct"/>
            <w:vAlign w:val="center"/>
          </w:tcPr>
          <w:p w14:paraId="112F8A9F"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198</w:t>
            </w:r>
          </w:p>
        </w:tc>
        <w:tc>
          <w:tcPr>
            <w:tcW w:w="609" w:type="pct"/>
            <w:vAlign w:val="center"/>
          </w:tcPr>
          <w:p w14:paraId="67E5A2CB"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130</w:t>
            </w:r>
          </w:p>
        </w:tc>
        <w:tc>
          <w:tcPr>
            <w:tcW w:w="659" w:type="pct"/>
            <w:vAlign w:val="center"/>
          </w:tcPr>
          <w:p w14:paraId="6FA325F4"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107</w:t>
            </w:r>
          </w:p>
        </w:tc>
        <w:tc>
          <w:tcPr>
            <w:tcW w:w="698" w:type="pct"/>
            <w:vAlign w:val="center"/>
          </w:tcPr>
          <w:p w14:paraId="60F3E42B"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128</w:t>
            </w:r>
          </w:p>
        </w:tc>
        <w:tc>
          <w:tcPr>
            <w:tcW w:w="698" w:type="pct"/>
            <w:vAlign w:val="center"/>
          </w:tcPr>
          <w:p w14:paraId="0785406F"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151</w:t>
            </w:r>
          </w:p>
        </w:tc>
      </w:tr>
      <w:tr w:rsidR="00E360E5" w:rsidRPr="00444C82" w14:paraId="45C4929F" w14:textId="77777777" w:rsidTr="00A21A7F">
        <w:tc>
          <w:tcPr>
            <w:tcW w:w="964" w:type="pct"/>
            <w:vAlign w:val="center"/>
          </w:tcPr>
          <w:p w14:paraId="55A45E6A"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Not stated </w:t>
            </w:r>
          </w:p>
        </w:tc>
        <w:tc>
          <w:tcPr>
            <w:tcW w:w="674" w:type="pct"/>
            <w:vAlign w:val="center"/>
          </w:tcPr>
          <w:p w14:paraId="1DC6E22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1,716</w:t>
            </w:r>
          </w:p>
        </w:tc>
        <w:tc>
          <w:tcPr>
            <w:tcW w:w="698" w:type="pct"/>
            <w:vAlign w:val="center"/>
          </w:tcPr>
          <w:p w14:paraId="71DDA264"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719</w:t>
            </w:r>
          </w:p>
        </w:tc>
        <w:tc>
          <w:tcPr>
            <w:tcW w:w="609" w:type="pct"/>
            <w:vAlign w:val="center"/>
          </w:tcPr>
          <w:p w14:paraId="5EABBC14"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124</w:t>
            </w:r>
          </w:p>
        </w:tc>
        <w:tc>
          <w:tcPr>
            <w:tcW w:w="659" w:type="pct"/>
            <w:vAlign w:val="center"/>
          </w:tcPr>
          <w:p w14:paraId="7D5B3EE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530</w:t>
            </w:r>
          </w:p>
        </w:tc>
        <w:tc>
          <w:tcPr>
            <w:tcW w:w="698" w:type="pct"/>
            <w:vAlign w:val="center"/>
          </w:tcPr>
          <w:p w14:paraId="308821FE"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495</w:t>
            </w:r>
          </w:p>
        </w:tc>
        <w:tc>
          <w:tcPr>
            <w:tcW w:w="698" w:type="pct"/>
            <w:vAlign w:val="center"/>
          </w:tcPr>
          <w:p w14:paraId="718CE89C"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452</w:t>
            </w:r>
          </w:p>
        </w:tc>
      </w:tr>
      <w:tr w:rsidR="00E360E5" w:rsidRPr="00444C82" w14:paraId="656EB930" w14:textId="77777777" w:rsidTr="00A21A7F">
        <w:tc>
          <w:tcPr>
            <w:tcW w:w="964" w:type="pct"/>
            <w:vAlign w:val="center"/>
          </w:tcPr>
          <w:p w14:paraId="2139B19C"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Other cancer </w:t>
            </w:r>
          </w:p>
        </w:tc>
        <w:tc>
          <w:tcPr>
            <w:tcW w:w="674" w:type="pct"/>
            <w:vAlign w:val="center"/>
          </w:tcPr>
          <w:p w14:paraId="3D5F6AF7"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11,727</w:t>
            </w:r>
          </w:p>
        </w:tc>
        <w:tc>
          <w:tcPr>
            <w:tcW w:w="698" w:type="pct"/>
            <w:vAlign w:val="center"/>
          </w:tcPr>
          <w:p w14:paraId="10974F8A"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7,447</w:t>
            </w:r>
          </w:p>
        </w:tc>
        <w:tc>
          <w:tcPr>
            <w:tcW w:w="609" w:type="pct"/>
            <w:vAlign w:val="center"/>
          </w:tcPr>
          <w:p w14:paraId="17D31164"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8,384</w:t>
            </w:r>
          </w:p>
        </w:tc>
        <w:tc>
          <w:tcPr>
            <w:tcW w:w="659" w:type="pct"/>
            <w:vAlign w:val="center"/>
          </w:tcPr>
          <w:p w14:paraId="174EDBE8"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9,164</w:t>
            </w:r>
          </w:p>
        </w:tc>
        <w:tc>
          <w:tcPr>
            <w:tcW w:w="698" w:type="pct"/>
            <w:vAlign w:val="center"/>
          </w:tcPr>
          <w:p w14:paraId="47571E0F"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10,540</w:t>
            </w:r>
          </w:p>
        </w:tc>
        <w:tc>
          <w:tcPr>
            <w:tcW w:w="698" w:type="pct"/>
            <w:vAlign w:val="center"/>
          </w:tcPr>
          <w:p w14:paraId="742909ED"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12,479</w:t>
            </w:r>
          </w:p>
        </w:tc>
      </w:tr>
      <w:tr w:rsidR="00E360E5" w:rsidRPr="00444C82" w14:paraId="7996C134" w14:textId="77777777" w:rsidTr="00A21A7F">
        <w:tc>
          <w:tcPr>
            <w:tcW w:w="964" w:type="pct"/>
            <w:vAlign w:val="bottom"/>
          </w:tcPr>
          <w:p w14:paraId="63C35C73"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Ovarian cancer </w:t>
            </w:r>
          </w:p>
        </w:tc>
        <w:tc>
          <w:tcPr>
            <w:tcW w:w="674" w:type="pct"/>
            <w:vAlign w:val="center"/>
          </w:tcPr>
          <w:p w14:paraId="58BE84D6"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147</w:t>
            </w:r>
          </w:p>
        </w:tc>
        <w:tc>
          <w:tcPr>
            <w:tcW w:w="698" w:type="pct"/>
            <w:vAlign w:val="center"/>
          </w:tcPr>
          <w:p w14:paraId="1FFAF683"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154</w:t>
            </w:r>
          </w:p>
        </w:tc>
        <w:tc>
          <w:tcPr>
            <w:tcW w:w="609" w:type="pct"/>
            <w:vAlign w:val="center"/>
          </w:tcPr>
          <w:p w14:paraId="79CFC139"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213</w:t>
            </w:r>
          </w:p>
        </w:tc>
        <w:tc>
          <w:tcPr>
            <w:tcW w:w="659" w:type="pct"/>
            <w:vAlign w:val="center"/>
          </w:tcPr>
          <w:p w14:paraId="3234AC68"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206</w:t>
            </w:r>
          </w:p>
        </w:tc>
        <w:tc>
          <w:tcPr>
            <w:tcW w:w="698" w:type="pct"/>
            <w:vAlign w:val="center"/>
          </w:tcPr>
          <w:p w14:paraId="29C6DFA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190</w:t>
            </w:r>
          </w:p>
        </w:tc>
        <w:tc>
          <w:tcPr>
            <w:tcW w:w="698" w:type="pct"/>
            <w:vAlign w:val="center"/>
          </w:tcPr>
          <w:p w14:paraId="4D7E192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207</w:t>
            </w:r>
          </w:p>
        </w:tc>
      </w:tr>
      <w:tr w:rsidR="00E360E5" w:rsidRPr="00444C82" w14:paraId="60323B38" w14:textId="77777777" w:rsidTr="00A21A7F">
        <w:tc>
          <w:tcPr>
            <w:tcW w:w="964" w:type="pct"/>
            <w:vAlign w:val="center"/>
          </w:tcPr>
          <w:p w14:paraId="277EED44"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Pancreatic cancer </w:t>
            </w:r>
          </w:p>
        </w:tc>
        <w:tc>
          <w:tcPr>
            <w:tcW w:w="674" w:type="pct"/>
            <w:vAlign w:val="center"/>
          </w:tcPr>
          <w:p w14:paraId="4B610977"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274</w:t>
            </w:r>
          </w:p>
        </w:tc>
        <w:tc>
          <w:tcPr>
            <w:tcW w:w="698" w:type="pct"/>
            <w:vAlign w:val="center"/>
          </w:tcPr>
          <w:p w14:paraId="64B50A2C"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207</w:t>
            </w:r>
          </w:p>
        </w:tc>
        <w:tc>
          <w:tcPr>
            <w:tcW w:w="609" w:type="pct"/>
            <w:vAlign w:val="center"/>
          </w:tcPr>
          <w:p w14:paraId="1054221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218</w:t>
            </w:r>
          </w:p>
        </w:tc>
        <w:tc>
          <w:tcPr>
            <w:tcW w:w="659" w:type="pct"/>
            <w:vAlign w:val="center"/>
          </w:tcPr>
          <w:p w14:paraId="06AB7EC2"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237</w:t>
            </w:r>
          </w:p>
        </w:tc>
        <w:tc>
          <w:tcPr>
            <w:tcW w:w="698" w:type="pct"/>
            <w:vAlign w:val="center"/>
          </w:tcPr>
          <w:p w14:paraId="7C2A7BC4"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249</w:t>
            </w:r>
          </w:p>
        </w:tc>
        <w:tc>
          <w:tcPr>
            <w:tcW w:w="698" w:type="pct"/>
            <w:vAlign w:val="center"/>
          </w:tcPr>
          <w:p w14:paraId="04DAFD40"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312</w:t>
            </w:r>
          </w:p>
        </w:tc>
      </w:tr>
      <w:tr w:rsidR="00E360E5" w:rsidRPr="00444C82" w14:paraId="42184677" w14:textId="77777777" w:rsidTr="00A21A7F">
        <w:tc>
          <w:tcPr>
            <w:tcW w:w="964" w:type="pct"/>
            <w:vAlign w:val="center"/>
          </w:tcPr>
          <w:p w14:paraId="0216AB50"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Prostate cancer </w:t>
            </w:r>
          </w:p>
        </w:tc>
        <w:tc>
          <w:tcPr>
            <w:tcW w:w="674" w:type="pct"/>
            <w:vAlign w:val="center"/>
          </w:tcPr>
          <w:p w14:paraId="3AB6D8FB"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6,139</w:t>
            </w:r>
          </w:p>
        </w:tc>
        <w:tc>
          <w:tcPr>
            <w:tcW w:w="698" w:type="pct"/>
            <w:vAlign w:val="center"/>
          </w:tcPr>
          <w:p w14:paraId="13AEE284"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7,319</w:t>
            </w:r>
          </w:p>
        </w:tc>
        <w:tc>
          <w:tcPr>
            <w:tcW w:w="609" w:type="pct"/>
            <w:vAlign w:val="center"/>
          </w:tcPr>
          <w:p w14:paraId="37349774"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8,335</w:t>
            </w:r>
          </w:p>
        </w:tc>
        <w:tc>
          <w:tcPr>
            <w:tcW w:w="659" w:type="pct"/>
            <w:vAlign w:val="center"/>
          </w:tcPr>
          <w:p w14:paraId="77A30B23"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7,993</w:t>
            </w:r>
          </w:p>
        </w:tc>
        <w:tc>
          <w:tcPr>
            <w:tcW w:w="698" w:type="pct"/>
            <w:vAlign w:val="center"/>
          </w:tcPr>
          <w:p w14:paraId="44EF414A"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9,282</w:t>
            </w:r>
          </w:p>
        </w:tc>
        <w:tc>
          <w:tcPr>
            <w:tcW w:w="698" w:type="pct"/>
            <w:vAlign w:val="center"/>
          </w:tcPr>
          <w:p w14:paraId="29A88C3A"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9,626</w:t>
            </w:r>
          </w:p>
        </w:tc>
      </w:tr>
      <w:tr w:rsidR="00E360E5" w:rsidRPr="00444C82" w14:paraId="5F186680" w14:textId="77777777" w:rsidTr="00A21A7F">
        <w:tc>
          <w:tcPr>
            <w:tcW w:w="964" w:type="pct"/>
            <w:vAlign w:val="center"/>
          </w:tcPr>
          <w:p w14:paraId="38542251"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Secondary cancers </w:t>
            </w:r>
          </w:p>
        </w:tc>
        <w:tc>
          <w:tcPr>
            <w:tcW w:w="674" w:type="pct"/>
            <w:vAlign w:val="center"/>
          </w:tcPr>
          <w:p w14:paraId="0EB54429"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2,528</w:t>
            </w:r>
          </w:p>
        </w:tc>
        <w:tc>
          <w:tcPr>
            <w:tcW w:w="698" w:type="pct"/>
            <w:vAlign w:val="center"/>
          </w:tcPr>
          <w:p w14:paraId="5B049E5A"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2,119</w:t>
            </w:r>
          </w:p>
        </w:tc>
        <w:tc>
          <w:tcPr>
            <w:tcW w:w="609" w:type="pct"/>
            <w:vAlign w:val="center"/>
          </w:tcPr>
          <w:p w14:paraId="5B3BCB2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2,018</w:t>
            </w:r>
          </w:p>
        </w:tc>
        <w:tc>
          <w:tcPr>
            <w:tcW w:w="659" w:type="pct"/>
            <w:vAlign w:val="center"/>
          </w:tcPr>
          <w:p w14:paraId="1FED2C3A"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1,376</w:t>
            </w:r>
          </w:p>
        </w:tc>
        <w:tc>
          <w:tcPr>
            <w:tcW w:w="698" w:type="pct"/>
            <w:vAlign w:val="center"/>
          </w:tcPr>
          <w:p w14:paraId="68C6621E"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1,591</w:t>
            </w:r>
          </w:p>
        </w:tc>
        <w:tc>
          <w:tcPr>
            <w:tcW w:w="698" w:type="pct"/>
            <w:vAlign w:val="center"/>
          </w:tcPr>
          <w:p w14:paraId="1DAF09D1"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2,412</w:t>
            </w:r>
          </w:p>
        </w:tc>
      </w:tr>
      <w:tr w:rsidR="00E360E5" w:rsidRPr="00444C82" w14:paraId="489CECC2" w14:textId="77777777" w:rsidTr="00A21A7F">
        <w:tc>
          <w:tcPr>
            <w:tcW w:w="964" w:type="pct"/>
            <w:vAlign w:val="bottom"/>
          </w:tcPr>
          <w:p w14:paraId="46211298"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Thyroid cancer </w:t>
            </w:r>
          </w:p>
        </w:tc>
        <w:tc>
          <w:tcPr>
            <w:tcW w:w="674" w:type="pct"/>
            <w:vAlign w:val="center"/>
          </w:tcPr>
          <w:p w14:paraId="7DD31FBD"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72</w:t>
            </w:r>
          </w:p>
        </w:tc>
        <w:tc>
          <w:tcPr>
            <w:tcW w:w="698" w:type="pct"/>
            <w:vAlign w:val="center"/>
          </w:tcPr>
          <w:p w14:paraId="2775A3A7"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72</w:t>
            </w:r>
          </w:p>
        </w:tc>
        <w:tc>
          <w:tcPr>
            <w:tcW w:w="609" w:type="pct"/>
            <w:vAlign w:val="center"/>
          </w:tcPr>
          <w:p w14:paraId="6713F93C"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88</w:t>
            </w:r>
          </w:p>
        </w:tc>
        <w:tc>
          <w:tcPr>
            <w:tcW w:w="659" w:type="pct"/>
            <w:vAlign w:val="center"/>
          </w:tcPr>
          <w:p w14:paraId="044D5C26"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105</w:t>
            </w:r>
          </w:p>
        </w:tc>
        <w:tc>
          <w:tcPr>
            <w:tcW w:w="698" w:type="pct"/>
            <w:vAlign w:val="center"/>
          </w:tcPr>
          <w:p w14:paraId="26D4E01E"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96</w:t>
            </w:r>
          </w:p>
        </w:tc>
        <w:tc>
          <w:tcPr>
            <w:tcW w:w="698" w:type="pct"/>
            <w:vAlign w:val="center"/>
          </w:tcPr>
          <w:p w14:paraId="4FA6AF39"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87</w:t>
            </w:r>
          </w:p>
        </w:tc>
      </w:tr>
      <w:tr w:rsidR="00E360E5" w:rsidRPr="00444C82" w14:paraId="590E3074" w14:textId="77777777" w:rsidTr="00A21A7F">
        <w:tc>
          <w:tcPr>
            <w:tcW w:w="964" w:type="pct"/>
            <w:vAlign w:val="bottom"/>
          </w:tcPr>
          <w:p w14:paraId="47339A27" w14:textId="77777777" w:rsidR="00E360E5" w:rsidRPr="004749D7" w:rsidRDefault="00E360E5" w:rsidP="009E682D">
            <w:pPr>
              <w:spacing w:before="40" w:line="240" w:lineRule="auto"/>
              <w:ind w:left="0"/>
              <w:rPr>
                <w:rFonts w:ascii="Arial Narrow" w:hAnsi="Arial Narrow"/>
                <w:sz w:val="20"/>
                <w:szCs w:val="20"/>
              </w:rPr>
            </w:pPr>
            <w:r w:rsidRPr="004749D7">
              <w:rPr>
                <w:rFonts w:ascii="Arial Narrow" w:hAnsi="Arial Narrow" w:cs="Calibri"/>
                <w:color w:val="000000"/>
                <w:sz w:val="20"/>
                <w:szCs w:val="20"/>
              </w:rPr>
              <w:t xml:space="preserve">Uterine cancer </w:t>
            </w:r>
          </w:p>
        </w:tc>
        <w:tc>
          <w:tcPr>
            <w:tcW w:w="674" w:type="pct"/>
            <w:vAlign w:val="center"/>
          </w:tcPr>
          <w:p w14:paraId="21ADB58B"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574</w:t>
            </w:r>
          </w:p>
        </w:tc>
        <w:tc>
          <w:tcPr>
            <w:tcW w:w="698" w:type="pct"/>
            <w:vAlign w:val="center"/>
          </w:tcPr>
          <w:p w14:paraId="201A5423"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654</w:t>
            </w:r>
          </w:p>
        </w:tc>
        <w:tc>
          <w:tcPr>
            <w:tcW w:w="609" w:type="pct"/>
            <w:vAlign w:val="center"/>
          </w:tcPr>
          <w:p w14:paraId="2D1A96DC"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783</w:t>
            </w:r>
          </w:p>
        </w:tc>
        <w:tc>
          <w:tcPr>
            <w:tcW w:w="659" w:type="pct"/>
            <w:vAlign w:val="center"/>
          </w:tcPr>
          <w:p w14:paraId="701A4F15"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907</w:t>
            </w:r>
          </w:p>
        </w:tc>
        <w:tc>
          <w:tcPr>
            <w:tcW w:w="698" w:type="pct"/>
            <w:vAlign w:val="center"/>
          </w:tcPr>
          <w:p w14:paraId="3C58DEAD"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934</w:t>
            </w:r>
          </w:p>
        </w:tc>
        <w:tc>
          <w:tcPr>
            <w:tcW w:w="698" w:type="pct"/>
            <w:vAlign w:val="center"/>
          </w:tcPr>
          <w:p w14:paraId="38636B0A" w14:textId="77777777" w:rsidR="00E360E5" w:rsidRPr="004749D7" w:rsidRDefault="00E360E5" w:rsidP="009E682D">
            <w:pPr>
              <w:spacing w:before="40" w:line="240" w:lineRule="auto"/>
              <w:ind w:left="0"/>
              <w:jc w:val="center"/>
              <w:rPr>
                <w:rFonts w:ascii="Arial Narrow" w:hAnsi="Arial Narrow"/>
                <w:sz w:val="20"/>
                <w:szCs w:val="20"/>
              </w:rPr>
            </w:pPr>
            <w:r w:rsidRPr="004749D7">
              <w:rPr>
                <w:rFonts w:ascii="Arial Narrow" w:hAnsi="Arial Narrow" w:cs="Calibri"/>
                <w:color w:val="000000"/>
                <w:sz w:val="20"/>
                <w:szCs w:val="20"/>
              </w:rPr>
              <w:t>960</w:t>
            </w:r>
          </w:p>
        </w:tc>
      </w:tr>
      <w:tr w:rsidR="00E360E5" w:rsidRPr="00444C82" w14:paraId="7825BE0B" w14:textId="77777777" w:rsidTr="00A21A7F">
        <w:tc>
          <w:tcPr>
            <w:tcW w:w="964" w:type="pct"/>
            <w:vAlign w:val="bottom"/>
          </w:tcPr>
          <w:p w14:paraId="1065B978" w14:textId="77777777" w:rsidR="00E360E5" w:rsidRPr="004749D7" w:rsidRDefault="00E360E5" w:rsidP="009E682D">
            <w:pPr>
              <w:spacing w:before="40" w:line="240" w:lineRule="auto"/>
              <w:ind w:left="0"/>
              <w:rPr>
                <w:rFonts w:ascii="Arial Narrow" w:hAnsi="Arial Narrow"/>
                <w:b/>
                <w:bCs/>
                <w:sz w:val="20"/>
                <w:szCs w:val="20"/>
              </w:rPr>
            </w:pPr>
            <w:r w:rsidRPr="004749D7">
              <w:rPr>
                <w:rFonts w:ascii="Arial Narrow" w:hAnsi="Arial Narrow" w:cs="Calibri"/>
                <w:b/>
                <w:bCs/>
                <w:color w:val="000000"/>
                <w:sz w:val="20"/>
                <w:szCs w:val="20"/>
              </w:rPr>
              <w:t>Total</w:t>
            </w:r>
          </w:p>
        </w:tc>
        <w:tc>
          <w:tcPr>
            <w:tcW w:w="674" w:type="pct"/>
            <w:vAlign w:val="bottom"/>
          </w:tcPr>
          <w:p w14:paraId="2988F694"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47,612</w:t>
            </w:r>
          </w:p>
        </w:tc>
        <w:tc>
          <w:tcPr>
            <w:tcW w:w="698" w:type="pct"/>
            <w:vAlign w:val="center"/>
          </w:tcPr>
          <w:p w14:paraId="06685845"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56,373</w:t>
            </w:r>
          </w:p>
        </w:tc>
        <w:tc>
          <w:tcPr>
            <w:tcW w:w="609" w:type="pct"/>
            <w:vAlign w:val="center"/>
          </w:tcPr>
          <w:p w14:paraId="6C0F1400"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60,545</w:t>
            </w:r>
          </w:p>
        </w:tc>
        <w:tc>
          <w:tcPr>
            <w:tcW w:w="659" w:type="pct"/>
            <w:vAlign w:val="center"/>
          </w:tcPr>
          <w:p w14:paraId="197F220A"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63,516</w:t>
            </w:r>
          </w:p>
        </w:tc>
        <w:tc>
          <w:tcPr>
            <w:tcW w:w="698" w:type="pct"/>
            <w:vAlign w:val="center"/>
          </w:tcPr>
          <w:p w14:paraId="3D498B9C"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67,773</w:t>
            </w:r>
          </w:p>
        </w:tc>
        <w:tc>
          <w:tcPr>
            <w:tcW w:w="698" w:type="pct"/>
            <w:vAlign w:val="center"/>
          </w:tcPr>
          <w:p w14:paraId="497DBF6E" w14:textId="77777777" w:rsidR="00E360E5" w:rsidRPr="004749D7" w:rsidRDefault="00E360E5" w:rsidP="009E682D">
            <w:pPr>
              <w:spacing w:before="40" w:line="240" w:lineRule="auto"/>
              <w:ind w:left="0"/>
              <w:jc w:val="center"/>
              <w:rPr>
                <w:rFonts w:ascii="Arial Narrow" w:hAnsi="Arial Narrow"/>
                <w:b/>
                <w:bCs/>
                <w:sz w:val="20"/>
                <w:szCs w:val="20"/>
              </w:rPr>
            </w:pPr>
            <w:r w:rsidRPr="004749D7">
              <w:rPr>
                <w:rFonts w:ascii="Arial Narrow" w:hAnsi="Arial Narrow" w:cs="Calibri"/>
                <w:b/>
                <w:bCs/>
                <w:color w:val="000000"/>
                <w:sz w:val="20"/>
                <w:szCs w:val="20"/>
              </w:rPr>
              <w:t>74,195</w:t>
            </w:r>
          </w:p>
        </w:tc>
      </w:tr>
    </w:tbl>
    <w:p w14:paraId="7B1EEDCB" w14:textId="17A3C0D4" w:rsidR="00E360E5" w:rsidRDefault="00E360E5" w:rsidP="00411D51">
      <w:pPr>
        <w:pStyle w:val="Tablenotes0"/>
        <w:jc w:val="left"/>
      </w:pPr>
      <w:r>
        <w:t xml:space="preserve">Source: AIHW, </w:t>
      </w:r>
      <w:r w:rsidR="00C41120">
        <w:t>2020</w:t>
      </w:r>
      <w:r>
        <w:t xml:space="preserve">.  </w:t>
      </w:r>
      <w:r w:rsidRPr="00312AB4">
        <w:t xml:space="preserve">Radiotherapy in Australia </w:t>
      </w:r>
      <w:r w:rsidR="00A54AB4">
        <w:t>2018-19</w:t>
      </w:r>
      <w:r>
        <w:t xml:space="preserve"> (</w:t>
      </w:r>
      <w:hyperlink r:id="rId36" w:history="1">
        <w:r w:rsidR="00A54AB4" w:rsidRPr="00237A9D">
          <w:rPr>
            <w:rStyle w:val="Hyperlink"/>
            <w:rFonts w:ascii="Arial Narrow" w:hAnsi="Arial Narrow"/>
            <w:sz w:val="16"/>
            <w:szCs w:val="16"/>
          </w:rPr>
          <w:t>https://www.aihw.gov.au/reports/radiotherapy/radiotherapy-in-australia-2018-19/contents/radiotherapy-courses</w:t>
        </w:r>
      </w:hyperlink>
      <w:r w:rsidR="00A54AB4">
        <w:t xml:space="preserve">) </w:t>
      </w:r>
      <w:r>
        <w:t xml:space="preserve">Note: </w:t>
      </w:r>
      <w:r w:rsidRPr="00312AB4">
        <w:t>A patient can receive more than one course of radiotherapy at the same time (courses that are simultaneous or overlap). One course of radiotherapy may cover multiple phases and multiple treatment plans.</w:t>
      </w:r>
      <w:r>
        <w:t xml:space="preserve"> Sum of individual cancer indications may not add up to aggregate annual totals. Full participation in data collection was not achieved until 2016-17.  Annual rates of participation have been </w:t>
      </w:r>
      <w:r w:rsidRPr="00F1264C">
        <w:t>81%</w:t>
      </w:r>
      <w:r>
        <w:t xml:space="preserve">, </w:t>
      </w:r>
      <w:r w:rsidRPr="00F1264C">
        <w:t>93%</w:t>
      </w:r>
      <w:r>
        <w:t xml:space="preserve">,, </w:t>
      </w:r>
      <w:r w:rsidRPr="00F1264C">
        <w:t>97%</w:t>
      </w:r>
      <w:r>
        <w:t xml:space="preserve">, </w:t>
      </w:r>
      <w:r w:rsidRPr="00F1264C">
        <w:t>100%</w:t>
      </w:r>
      <w:r>
        <w:t xml:space="preserve">, 99% and 99%. </w:t>
      </w:r>
      <w:r w:rsidR="00411D51">
        <w:br/>
      </w:r>
      <w:r>
        <w:t>Abbreviations: EBRT=external beam radiation therapy</w:t>
      </w:r>
    </w:p>
    <w:p w14:paraId="404AE251" w14:textId="715EEB27" w:rsidR="00E360E5" w:rsidRDefault="00E360E5" w:rsidP="009C1ABE">
      <w:pPr>
        <w:tabs>
          <w:tab w:val="left" w:pos="698"/>
        </w:tabs>
      </w:pPr>
      <w:r>
        <w:t xml:space="preserve">It is noted that not all cancer indications for which MR-IGRT would potentially be used for are listed in </w:t>
      </w:r>
      <w:r>
        <w:fldChar w:fldCharType="begin"/>
      </w:r>
      <w:r>
        <w:instrText xml:space="preserve"> REF _Ref58747766 \h </w:instrText>
      </w:r>
      <w:r>
        <w:fldChar w:fldCharType="separate"/>
      </w:r>
      <w:r w:rsidR="00451350">
        <w:t xml:space="preserve">Table </w:t>
      </w:r>
      <w:r w:rsidR="00451350">
        <w:rPr>
          <w:noProof/>
        </w:rPr>
        <w:t>59</w:t>
      </w:r>
      <w:r>
        <w:fldChar w:fldCharType="end"/>
      </w:r>
      <w:r>
        <w:t xml:space="preserve">, including bone, brain/glioblastoma, liver, oesophagus, oligometastatic (prostate) and the rectum.  These may be covered by the categories ‘not stated’, ‘other cancer’ or ‘secondary cancers’.  </w:t>
      </w:r>
      <w:r>
        <w:fldChar w:fldCharType="begin"/>
      </w:r>
      <w:r>
        <w:instrText xml:space="preserve"> REF _Ref59006993 \h </w:instrText>
      </w:r>
      <w:r>
        <w:fldChar w:fldCharType="separate"/>
      </w:r>
      <w:r w:rsidR="00451350">
        <w:t xml:space="preserve">Table </w:t>
      </w:r>
      <w:r w:rsidR="00451350">
        <w:rPr>
          <w:noProof/>
        </w:rPr>
        <w:t>60</w:t>
      </w:r>
      <w:r>
        <w:fldChar w:fldCharType="end"/>
      </w:r>
      <w:r>
        <w:t xml:space="preserve"> summarises the estimated use of EBRT by cancer indication.</w:t>
      </w:r>
    </w:p>
    <w:p w14:paraId="13D90F07" w14:textId="3A3F7C91" w:rsidR="00E360E5" w:rsidRDefault="00E360E5" w:rsidP="00E360E5">
      <w:pPr>
        <w:pStyle w:val="Caption"/>
      </w:pPr>
      <w:bookmarkStart w:id="638" w:name="_Ref59006993"/>
      <w:bookmarkStart w:id="639" w:name="_Toc89857931"/>
      <w:r>
        <w:t xml:space="preserve">Table </w:t>
      </w:r>
      <w:r w:rsidR="00211285">
        <w:fldChar w:fldCharType="begin"/>
      </w:r>
      <w:r w:rsidR="00211285">
        <w:instrText xml:space="preserve"> SEQ Table \* ARABIC </w:instrText>
      </w:r>
      <w:r w:rsidR="00211285">
        <w:fldChar w:fldCharType="separate"/>
      </w:r>
      <w:r w:rsidR="00451350">
        <w:rPr>
          <w:noProof/>
        </w:rPr>
        <w:t>60</w:t>
      </w:r>
      <w:r w:rsidR="00211285">
        <w:rPr>
          <w:noProof/>
        </w:rPr>
        <w:fldChar w:fldCharType="end"/>
      </w:r>
      <w:bookmarkEnd w:id="638"/>
      <w:r>
        <w:tab/>
        <w:t>Estimated proportion of all cancer indications treated by EBRT by indication, 2013-14 to 2018-19</w:t>
      </w:r>
      <w:bookmarkEnd w:id="639"/>
    </w:p>
    <w:tbl>
      <w:tblPr>
        <w:tblStyle w:val="TableGrid1"/>
        <w:tblW w:w="5000" w:type="pct"/>
        <w:tblLook w:val="04A0" w:firstRow="1" w:lastRow="0" w:firstColumn="1" w:lastColumn="0" w:noHBand="0" w:noVBand="1"/>
      </w:tblPr>
      <w:tblGrid>
        <w:gridCol w:w="1602"/>
        <w:gridCol w:w="1236"/>
        <w:gridCol w:w="1236"/>
        <w:gridCol w:w="1236"/>
        <w:gridCol w:w="1236"/>
        <w:gridCol w:w="1235"/>
        <w:gridCol w:w="1235"/>
      </w:tblGrid>
      <w:tr w:rsidR="00E360E5" w:rsidRPr="004749D7" w14:paraId="7D2EB72A" w14:textId="77777777" w:rsidTr="00A21A7F">
        <w:trPr>
          <w:cnfStyle w:val="100000000000" w:firstRow="1" w:lastRow="0" w:firstColumn="0" w:lastColumn="0" w:oddVBand="0" w:evenVBand="0" w:oddHBand="0" w:evenHBand="0" w:firstRowFirstColumn="0" w:firstRowLastColumn="0" w:lastRowFirstColumn="0" w:lastRowLastColumn="0"/>
          <w:trHeight w:val="375"/>
        </w:trPr>
        <w:tc>
          <w:tcPr>
            <w:tcW w:w="888" w:type="pct"/>
            <w:shd w:val="clear" w:color="auto" w:fill="auto"/>
            <w:vAlign w:val="center"/>
            <w:hideMark/>
          </w:tcPr>
          <w:p w14:paraId="09222B9B" w14:textId="77777777" w:rsidR="00E360E5" w:rsidRPr="004749D7" w:rsidRDefault="00E360E5" w:rsidP="009E682D">
            <w:pPr>
              <w:spacing w:before="40" w:line="240" w:lineRule="auto"/>
              <w:rPr>
                <w:rFonts w:ascii="Arial Narrow" w:hAnsi="Arial Narrow" w:cs="Calibri"/>
                <w:b/>
                <w:bCs/>
                <w:color w:val="000000"/>
                <w:sz w:val="20"/>
                <w:szCs w:val="20"/>
              </w:rPr>
            </w:pPr>
            <w:r w:rsidRPr="004749D7">
              <w:rPr>
                <w:rFonts w:ascii="Arial Narrow" w:hAnsi="Arial Narrow" w:cs="Calibri"/>
                <w:b/>
                <w:bCs/>
                <w:color w:val="000000"/>
                <w:sz w:val="20"/>
                <w:szCs w:val="20"/>
              </w:rPr>
              <w:t>Indications</w:t>
            </w:r>
          </w:p>
        </w:tc>
        <w:tc>
          <w:tcPr>
            <w:tcW w:w="685" w:type="pct"/>
            <w:vAlign w:val="center"/>
          </w:tcPr>
          <w:p w14:paraId="7EEF854A" w14:textId="77777777" w:rsidR="00E360E5"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2013-14</w:t>
            </w:r>
          </w:p>
        </w:tc>
        <w:tc>
          <w:tcPr>
            <w:tcW w:w="685" w:type="pct"/>
            <w:vAlign w:val="center"/>
          </w:tcPr>
          <w:p w14:paraId="45D959A0" w14:textId="77777777" w:rsidR="00E360E5"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2014-15</w:t>
            </w:r>
          </w:p>
        </w:tc>
        <w:tc>
          <w:tcPr>
            <w:tcW w:w="685" w:type="pct"/>
            <w:vAlign w:val="center"/>
          </w:tcPr>
          <w:p w14:paraId="3E501EC6" w14:textId="77777777" w:rsidR="00E360E5" w:rsidRPr="004749D7"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2015-16</w:t>
            </w:r>
          </w:p>
        </w:tc>
        <w:tc>
          <w:tcPr>
            <w:tcW w:w="685" w:type="pct"/>
            <w:vAlign w:val="center"/>
          </w:tcPr>
          <w:p w14:paraId="22B96EFE" w14:textId="77777777" w:rsidR="00E360E5" w:rsidRPr="004749D7"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2016-2017</w:t>
            </w:r>
          </w:p>
        </w:tc>
        <w:tc>
          <w:tcPr>
            <w:tcW w:w="685" w:type="pct"/>
            <w:vAlign w:val="center"/>
          </w:tcPr>
          <w:p w14:paraId="3EE3D0AD" w14:textId="77777777" w:rsidR="00E360E5" w:rsidRPr="004749D7"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2017-18</w:t>
            </w:r>
          </w:p>
        </w:tc>
        <w:tc>
          <w:tcPr>
            <w:tcW w:w="685" w:type="pct"/>
            <w:vAlign w:val="center"/>
          </w:tcPr>
          <w:p w14:paraId="44C964D9" w14:textId="77777777" w:rsidR="00E360E5" w:rsidRPr="004749D7"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2018-19</w:t>
            </w:r>
          </w:p>
        </w:tc>
      </w:tr>
      <w:tr w:rsidR="00E360E5" w:rsidRPr="004749D7" w14:paraId="2CE59EC7" w14:textId="77777777" w:rsidTr="00A21A7F">
        <w:trPr>
          <w:trHeight w:val="290"/>
        </w:trPr>
        <w:tc>
          <w:tcPr>
            <w:tcW w:w="888" w:type="pct"/>
            <w:shd w:val="clear" w:color="auto" w:fill="auto"/>
            <w:vAlign w:val="center"/>
          </w:tcPr>
          <w:p w14:paraId="0435BA67" w14:textId="77777777" w:rsidR="00E360E5" w:rsidRPr="004749D7" w:rsidRDefault="00E360E5"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Breast</w:t>
            </w:r>
          </w:p>
        </w:tc>
        <w:tc>
          <w:tcPr>
            <w:tcW w:w="685" w:type="pct"/>
            <w:vAlign w:val="center"/>
          </w:tcPr>
          <w:p w14:paraId="1C3CA383"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22.7%</w:t>
            </w:r>
          </w:p>
        </w:tc>
        <w:tc>
          <w:tcPr>
            <w:tcW w:w="685" w:type="pct"/>
            <w:vAlign w:val="center"/>
          </w:tcPr>
          <w:p w14:paraId="5D59A4DE"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22.6%</w:t>
            </w:r>
          </w:p>
        </w:tc>
        <w:tc>
          <w:tcPr>
            <w:tcW w:w="685" w:type="pct"/>
            <w:vAlign w:val="center"/>
          </w:tcPr>
          <w:p w14:paraId="5316AF0A"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23.1%</w:t>
            </w:r>
          </w:p>
        </w:tc>
        <w:tc>
          <w:tcPr>
            <w:tcW w:w="685" w:type="pct"/>
            <w:vAlign w:val="center"/>
          </w:tcPr>
          <w:p w14:paraId="2845FD08"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22.6%</w:t>
            </w:r>
          </w:p>
        </w:tc>
        <w:tc>
          <w:tcPr>
            <w:tcW w:w="685" w:type="pct"/>
            <w:vAlign w:val="center"/>
          </w:tcPr>
          <w:p w14:paraId="2008F30D"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22.3%</w:t>
            </w:r>
          </w:p>
        </w:tc>
        <w:tc>
          <w:tcPr>
            <w:tcW w:w="685" w:type="pct"/>
            <w:vAlign w:val="center"/>
          </w:tcPr>
          <w:p w14:paraId="1260F6B8"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20.1%</w:t>
            </w:r>
          </w:p>
        </w:tc>
      </w:tr>
      <w:tr w:rsidR="00E360E5" w:rsidRPr="004749D7" w14:paraId="37AAFB0E" w14:textId="77777777" w:rsidTr="00A21A7F">
        <w:trPr>
          <w:trHeight w:val="290"/>
        </w:trPr>
        <w:tc>
          <w:tcPr>
            <w:tcW w:w="888" w:type="pct"/>
            <w:shd w:val="clear" w:color="auto" w:fill="auto"/>
            <w:vAlign w:val="center"/>
          </w:tcPr>
          <w:p w14:paraId="0008F909" w14:textId="77777777" w:rsidR="00E360E5" w:rsidRPr="004749D7" w:rsidRDefault="00E360E5"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Head and Neck (excluding lip)</w:t>
            </w:r>
          </w:p>
        </w:tc>
        <w:tc>
          <w:tcPr>
            <w:tcW w:w="685" w:type="pct"/>
            <w:vAlign w:val="center"/>
          </w:tcPr>
          <w:p w14:paraId="73467F58"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3.8%</w:t>
            </w:r>
          </w:p>
        </w:tc>
        <w:tc>
          <w:tcPr>
            <w:tcW w:w="685" w:type="pct"/>
            <w:vAlign w:val="center"/>
          </w:tcPr>
          <w:p w14:paraId="72905232"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3.8%</w:t>
            </w:r>
          </w:p>
        </w:tc>
        <w:tc>
          <w:tcPr>
            <w:tcW w:w="685" w:type="pct"/>
            <w:vAlign w:val="center"/>
          </w:tcPr>
          <w:p w14:paraId="25AE4020"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4.0%</w:t>
            </w:r>
          </w:p>
        </w:tc>
        <w:tc>
          <w:tcPr>
            <w:tcW w:w="685" w:type="pct"/>
            <w:vAlign w:val="center"/>
          </w:tcPr>
          <w:p w14:paraId="28DEDE1F"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3.9%</w:t>
            </w:r>
          </w:p>
        </w:tc>
        <w:tc>
          <w:tcPr>
            <w:tcW w:w="685" w:type="pct"/>
            <w:vAlign w:val="center"/>
          </w:tcPr>
          <w:p w14:paraId="08FC2494"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3.6%</w:t>
            </w:r>
          </w:p>
        </w:tc>
        <w:tc>
          <w:tcPr>
            <w:tcW w:w="685" w:type="pct"/>
            <w:vAlign w:val="center"/>
          </w:tcPr>
          <w:p w14:paraId="4C140906"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3.5%</w:t>
            </w:r>
          </w:p>
        </w:tc>
      </w:tr>
      <w:tr w:rsidR="00E360E5" w:rsidRPr="004749D7" w14:paraId="6E4EC175" w14:textId="77777777" w:rsidTr="00A21A7F">
        <w:trPr>
          <w:trHeight w:val="290"/>
        </w:trPr>
        <w:tc>
          <w:tcPr>
            <w:tcW w:w="888" w:type="pct"/>
            <w:shd w:val="clear" w:color="auto" w:fill="auto"/>
            <w:vAlign w:val="center"/>
          </w:tcPr>
          <w:p w14:paraId="356E13B1" w14:textId="77777777" w:rsidR="00E360E5" w:rsidRPr="004749D7" w:rsidRDefault="00E360E5"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Lung</w:t>
            </w:r>
          </w:p>
        </w:tc>
        <w:tc>
          <w:tcPr>
            <w:tcW w:w="685" w:type="pct"/>
            <w:vAlign w:val="center"/>
          </w:tcPr>
          <w:p w14:paraId="5AF62B57"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12.0%</w:t>
            </w:r>
          </w:p>
        </w:tc>
        <w:tc>
          <w:tcPr>
            <w:tcW w:w="685" w:type="pct"/>
            <w:vAlign w:val="center"/>
          </w:tcPr>
          <w:p w14:paraId="30E991BB"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7.0%</w:t>
            </w:r>
          </w:p>
        </w:tc>
        <w:tc>
          <w:tcPr>
            <w:tcW w:w="685" w:type="pct"/>
            <w:vAlign w:val="center"/>
          </w:tcPr>
          <w:p w14:paraId="0B8886B5"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7.5%</w:t>
            </w:r>
          </w:p>
        </w:tc>
        <w:tc>
          <w:tcPr>
            <w:tcW w:w="685" w:type="pct"/>
            <w:vAlign w:val="center"/>
          </w:tcPr>
          <w:p w14:paraId="0FA48415"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6.7%</w:t>
            </w:r>
          </w:p>
        </w:tc>
        <w:tc>
          <w:tcPr>
            <w:tcW w:w="685" w:type="pct"/>
            <w:vAlign w:val="center"/>
          </w:tcPr>
          <w:p w14:paraId="356BC131"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7.4%</w:t>
            </w:r>
          </w:p>
        </w:tc>
        <w:tc>
          <w:tcPr>
            <w:tcW w:w="685" w:type="pct"/>
            <w:vAlign w:val="center"/>
          </w:tcPr>
          <w:p w14:paraId="01DF4B0C"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6.9%</w:t>
            </w:r>
          </w:p>
        </w:tc>
      </w:tr>
      <w:tr w:rsidR="00E360E5" w:rsidRPr="004749D7" w14:paraId="6F91335A" w14:textId="77777777" w:rsidTr="00A21A7F">
        <w:trPr>
          <w:trHeight w:val="269"/>
        </w:trPr>
        <w:tc>
          <w:tcPr>
            <w:tcW w:w="888" w:type="pct"/>
            <w:shd w:val="clear" w:color="auto" w:fill="auto"/>
            <w:vAlign w:val="center"/>
          </w:tcPr>
          <w:p w14:paraId="5E6084E3" w14:textId="77777777" w:rsidR="00E360E5" w:rsidRPr="004749D7" w:rsidRDefault="00E360E5"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Pancreas</w:t>
            </w:r>
          </w:p>
        </w:tc>
        <w:tc>
          <w:tcPr>
            <w:tcW w:w="685" w:type="pct"/>
            <w:vAlign w:val="center"/>
          </w:tcPr>
          <w:p w14:paraId="37D6F213"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0.6%</w:t>
            </w:r>
          </w:p>
        </w:tc>
        <w:tc>
          <w:tcPr>
            <w:tcW w:w="685" w:type="pct"/>
            <w:vAlign w:val="center"/>
          </w:tcPr>
          <w:p w14:paraId="4C11952C"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0.4%</w:t>
            </w:r>
          </w:p>
        </w:tc>
        <w:tc>
          <w:tcPr>
            <w:tcW w:w="685" w:type="pct"/>
            <w:vAlign w:val="center"/>
          </w:tcPr>
          <w:p w14:paraId="5994A3C2"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0.4%</w:t>
            </w:r>
          </w:p>
        </w:tc>
        <w:tc>
          <w:tcPr>
            <w:tcW w:w="685" w:type="pct"/>
            <w:vAlign w:val="center"/>
          </w:tcPr>
          <w:p w14:paraId="365B1D19"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0.4%</w:t>
            </w:r>
          </w:p>
        </w:tc>
        <w:tc>
          <w:tcPr>
            <w:tcW w:w="685" w:type="pct"/>
            <w:vAlign w:val="center"/>
          </w:tcPr>
          <w:p w14:paraId="607816D4"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0.4%</w:t>
            </w:r>
          </w:p>
        </w:tc>
        <w:tc>
          <w:tcPr>
            <w:tcW w:w="685" w:type="pct"/>
            <w:vAlign w:val="center"/>
          </w:tcPr>
          <w:p w14:paraId="7A10BF8B"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0.4%</w:t>
            </w:r>
          </w:p>
        </w:tc>
      </w:tr>
      <w:tr w:rsidR="00E360E5" w:rsidRPr="004749D7" w14:paraId="6DFD8101" w14:textId="77777777" w:rsidTr="00A21A7F">
        <w:trPr>
          <w:trHeight w:val="300"/>
        </w:trPr>
        <w:tc>
          <w:tcPr>
            <w:tcW w:w="888" w:type="pct"/>
            <w:shd w:val="clear" w:color="auto" w:fill="auto"/>
            <w:vAlign w:val="center"/>
          </w:tcPr>
          <w:p w14:paraId="306BE747" w14:textId="77777777" w:rsidR="00E360E5" w:rsidRPr="004749D7" w:rsidRDefault="00E360E5"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Prostate</w:t>
            </w:r>
          </w:p>
        </w:tc>
        <w:tc>
          <w:tcPr>
            <w:tcW w:w="685" w:type="pct"/>
            <w:vAlign w:val="center"/>
          </w:tcPr>
          <w:p w14:paraId="369451B4"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12.9%</w:t>
            </w:r>
          </w:p>
        </w:tc>
        <w:tc>
          <w:tcPr>
            <w:tcW w:w="685" w:type="pct"/>
            <w:vAlign w:val="center"/>
          </w:tcPr>
          <w:p w14:paraId="730F4818"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13.0%</w:t>
            </w:r>
          </w:p>
        </w:tc>
        <w:tc>
          <w:tcPr>
            <w:tcW w:w="685" w:type="pct"/>
            <w:vAlign w:val="center"/>
          </w:tcPr>
          <w:p w14:paraId="2C4DBB87"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13.8%</w:t>
            </w:r>
          </w:p>
        </w:tc>
        <w:tc>
          <w:tcPr>
            <w:tcW w:w="685" w:type="pct"/>
            <w:vAlign w:val="center"/>
          </w:tcPr>
          <w:p w14:paraId="3D1FF8CB"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12.6%</w:t>
            </w:r>
          </w:p>
        </w:tc>
        <w:tc>
          <w:tcPr>
            <w:tcW w:w="685" w:type="pct"/>
            <w:vAlign w:val="center"/>
          </w:tcPr>
          <w:p w14:paraId="0E9859EB"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13.7%</w:t>
            </w:r>
          </w:p>
        </w:tc>
        <w:tc>
          <w:tcPr>
            <w:tcW w:w="685" w:type="pct"/>
            <w:vAlign w:val="center"/>
          </w:tcPr>
          <w:p w14:paraId="05BE3B81" w14:textId="77777777" w:rsidR="00E360E5" w:rsidRPr="004749D7"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13.0%</w:t>
            </w:r>
          </w:p>
        </w:tc>
      </w:tr>
    </w:tbl>
    <w:p w14:paraId="2156D728" w14:textId="61702310" w:rsidR="00E360E5" w:rsidRPr="00312AB4" w:rsidRDefault="00C41120" w:rsidP="00411D51">
      <w:pPr>
        <w:pStyle w:val="Tablenotes0"/>
        <w:jc w:val="left"/>
      </w:pPr>
      <w:r>
        <w:t>S</w:t>
      </w:r>
      <w:r w:rsidRPr="00411D51">
        <w:t>ource: AIHW, 2020.  Radiotherapy in Australia 2018-19 (</w:t>
      </w:r>
      <w:hyperlink r:id="rId37" w:history="1">
        <w:r w:rsidRPr="00411D51">
          <w:t>https://www.aihw.gov.au/reports/radiotherapy/radiotherapy-in-australia-2018-19/contents/radiotherapy-courses</w:t>
        </w:r>
      </w:hyperlink>
      <w:r w:rsidR="00E360E5" w:rsidRPr="00411D51">
        <w:t>)</w:t>
      </w:r>
      <w:r w:rsidR="00411D51" w:rsidRPr="00411D51">
        <w:br/>
      </w:r>
      <w:r w:rsidR="00E360E5" w:rsidRPr="00411D51">
        <w:t>Abbreviations: EBRT=external beam radiation therapy</w:t>
      </w:r>
    </w:p>
    <w:p w14:paraId="6AF9AE37" w14:textId="152B1B4B" w:rsidR="00E360E5" w:rsidRDefault="00E360E5" w:rsidP="00E360E5">
      <w:pPr>
        <w:keepNext/>
        <w:jc w:val="both"/>
      </w:pPr>
      <w:r>
        <w:fldChar w:fldCharType="begin"/>
      </w:r>
      <w:r>
        <w:instrText xml:space="preserve"> REF _Ref58760441 \h </w:instrText>
      </w:r>
      <w:r>
        <w:fldChar w:fldCharType="separate"/>
      </w:r>
      <w:r w:rsidR="00451350">
        <w:t xml:space="preserve">Table </w:t>
      </w:r>
      <w:r w:rsidR="00451350">
        <w:rPr>
          <w:noProof/>
        </w:rPr>
        <w:t>61</w:t>
      </w:r>
      <w:r>
        <w:fldChar w:fldCharType="end"/>
      </w:r>
      <w:r>
        <w:t xml:space="preserve"> summarises historical use of EBRT in Australia between 2013-14 and 2018-19 for cancer indications where specific use for that indication was identified.</w:t>
      </w:r>
    </w:p>
    <w:p w14:paraId="079D5BAF" w14:textId="5254BF42" w:rsidR="00E360E5" w:rsidRDefault="00E360E5" w:rsidP="00E360E5">
      <w:pPr>
        <w:pStyle w:val="Caption"/>
        <w:keepNext/>
        <w:keepLines/>
        <w:spacing w:after="80"/>
        <w:jc w:val="both"/>
      </w:pPr>
      <w:bookmarkStart w:id="640" w:name="_Ref58760441"/>
      <w:bookmarkStart w:id="641" w:name="_Toc89857932"/>
      <w:r>
        <w:t xml:space="preserve">Table </w:t>
      </w:r>
      <w:r w:rsidR="00211285">
        <w:fldChar w:fldCharType="begin"/>
      </w:r>
      <w:r w:rsidR="00211285">
        <w:instrText xml:space="preserve"> SEQ Table \* ARABIC </w:instrText>
      </w:r>
      <w:r w:rsidR="00211285">
        <w:fldChar w:fldCharType="separate"/>
      </w:r>
      <w:r w:rsidR="00451350">
        <w:rPr>
          <w:noProof/>
        </w:rPr>
        <w:t>61</w:t>
      </w:r>
      <w:r w:rsidR="00211285">
        <w:rPr>
          <w:noProof/>
        </w:rPr>
        <w:fldChar w:fldCharType="end"/>
      </w:r>
      <w:bookmarkEnd w:id="640"/>
      <w:r>
        <w:tab/>
      </w:r>
      <w:r w:rsidR="00C90A27">
        <w:t>Estimated p</w:t>
      </w:r>
      <w:r>
        <w:t xml:space="preserve">roportion of selected cancer indications treated by EBRT in Australia, 2013-14 to 2018-19 (% of overall </w:t>
      </w:r>
      <w:r w:rsidR="001A5062">
        <w:t xml:space="preserve">annual </w:t>
      </w:r>
      <w:r>
        <w:t>incidence)</w:t>
      </w:r>
      <w:bookmarkEnd w:id="641"/>
    </w:p>
    <w:tbl>
      <w:tblPr>
        <w:tblStyle w:val="TableGrid1"/>
        <w:tblW w:w="5000" w:type="pct"/>
        <w:tblLook w:val="04A0" w:firstRow="1" w:lastRow="0" w:firstColumn="1" w:lastColumn="0" w:noHBand="0" w:noVBand="1"/>
      </w:tblPr>
      <w:tblGrid>
        <w:gridCol w:w="2206"/>
        <w:gridCol w:w="1703"/>
        <w:gridCol w:w="1703"/>
        <w:gridCol w:w="1702"/>
        <w:gridCol w:w="1702"/>
      </w:tblGrid>
      <w:tr w:rsidR="00E360E5" w:rsidRPr="004749D7" w14:paraId="71831E53" w14:textId="77777777" w:rsidTr="00A21A7F">
        <w:trPr>
          <w:cnfStyle w:val="100000000000" w:firstRow="1" w:lastRow="0" w:firstColumn="0" w:lastColumn="0" w:oddVBand="0" w:evenVBand="0" w:oddHBand="0" w:evenHBand="0" w:firstRowFirstColumn="0" w:firstRowLastColumn="0" w:lastRowFirstColumn="0" w:lastRowLastColumn="0"/>
          <w:trHeight w:val="375"/>
        </w:trPr>
        <w:tc>
          <w:tcPr>
            <w:tcW w:w="1223" w:type="pct"/>
            <w:shd w:val="clear" w:color="auto" w:fill="auto"/>
            <w:vAlign w:val="center"/>
            <w:hideMark/>
          </w:tcPr>
          <w:p w14:paraId="3AD30B09" w14:textId="77777777" w:rsidR="00E360E5" w:rsidRPr="004749D7" w:rsidRDefault="00E360E5" w:rsidP="009E682D">
            <w:pPr>
              <w:spacing w:before="40" w:line="240" w:lineRule="auto"/>
              <w:rPr>
                <w:rFonts w:ascii="Arial Narrow" w:hAnsi="Arial Narrow" w:cs="Calibri"/>
                <w:b/>
                <w:bCs/>
                <w:color w:val="000000"/>
                <w:sz w:val="20"/>
                <w:szCs w:val="20"/>
              </w:rPr>
            </w:pPr>
            <w:r w:rsidRPr="004749D7">
              <w:rPr>
                <w:rFonts w:ascii="Arial Narrow" w:hAnsi="Arial Narrow" w:cs="Calibri"/>
                <w:b/>
                <w:bCs/>
                <w:color w:val="000000"/>
                <w:sz w:val="20"/>
                <w:szCs w:val="20"/>
              </w:rPr>
              <w:t>Indications</w:t>
            </w:r>
          </w:p>
        </w:tc>
        <w:tc>
          <w:tcPr>
            <w:tcW w:w="944" w:type="pct"/>
            <w:vAlign w:val="center"/>
          </w:tcPr>
          <w:p w14:paraId="4D5B3687" w14:textId="77777777" w:rsidR="00E360E5" w:rsidRPr="004749D7"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2015-16</w:t>
            </w:r>
          </w:p>
        </w:tc>
        <w:tc>
          <w:tcPr>
            <w:tcW w:w="944" w:type="pct"/>
            <w:vAlign w:val="center"/>
          </w:tcPr>
          <w:p w14:paraId="3F47C637" w14:textId="77777777" w:rsidR="00E360E5" w:rsidRPr="004749D7"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2016-2017</w:t>
            </w:r>
          </w:p>
        </w:tc>
        <w:tc>
          <w:tcPr>
            <w:tcW w:w="944" w:type="pct"/>
            <w:vAlign w:val="center"/>
          </w:tcPr>
          <w:p w14:paraId="3F8BF868" w14:textId="77777777" w:rsidR="00E360E5" w:rsidRPr="004749D7"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2017-18</w:t>
            </w:r>
          </w:p>
        </w:tc>
        <w:tc>
          <w:tcPr>
            <w:tcW w:w="944" w:type="pct"/>
            <w:vAlign w:val="center"/>
          </w:tcPr>
          <w:p w14:paraId="77C5921B" w14:textId="77777777" w:rsidR="00E360E5" w:rsidRPr="004749D7"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2018-19</w:t>
            </w:r>
          </w:p>
        </w:tc>
      </w:tr>
      <w:tr w:rsidR="001E5DBC" w:rsidRPr="004749D7" w14:paraId="0C7E4CDE" w14:textId="77777777" w:rsidTr="00A21A7F">
        <w:trPr>
          <w:trHeight w:val="290"/>
        </w:trPr>
        <w:tc>
          <w:tcPr>
            <w:tcW w:w="1223" w:type="pct"/>
            <w:shd w:val="clear" w:color="auto" w:fill="auto"/>
            <w:vAlign w:val="center"/>
          </w:tcPr>
          <w:p w14:paraId="4E2F548E" w14:textId="77777777" w:rsidR="001E5DBC" w:rsidRPr="004749D7" w:rsidRDefault="001E5DBC" w:rsidP="001E5DBC">
            <w:pPr>
              <w:spacing w:before="40" w:line="240" w:lineRule="auto"/>
              <w:rPr>
                <w:rFonts w:ascii="Arial Narrow" w:hAnsi="Arial Narrow" w:cs="Calibri"/>
                <w:color w:val="000000"/>
                <w:sz w:val="20"/>
                <w:szCs w:val="20"/>
              </w:rPr>
            </w:pPr>
            <w:r>
              <w:rPr>
                <w:rFonts w:ascii="Arial Narrow" w:hAnsi="Arial Narrow" w:cs="Calibri"/>
                <w:color w:val="000000"/>
                <w:sz w:val="20"/>
                <w:szCs w:val="20"/>
              </w:rPr>
              <w:t>Breast</w:t>
            </w:r>
          </w:p>
        </w:tc>
        <w:tc>
          <w:tcPr>
            <w:tcW w:w="944" w:type="pct"/>
            <w:vAlign w:val="center"/>
          </w:tcPr>
          <w:p w14:paraId="08CBB5EA" w14:textId="1687924A"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80%</w:t>
            </w:r>
          </w:p>
        </w:tc>
        <w:tc>
          <w:tcPr>
            <w:tcW w:w="944" w:type="pct"/>
            <w:vAlign w:val="center"/>
          </w:tcPr>
          <w:p w14:paraId="0A0E7BD2" w14:textId="6A03E4B1"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78%</w:t>
            </w:r>
          </w:p>
        </w:tc>
        <w:tc>
          <w:tcPr>
            <w:tcW w:w="944" w:type="pct"/>
            <w:vAlign w:val="center"/>
          </w:tcPr>
          <w:p w14:paraId="68B0E866" w14:textId="326942E7"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80%</w:t>
            </w:r>
          </w:p>
        </w:tc>
        <w:tc>
          <w:tcPr>
            <w:tcW w:w="944" w:type="pct"/>
            <w:vAlign w:val="center"/>
          </w:tcPr>
          <w:p w14:paraId="65D08B56" w14:textId="0B386147"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77%</w:t>
            </w:r>
          </w:p>
        </w:tc>
      </w:tr>
      <w:tr w:rsidR="001E5DBC" w:rsidRPr="004749D7" w14:paraId="1A09190C" w14:textId="77777777" w:rsidTr="00A21A7F">
        <w:trPr>
          <w:trHeight w:val="290"/>
        </w:trPr>
        <w:tc>
          <w:tcPr>
            <w:tcW w:w="1223" w:type="pct"/>
            <w:shd w:val="clear" w:color="auto" w:fill="auto"/>
            <w:vAlign w:val="center"/>
          </w:tcPr>
          <w:p w14:paraId="6457A654" w14:textId="77777777" w:rsidR="001E5DBC" w:rsidRPr="004749D7" w:rsidRDefault="001E5DBC" w:rsidP="001E5DBC">
            <w:pPr>
              <w:spacing w:before="40" w:line="240" w:lineRule="auto"/>
              <w:rPr>
                <w:rFonts w:ascii="Arial Narrow" w:hAnsi="Arial Narrow" w:cs="Calibri"/>
                <w:color w:val="000000"/>
                <w:sz w:val="20"/>
                <w:szCs w:val="20"/>
              </w:rPr>
            </w:pPr>
            <w:r>
              <w:rPr>
                <w:rFonts w:ascii="Arial Narrow" w:hAnsi="Arial Narrow" w:cs="Calibri"/>
                <w:color w:val="000000"/>
                <w:sz w:val="20"/>
                <w:szCs w:val="20"/>
              </w:rPr>
              <w:t>Head and Neck (excluding lip)</w:t>
            </w:r>
          </w:p>
        </w:tc>
        <w:tc>
          <w:tcPr>
            <w:tcW w:w="944" w:type="pct"/>
            <w:vAlign w:val="center"/>
          </w:tcPr>
          <w:p w14:paraId="1194E1E0" w14:textId="0CF88D9B"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64%</w:t>
            </w:r>
          </w:p>
        </w:tc>
        <w:tc>
          <w:tcPr>
            <w:tcW w:w="944" w:type="pct"/>
            <w:vAlign w:val="center"/>
          </w:tcPr>
          <w:p w14:paraId="17A9FD6F" w14:textId="365D1840"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63%</w:t>
            </w:r>
          </w:p>
        </w:tc>
        <w:tc>
          <w:tcPr>
            <w:tcW w:w="944" w:type="pct"/>
            <w:vAlign w:val="center"/>
          </w:tcPr>
          <w:p w14:paraId="6F6C417F" w14:textId="2C7817C8"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60%</w:t>
            </w:r>
          </w:p>
        </w:tc>
        <w:tc>
          <w:tcPr>
            <w:tcW w:w="944" w:type="pct"/>
            <w:vAlign w:val="center"/>
          </w:tcPr>
          <w:p w14:paraId="27198B7E" w14:textId="163526E8"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62%</w:t>
            </w:r>
          </w:p>
        </w:tc>
      </w:tr>
      <w:tr w:rsidR="001E5DBC" w:rsidRPr="004749D7" w14:paraId="619CEC40" w14:textId="77777777" w:rsidTr="00A21A7F">
        <w:trPr>
          <w:trHeight w:val="290"/>
        </w:trPr>
        <w:tc>
          <w:tcPr>
            <w:tcW w:w="1223" w:type="pct"/>
            <w:shd w:val="clear" w:color="auto" w:fill="auto"/>
            <w:vAlign w:val="center"/>
          </w:tcPr>
          <w:p w14:paraId="6A12A4A5" w14:textId="77777777" w:rsidR="001E5DBC" w:rsidRPr="004749D7" w:rsidRDefault="001E5DBC" w:rsidP="001E5DBC">
            <w:pPr>
              <w:spacing w:before="40" w:line="240" w:lineRule="auto"/>
              <w:rPr>
                <w:rFonts w:ascii="Arial Narrow" w:hAnsi="Arial Narrow" w:cs="Calibri"/>
                <w:color w:val="000000"/>
                <w:sz w:val="20"/>
                <w:szCs w:val="20"/>
              </w:rPr>
            </w:pPr>
            <w:r>
              <w:rPr>
                <w:rFonts w:ascii="Arial Narrow" w:hAnsi="Arial Narrow" w:cs="Calibri"/>
                <w:color w:val="000000"/>
                <w:sz w:val="20"/>
                <w:szCs w:val="20"/>
              </w:rPr>
              <w:t>Lung</w:t>
            </w:r>
          </w:p>
        </w:tc>
        <w:tc>
          <w:tcPr>
            <w:tcW w:w="944" w:type="pct"/>
            <w:vAlign w:val="center"/>
          </w:tcPr>
          <w:p w14:paraId="68432C20" w14:textId="10223E31"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37%</w:t>
            </w:r>
          </w:p>
        </w:tc>
        <w:tc>
          <w:tcPr>
            <w:tcW w:w="944" w:type="pct"/>
            <w:vAlign w:val="center"/>
          </w:tcPr>
          <w:p w14:paraId="7400ADD3" w14:textId="0CB8A237"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34%</w:t>
            </w:r>
          </w:p>
        </w:tc>
        <w:tc>
          <w:tcPr>
            <w:tcW w:w="944" w:type="pct"/>
            <w:vAlign w:val="center"/>
          </w:tcPr>
          <w:p w14:paraId="59196E90" w14:textId="2233C53D"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40%</w:t>
            </w:r>
          </w:p>
        </w:tc>
        <w:tc>
          <w:tcPr>
            <w:tcW w:w="944" w:type="pct"/>
            <w:vAlign w:val="center"/>
          </w:tcPr>
          <w:p w14:paraId="3FB36E58" w14:textId="372283E9"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40%</w:t>
            </w:r>
          </w:p>
        </w:tc>
      </w:tr>
      <w:tr w:rsidR="001E5DBC" w:rsidRPr="004749D7" w14:paraId="22634B26" w14:textId="77777777" w:rsidTr="00A21A7F">
        <w:trPr>
          <w:trHeight w:val="269"/>
        </w:trPr>
        <w:tc>
          <w:tcPr>
            <w:tcW w:w="1223" w:type="pct"/>
            <w:shd w:val="clear" w:color="auto" w:fill="auto"/>
            <w:vAlign w:val="center"/>
          </w:tcPr>
          <w:p w14:paraId="5C203BA0" w14:textId="77777777" w:rsidR="001E5DBC" w:rsidRPr="004749D7" w:rsidRDefault="001E5DBC" w:rsidP="001E5DBC">
            <w:pPr>
              <w:spacing w:before="40" w:line="240" w:lineRule="auto"/>
              <w:rPr>
                <w:rFonts w:ascii="Arial Narrow" w:hAnsi="Arial Narrow" w:cs="Calibri"/>
                <w:color w:val="000000"/>
                <w:sz w:val="20"/>
                <w:szCs w:val="20"/>
              </w:rPr>
            </w:pPr>
            <w:r>
              <w:rPr>
                <w:rFonts w:ascii="Arial Narrow" w:hAnsi="Arial Narrow" w:cs="Calibri"/>
                <w:color w:val="000000"/>
                <w:sz w:val="20"/>
                <w:szCs w:val="20"/>
              </w:rPr>
              <w:t>Pancreas</w:t>
            </w:r>
          </w:p>
        </w:tc>
        <w:tc>
          <w:tcPr>
            <w:tcW w:w="944" w:type="pct"/>
            <w:vAlign w:val="center"/>
          </w:tcPr>
          <w:p w14:paraId="5B9C43F0" w14:textId="422B57D0"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w:t>
            </w:r>
          </w:p>
        </w:tc>
        <w:tc>
          <w:tcPr>
            <w:tcW w:w="944" w:type="pct"/>
            <w:vAlign w:val="center"/>
          </w:tcPr>
          <w:p w14:paraId="14E72DB9" w14:textId="13D49C0F"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w:t>
            </w:r>
          </w:p>
        </w:tc>
        <w:tc>
          <w:tcPr>
            <w:tcW w:w="944" w:type="pct"/>
            <w:vAlign w:val="center"/>
          </w:tcPr>
          <w:p w14:paraId="03D1DC64" w14:textId="5E73A897"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7%</w:t>
            </w:r>
          </w:p>
        </w:tc>
        <w:tc>
          <w:tcPr>
            <w:tcW w:w="944" w:type="pct"/>
            <w:vAlign w:val="center"/>
          </w:tcPr>
          <w:p w14:paraId="25009510" w14:textId="16178B17" w:rsidR="001E5DBC" w:rsidRPr="004749D7"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8%</w:t>
            </w:r>
          </w:p>
        </w:tc>
      </w:tr>
      <w:tr w:rsidR="001E5DBC" w:rsidRPr="004749D7" w14:paraId="4A107B7F" w14:textId="77777777" w:rsidTr="00A21A7F">
        <w:trPr>
          <w:trHeight w:val="269"/>
        </w:trPr>
        <w:tc>
          <w:tcPr>
            <w:tcW w:w="1223" w:type="pct"/>
            <w:shd w:val="clear" w:color="auto" w:fill="auto"/>
            <w:vAlign w:val="center"/>
          </w:tcPr>
          <w:p w14:paraId="09AC6962" w14:textId="67EADD42" w:rsidR="001E5DBC" w:rsidRDefault="001E5DBC" w:rsidP="001E5DBC">
            <w:pPr>
              <w:spacing w:before="40" w:line="240" w:lineRule="auto"/>
              <w:rPr>
                <w:rFonts w:ascii="Arial Narrow" w:hAnsi="Arial Narrow" w:cs="Calibri"/>
                <w:color w:val="000000"/>
                <w:sz w:val="20"/>
                <w:szCs w:val="20"/>
              </w:rPr>
            </w:pPr>
            <w:r>
              <w:rPr>
                <w:rFonts w:ascii="Arial Narrow" w:hAnsi="Arial Narrow" w:cs="Calibri"/>
                <w:color w:val="000000"/>
                <w:sz w:val="20"/>
                <w:szCs w:val="20"/>
              </w:rPr>
              <w:t>Prostate</w:t>
            </w:r>
          </w:p>
        </w:tc>
        <w:tc>
          <w:tcPr>
            <w:tcW w:w="944" w:type="pct"/>
            <w:vAlign w:val="center"/>
          </w:tcPr>
          <w:p w14:paraId="36538EAC" w14:textId="76B9484E" w:rsidR="001E5DBC"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43%</w:t>
            </w:r>
          </w:p>
        </w:tc>
        <w:tc>
          <w:tcPr>
            <w:tcW w:w="944" w:type="pct"/>
            <w:vAlign w:val="center"/>
          </w:tcPr>
          <w:p w14:paraId="3E952D8F" w14:textId="3D17D671" w:rsidR="001E5DBC"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43%</w:t>
            </w:r>
          </w:p>
        </w:tc>
        <w:tc>
          <w:tcPr>
            <w:tcW w:w="944" w:type="pct"/>
            <w:vAlign w:val="center"/>
          </w:tcPr>
          <w:p w14:paraId="7C018EF4" w14:textId="568A7B80" w:rsidR="001E5DBC"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52%</w:t>
            </w:r>
          </w:p>
        </w:tc>
        <w:tc>
          <w:tcPr>
            <w:tcW w:w="944" w:type="pct"/>
            <w:vAlign w:val="center"/>
          </w:tcPr>
          <w:p w14:paraId="62D615D5" w14:textId="19B0BE29" w:rsidR="001E5DBC" w:rsidRDefault="001E5DBC" w:rsidP="001E5DB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55%</w:t>
            </w:r>
          </w:p>
        </w:tc>
      </w:tr>
    </w:tbl>
    <w:p w14:paraId="74EDFD0C" w14:textId="221AE721" w:rsidR="00E360E5" w:rsidRPr="00312AB4" w:rsidRDefault="00C41120" w:rsidP="00411D51">
      <w:pPr>
        <w:pStyle w:val="Tablenotes0"/>
        <w:jc w:val="left"/>
      </w:pPr>
      <w:r>
        <w:t xml:space="preserve">Source: </w:t>
      </w:r>
      <w:r w:rsidR="003057B6" w:rsidRPr="003057B6">
        <w:t>AIHW, 2020.  Radiotherapy in Australia 2018-19 (https://www.aihw.gov.au/reports/radiotherapy/radiotherapy-in-australia-2018-19); AIHW, 2020. Cancer data in Australia. (https://www.aihw.gov.au/reports/cancer/cancer-data-in-australia/contents/cancer-summary-data-visualisation); Cancer Australia, 2020.  Cancer Incidence.</w:t>
      </w:r>
      <w:r w:rsidR="00411D51">
        <w:br/>
      </w:r>
      <w:r w:rsidR="003057B6">
        <w:t xml:space="preserve">Note: </w:t>
      </w:r>
      <w:r w:rsidR="00BE5A5A" w:rsidRPr="00BE5A5A">
        <w:t>EBRT courses of radiation therapy reported on financial year basis, while incidence reported on calendar year basis.  As such, there may be some deviation of %s from those reflecting perfect alignment of data by year.</w:t>
      </w:r>
      <w:r w:rsidR="00411D51">
        <w:br/>
      </w:r>
      <w:r w:rsidR="00E360E5">
        <w:t>Abbreviations: EBRT=external beam radiation therapy</w:t>
      </w:r>
    </w:p>
    <w:p w14:paraId="64A926ED" w14:textId="62824AD6" w:rsidR="00E360E5" w:rsidRDefault="00E360E5" w:rsidP="00E360E5">
      <w:pPr>
        <w:keepNext/>
        <w:keepLines/>
        <w:jc w:val="both"/>
      </w:pPr>
      <w:r>
        <w:t>It is noted that as of 2019, these cancer indications account for approximately 41</w:t>
      </w:r>
      <w:r w:rsidR="001A3DF9">
        <w:t>%</w:t>
      </w:r>
      <w:r>
        <w:t xml:space="preserve"> of all incident cancer cases and 44</w:t>
      </w:r>
      <w:r w:rsidR="001A3DF9">
        <w:t>%</w:t>
      </w:r>
      <w:r>
        <w:t xml:space="preserve"> of courses of EBRT.  One noted uncertainty relates to head and neck cancer treatment.  Data in the AIHW’s report “Head and Neck Cancers in Australia” (2014) estimated 124 hospitalisations for radiation therapy for head and neck cancer (inclusive of larynx cancer), in comparison to 3,952 for chemotherapy.</w:t>
      </w:r>
    </w:p>
    <w:p w14:paraId="48473FF1" w14:textId="5FA78B1F" w:rsidR="00E360E5" w:rsidRDefault="00E360E5" w:rsidP="00E360E5">
      <w:pPr>
        <w:jc w:val="both"/>
        <w:rPr>
          <w:rFonts w:asciiTheme="minorHAnsi" w:hAnsiTheme="minorHAnsi" w:cstheme="minorHAnsi"/>
        </w:rPr>
      </w:pPr>
      <w:r>
        <w:rPr>
          <w:rFonts w:asciiTheme="minorHAnsi" w:hAnsiTheme="minorHAnsi" w:cstheme="minorHAnsi"/>
        </w:rPr>
        <w:t xml:space="preserve">Estimates of future EBRT utilisation in Australia based on historical utilisation are summarised in </w:t>
      </w:r>
      <w:r>
        <w:rPr>
          <w:rFonts w:asciiTheme="minorHAnsi" w:hAnsiTheme="minorHAnsi" w:cstheme="minorHAnsi"/>
        </w:rPr>
        <w:fldChar w:fldCharType="begin"/>
      </w:r>
      <w:r>
        <w:rPr>
          <w:rFonts w:asciiTheme="minorHAnsi" w:hAnsiTheme="minorHAnsi" w:cstheme="minorHAnsi"/>
        </w:rPr>
        <w:instrText xml:space="preserve"> REF _Ref58770372 \h </w:instrText>
      </w:r>
      <w:r>
        <w:rPr>
          <w:rFonts w:asciiTheme="minorHAnsi" w:hAnsiTheme="minorHAnsi" w:cstheme="minorHAnsi"/>
        </w:rPr>
      </w:r>
      <w:r>
        <w:rPr>
          <w:rFonts w:asciiTheme="minorHAnsi" w:hAnsiTheme="minorHAnsi" w:cstheme="minorHAnsi"/>
        </w:rPr>
        <w:fldChar w:fldCharType="separate"/>
      </w:r>
      <w:r w:rsidR="00451350">
        <w:t xml:space="preserve">Table </w:t>
      </w:r>
      <w:r w:rsidR="00451350">
        <w:rPr>
          <w:noProof/>
        </w:rPr>
        <w:t>62</w:t>
      </w:r>
      <w:r>
        <w:rPr>
          <w:rFonts w:asciiTheme="minorHAnsi" w:hAnsiTheme="minorHAnsi" w:cstheme="minorHAnsi"/>
        </w:rPr>
        <w:fldChar w:fldCharType="end"/>
      </w:r>
      <w:r>
        <w:rPr>
          <w:rFonts w:asciiTheme="minorHAnsi" w:hAnsiTheme="minorHAnsi" w:cstheme="minorHAnsi"/>
        </w:rPr>
        <w:t xml:space="preserve">.  While subject to uncertainty, they can provide an indicative pathway of future use in Australia.  The number of radiation therapy centres in Australia has grown from 73 in 2013-14 to 93 in 2018-19, </w:t>
      </w:r>
      <w:r>
        <w:rPr>
          <w:rFonts w:asciiTheme="minorHAnsi" w:hAnsiTheme="minorHAnsi" w:cstheme="minorHAnsi"/>
        </w:rPr>
        <w:lastRenderedPageBreak/>
        <w:t>or an annualised growth rate of 5.0</w:t>
      </w:r>
      <w:r w:rsidR="001A3DF9">
        <w:rPr>
          <w:rFonts w:asciiTheme="minorHAnsi" w:hAnsiTheme="minorHAnsi" w:cstheme="minorHAnsi"/>
        </w:rPr>
        <w:t>%</w:t>
      </w:r>
      <w:r>
        <w:rPr>
          <w:rFonts w:asciiTheme="minorHAnsi" w:hAnsiTheme="minorHAnsi" w:cstheme="minorHAnsi"/>
        </w:rPr>
        <w:t>.  In November 2020, the National Oncology Alliance (NOA) released “Vision 20-30: Building an Australian Cancers Future Framework</w:t>
      </w:r>
      <w:r w:rsidR="00CB7F32">
        <w:rPr>
          <w:rFonts w:asciiTheme="minorHAnsi" w:hAnsiTheme="minorHAnsi" w:cstheme="minorHAnsi"/>
        </w:rPr>
        <w:t>”</w:t>
      </w:r>
      <w:r>
        <w:rPr>
          <w:rFonts w:asciiTheme="minorHAnsi" w:hAnsiTheme="minorHAnsi" w:cstheme="minorHAnsi"/>
        </w:rPr>
        <w:t>.  It estimated only one in three cancer patients receive radiation therapy treatment, but that approximately 50</w:t>
      </w:r>
      <w:r w:rsidR="001A3DF9">
        <w:rPr>
          <w:rFonts w:asciiTheme="minorHAnsi" w:hAnsiTheme="minorHAnsi" w:cstheme="minorHAnsi"/>
        </w:rPr>
        <w:t>%</w:t>
      </w:r>
      <w:r>
        <w:rPr>
          <w:rFonts w:asciiTheme="minorHAnsi" w:hAnsiTheme="minorHAnsi" w:cstheme="minorHAnsi"/>
        </w:rPr>
        <w:t xml:space="preserve"> would benefit.  This concords with AIHW estimates: the AIHW reports 58</w:t>
      </w:r>
      <w:r w:rsidR="001A3DF9">
        <w:rPr>
          <w:rFonts w:asciiTheme="minorHAnsi" w:hAnsiTheme="minorHAnsi" w:cstheme="minorHAnsi"/>
        </w:rPr>
        <w:t>%</w:t>
      </w:r>
      <w:r>
        <w:rPr>
          <w:rFonts w:asciiTheme="minorHAnsi" w:hAnsiTheme="minorHAnsi" w:cstheme="minorHAnsi"/>
        </w:rPr>
        <w:t xml:space="preserve"> to 60</w:t>
      </w:r>
      <w:r w:rsidR="001A3DF9">
        <w:rPr>
          <w:rFonts w:asciiTheme="minorHAnsi" w:hAnsiTheme="minorHAnsi" w:cstheme="minorHAnsi"/>
        </w:rPr>
        <w:t>%</w:t>
      </w:r>
      <w:r>
        <w:rPr>
          <w:rFonts w:asciiTheme="minorHAnsi" w:hAnsiTheme="minorHAnsi" w:cstheme="minorHAnsi"/>
        </w:rPr>
        <w:t xml:space="preserve"> of all radiation therapy has been curative in intent between 2014-15 and 2018-19 (AIHW, 2019), </w:t>
      </w:r>
      <w:r w:rsidR="00973F74">
        <w:rPr>
          <w:rFonts w:asciiTheme="minorHAnsi" w:hAnsiTheme="minorHAnsi" w:cstheme="minorHAnsi"/>
        </w:rPr>
        <w:t>currently meaning</w:t>
      </w:r>
      <w:r>
        <w:rPr>
          <w:rFonts w:asciiTheme="minorHAnsi" w:hAnsiTheme="minorHAnsi" w:cstheme="minorHAnsi"/>
        </w:rPr>
        <w:t xml:space="preserve"> an estimated 32</w:t>
      </w:r>
      <w:r w:rsidR="001A3DF9">
        <w:rPr>
          <w:rFonts w:asciiTheme="minorHAnsi" w:hAnsiTheme="minorHAnsi" w:cstheme="minorHAnsi"/>
        </w:rPr>
        <w:t>%</w:t>
      </w:r>
      <w:r>
        <w:rPr>
          <w:rFonts w:asciiTheme="minorHAnsi" w:hAnsiTheme="minorHAnsi" w:cstheme="minorHAnsi"/>
        </w:rPr>
        <w:t xml:space="preserve"> of cancer patients are receiving curative EBRT treatment. Assuming the approximate 6</w:t>
      </w:r>
      <w:r w:rsidR="001A3DF9">
        <w:rPr>
          <w:rFonts w:asciiTheme="minorHAnsi" w:hAnsiTheme="minorHAnsi" w:cstheme="minorHAnsi"/>
        </w:rPr>
        <w:t>%</w:t>
      </w:r>
      <w:r>
        <w:rPr>
          <w:rFonts w:asciiTheme="minorHAnsi" w:hAnsiTheme="minorHAnsi" w:cstheme="minorHAnsi"/>
        </w:rPr>
        <w:t xml:space="preserve"> historical annual growth rate in EBRT treatment courses experienced since 2014-15 (accounting for previously identified data completion issues), an estimated 112,000 treatment courses would be provided in Australia by 2025-26.</w:t>
      </w:r>
    </w:p>
    <w:p w14:paraId="706CE554" w14:textId="1CF9C984" w:rsidR="00E360E5" w:rsidRDefault="00E360E5" w:rsidP="00E360E5">
      <w:pPr>
        <w:pStyle w:val="Caption"/>
      </w:pPr>
      <w:bookmarkStart w:id="642" w:name="_Ref58770372"/>
      <w:bookmarkStart w:id="643" w:name="_Toc89857933"/>
      <w:r>
        <w:t xml:space="preserve">Table </w:t>
      </w:r>
      <w:r w:rsidR="00211285">
        <w:fldChar w:fldCharType="begin"/>
      </w:r>
      <w:r w:rsidR="00211285">
        <w:instrText xml:space="preserve"> SEQ Table \* ARABIC </w:instrText>
      </w:r>
      <w:r w:rsidR="00211285">
        <w:fldChar w:fldCharType="separate"/>
      </w:r>
      <w:r w:rsidR="00451350">
        <w:rPr>
          <w:noProof/>
        </w:rPr>
        <w:t>62</w:t>
      </w:r>
      <w:r w:rsidR="00211285">
        <w:rPr>
          <w:noProof/>
        </w:rPr>
        <w:fldChar w:fldCharType="end"/>
      </w:r>
      <w:bookmarkEnd w:id="642"/>
      <w:r>
        <w:tab/>
        <w:t>Actual and forecast EBRT utilisation in Australia, 2021 to 2025</w:t>
      </w:r>
      <w:bookmarkEnd w:id="643"/>
    </w:p>
    <w:tbl>
      <w:tblPr>
        <w:tblStyle w:val="TableGrid"/>
        <w:tblW w:w="0" w:type="auto"/>
        <w:tblLook w:val="04A0" w:firstRow="1" w:lastRow="0" w:firstColumn="1" w:lastColumn="0" w:noHBand="0" w:noVBand="1"/>
      </w:tblPr>
      <w:tblGrid>
        <w:gridCol w:w="4390"/>
        <w:gridCol w:w="4626"/>
      </w:tblGrid>
      <w:tr w:rsidR="00E360E5" w:rsidRPr="0042214B" w14:paraId="24DD5D29" w14:textId="77777777" w:rsidTr="009E6AC9">
        <w:tc>
          <w:tcPr>
            <w:tcW w:w="4390" w:type="dxa"/>
            <w:vAlign w:val="center"/>
          </w:tcPr>
          <w:p w14:paraId="1CA6AD1F" w14:textId="77777777" w:rsidR="00E360E5" w:rsidRPr="005B068A" w:rsidRDefault="00E360E5" w:rsidP="009E682D">
            <w:pPr>
              <w:spacing w:before="40" w:line="240" w:lineRule="auto"/>
              <w:ind w:left="0"/>
              <w:jc w:val="center"/>
              <w:rPr>
                <w:rFonts w:ascii="Arial Narrow" w:hAnsi="Arial Narrow"/>
                <w:b/>
                <w:bCs/>
                <w:sz w:val="20"/>
                <w:szCs w:val="20"/>
              </w:rPr>
            </w:pPr>
            <w:r w:rsidRPr="005B068A">
              <w:rPr>
                <w:rFonts w:ascii="Arial Narrow" w:hAnsi="Arial Narrow"/>
                <w:b/>
                <w:bCs/>
                <w:sz w:val="20"/>
                <w:szCs w:val="20"/>
              </w:rPr>
              <w:t>Financial year</w:t>
            </w:r>
          </w:p>
        </w:tc>
        <w:tc>
          <w:tcPr>
            <w:tcW w:w="4626" w:type="dxa"/>
            <w:vAlign w:val="center"/>
          </w:tcPr>
          <w:p w14:paraId="414C3D6D" w14:textId="77777777" w:rsidR="00E360E5" w:rsidRPr="005B068A" w:rsidRDefault="00E360E5" w:rsidP="009E682D">
            <w:pPr>
              <w:spacing w:before="40" w:line="240" w:lineRule="auto"/>
              <w:ind w:left="0"/>
              <w:jc w:val="center"/>
              <w:rPr>
                <w:rFonts w:ascii="Arial Narrow" w:hAnsi="Arial Narrow"/>
                <w:b/>
                <w:bCs/>
                <w:sz w:val="20"/>
                <w:szCs w:val="20"/>
              </w:rPr>
            </w:pPr>
            <w:r w:rsidRPr="005B068A">
              <w:rPr>
                <w:rFonts w:ascii="Arial Narrow" w:hAnsi="Arial Narrow"/>
                <w:b/>
                <w:bCs/>
                <w:sz w:val="20"/>
                <w:szCs w:val="20"/>
              </w:rPr>
              <w:t>Forecast utilisation</w:t>
            </w:r>
          </w:p>
        </w:tc>
      </w:tr>
      <w:tr w:rsidR="00E360E5" w:rsidRPr="0042214B" w14:paraId="6FAF328F" w14:textId="77777777" w:rsidTr="009E6AC9">
        <w:tc>
          <w:tcPr>
            <w:tcW w:w="4390" w:type="dxa"/>
            <w:vAlign w:val="center"/>
          </w:tcPr>
          <w:p w14:paraId="5B4BAA36" w14:textId="77777777" w:rsidR="00E360E5" w:rsidRPr="0042214B" w:rsidRDefault="00E360E5" w:rsidP="009E682D">
            <w:pPr>
              <w:spacing w:before="40" w:line="240" w:lineRule="auto"/>
              <w:ind w:left="0"/>
              <w:jc w:val="center"/>
              <w:rPr>
                <w:sz w:val="20"/>
                <w:szCs w:val="20"/>
              </w:rPr>
            </w:pPr>
            <w:r w:rsidRPr="0042214B">
              <w:rPr>
                <w:rFonts w:ascii="Arial Narrow" w:hAnsi="Arial Narrow" w:cs="Calibri"/>
                <w:sz w:val="20"/>
                <w:szCs w:val="20"/>
              </w:rPr>
              <w:t>2019-20</w:t>
            </w:r>
          </w:p>
        </w:tc>
        <w:tc>
          <w:tcPr>
            <w:tcW w:w="4626" w:type="dxa"/>
            <w:vAlign w:val="center"/>
          </w:tcPr>
          <w:p w14:paraId="00CDBBED" w14:textId="77777777" w:rsidR="00E360E5" w:rsidRPr="0042214B" w:rsidRDefault="00E360E5" w:rsidP="009E682D">
            <w:pPr>
              <w:spacing w:before="40" w:line="240" w:lineRule="auto"/>
              <w:ind w:left="0"/>
              <w:jc w:val="center"/>
              <w:rPr>
                <w:sz w:val="20"/>
                <w:szCs w:val="20"/>
              </w:rPr>
            </w:pPr>
            <w:r>
              <w:rPr>
                <w:rFonts w:ascii="Arial Narrow" w:hAnsi="Arial Narrow" w:cs="Calibri"/>
                <w:color w:val="000000"/>
                <w:sz w:val="20"/>
                <w:szCs w:val="20"/>
              </w:rPr>
              <w:t>78,651</w:t>
            </w:r>
          </w:p>
        </w:tc>
      </w:tr>
      <w:tr w:rsidR="00E360E5" w:rsidRPr="0042214B" w14:paraId="1B51A100" w14:textId="77777777" w:rsidTr="009E6AC9">
        <w:tc>
          <w:tcPr>
            <w:tcW w:w="4390" w:type="dxa"/>
            <w:vAlign w:val="center"/>
          </w:tcPr>
          <w:p w14:paraId="2F339262" w14:textId="77777777" w:rsidR="00E360E5" w:rsidRPr="0042214B" w:rsidRDefault="00E360E5" w:rsidP="009E682D">
            <w:pPr>
              <w:spacing w:before="40" w:line="240" w:lineRule="auto"/>
              <w:ind w:left="0"/>
              <w:jc w:val="center"/>
              <w:rPr>
                <w:sz w:val="20"/>
                <w:szCs w:val="20"/>
              </w:rPr>
            </w:pPr>
            <w:r w:rsidRPr="0042214B">
              <w:rPr>
                <w:rFonts w:ascii="Arial Narrow" w:hAnsi="Arial Narrow" w:cs="Calibri"/>
                <w:sz w:val="20"/>
                <w:szCs w:val="20"/>
              </w:rPr>
              <w:t>2020-21</w:t>
            </w:r>
          </w:p>
        </w:tc>
        <w:tc>
          <w:tcPr>
            <w:tcW w:w="4626" w:type="dxa"/>
            <w:vAlign w:val="center"/>
          </w:tcPr>
          <w:p w14:paraId="68839756" w14:textId="77777777" w:rsidR="00E360E5" w:rsidRPr="0042214B" w:rsidRDefault="00E360E5" w:rsidP="009E682D">
            <w:pPr>
              <w:spacing w:before="40" w:line="240" w:lineRule="auto"/>
              <w:ind w:left="0"/>
              <w:jc w:val="center"/>
              <w:rPr>
                <w:sz w:val="20"/>
                <w:szCs w:val="20"/>
              </w:rPr>
            </w:pPr>
            <w:r>
              <w:rPr>
                <w:rFonts w:ascii="Arial Narrow" w:hAnsi="Arial Narrow" w:cs="Calibri"/>
                <w:color w:val="000000"/>
                <w:sz w:val="20"/>
                <w:szCs w:val="20"/>
              </w:rPr>
              <w:t>83,370</w:t>
            </w:r>
          </w:p>
        </w:tc>
      </w:tr>
      <w:tr w:rsidR="00E360E5" w:rsidRPr="0042214B" w14:paraId="7B5DE423" w14:textId="77777777" w:rsidTr="009E6AC9">
        <w:tc>
          <w:tcPr>
            <w:tcW w:w="4390" w:type="dxa"/>
            <w:vAlign w:val="center"/>
          </w:tcPr>
          <w:p w14:paraId="259A3FEA" w14:textId="77777777" w:rsidR="00E360E5" w:rsidRPr="0042214B" w:rsidRDefault="00E360E5" w:rsidP="009E682D">
            <w:pPr>
              <w:spacing w:before="40" w:line="240" w:lineRule="auto"/>
              <w:ind w:left="0"/>
              <w:jc w:val="center"/>
              <w:rPr>
                <w:sz w:val="20"/>
                <w:szCs w:val="20"/>
              </w:rPr>
            </w:pPr>
            <w:r w:rsidRPr="0042214B">
              <w:rPr>
                <w:rFonts w:ascii="Arial Narrow" w:hAnsi="Arial Narrow" w:cs="Calibri"/>
                <w:sz w:val="20"/>
                <w:szCs w:val="20"/>
              </w:rPr>
              <w:t>2021-22</w:t>
            </w:r>
          </w:p>
        </w:tc>
        <w:tc>
          <w:tcPr>
            <w:tcW w:w="4626" w:type="dxa"/>
            <w:vAlign w:val="center"/>
          </w:tcPr>
          <w:p w14:paraId="2992AF5A" w14:textId="77777777" w:rsidR="00E360E5" w:rsidRPr="0042214B" w:rsidRDefault="00E360E5" w:rsidP="009E682D">
            <w:pPr>
              <w:spacing w:before="40" w:line="240" w:lineRule="auto"/>
              <w:ind w:left="0"/>
              <w:jc w:val="center"/>
              <w:rPr>
                <w:sz w:val="20"/>
                <w:szCs w:val="20"/>
              </w:rPr>
            </w:pPr>
            <w:r>
              <w:rPr>
                <w:rFonts w:ascii="Arial Narrow" w:hAnsi="Arial Narrow" w:cs="Calibri"/>
                <w:color w:val="000000"/>
                <w:sz w:val="20"/>
                <w:szCs w:val="20"/>
              </w:rPr>
              <w:t>88,372</w:t>
            </w:r>
          </w:p>
        </w:tc>
      </w:tr>
      <w:tr w:rsidR="00E360E5" w:rsidRPr="0042214B" w14:paraId="17F0046C" w14:textId="77777777" w:rsidTr="009E6AC9">
        <w:tc>
          <w:tcPr>
            <w:tcW w:w="4390" w:type="dxa"/>
            <w:vAlign w:val="center"/>
          </w:tcPr>
          <w:p w14:paraId="5C0607C0" w14:textId="77777777" w:rsidR="00E360E5" w:rsidRPr="0042214B" w:rsidRDefault="00E360E5" w:rsidP="009E682D">
            <w:pPr>
              <w:spacing w:before="40" w:line="240" w:lineRule="auto"/>
              <w:ind w:left="0"/>
              <w:jc w:val="center"/>
              <w:rPr>
                <w:sz w:val="20"/>
                <w:szCs w:val="20"/>
              </w:rPr>
            </w:pPr>
            <w:r w:rsidRPr="0042214B">
              <w:rPr>
                <w:rFonts w:ascii="Arial Narrow" w:hAnsi="Arial Narrow" w:cs="Calibri"/>
                <w:sz w:val="20"/>
                <w:szCs w:val="20"/>
              </w:rPr>
              <w:t>2022-23</w:t>
            </w:r>
          </w:p>
        </w:tc>
        <w:tc>
          <w:tcPr>
            <w:tcW w:w="4626" w:type="dxa"/>
            <w:vAlign w:val="center"/>
          </w:tcPr>
          <w:p w14:paraId="6E644676" w14:textId="77777777" w:rsidR="00E360E5" w:rsidRPr="0042214B" w:rsidRDefault="00E360E5" w:rsidP="009E682D">
            <w:pPr>
              <w:spacing w:before="40" w:line="240" w:lineRule="auto"/>
              <w:ind w:left="0"/>
              <w:jc w:val="center"/>
              <w:rPr>
                <w:sz w:val="20"/>
                <w:szCs w:val="20"/>
              </w:rPr>
            </w:pPr>
            <w:r>
              <w:rPr>
                <w:rFonts w:ascii="Arial Narrow" w:hAnsi="Arial Narrow" w:cs="Calibri"/>
                <w:color w:val="000000"/>
                <w:sz w:val="20"/>
                <w:szCs w:val="20"/>
              </w:rPr>
              <w:t>93,674</w:t>
            </w:r>
          </w:p>
        </w:tc>
      </w:tr>
      <w:tr w:rsidR="00E360E5" w:rsidRPr="0042214B" w14:paraId="51E39E2C" w14:textId="77777777" w:rsidTr="009E6AC9">
        <w:tc>
          <w:tcPr>
            <w:tcW w:w="4390" w:type="dxa"/>
            <w:vAlign w:val="center"/>
          </w:tcPr>
          <w:p w14:paraId="6DE657E8" w14:textId="77777777" w:rsidR="00E360E5" w:rsidRPr="0042214B" w:rsidRDefault="00E360E5" w:rsidP="009E682D">
            <w:pPr>
              <w:spacing w:before="40" w:line="240" w:lineRule="auto"/>
              <w:ind w:left="0"/>
              <w:jc w:val="center"/>
              <w:rPr>
                <w:sz w:val="20"/>
                <w:szCs w:val="20"/>
              </w:rPr>
            </w:pPr>
            <w:r w:rsidRPr="0042214B">
              <w:rPr>
                <w:rFonts w:ascii="Arial Narrow" w:hAnsi="Arial Narrow" w:cs="Calibri"/>
                <w:sz w:val="20"/>
                <w:szCs w:val="20"/>
              </w:rPr>
              <w:t>2023-24</w:t>
            </w:r>
          </w:p>
        </w:tc>
        <w:tc>
          <w:tcPr>
            <w:tcW w:w="4626" w:type="dxa"/>
            <w:vAlign w:val="center"/>
          </w:tcPr>
          <w:p w14:paraId="38C753B8" w14:textId="77777777" w:rsidR="00E360E5" w:rsidRPr="0042214B" w:rsidRDefault="00E360E5" w:rsidP="009E682D">
            <w:pPr>
              <w:spacing w:before="40" w:line="240" w:lineRule="auto"/>
              <w:ind w:left="0"/>
              <w:jc w:val="center"/>
              <w:rPr>
                <w:sz w:val="20"/>
                <w:szCs w:val="20"/>
              </w:rPr>
            </w:pPr>
            <w:r>
              <w:rPr>
                <w:rFonts w:ascii="Arial Narrow" w:hAnsi="Arial Narrow" w:cs="Calibri"/>
                <w:color w:val="000000"/>
                <w:sz w:val="20"/>
                <w:szCs w:val="20"/>
              </w:rPr>
              <w:t>99,294</w:t>
            </w:r>
          </w:p>
        </w:tc>
      </w:tr>
      <w:tr w:rsidR="00E360E5" w:rsidRPr="0042214B" w14:paraId="75F8B267" w14:textId="77777777" w:rsidTr="009E6AC9">
        <w:tc>
          <w:tcPr>
            <w:tcW w:w="4390" w:type="dxa"/>
            <w:vAlign w:val="center"/>
          </w:tcPr>
          <w:p w14:paraId="2437E024" w14:textId="77777777" w:rsidR="00E360E5" w:rsidRPr="0042214B" w:rsidRDefault="00E360E5" w:rsidP="009E682D">
            <w:pPr>
              <w:spacing w:before="40" w:line="240" w:lineRule="auto"/>
              <w:ind w:left="0"/>
              <w:jc w:val="center"/>
              <w:rPr>
                <w:sz w:val="20"/>
                <w:szCs w:val="20"/>
              </w:rPr>
            </w:pPr>
            <w:r w:rsidRPr="0042214B">
              <w:rPr>
                <w:rFonts w:ascii="Arial Narrow" w:hAnsi="Arial Narrow" w:cs="Calibri"/>
                <w:sz w:val="20"/>
                <w:szCs w:val="20"/>
              </w:rPr>
              <w:t>2024-25</w:t>
            </w:r>
          </w:p>
        </w:tc>
        <w:tc>
          <w:tcPr>
            <w:tcW w:w="4626" w:type="dxa"/>
            <w:vAlign w:val="center"/>
          </w:tcPr>
          <w:p w14:paraId="0E9E9CF9" w14:textId="77777777" w:rsidR="00E360E5" w:rsidRPr="0042214B" w:rsidRDefault="00E360E5" w:rsidP="009E682D">
            <w:pPr>
              <w:spacing w:before="40" w:line="240" w:lineRule="auto"/>
              <w:ind w:left="0"/>
              <w:jc w:val="center"/>
              <w:rPr>
                <w:sz w:val="20"/>
                <w:szCs w:val="20"/>
              </w:rPr>
            </w:pPr>
            <w:r>
              <w:rPr>
                <w:rFonts w:ascii="Arial Narrow" w:hAnsi="Arial Narrow" w:cs="Calibri"/>
                <w:color w:val="000000"/>
                <w:sz w:val="20"/>
                <w:szCs w:val="20"/>
              </w:rPr>
              <w:t>105,252</w:t>
            </w:r>
          </w:p>
        </w:tc>
      </w:tr>
      <w:tr w:rsidR="00E360E5" w:rsidRPr="0042214B" w14:paraId="105199D5" w14:textId="77777777" w:rsidTr="009E6AC9">
        <w:tc>
          <w:tcPr>
            <w:tcW w:w="4390" w:type="dxa"/>
            <w:vAlign w:val="center"/>
          </w:tcPr>
          <w:p w14:paraId="60E1113A" w14:textId="77777777" w:rsidR="00E360E5" w:rsidRPr="0042214B" w:rsidRDefault="00E360E5" w:rsidP="009E682D">
            <w:pPr>
              <w:spacing w:before="40" w:line="240" w:lineRule="auto"/>
              <w:ind w:left="0"/>
              <w:jc w:val="center"/>
              <w:rPr>
                <w:sz w:val="20"/>
                <w:szCs w:val="20"/>
              </w:rPr>
            </w:pPr>
            <w:r w:rsidRPr="0042214B">
              <w:rPr>
                <w:rFonts w:ascii="Arial Narrow" w:hAnsi="Arial Narrow" w:cs="Calibri"/>
                <w:sz w:val="20"/>
                <w:szCs w:val="20"/>
              </w:rPr>
              <w:t>2025-26</w:t>
            </w:r>
          </w:p>
        </w:tc>
        <w:tc>
          <w:tcPr>
            <w:tcW w:w="4626" w:type="dxa"/>
            <w:vAlign w:val="center"/>
          </w:tcPr>
          <w:p w14:paraId="355EC8FE" w14:textId="77777777" w:rsidR="00E360E5" w:rsidRPr="0042214B" w:rsidRDefault="00E360E5" w:rsidP="009E682D">
            <w:pPr>
              <w:spacing w:before="40" w:line="240" w:lineRule="auto"/>
              <w:ind w:left="0"/>
              <w:jc w:val="center"/>
              <w:rPr>
                <w:sz w:val="20"/>
                <w:szCs w:val="20"/>
              </w:rPr>
            </w:pPr>
            <w:r>
              <w:rPr>
                <w:rFonts w:ascii="Arial Narrow" w:hAnsi="Arial Narrow" w:cs="Calibri"/>
                <w:color w:val="000000"/>
                <w:sz w:val="20"/>
                <w:szCs w:val="20"/>
              </w:rPr>
              <w:t>111,567</w:t>
            </w:r>
          </w:p>
        </w:tc>
      </w:tr>
    </w:tbl>
    <w:p w14:paraId="7F87030C" w14:textId="57EC2782" w:rsidR="00E360E5" w:rsidRPr="00312AB4" w:rsidRDefault="00E360E5" w:rsidP="00411D51">
      <w:pPr>
        <w:pStyle w:val="Tablenotes0"/>
        <w:jc w:val="left"/>
      </w:pPr>
      <w:r>
        <w:t>Abbreviations: EBRT=external beam radiation therapy</w:t>
      </w:r>
      <w:r w:rsidR="00411D51">
        <w:br/>
      </w:r>
      <w:r>
        <w:t>Note: These are indicative estimates only based on historical utilisation to date.</w:t>
      </w:r>
    </w:p>
    <w:p w14:paraId="2E08715E" w14:textId="686EFFC3" w:rsidR="00E360E5" w:rsidRDefault="00E360E5" w:rsidP="00E360E5">
      <w:pPr>
        <w:jc w:val="both"/>
        <w:rPr>
          <w:rFonts w:asciiTheme="minorHAnsi" w:hAnsiTheme="minorHAnsi" w:cstheme="minorHAnsi"/>
        </w:rPr>
      </w:pPr>
      <w:r>
        <w:rPr>
          <w:rFonts w:asciiTheme="minorHAnsi" w:hAnsiTheme="minorHAnsi" w:cstheme="minorHAnsi"/>
        </w:rPr>
        <w:t xml:space="preserve">EBRT is covered by existing MBS items for 2DCRT, 3DCRT, IMRT and stereotactic radiosurgery.  </w:t>
      </w:r>
      <w:r>
        <w:rPr>
          <w:rFonts w:asciiTheme="minorHAnsi" w:hAnsiTheme="minorHAnsi" w:cstheme="minorHAnsi"/>
        </w:rPr>
        <w:fldChar w:fldCharType="begin"/>
      </w:r>
      <w:r>
        <w:rPr>
          <w:rFonts w:asciiTheme="minorHAnsi" w:hAnsiTheme="minorHAnsi" w:cstheme="minorHAnsi"/>
        </w:rPr>
        <w:instrText xml:space="preserve"> REF _Ref58767663 \h </w:instrText>
      </w:r>
      <w:r>
        <w:rPr>
          <w:rFonts w:asciiTheme="minorHAnsi" w:hAnsiTheme="minorHAnsi" w:cstheme="minorHAnsi"/>
        </w:rPr>
      </w:r>
      <w:r>
        <w:rPr>
          <w:rFonts w:asciiTheme="minorHAnsi" w:hAnsiTheme="minorHAnsi" w:cstheme="minorHAnsi"/>
        </w:rPr>
        <w:fldChar w:fldCharType="separate"/>
      </w:r>
      <w:r w:rsidR="00451350">
        <w:t xml:space="preserve">Table </w:t>
      </w:r>
      <w:r w:rsidR="00451350">
        <w:rPr>
          <w:noProof/>
        </w:rPr>
        <w:t>63</w:t>
      </w:r>
      <w:r>
        <w:rPr>
          <w:rFonts w:asciiTheme="minorHAnsi" w:hAnsiTheme="minorHAnsi" w:cstheme="minorHAnsi"/>
        </w:rPr>
        <w:fldChar w:fldCharType="end"/>
      </w:r>
      <w:r>
        <w:rPr>
          <w:rFonts w:asciiTheme="minorHAnsi" w:hAnsiTheme="minorHAnsi" w:cstheme="minorHAnsi"/>
        </w:rPr>
        <w:t xml:space="preserve"> summarises historical utilisation of respective dosimetry MBS item numbers between 2010 and 2019.  It is noted these numbers broadly concord with those reported by the AIHW annual radiotherapy reports.  In 2015, IMRT was used by an estimated 37</w:t>
      </w:r>
      <w:r w:rsidR="001A3DF9">
        <w:rPr>
          <w:rFonts w:asciiTheme="minorHAnsi" w:hAnsiTheme="minorHAnsi" w:cstheme="minorHAnsi"/>
        </w:rPr>
        <w:t>%</w:t>
      </w:r>
      <w:r>
        <w:rPr>
          <w:rFonts w:asciiTheme="minorHAnsi" w:hAnsiTheme="minorHAnsi" w:cstheme="minorHAnsi"/>
        </w:rPr>
        <w:t xml:space="preserve"> of patients using radiation therapy (Bridge et al., 2015). With MBS item 15565 for IMRT first listed in 2015, there has been rapid growth in its use on the MBS, with accompanying decline in use of corresponding MBS item numbers for 2DCRT and 3DCRT (</w:t>
      </w:r>
      <w:r>
        <w:rPr>
          <w:rFonts w:asciiTheme="minorHAnsi" w:hAnsiTheme="minorHAnsi" w:cstheme="minorHAnsi"/>
        </w:rPr>
        <w:fldChar w:fldCharType="begin"/>
      </w:r>
      <w:r>
        <w:rPr>
          <w:rFonts w:asciiTheme="minorHAnsi" w:hAnsiTheme="minorHAnsi" w:cstheme="minorHAnsi"/>
        </w:rPr>
        <w:instrText xml:space="preserve"> REF _Ref58767663 \h </w:instrText>
      </w:r>
      <w:r>
        <w:rPr>
          <w:rFonts w:asciiTheme="minorHAnsi" w:hAnsiTheme="minorHAnsi" w:cstheme="minorHAnsi"/>
        </w:rPr>
      </w:r>
      <w:r>
        <w:rPr>
          <w:rFonts w:asciiTheme="minorHAnsi" w:hAnsiTheme="minorHAnsi" w:cstheme="minorHAnsi"/>
        </w:rPr>
        <w:fldChar w:fldCharType="separate"/>
      </w:r>
      <w:r w:rsidR="00451350">
        <w:t xml:space="preserve">Table </w:t>
      </w:r>
      <w:r w:rsidR="00451350">
        <w:rPr>
          <w:noProof/>
        </w:rPr>
        <w:t>63</w:t>
      </w:r>
      <w:r>
        <w:rPr>
          <w:rFonts w:asciiTheme="minorHAnsi" w:hAnsiTheme="minorHAnsi" w:cstheme="minorHAnsi"/>
        </w:rPr>
        <w:fldChar w:fldCharType="end"/>
      </w:r>
      <w:r>
        <w:rPr>
          <w:rFonts w:asciiTheme="minorHAnsi" w:hAnsiTheme="minorHAnsi" w:cstheme="minorHAnsi"/>
        </w:rPr>
        <w:t>).</w:t>
      </w:r>
    </w:p>
    <w:p w14:paraId="14F1ECCE" w14:textId="70FA8A41" w:rsidR="00E360E5" w:rsidRDefault="00E360E5" w:rsidP="00E360E5">
      <w:pPr>
        <w:pStyle w:val="Caption"/>
        <w:ind w:left="1130" w:hanging="1130"/>
      </w:pPr>
      <w:bookmarkStart w:id="644" w:name="_Ref58767663"/>
      <w:bookmarkStart w:id="645" w:name="_Toc89857934"/>
      <w:r>
        <w:t xml:space="preserve">Table </w:t>
      </w:r>
      <w:r w:rsidR="00211285">
        <w:fldChar w:fldCharType="begin"/>
      </w:r>
      <w:r w:rsidR="00211285">
        <w:instrText xml:space="preserve"> SEQ Table \* ARABIC </w:instrText>
      </w:r>
      <w:r w:rsidR="00211285">
        <w:fldChar w:fldCharType="separate"/>
      </w:r>
      <w:r w:rsidR="00451350">
        <w:rPr>
          <w:noProof/>
        </w:rPr>
        <w:t>63</w:t>
      </w:r>
      <w:r w:rsidR="00211285">
        <w:rPr>
          <w:noProof/>
        </w:rPr>
        <w:fldChar w:fldCharType="end"/>
      </w:r>
      <w:bookmarkEnd w:id="644"/>
      <w:r>
        <w:tab/>
        <w:t>Historical utilisation of MBS-funded EBRT with reference to dosimetry planning item utilisation, 2010 to 2019</w:t>
      </w:r>
      <w:bookmarkEnd w:id="645"/>
    </w:p>
    <w:tbl>
      <w:tblPr>
        <w:tblStyle w:val="TableGrid"/>
        <w:tblW w:w="0" w:type="auto"/>
        <w:tblLayout w:type="fixed"/>
        <w:tblLook w:val="04A0" w:firstRow="1" w:lastRow="0" w:firstColumn="1" w:lastColumn="0" w:noHBand="0" w:noVBand="1"/>
      </w:tblPr>
      <w:tblGrid>
        <w:gridCol w:w="1413"/>
        <w:gridCol w:w="1470"/>
        <w:gridCol w:w="1730"/>
        <w:gridCol w:w="1440"/>
        <w:gridCol w:w="1440"/>
        <w:gridCol w:w="1523"/>
      </w:tblGrid>
      <w:tr w:rsidR="00E360E5" w14:paraId="24EFFC27" w14:textId="77777777" w:rsidTr="00A21A7F">
        <w:trPr>
          <w:tblHeader/>
        </w:trPr>
        <w:tc>
          <w:tcPr>
            <w:tcW w:w="1413" w:type="dxa"/>
            <w:vAlign w:val="center"/>
          </w:tcPr>
          <w:p w14:paraId="20166385" w14:textId="77777777" w:rsidR="00E360E5" w:rsidRDefault="00E360E5" w:rsidP="009E682D">
            <w:pPr>
              <w:spacing w:before="40" w:line="240" w:lineRule="auto"/>
              <w:ind w:left="0"/>
            </w:pPr>
            <w:r>
              <w:rPr>
                <w:rFonts w:ascii="Arial Narrow" w:hAnsi="Arial Narrow" w:cs="Calibri"/>
                <w:b/>
                <w:bCs/>
                <w:color w:val="000000"/>
                <w:sz w:val="20"/>
                <w:szCs w:val="20"/>
              </w:rPr>
              <w:t>Calendar Year</w:t>
            </w:r>
          </w:p>
        </w:tc>
        <w:tc>
          <w:tcPr>
            <w:tcW w:w="1470" w:type="dxa"/>
            <w:vAlign w:val="center"/>
          </w:tcPr>
          <w:p w14:paraId="15F4A023" w14:textId="77777777" w:rsidR="00E360E5" w:rsidRDefault="00E360E5" w:rsidP="009E682D">
            <w:pPr>
              <w:spacing w:before="40" w:line="240" w:lineRule="auto"/>
              <w:ind w:left="0"/>
              <w:jc w:val="center"/>
            </w:pPr>
            <w:r>
              <w:rPr>
                <w:rFonts w:ascii="Arial Narrow" w:hAnsi="Arial Narrow" w:cs="Calibri"/>
                <w:b/>
                <w:bCs/>
                <w:color w:val="000000"/>
                <w:sz w:val="20"/>
                <w:szCs w:val="20"/>
              </w:rPr>
              <w:t>Intensity Modulated Radiation Therapy (15565)</w:t>
            </w:r>
          </w:p>
        </w:tc>
        <w:tc>
          <w:tcPr>
            <w:tcW w:w="1730" w:type="dxa"/>
            <w:vAlign w:val="center"/>
          </w:tcPr>
          <w:p w14:paraId="64B028BE" w14:textId="77777777" w:rsidR="00E360E5" w:rsidRDefault="00E360E5" w:rsidP="009E682D">
            <w:pPr>
              <w:spacing w:before="40" w:line="240" w:lineRule="auto"/>
              <w:ind w:left="0"/>
              <w:jc w:val="center"/>
              <w:rPr>
                <w:rFonts w:ascii="Arial Narrow" w:hAnsi="Arial Narrow" w:cs="Calibri"/>
                <w:b/>
                <w:bCs/>
                <w:color w:val="000000"/>
                <w:sz w:val="20"/>
                <w:szCs w:val="20"/>
              </w:rPr>
            </w:pPr>
            <w:r>
              <w:rPr>
                <w:rFonts w:ascii="Arial Narrow" w:hAnsi="Arial Narrow" w:cs="Calibri"/>
                <w:b/>
                <w:bCs/>
                <w:color w:val="000000"/>
                <w:sz w:val="20"/>
                <w:szCs w:val="20"/>
              </w:rPr>
              <w:t>2DCRT (15518,15521,</w:t>
            </w:r>
          </w:p>
          <w:p w14:paraId="5517EC8B" w14:textId="77777777" w:rsidR="00E360E5" w:rsidRDefault="00E360E5" w:rsidP="009E682D">
            <w:pPr>
              <w:spacing w:before="40" w:line="240" w:lineRule="auto"/>
              <w:ind w:left="0"/>
              <w:jc w:val="center"/>
              <w:rPr>
                <w:rFonts w:ascii="Arial Narrow" w:hAnsi="Arial Narrow" w:cs="Calibri"/>
                <w:b/>
                <w:bCs/>
                <w:color w:val="000000"/>
                <w:sz w:val="20"/>
                <w:szCs w:val="20"/>
              </w:rPr>
            </w:pPr>
            <w:r>
              <w:rPr>
                <w:rFonts w:ascii="Arial Narrow" w:hAnsi="Arial Narrow" w:cs="Calibri"/>
                <w:b/>
                <w:bCs/>
                <w:color w:val="000000"/>
                <w:sz w:val="20"/>
                <w:szCs w:val="20"/>
              </w:rPr>
              <w:t>15524,</w:t>
            </w:r>
          </w:p>
          <w:p w14:paraId="11DA8370" w14:textId="77777777" w:rsidR="00E360E5" w:rsidRDefault="00E360E5" w:rsidP="009E682D">
            <w:pPr>
              <w:spacing w:before="40" w:line="240" w:lineRule="auto"/>
              <w:ind w:left="0"/>
              <w:jc w:val="center"/>
            </w:pPr>
            <w:r>
              <w:rPr>
                <w:rFonts w:ascii="Arial Narrow" w:hAnsi="Arial Narrow" w:cs="Calibri"/>
                <w:b/>
                <w:bCs/>
                <w:color w:val="000000"/>
                <w:sz w:val="20"/>
                <w:szCs w:val="20"/>
              </w:rPr>
              <w:t>15527,15530,15533)</w:t>
            </w:r>
          </w:p>
        </w:tc>
        <w:tc>
          <w:tcPr>
            <w:tcW w:w="1440" w:type="dxa"/>
            <w:vAlign w:val="center"/>
          </w:tcPr>
          <w:p w14:paraId="06F12B98" w14:textId="77777777" w:rsidR="00E360E5" w:rsidRDefault="00E360E5" w:rsidP="009E682D">
            <w:pPr>
              <w:spacing w:before="40" w:line="240" w:lineRule="auto"/>
              <w:ind w:left="0"/>
              <w:jc w:val="center"/>
              <w:rPr>
                <w:rFonts w:ascii="Arial Narrow" w:hAnsi="Arial Narrow" w:cs="Calibri"/>
                <w:b/>
                <w:bCs/>
                <w:color w:val="000000"/>
                <w:sz w:val="20"/>
                <w:szCs w:val="20"/>
              </w:rPr>
            </w:pPr>
            <w:r>
              <w:rPr>
                <w:rFonts w:ascii="Arial Narrow" w:hAnsi="Arial Narrow" w:cs="Calibri"/>
                <w:b/>
                <w:bCs/>
                <w:color w:val="000000"/>
                <w:sz w:val="20"/>
                <w:szCs w:val="20"/>
              </w:rPr>
              <w:t>3DCRT (15556,15559,</w:t>
            </w:r>
          </w:p>
          <w:p w14:paraId="6D2219C4" w14:textId="77777777" w:rsidR="00E360E5" w:rsidRDefault="00E360E5" w:rsidP="009E682D">
            <w:pPr>
              <w:spacing w:before="40" w:line="240" w:lineRule="auto"/>
              <w:ind w:left="0"/>
              <w:jc w:val="center"/>
            </w:pPr>
            <w:r>
              <w:rPr>
                <w:rFonts w:ascii="Arial Narrow" w:hAnsi="Arial Narrow" w:cs="Calibri"/>
                <w:b/>
                <w:bCs/>
                <w:color w:val="000000"/>
                <w:sz w:val="20"/>
                <w:szCs w:val="20"/>
              </w:rPr>
              <w:t>15562)</w:t>
            </w:r>
          </w:p>
        </w:tc>
        <w:tc>
          <w:tcPr>
            <w:tcW w:w="1440" w:type="dxa"/>
            <w:vAlign w:val="center"/>
          </w:tcPr>
          <w:p w14:paraId="50437335" w14:textId="77777777" w:rsidR="00E360E5" w:rsidRDefault="00E360E5" w:rsidP="009E682D">
            <w:pPr>
              <w:spacing w:before="40" w:line="240" w:lineRule="auto"/>
              <w:ind w:left="0"/>
              <w:jc w:val="center"/>
            </w:pPr>
            <w:r>
              <w:rPr>
                <w:rFonts w:ascii="Arial Narrow" w:hAnsi="Arial Narrow" w:cs="Calibri"/>
                <w:b/>
                <w:bCs/>
                <w:color w:val="000000"/>
                <w:sz w:val="20"/>
                <w:szCs w:val="20"/>
              </w:rPr>
              <w:t>Stereotactic radiosurgery (15600)</w:t>
            </w:r>
          </w:p>
        </w:tc>
        <w:tc>
          <w:tcPr>
            <w:tcW w:w="1523" w:type="dxa"/>
            <w:vAlign w:val="center"/>
          </w:tcPr>
          <w:p w14:paraId="46A78D99" w14:textId="77777777" w:rsidR="00E360E5" w:rsidRDefault="00E360E5" w:rsidP="009E682D">
            <w:pPr>
              <w:spacing w:before="40" w:line="240" w:lineRule="auto"/>
              <w:ind w:left="0"/>
              <w:jc w:val="center"/>
            </w:pPr>
            <w:r>
              <w:rPr>
                <w:rFonts w:ascii="Arial Narrow" w:hAnsi="Arial Narrow" w:cs="Calibri"/>
                <w:b/>
                <w:bCs/>
                <w:color w:val="000000"/>
                <w:sz w:val="20"/>
                <w:szCs w:val="20"/>
              </w:rPr>
              <w:t>MBS utilisation data total all EBRT</w:t>
            </w:r>
          </w:p>
        </w:tc>
      </w:tr>
      <w:tr w:rsidR="00E360E5" w14:paraId="3D4409A6" w14:textId="77777777" w:rsidTr="00A21A7F">
        <w:tc>
          <w:tcPr>
            <w:tcW w:w="1413" w:type="dxa"/>
            <w:vAlign w:val="center"/>
          </w:tcPr>
          <w:p w14:paraId="25A92848" w14:textId="77777777" w:rsidR="00E360E5" w:rsidRDefault="00E360E5" w:rsidP="009E682D">
            <w:pPr>
              <w:spacing w:before="40" w:line="240" w:lineRule="auto"/>
              <w:ind w:left="0"/>
            </w:pPr>
            <w:r>
              <w:rPr>
                <w:rFonts w:ascii="Arial Narrow" w:hAnsi="Arial Narrow" w:cs="Calibri"/>
                <w:color w:val="000000"/>
                <w:sz w:val="20"/>
                <w:szCs w:val="20"/>
              </w:rPr>
              <w:t>2010</w:t>
            </w:r>
          </w:p>
        </w:tc>
        <w:tc>
          <w:tcPr>
            <w:tcW w:w="1470" w:type="dxa"/>
            <w:vAlign w:val="center"/>
          </w:tcPr>
          <w:p w14:paraId="657B09E7" w14:textId="77777777" w:rsidR="00E360E5" w:rsidRDefault="00E360E5" w:rsidP="009E682D">
            <w:pPr>
              <w:spacing w:before="40" w:line="240" w:lineRule="auto"/>
              <w:ind w:left="0"/>
              <w:jc w:val="center"/>
            </w:pPr>
            <w:r>
              <w:rPr>
                <w:rFonts w:ascii="Arial Narrow" w:hAnsi="Arial Narrow" w:cs="Calibri"/>
                <w:color w:val="000000"/>
                <w:sz w:val="20"/>
                <w:szCs w:val="20"/>
              </w:rPr>
              <w:t>N/A</w:t>
            </w:r>
          </w:p>
        </w:tc>
        <w:tc>
          <w:tcPr>
            <w:tcW w:w="1730" w:type="dxa"/>
            <w:vAlign w:val="center"/>
          </w:tcPr>
          <w:p w14:paraId="3C37C227" w14:textId="77777777" w:rsidR="00E360E5" w:rsidRDefault="00E360E5" w:rsidP="009E682D">
            <w:pPr>
              <w:spacing w:before="40" w:line="240" w:lineRule="auto"/>
              <w:ind w:left="0"/>
              <w:jc w:val="center"/>
            </w:pPr>
            <w:r>
              <w:rPr>
                <w:rFonts w:ascii="Arial Narrow" w:hAnsi="Arial Narrow" w:cs="Calibri"/>
                <w:color w:val="000000"/>
                <w:sz w:val="20"/>
                <w:szCs w:val="20"/>
              </w:rPr>
              <w:t>20,321</w:t>
            </w:r>
          </w:p>
        </w:tc>
        <w:tc>
          <w:tcPr>
            <w:tcW w:w="1440" w:type="dxa"/>
            <w:vAlign w:val="center"/>
          </w:tcPr>
          <w:p w14:paraId="422026D6" w14:textId="77777777" w:rsidR="00E360E5" w:rsidRDefault="00E360E5" w:rsidP="009E682D">
            <w:pPr>
              <w:spacing w:before="40" w:line="240" w:lineRule="auto"/>
              <w:ind w:left="0"/>
              <w:jc w:val="center"/>
            </w:pPr>
            <w:r>
              <w:rPr>
                <w:rFonts w:ascii="Arial Narrow" w:hAnsi="Arial Narrow" w:cs="Calibri"/>
                <w:color w:val="000000"/>
                <w:sz w:val="20"/>
                <w:szCs w:val="20"/>
              </w:rPr>
              <w:t>26,162</w:t>
            </w:r>
          </w:p>
        </w:tc>
        <w:tc>
          <w:tcPr>
            <w:tcW w:w="1440" w:type="dxa"/>
            <w:vAlign w:val="center"/>
          </w:tcPr>
          <w:p w14:paraId="667EC352" w14:textId="77777777" w:rsidR="00E360E5" w:rsidRDefault="00E360E5" w:rsidP="009E682D">
            <w:pPr>
              <w:spacing w:before="40" w:line="240" w:lineRule="auto"/>
              <w:ind w:left="0"/>
              <w:jc w:val="center"/>
            </w:pPr>
            <w:r>
              <w:rPr>
                <w:rFonts w:ascii="Arial Narrow" w:hAnsi="Arial Narrow" w:cs="Calibri"/>
                <w:color w:val="000000"/>
                <w:sz w:val="20"/>
                <w:szCs w:val="20"/>
              </w:rPr>
              <w:t>249</w:t>
            </w:r>
          </w:p>
        </w:tc>
        <w:tc>
          <w:tcPr>
            <w:tcW w:w="1523" w:type="dxa"/>
            <w:vAlign w:val="center"/>
          </w:tcPr>
          <w:p w14:paraId="281809FD" w14:textId="77777777" w:rsidR="00E360E5" w:rsidRDefault="00E360E5" w:rsidP="009E682D">
            <w:pPr>
              <w:spacing w:before="40" w:line="240" w:lineRule="auto"/>
              <w:ind w:left="0"/>
              <w:jc w:val="center"/>
            </w:pPr>
            <w:r>
              <w:rPr>
                <w:rFonts w:ascii="Arial Narrow" w:hAnsi="Arial Narrow" w:cs="Calibri"/>
                <w:color w:val="000000"/>
                <w:sz w:val="20"/>
                <w:szCs w:val="20"/>
              </w:rPr>
              <w:t>46,732</w:t>
            </w:r>
          </w:p>
        </w:tc>
      </w:tr>
      <w:tr w:rsidR="00E360E5" w14:paraId="0A95179B" w14:textId="77777777" w:rsidTr="00A21A7F">
        <w:tc>
          <w:tcPr>
            <w:tcW w:w="1413" w:type="dxa"/>
            <w:vAlign w:val="center"/>
          </w:tcPr>
          <w:p w14:paraId="7632FDDE" w14:textId="77777777" w:rsidR="00E360E5" w:rsidRDefault="00E360E5" w:rsidP="009E682D">
            <w:pPr>
              <w:spacing w:before="40" w:line="240" w:lineRule="auto"/>
              <w:ind w:left="0"/>
            </w:pPr>
            <w:r>
              <w:rPr>
                <w:rFonts w:ascii="Arial Narrow" w:hAnsi="Arial Narrow" w:cs="Calibri"/>
                <w:color w:val="000000"/>
                <w:sz w:val="20"/>
                <w:szCs w:val="20"/>
              </w:rPr>
              <w:t>2011</w:t>
            </w:r>
          </w:p>
        </w:tc>
        <w:tc>
          <w:tcPr>
            <w:tcW w:w="1470" w:type="dxa"/>
            <w:vAlign w:val="center"/>
          </w:tcPr>
          <w:p w14:paraId="1D422250" w14:textId="77777777" w:rsidR="00E360E5" w:rsidRDefault="00E360E5" w:rsidP="009E682D">
            <w:pPr>
              <w:spacing w:before="40" w:line="240" w:lineRule="auto"/>
              <w:ind w:left="0"/>
              <w:jc w:val="center"/>
            </w:pPr>
            <w:r>
              <w:rPr>
                <w:rFonts w:ascii="Arial Narrow" w:hAnsi="Arial Narrow" w:cs="Calibri"/>
                <w:color w:val="000000"/>
                <w:sz w:val="20"/>
                <w:szCs w:val="20"/>
              </w:rPr>
              <w:t>N/A</w:t>
            </w:r>
          </w:p>
        </w:tc>
        <w:tc>
          <w:tcPr>
            <w:tcW w:w="1730" w:type="dxa"/>
            <w:vAlign w:val="center"/>
          </w:tcPr>
          <w:p w14:paraId="0D2B29DD" w14:textId="77777777" w:rsidR="00E360E5" w:rsidRDefault="00E360E5" w:rsidP="009E682D">
            <w:pPr>
              <w:spacing w:before="40" w:line="240" w:lineRule="auto"/>
              <w:ind w:left="0"/>
              <w:jc w:val="center"/>
            </w:pPr>
            <w:r>
              <w:rPr>
                <w:rFonts w:ascii="Arial Narrow" w:hAnsi="Arial Narrow" w:cs="Calibri"/>
                <w:color w:val="000000"/>
                <w:sz w:val="20"/>
                <w:szCs w:val="20"/>
              </w:rPr>
              <w:t>19,577</w:t>
            </w:r>
          </w:p>
        </w:tc>
        <w:tc>
          <w:tcPr>
            <w:tcW w:w="1440" w:type="dxa"/>
            <w:vAlign w:val="center"/>
          </w:tcPr>
          <w:p w14:paraId="4BF1ABBF" w14:textId="77777777" w:rsidR="00E360E5" w:rsidRDefault="00E360E5" w:rsidP="009E682D">
            <w:pPr>
              <w:spacing w:before="40" w:line="240" w:lineRule="auto"/>
              <w:ind w:left="0"/>
              <w:jc w:val="center"/>
            </w:pPr>
            <w:r>
              <w:rPr>
                <w:rFonts w:ascii="Arial Narrow" w:hAnsi="Arial Narrow" w:cs="Calibri"/>
                <w:color w:val="000000"/>
                <w:sz w:val="20"/>
                <w:szCs w:val="20"/>
              </w:rPr>
              <w:t>28,432</w:t>
            </w:r>
          </w:p>
        </w:tc>
        <w:tc>
          <w:tcPr>
            <w:tcW w:w="1440" w:type="dxa"/>
            <w:vAlign w:val="center"/>
          </w:tcPr>
          <w:p w14:paraId="11569B87" w14:textId="77777777" w:rsidR="00E360E5" w:rsidRDefault="00E360E5" w:rsidP="009E682D">
            <w:pPr>
              <w:spacing w:before="40" w:line="240" w:lineRule="auto"/>
              <w:ind w:left="0"/>
              <w:jc w:val="center"/>
            </w:pPr>
            <w:r>
              <w:rPr>
                <w:rFonts w:ascii="Arial Narrow" w:hAnsi="Arial Narrow" w:cs="Calibri"/>
                <w:color w:val="000000"/>
                <w:sz w:val="20"/>
                <w:szCs w:val="20"/>
              </w:rPr>
              <w:t>294</w:t>
            </w:r>
          </w:p>
        </w:tc>
        <w:tc>
          <w:tcPr>
            <w:tcW w:w="1523" w:type="dxa"/>
            <w:vAlign w:val="center"/>
          </w:tcPr>
          <w:p w14:paraId="4299350D" w14:textId="77777777" w:rsidR="00E360E5" w:rsidRDefault="00E360E5" w:rsidP="009E682D">
            <w:pPr>
              <w:spacing w:before="40" w:line="240" w:lineRule="auto"/>
              <w:ind w:left="0"/>
              <w:jc w:val="center"/>
            </w:pPr>
            <w:r>
              <w:rPr>
                <w:rFonts w:ascii="Arial Narrow" w:hAnsi="Arial Narrow" w:cs="Calibri"/>
                <w:color w:val="000000"/>
                <w:sz w:val="20"/>
                <w:szCs w:val="20"/>
              </w:rPr>
              <w:t>48,303</w:t>
            </w:r>
          </w:p>
        </w:tc>
      </w:tr>
      <w:tr w:rsidR="00E360E5" w14:paraId="598E3DEA" w14:textId="77777777" w:rsidTr="00A21A7F">
        <w:tc>
          <w:tcPr>
            <w:tcW w:w="1413" w:type="dxa"/>
            <w:vAlign w:val="center"/>
          </w:tcPr>
          <w:p w14:paraId="14B74DA8" w14:textId="77777777" w:rsidR="00E360E5" w:rsidRDefault="00E360E5" w:rsidP="009E682D">
            <w:pPr>
              <w:spacing w:before="40" w:line="240" w:lineRule="auto"/>
              <w:ind w:left="0"/>
            </w:pPr>
            <w:r>
              <w:rPr>
                <w:rFonts w:ascii="Arial Narrow" w:hAnsi="Arial Narrow" w:cs="Calibri"/>
                <w:color w:val="000000"/>
                <w:sz w:val="20"/>
                <w:szCs w:val="20"/>
              </w:rPr>
              <w:t>2012</w:t>
            </w:r>
          </w:p>
        </w:tc>
        <w:tc>
          <w:tcPr>
            <w:tcW w:w="1470" w:type="dxa"/>
            <w:vAlign w:val="center"/>
          </w:tcPr>
          <w:p w14:paraId="572AF049" w14:textId="77777777" w:rsidR="00E360E5" w:rsidRDefault="00E360E5" w:rsidP="009E682D">
            <w:pPr>
              <w:spacing w:before="40" w:line="240" w:lineRule="auto"/>
              <w:ind w:left="0"/>
              <w:jc w:val="center"/>
            </w:pPr>
            <w:r>
              <w:rPr>
                <w:rFonts w:ascii="Arial Narrow" w:hAnsi="Arial Narrow" w:cs="Calibri"/>
                <w:color w:val="000000"/>
                <w:sz w:val="20"/>
                <w:szCs w:val="20"/>
              </w:rPr>
              <w:t>N/A</w:t>
            </w:r>
          </w:p>
        </w:tc>
        <w:tc>
          <w:tcPr>
            <w:tcW w:w="1730" w:type="dxa"/>
            <w:vAlign w:val="center"/>
          </w:tcPr>
          <w:p w14:paraId="2550FA96" w14:textId="77777777" w:rsidR="00E360E5" w:rsidRDefault="00E360E5" w:rsidP="009E682D">
            <w:pPr>
              <w:spacing w:before="40" w:line="240" w:lineRule="auto"/>
              <w:ind w:left="0"/>
              <w:jc w:val="center"/>
            </w:pPr>
            <w:r>
              <w:rPr>
                <w:rFonts w:ascii="Arial Narrow" w:hAnsi="Arial Narrow" w:cs="Calibri"/>
                <w:color w:val="000000"/>
                <w:sz w:val="20"/>
                <w:szCs w:val="20"/>
              </w:rPr>
              <w:t>19,433</w:t>
            </w:r>
          </w:p>
        </w:tc>
        <w:tc>
          <w:tcPr>
            <w:tcW w:w="1440" w:type="dxa"/>
            <w:vAlign w:val="center"/>
          </w:tcPr>
          <w:p w14:paraId="2EAA0CB5" w14:textId="77777777" w:rsidR="00E360E5" w:rsidRDefault="00E360E5" w:rsidP="009E682D">
            <w:pPr>
              <w:spacing w:before="40" w:line="240" w:lineRule="auto"/>
              <w:ind w:left="0"/>
              <w:jc w:val="center"/>
            </w:pPr>
            <w:r>
              <w:rPr>
                <w:rFonts w:ascii="Arial Narrow" w:hAnsi="Arial Narrow" w:cs="Calibri"/>
                <w:color w:val="000000"/>
                <w:sz w:val="20"/>
                <w:szCs w:val="20"/>
              </w:rPr>
              <w:t>29,878</w:t>
            </w:r>
          </w:p>
        </w:tc>
        <w:tc>
          <w:tcPr>
            <w:tcW w:w="1440" w:type="dxa"/>
            <w:vAlign w:val="center"/>
          </w:tcPr>
          <w:p w14:paraId="4CB648C8" w14:textId="77777777" w:rsidR="00E360E5" w:rsidRDefault="00E360E5" w:rsidP="009E682D">
            <w:pPr>
              <w:spacing w:before="40" w:line="240" w:lineRule="auto"/>
              <w:ind w:left="0"/>
              <w:jc w:val="center"/>
            </w:pPr>
            <w:r>
              <w:rPr>
                <w:rFonts w:ascii="Arial Narrow" w:hAnsi="Arial Narrow" w:cs="Calibri"/>
                <w:color w:val="000000"/>
                <w:sz w:val="20"/>
                <w:szCs w:val="20"/>
              </w:rPr>
              <w:t>331</w:t>
            </w:r>
          </w:p>
        </w:tc>
        <w:tc>
          <w:tcPr>
            <w:tcW w:w="1523" w:type="dxa"/>
            <w:vAlign w:val="center"/>
          </w:tcPr>
          <w:p w14:paraId="0812F002" w14:textId="77777777" w:rsidR="00E360E5" w:rsidRDefault="00E360E5" w:rsidP="009E682D">
            <w:pPr>
              <w:spacing w:before="40" w:line="240" w:lineRule="auto"/>
              <w:ind w:left="0"/>
              <w:jc w:val="center"/>
            </w:pPr>
            <w:r>
              <w:rPr>
                <w:rFonts w:ascii="Arial Narrow" w:hAnsi="Arial Narrow" w:cs="Calibri"/>
                <w:color w:val="000000"/>
                <w:sz w:val="20"/>
                <w:szCs w:val="20"/>
              </w:rPr>
              <w:t>49,642</w:t>
            </w:r>
          </w:p>
        </w:tc>
      </w:tr>
      <w:tr w:rsidR="00E360E5" w14:paraId="2CFB1ACE" w14:textId="77777777" w:rsidTr="00A21A7F">
        <w:tc>
          <w:tcPr>
            <w:tcW w:w="1413" w:type="dxa"/>
            <w:vAlign w:val="center"/>
          </w:tcPr>
          <w:p w14:paraId="40EA14E5" w14:textId="77777777" w:rsidR="00E360E5" w:rsidRDefault="00E360E5" w:rsidP="009E682D">
            <w:pPr>
              <w:spacing w:before="40" w:line="240" w:lineRule="auto"/>
              <w:ind w:left="0"/>
            </w:pPr>
            <w:r>
              <w:rPr>
                <w:rFonts w:ascii="Arial Narrow" w:hAnsi="Arial Narrow" w:cs="Calibri"/>
                <w:color w:val="000000"/>
                <w:sz w:val="20"/>
                <w:szCs w:val="20"/>
              </w:rPr>
              <w:t>2013</w:t>
            </w:r>
          </w:p>
        </w:tc>
        <w:tc>
          <w:tcPr>
            <w:tcW w:w="1470" w:type="dxa"/>
            <w:vAlign w:val="center"/>
          </w:tcPr>
          <w:p w14:paraId="6F307BB1" w14:textId="77777777" w:rsidR="00E360E5" w:rsidRDefault="00E360E5" w:rsidP="009E682D">
            <w:pPr>
              <w:spacing w:before="40" w:line="240" w:lineRule="auto"/>
              <w:ind w:left="0"/>
              <w:jc w:val="center"/>
            </w:pPr>
            <w:r>
              <w:rPr>
                <w:rFonts w:ascii="Arial Narrow" w:hAnsi="Arial Narrow" w:cs="Calibri"/>
                <w:color w:val="000000"/>
                <w:sz w:val="20"/>
                <w:szCs w:val="20"/>
              </w:rPr>
              <w:t>N/A</w:t>
            </w:r>
          </w:p>
        </w:tc>
        <w:tc>
          <w:tcPr>
            <w:tcW w:w="1730" w:type="dxa"/>
            <w:vAlign w:val="center"/>
          </w:tcPr>
          <w:p w14:paraId="320621B9" w14:textId="77777777" w:rsidR="00E360E5" w:rsidRDefault="00E360E5" w:rsidP="009E682D">
            <w:pPr>
              <w:spacing w:before="40" w:line="240" w:lineRule="auto"/>
              <w:ind w:left="0"/>
              <w:jc w:val="center"/>
            </w:pPr>
            <w:r>
              <w:rPr>
                <w:rFonts w:ascii="Arial Narrow" w:hAnsi="Arial Narrow" w:cs="Calibri"/>
                <w:color w:val="000000"/>
                <w:sz w:val="20"/>
                <w:szCs w:val="20"/>
              </w:rPr>
              <w:t>17,683</w:t>
            </w:r>
          </w:p>
        </w:tc>
        <w:tc>
          <w:tcPr>
            <w:tcW w:w="1440" w:type="dxa"/>
            <w:vAlign w:val="center"/>
          </w:tcPr>
          <w:p w14:paraId="304889C1" w14:textId="77777777" w:rsidR="00E360E5" w:rsidRDefault="00E360E5" w:rsidP="009E682D">
            <w:pPr>
              <w:spacing w:before="40" w:line="240" w:lineRule="auto"/>
              <w:ind w:left="0"/>
              <w:jc w:val="center"/>
            </w:pPr>
            <w:r>
              <w:rPr>
                <w:rFonts w:ascii="Arial Narrow" w:hAnsi="Arial Narrow" w:cs="Calibri"/>
                <w:color w:val="000000"/>
                <w:sz w:val="20"/>
                <w:szCs w:val="20"/>
              </w:rPr>
              <w:t>33,128</w:t>
            </w:r>
          </w:p>
        </w:tc>
        <w:tc>
          <w:tcPr>
            <w:tcW w:w="1440" w:type="dxa"/>
            <w:vAlign w:val="center"/>
          </w:tcPr>
          <w:p w14:paraId="69D978E4" w14:textId="77777777" w:rsidR="00E360E5" w:rsidRDefault="00E360E5" w:rsidP="009E682D">
            <w:pPr>
              <w:spacing w:before="40" w:line="240" w:lineRule="auto"/>
              <w:ind w:left="0"/>
              <w:jc w:val="center"/>
            </w:pPr>
            <w:r>
              <w:rPr>
                <w:rFonts w:ascii="Arial Narrow" w:hAnsi="Arial Narrow" w:cs="Calibri"/>
                <w:color w:val="000000"/>
                <w:sz w:val="20"/>
                <w:szCs w:val="20"/>
              </w:rPr>
              <w:t>420</w:t>
            </w:r>
          </w:p>
        </w:tc>
        <w:tc>
          <w:tcPr>
            <w:tcW w:w="1523" w:type="dxa"/>
            <w:vAlign w:val="center"/>
          </w:tcPr>
          <w:p w14:paraId="56FFC37B" w14:textId="77777777" w:rsidR="00E360E5" w:rsidRDefault="00E360E5" w:rsidP="009E682D">
            <w:pPr>
              <w:spacing w:before="40" w:line="240" w:lineRule="auto"/>
              <w:ind w:left="0"/>
              <w:jc w:val="center"/>
            </w:pPr>
            <w:r>
              <w:rPr>
                <w:rFonts w:ascii="Arial Narrow" w:hAnsi="Arial Narrow" w:cs="Calibri"/>
                <w:color w:val="000000"/>
                <w:sz w:val="20"/>
                <w:szCs w:val="20"/>
              </w:rPr>
              <w:t>51,231</w:t>
            </w:r>
          </w:p>
        </w:tc>
      </w:tr>
      <w:tr w:rsidR="00E360E5" w14:paraId="49688F3E" w14:textId="77777777" w:rsidTr="00A21A7F">
        <w:tc>
          <w:tcPr>
            <w:tcW w:w="1413" w:type="dxa"/>
            <w:vAlign w:val="center"/>
          </w:tcPr>
          <w:p w14:paraId="38401180" w14:textId="77777777" w:rsidR="00E360E5" w:rsidRDefault="00E360E5" w:rsidP="009E682D">
            <w:pPr>
              <w:spacing w:before="40" w:line="240" w:lineRule="auto"/>
              <w:ind w:left="0"/>
            </w:pPr>
            <w:r>
              <w:rPr>
                <w:rFonts w:ascii="Arial Narrow" w:hAnsi="Arial Narrow" w:cs="Calibri"/>
                <w:color w:val="000000"/>
                <w:sz w:val="20"/>
                <w:szCs w:val="20"/>
              </w:rPr>
              <w:t>2014</w:t>
            </w:r>
          </w:p>
        </w:tc>
        <w:tc>
          <w:tcPr>
            <w:tcW w:w="1470" w:type="dxa"/>
            <w:vAlign w:val="center"/>
          </w:tcPr>
          <w:p w14:paraId="0CEC2BFA" w14:textId="77777777" w:rsidR="00E360E5" w:rsidRDefault="00E360E5" w:rsidP="009E682D">
            <w:pPr>
              <w:spacing w:before="40" w:line="240" w:lineRule="auto"/>
              <w:ind w:left="0"/>
              <w:jc w:val="center"/>
            </w:pPr>
            <w:r>
              <w:rPr>
                <w:rFonts w:ascii="Arial Narrow" w:hAnsi="Arial Narrow" w:cs="Calibri"/>
                <w:color w:val="000000"/>
                <w:sz w:val="20"/>
                <w:szCs w:val="20"/>
              </w:rPr>
              <w:t>N/A</w:t>
            </w:r>
          </w:p>
        </w:tc>
        <w:tc>
          <w:tcPr>
            <w:tcW w:w="1730" w:type="dxa"/>
            <w:vAlign w:val="center"/>
          </w:tcPr>
          <w:p w14:paraId="5B5FCC71" w14:textId="77777777" w:rsidR="00E360E5" w:rsidRDefault="00E360E5" w:rsidP="009E682D">
            <w:pPr>
              <w:spacing w:before="40" w:line="240" w:lineRule="auto"/>
              <w:ind w:left="0"/>
              <w:jc w:val="center"/>
            </w:pPr>
            <w:r>
              <w:rPr>
                <w:rFonts w:ascii="Arial Narrow" w:hAnsi="Arial Narrow" w:cs="Calibri"/>
                <w:color w:val="000000"/>
                <w:sz w:val="20"/>
                <w:szCs w:val="20"/>
              </w:rPr>
              <w:t>15,749</w:t>
            </w:r>
          </w:p>
        </w:tc>
        <w:tc>
          <w:tcPr>
            <w:tcW w:w="1440" w:type="dxa"/>
            <w:vAlign w:val="center"/>
          </w:tcPr>
          <w:p w14:paraId="0532F4DA" w14:textId="77777777" w:rsidR="00E360E5" w:rsidRDefault="00E360E5" w:rsidP="009E682D">
            <w:pPr>
              <w:spacing w:before="40" w:line="240" w:lineRule="auto"/>
              <w:ind w:left="0"/>
              <w:jc w:val="center"/>
            </w:pPr>
            <w:r>
              <w:rPr>
                <w:rFonts w:ascii="Arial Narrow" w:hAnsi="Arial Narrow" w:cs="Calibri"/>
                <w:color w:val="000000"/>
                <w:sz w:val="20"/>
                <w:szCs w:val="20"/>
              </w:rPr>
              <w:t>40,496</w:t>
            </w:r>
          </w:p>
        </w:tc>
        <w:tc>
          <w:tcPr>
            <w:tcW w:w="1440" w:type="dxa"/>
            <w:vAlign w:val="center"/>
          </w:tcPr>
          <w:p w14:paraId="0EE814F5" w14:textId="77777777" w:rsidR="00E360E5" w:rsidRDefault="00E360E5" w:rsidP="009E682D">
            <w:pPr>
              <w:spacing w:before="40" w:line="240" w:lineRule="auto"/>
              <w:ind w:left="0"/>
              <w:jc w:val="center"/>
            </w:pPr>
            <w:r>
              <w:rPr>
                <w:rFonts w:ascii="Arial Narrow" w:hAnsi="Arial Narrow" w:cs="Calibri"/>
                <w:color w:val="000000"/>
                <w:sz w:val="20"/>
                <w:szCs w:val="20"/>
              </w:rPr>
              <w:t>514</w:t>
            </w:r>
          </w:p>
        </w:tc>
        <w:tc>
          <w:tcPr>
            <w:tcW w:w="1523" w:type="dxa"/>
            <w:vAlign w:val="center"/>
          </w:tcPr>
          <w:p w14:paraId="7878B299" w14:textId="77777777" w:rsidR="00E360E5" w:rsidRDefault="00E360E5" w:rsidP="009E682D">
            <w:pPr>
              <w:spacing w:before="40" w:line="240" w:lineRule="auto"/>
              <w:ind w:left="0"/>
              <w:jc w:val="center"/>
            </w:pPr>
            <w:r>
              <w:rPr>
                <w:rFonts w:ascii="Arial Narrow" w:hAnsi="Arial Narrow" w:cs="Calibri"/>
                <w:color w:val="000000"/>
                <w:sz w:val="20"/>
                <w:szCs w:val="20"/>
              </w:rPr>
              <w:t>56,759</w:t>
            </w:r>
          </w:p>
        </w:tc>
      </w:tr>
      <w:tr w:rsidR="00E360E5" w14:paraId="26823A99" w14:textId="77777777" w:rsidTr="00A21A7F">
        <w:tc>
          <w:tcPr>
            <w:tcW w:w="1413" w:type="dxa"/>
            <w:vAlign w:val="center"/>
          </w:tcPr>
          <w:p w14:paraId="4B4C1A82" w14:textId="77777777" w:rsidR="00E360E5" w:rsidRDefault="00E360E5" w:rsidP="009E682D">
            <w:pPr>
              <w:spacing w:before="40" w:line="240" w:lineRule="auto"/>
              <w:ind w:left="0"/>
            </w:pPr>
            <w:r>
              <w:rPr>
                <w:rFonts w:ascii="Arial Narrow" w:hAnsi="Arial Narrow" w:cs="Calibri"/>
                <w:color w:val="000000"/>
                <w:sz w:val="20"/>
                <w:szCs w:val="20"/>
              </w:rPr>
              <w:t>2015</w:t>
            </w:r>
          </w:p>
        </w:tc>
        <w:tc>
          <w:tcPr>
            <w:tcW w:w="1470" w:type="dxa"/>
            <w:vAlign w:val="center"/>
          </w:tcPr>
          <w:p w14:paraId="41A1D707" w14:textId="77777777" w:rsidR="00E360E5" w:rsidRDefault="00E360E5" w:rsidP="009E682D">
            <w:pPr>
              <w:spacing w:before="40" w:line="240" w:lineRule="auto"/>
              <w:ind w:left="0"/>
              <w:jc w:val="center"/>
            </w:pPr>
            <w:r>
              <w:rPr>
                <w:rFonts w:ascii="Arial Narrow" w:hAnsi="Arial Narrow" w:cs="Calibri"/>
                <w:color w:val="000000"/>
                <w:sz w:val="20"/>
                <w:szCs w:val="20"/>
              </w:rPr>
              <w:t>7,388</w:t>
            </w:r>
          </w:p>
        </w:tc>
        <w:tc>
          <w:tcPr>
            <w:tcW w:w="1730" w:type="dxa"/>
            <w:vAlign w:val="center"/>
          </w:tcPr>
          <w:p w14:paraId="78C2ED4C" w14:textId="77777777" w:rsidR="00E360E5" w:rsidRDefault="00E360E5" w:rsidP="009E682D">
            <w:pPr>
              <w:spacing w:before="40" w:line="240" w:lineRule="auto"/>
              <w:ind w:left="0"/>
              <w:jc w:val="center"/>
            </w:pPr>
            <w:r>
              <w:rPr>
                <w:rFonts w:ascii="Arial Narrow" w:hAnsi="Arial Narrow" w:cs="Calibri"/>
                <w:color w:val="000000"/>
                <w:sz w:val="20"/>
                <w:szCs w:val="20"/>
              </w:rPr>
              <w:t>14,450</w:t>
            </w:r>
          </w:p>
        </w:tc>
        <w:tc>
          <w:tcPr>
            <w:tcW w:w="1440" w:type="dxa"/>
            <w:vAlign w:val="center"/>
          </w:tcPr>
          <w:p w14:paraId="691680EE" w14:textId="77777777" w:rsidR="00E360E5" w:rsidRDefault="00E360E5" w:rsidP="009E682D">
            <w:pPr>
              <w:spacing w:before="40" w:line="240" w:lineRule="auto"/>
              <w:ind w:left="0"/>
              <w:jc w:val="center"/>
            </w:pPr>
            <w:r>
              <w:rPr>
                <w:rFonts w:ascii="Arial Narrow" w:hAnsi="Arial Narrow" w:cs="Calibri"/>
                <w:color w:val="000000"/>
                <w:sz w:val="20"/>
                <w:szCs w:val="20"/>
              </w:rPr>
              <w:t>44,022</w:t>
            </w:r>
          </w:p>
        </w:tc>
        <w:tc>
          <w:tcPr>
            <w:tcW w:w="1440" w:type="dxa"/>
            <w:vAlign w:val="center"/>
          </w:tcPr>
          <w:p w14:paraId="1F5D2246" w14:textId="77777777" w:rsidR="00E360E5" w:rsidRDefault="00E360E5" w:rsidP="009E682D">
            <w:pPr>
              <w:spacing w:before="40" w:line="240" w:lineRule="auto"/>
              <w:ind w:left="0"/>
              <w:jc w:val="center"/>
            </w:pPr>
            <w:r>
              <w:rPr>
                <w:rFonts w:ascii="Arial Narrow" w:hAnsi="Arial Narrow" w:cs="Calibri"/>
                <w:color w:val="000000"/>
                <w:sz w:val="20"/>
                <w:szCs w:val="20"/>
              </w:rPr>
              <w:t>493</w:t>
            </w:r>
          </w:p>
        </w:tc>
        <w:tc>
          <w:tcPr>
            <w:tcW w:w="1523" w:type="dxa"/>
            <w:vAlign w:val="center"/>
          </w:tcPr>
          <w:p w14:paraId="52F89BEA" w14:textId="77777777" w:rsidR="00E360E5" w:rsidRDefault="00E360E5" w:rsidP="009E682D">
            <w:pPr>
              <w:spacing w:before="40" w:line="240" w:lineRule="auto"/>
              <w:ind w:left="0"/>
              <w:jc w:val="center"/>
            </w:pPr>
            <w:r>
              <w:rPr>
                <w:rFonts w:ascii="Arial Narrow" w:hAnsi="Arial Narrow" w:cs="Calibri"/>
                <w:color w:val="000000"/>
                <w:sz w:val="20"/>
                <w:szCs w:val="20"/>
              </w:rPr>
              <w:t>66,353</w:t>
            </w:r>
          </w:p>
        </w:tc>
      </w:tr>
      <w:tr w:rsidR="00E360E5" w14:paraId="5882CC02" w14:textId="77777777" w:rsidTr="00A21A7F">
        <w:tc>
          <w:tcPr>
            <w:tcW w:w="1413" w:type="dxa"/>
            <w:vAlign w:val="center"/>
          </w:tcPr>
          <w:p w14:paraId="6D0ECA35" w14:textId="77777777" w:rsidR="00E360E5" w:rsidRDefault="00E360E5" w:rsidP="009E682D">
            <w:pPr>
              <w:spacing w:before="40" w:line="240" w:lineRule="auto"/>
              <w:ind w:left="0"/>
            </w:pPr>
            <w:r>
              <w:rPr>
                <w:rFonts w:ascii="Arial Narrow" w:hAnsi="Arial Narrow" w:cs="Calibri"/>
                <w:color w:val="000000"/>
                <w:sz w:val="20"/>
                <w:szCs w:val="20"/>
              </w:rPr>
              <w:t>2016</w:t>
            </w:r>
          </w:p>
        </w:tc>
        <w:tc>
          <w:tcPr>
            <w:tcW w:w="1470" w:type="dxa"/>
            <w:vAlign w:val="center"/>
          </w:tcPr>
          <w:p w14:paraId="6B705028" w14:textId="77777777" w:rsidR="00E360E5" w:rsidRDefault="00E360E5" w:rsidP="009E682D">
            <w:pPr>
              <w:spacing w:before="40" w:line="240" w:lineRule="auto"/>
              <w:ind w:left="0"/>
              <w:jc w:val="center"/>
            </w:pPr>
            <w:r>
              <w:rPr>
                <w:rFonts w:ascii="Arial Narrow" w:hAnsi="Arial Narrow" w:cs="Calibri"/>
                <w:color w:val="000000"/>
                <w:sz w:val="20"/>
                <w:szCs w:val="20"/>
              </w:rPr>
              <w:t>26,842</w:t>
            </w:r>
          </w:p>
        </w:tc>
        <w:tc>
          <w:tcPr>
            <w:tcW w:w="1730" w:type="dxa"/>
            <w:vAlign w:val="center"/>
          </w:tcPr>
          <w:p w14:paraId="4EC006F1" w14:textId="77777777" w:rsidR="00E360E5" w:rsidRDefault="00E360E5" w:rsidP="009E682D">
            <w:pPr>
              <w:spacing w:before="40" w:line="240" w:lineRule="auto"/>
              <w:ind w:left="0"/>
              <w:jc w:val="center"/>
            </w:pPr>
            <w:r>
              <w:rPr>
                <w:rFonts w:ascii="Arial Narrow" w:hAnsi="Arial Narrow" w:cs="Calibri"/>
                <w:color w:val="000000"/>
                <w:sz w:val="20"/>
                <w:szCs w:val="20"/>
              </w:rPr>
              <w:t>12,300</w:t>
            </w:r>
          </w:p>
        </w:tc>
        <w:tc>
          <w:tcPr>
            <w:tcW w:w="1440" w:type="dxa"/>
            <w:vAlign w:val="center"/>
          </w:tcPr>
          <w:p w14:paraId="37D7217F" w14:textId="77777777" w:rsidR="00E360E5" w:rsidRDefault="00E360E5" w:rsidP="009E682D">
            <w:pPr>
              <w:spacing w:before="40" w:line="240" w:lineRule="auto"/>
              <w:ind w:left="0"/>
              <w:jc w:val="center"/>
            </w:pPr>
            <w:r>
              <w:rPr>
                <w:rFonts w:ascii="Arial Narrow" w:hAnsi="Arial Narrow" w:cs="Calibri"/>
                <w:color w:val="000000"/>
                <w:sz w:val="20"/>
                <w:szCs w:val="20"/>
              </w:rPr>
              <w:t>27,618</w:t>
            </w:r>
          </w:p>
        </w:tc>
        <w:tc>
          <w:tcPr>
            <w:tcW w:w="1440" w:type="dxa"/>
            <w:vAlign w:val="center"/>
          </w:tcPr>
          <w:p w14:paraId="532CC5B9" w14:textId="77777777" w:rsidR="00E360E5" w:rsidRDefault="00E360E5" w:rsidP="009E682D">
            <w:pPr>
              <w:spacing w:before="40" w:line="240" w:lineRule="auto"/>
              <w:ind w:left="0"/>
              <w:jc w:val="center"/>
            </w:pPr>
            <w:r>
              <w:rPr>
                <w:rFonts w:ascii="Arial Narrow" w:hAnsi="Arial Narrow" w:cs="Calibri"/>
                <w:color w:val="000000"/>
                <w:sz w:val="20"/>
                <w:szCs w:val="20"/>
              </w:rPr>
              <w:t>638</w:t>
            </w:r>
          </w:p>
        </w:tc>
        <w:tc>
          <w:tcPr>
            <w:tcW w:w="1523" w:type="dxa"/>
            <w:vAlign w:val="center"/>
          </w:tcPr>
          <w:p w14:paraId="77AA3A12" w14:textId="77777777" w:rsidR="00E360E5" w:rsidRDefault="00E360E5" w:rsidP="009E682D">
            <w:pPr>
              <w:spacing w:before="40" w:line="240" w:lineRule="auto"/>
              <w:ind w:left="0"/>
              <w:jc w:val="center"/>
            </w:pPr>
            <w:r>
              <w:rPr>
                <w:rFonts w:ascii="Arial Narrow" w:hAnsi="Arial Narrow" w:cs="Calibri"/>
                <w:color w:val="000000"/>
                <w:sz w:val="20"/>
                <w:szCs w:val="20"/>
              </w:rPr>
              <w:t>67,398</w:t>
            </w:r>
          </w:p>
        </w:tc>
      </w:tr>
      <w:tr w:rsidR="00E360E5" w14:paraId="35517889" w14:textId="77777777" w:rsidTr="00A21A7F">
        <w:tc>
          <w:tcPr>
            <w:tcW w:w="1413" w:type="dxa"/>
            <w:vAlign w:val="center"/>
          </w:tcPr>
          <w:p w14:paraId="2CD95227" w14:textId="77777777" w:rsidR="00E360E5" w:rsidRDefault="00E360E5" w:rsidP="009E682D">
            <w:pPr>
              <w:spacing w:before="40" w:line="240" w:lineRule="auto"/>
              <w:ind w:left="0"/>
            </w:pPr>
            <w:r>
              <w:rPr>
                <w:rFonts w:ascii="Arial Narrow" w:hAnsi="Arial Narrow" w:cs="Calibri"/>
                <w:color w:val="000000"/>
                <w:sz w:val="20"/>
                <w:szCs w:val="20"/>
              </w:rPr>
              <w:t>2017</w:t>
            </w:r>
          </w:p>
        </w:tc>
        <w:tc>
          <w:tcPr>
            <w:tcW w:w="1470" w:type="dxa"/>
            <w:vAlign w:val="center"/>
          </w:tcPr>
          <w:p w14:paraId="28316B73" w14:textId="77777777" w:rsidR="00E360E5" w:rsidRDefault="00E360E5" w:rsidP="009E682D">
            <w:pPr>
              <w:spacing w:before="40" w:line="240" w:lineRule="auto"/>
              <w:ind w:left="0"/>
              <w:jc w:val="center"/>
            </w:pPr>
            <w:r>
              <w:rPr>
                <w:rFonts w:ascii="Arial Narrow" w:hAnsi="Arial Narrow" w:cs="Calibri"/>
                <w:color w:val="000000"/>
                <w:sz w:val="20"/>
                <w:szCs w:val="20"/>
              </w:rPr>
              <w:t>34,183</w:t>
            </w:r>
          </w:p>
        </w:tc>
        <w:tc>
          <w:tcPr>
            <w:tcW w:w="1730" w:type="dxa"/>
            <w:vAlign w:val="center"/>
          </w:tcPr>
          <w:p w14:paraId="0AF3E6FC" w14:textId="77777777" w:rsidR="00E360E5" w:rsidRDefault="00E360E5" w:rsidP="009E682D">
            <w:pPr>
              <w:spacing w:before="40" w:line="240" w:lineRule="auto"/>
              <w:ind w:left="0"/>
              <w:jc w:val="center"/>
            </w:pPr>
            <w:r>
              <w:rPr>
                <w:rFonts w:ascii="Arial Narrow" w:hAnsi="Arial Narrow" w:cs="Calibri"/>
                <w:color w:val="000000"/>
                <w:sz w:val="20"/>
                <w:szCs w:val="20"/>
              </w:rPr>
              <w:t>10,997</w:t>
            </w:r>
          </w:p>
        </w:tc>
        <w:tc>
          <w:tcPr>
            <w:tcW w:w="1440" w:type="dxa"/>
            <w:vAlign w:val="center"/>
          </w:tcPr>
          <w:p w14:paraId="49F0FA9B" w14:textId="77777777" w:rsidR="00E360E5" w:rsidRDefault="00E360E5" w:rsidP="009E682D">
            <w:pPr>
              <w:spacing w:before="40" w:line="240" w:lineRule="auto"/>
              <w:ind w:left="0"/>
              <w:jc w:val="center"/>
            </w:pPr>
            <w:r>
              <w:rPr>
                <w:rFonts w:ascii="Arial Narrow" w:hAnsi="Arial Narrow" w:cs="Calibri"/>
                <w:color w:val="000000"/>
                <w:sz w:val="20"/>
                <w:szCs w:val="20"/>
              </w:rPr>
              <w:t>22,664</w:t>
            </w:r>
          </w:p>
        </w:tc>
        <w:tc>
          <w:tcPr>
            <w:tcW w:w="1440" w:type="dxa"/>
            <w:vAlign w:val="center"/>
          </w:tcPr>
          <w:p w14:paraId="3CCAFAD4" w14:textId="77777777" w:rsidR="00E360E5" w:rsidRDefault="00E360E5" w:rsidP="009E682D">
            <w:pPr>
              <w:spacing w:before="40" w:line="240" w:lineRule="auto"/>
              <w:ind w:left="0"/>
              <w:jc w:val="center"/>
            </w:pPr>
            <w:r>
              <w:rPr>
                <w:rFonts w:ascii="Arial Narrow" w:hAnsi="Arial Narrow" w:cs="Calibri"/>
                <w:color w:val="000000"/>
                <w:sz w:val="20"/>
                <w:szCs w:val="20"/>
              </w:rPr>
              <w:t>667</w:t>
            </w:r>
          </w:p>
        </w:tc>
        <w:tc>
          <w:tcPr>
            <w:tcW w:w="1523" w:type="dxa"/>
            <w:vAlign w:val="center"/>
          </w:tcPr>
          <w:p w14:paraId="52056DC8" w14:textId="77777777" w:rsidR="00E360E5" w:rsidRDefault="00E360E5" w:rsidP="009E682D">
            <w:pPr>
              <w:spacing w:before="40" w:line="240" w:lineRule="auto"/>
              <w:ind w:left="0"/>
              <w:jc w:val="center"/>
            </w:pPr>
            <w:r>
              <w:rPr>
                <w:rFonts w:ascii="Arial Narrow" w:hAnsi="Arial Narrow" w:cs="Calibri"/>
                <w:color w:val="000000"/>
                <w:sz w:val="20"/>
                <w:szCs w:val="20"/>
              </w:rPr>
              <w:t>68,511</w:t>
            </w:r>
          </w:p>
        </w:tc>
      </w:tr>
      <w:tr w:rsidR="00E360E5" w14:paraId="7B8A6FD7" w14:textId="77777777" w:rsidTr="00A21A7F">
        <w:tc>
          <w:tcPr>
            <w:tcW w:w="1413" w:type="dxa"/>
            <w:vAlign w:val="center"/>
          </w:tcPr>
          <w:p w14:paraId="1189E24F" w14:textId="77777777" w:rsidR="00E360E5" w:rsidRDefault="00E360E5" w:rsidP="009E682D">
            <w:pPr>
              <w:spacing w:before="40" w:line="240" w:lineRule="auto"/>
              <w:ind w:left="0"/>
            </w:pPr>
            <w:r>
              <w:rPr>
                <w:rFonts w:ascii="Arial Narrow" w:hAnsi="Arial Narrow" w:cs="Calibri"/>
                <w:color w:val="000000"/>
                <w:sz w:val="20"/>
                <w:szCs w:val="20"/>
              </w:rPr>
              <w:lastRenderedPageBreak/>
              <w:t>2018</w:t>
            </w:r>
          </w:p>
        </w:tc>
        <w:tc>
          <w:tcPr>
            <w:tcW w:w="1470" w:type="dxa"/>
            <w:vAlign w:val="center"/>
          </w:tcPr>
          <w:p w14:paraId="71BBAF90" w14:textId="77777777" w:rsidR="00E360E5" w:rsidRDefault="00E360E5" w:rsidP="009E682D">
            <w:pPr>
              <w:spacing w:before="40" w:line="240" w:lineRule="auto"/>
              <w:ind w:left="0"/>
              <w:jc w:val="center"/>
            </w:pPr>
            <w:r>
              <w:rPr>
                <w:rFonts w:ascii="Arial Narrow" w:hAnsi="Arial Narrow" w:cs="Calibri"/>
                <w:color w:val="000000"/>
                <w:sz w:val="20"/>
                <w:szCs w:val="20"/>
              </w:rPr>
              <w:t>43,158</w:t>
            </w:r>
          </w:p>
        </w:tc>
        <w:tc>
          <w:tcPr>
            <w:tcW w:w="1730" w:type="dxa"/>
            <w:vAlign w:val="center"/>
          </w:tcPr>
          <w:p w14:paraId="484B105D" w14:textId="77777777" w:rsidR="00E360E5" w:rsidRDefault="00E360E5" w:rsidP="009E682D">
            <w:pPr>
              <w:spacing w:before="40" w:line="240" w:lineRule="auto"/>
              <w:ind w:left="0"/>
              <w:jc w:val="center"/>
            </w:pPr>
            <w:r>
              <w:rPr>
                <w:rFonts w:ascii="Arial Narrow" w:hAnsi="Arial Narrow" w:cs="Calibri"/>
                <w:color w:val="000000"/>
                <w:sz w:val="20"/>
                <w:szCs w:val="20"/>
              </w:rPr>
              <w:t>9,936</w:t>
            </w:r>
          </w:p>
        </w:tc>
        <w:tc>
          <w:tcPr>
            <w:tcW w:w="1440" w:type="dxa"/>
            <w:vAlign w:val="center"/>
          </w:tcPr>
          <w:p w14:paraId="02BF8CBE" w14:textId="77777777" w:rsidR="00E360E5" w:rsidRDefault="00E360E5" w:rsidP="009E682D">
            <w:pPr>
              <w:spacing w:before="40" w:line="240" w:lineRule="auto"/>
              <w:ind w:left="0"/>
              <w:jc w:val="center"/>
            </w:pPr>
            <w:r>
              <w:rPr>
                <w:rFonts w:ascii="Arial Narrow" w:hAnsi="Arial Narrow" w:cs="Calibri"/>
                <w:color w:val="000000"/>
                <w:sz w:val="20"/>
                <w:szCs w:val="20"/>
              </w:rPr>
              <w:t>19,308</w:t>
            </w:r>
          </w:p>
        </w:tc>
        <w:tc>
          <w:tcPr>
            <w:tcW w:w="1440" w:type="dxa"/>
            <w:vAlign w:val="center"/>
          </w:tcPr>
          <w:p w14:paraId="0986F70B" w14:textId="77777777" w:rsidR="00E360E5" w:rsidRDefault="00E360E5" w:rsidP="009E682D">
            <w:pPr>
              <w:spacing w:before="40" w:line="240" w:lineRule="auto"/>
              <w:ind w:left="0"/>
              <w:jc w:val="center"/>
            </w:pPr>
            <w:r>
              <w:rPr>
                <w:rFonts w:ascii="Arial Narrow" w:hAnsi="Arial Narrow" w:cs="Calibri"/>
                <w:color w:val="000000"/>
                <w:sz w:val="20"/>
                <w:szCs w:val="20"/>
              </w:rPr>
              <w:t>699</w:t>
            </w:r>
          </w:p>
        </w:tc>
        <w:tc>
          <w:tcPr>
            <w:tcW w:w="1523" w:type="dxa"/>
            <w:vAlign w:val="center"/>
          </w:tcPr>
          <w:p w14:paraId="19C0264F" w14:textId="77777777" w:rsidR="00E360E5" w:rsidRDefault="00E360E5" w:rsidP="009E682D">
            <w:pPr>
              <w:spacing w:before="40" w:line="240" w:lineRule="auto"/>
              <w:ind w:left="0"/>
              <w:jc w:val="center"/>
            </w:pPr>
            <w:r>
              <w:rPr>
                <w:rFonts w:ascii="Arial Narrow" w:hAnsi="Arial Narrow" w:cs="Calibri"/>
                <w:color w:val="000000"/>
                <w:sz w:val="20"/>
                <w:szCs w:val="20"/>
              </w:rPr>
              <w:t>73,101</w:t>
            </w:r>
          </w:p>
        </w:tc>
      </w:tr>
      <w:tr w:rsidR="00E360E5" w14:paraId="51393074" w14:textId="77777777" w:rsidTr="00A21A7F">
        <w:tc>
          <w:tcPr>
            <w:tcW w:w="1413" w:type="dxa"/>
            <w:vAlign w:val="center"/>
          </w:tcPr>
          <w:p w14:paraId="08F1832F" w14:textId="77777777" w:rsidR="00E360E5" w:rsidRDefault="00E360E5" w:rsidP="006D66DC">
            <w:pPr>
              <w:keepNext/>
              <w:keepLines/>
              <w:spacing w:before="40" w:line="240" w:lineRule="auto"/>
              <w:ind w:left="0"/>
            </w:pPr>
            <w:r>
              <w:rPr>
                <w:rFonts w:ascii="Arial Narrow" w:hAnsi="Arial Narrow" w:cs="Calibri"/>
                <w:color w:val="000000"/>
                <w:sz w:val="20"/>
                <w:szCs w:val="20"/>
              </w:rPr>
              <w:t>2019</w:t>
            </w:r>
          </w:p>
        </w:tc>
        <w:tc>
          <w:tcPr>
            <w:tcW w:w="1470" w:type="dxa"/>
            <w:vAlign w:val="center"/>
          </w:tcPr>
          <w:p w14:paraId="34424584" w14:textId="77777777" w:rsidR="00E360E5" w:rsidRDefault="00E360E5" w:rsidP="006D66DC">
            <w:pPr>
              <w:keepNext/>
              <w:keepLines/>
              <w:spacing w:before="40" w:line="240" w:lineRule="auto"/>
              <w:ind w:left="0"/>
              <w:jc w:val="center"/>
            </w:pPr>
            <w:r>
              <w:rPr>
                <w:rFonts w:ascii="Arial Narrow" w:hAnsi="Arial Narrow" w:cs="Calibri"/>
                <w:color w:val="000000"/>
                <w:sz w:val="20"/>
                <w:szCs w:val="20"/>
              </w:rPr>
              <w:t>50,906</w:t>
            </w:r>
          </w:p>
        </w:tc>
        <w:tc>
          <w:tcPr>
            <w:tcW w:w="1730" w:type="dxa"/>
            <w:vAlign w:val="center"/>
          </w:tcPr>
          <w:p w14:paraId="6D71AF91" w14:textId="77777777" w:rsidR="00E360E5" w:rsidRDefault="00E360E5" w:rsidP="006D66DC">
            <w:pPr>
              <w:keepNext/>
              <w:keepLines/>
              <w:spacing w:before="40" w:line="240" w:lineRule="auto"/>
              <w:ind w:left="0"/>
              <w:jc w:val="center"/>
            </w:pPr>
            <w:r>
              <w:rPr>
                <w:rFonts w:ascii="Arial Narrow" w:hAnsi="Arial Narrow" w:cs="Calibri"/>
                <w:color w:val="000000"/>
                <w:sz w:val="20"/>
                <w:szCs w:val="20"/>
              </w:rPr>
              <w:t>9,115</w:t>
            </w:r>
          </w:p>
        </w:tc>
        <w:tc>
          <w:tcPr>
            <w:tcW w:w="1440" w:type="dxa"/>
            <w:vAlign w:val="center"/>
          </w:tcPr>
          <w:p w14:paraId="3D694CFB" w14:textId="77777777" w:rsidR="00E360E5" w:rsidRDefault="00E360E5" w:rsidP="006D66DC">
            <w:pPr>
              <w:keepNext/>
              <w:keepLines/>
              <w:spacing w:before="40" w:line="240" w:lineRule="auto"/>
              <w:ind w:left="0"/>
              <w:jc w:val="center"/>
            </w:pPr>
            <w:r>
              <w:rPr>
                <w:rFonts w:ascii="Arial Narrow" w:hAnsi="Arial Narrow" w:cs="Calibri"/>
                <w:color w:val="000000"/>
                <w:sz w:val="20"/>
                <w:szCs w:val="20"/>
              </w:rPr>
              <w:t>18,138</w:t>
            </w:r>
          </w:p>
        </w:tc>
        <w:tc>
          <w:tcPr>
            <w:tcW w:w="1440" w:type="dxa"/>
            <w:vAlign w:val="center"/>
          </w:tcPr>
          <w:p w14:paraId="0BBB040A" w14:textId="77777777" w:rsidR="00E360E5" w:rsidRDefault="00E360E5" w:rsidP="006D66DC">
            <w:pPr>
              <w:keepNext/>
              <w:keepLines/>
              <w:spacing w:before="40" w:line="240" w:lineRule="auto"/>
              <w:ind w:left="0"/>
              <w:jc w:val="center"/>
            </w:pPr>
            <w:r>
              <w:rPr>
                <w:rFonts w:ascii="Arial Narrow" w:hAnsi="Arial Narrow" w:cs="Calibri"/>
                <w:color w:val="000000"/>
                <w:sz w:val="20"/>
                <w:szCs w:val="20"/>
              </w:rPr>
              <w:t>724</w:t>
            </w:r>
          </w:p>
        </w:tc>
        <w:tc>
          <w:tcPr>
            <w:tcW w:w="1523" w:type="dxa"/>
            <w:vAlign w:val="center"/>
          </w:tcPr>
          <w:p w14:paraId="2096B8B8" w14:textId="77777777" w:rsidR="00E360E5" w:rsidRDefault="00E360E5" w:rsidP="006D66DC">
            <w:pPr>
              <w:keepNext/>
              <w:keepLines/>
              <w:spacing w:before="40" w:line="240" w:lineRule="auto"/>
              <w:ind w:left="0"/>
              <w:jc w:val="center"/>
            </w:pPr>
            <w:r>
              <w:rPr>
                <w:rFonts w:ascii="Arial Narrow" w:hAnsi="Arial Narrow" w:cs="Calibri"/>
                <w:color w:val="000000"/>
                <w:sz w:val="20"/>
                <w:szCs w:val="20"/>
              </w:rPr>
              <w:t>78,883</w:t>
            </w:r>
          </w:p>
        </w:tc>
      </w:tr>
      <w:tr w:rsidR="00E360E5" w14:paraId="5212D96A" w14:textId="77777777" w:rsidTr="00A21A7F">
        <w:tc>
          <w:tcPr>
            <w:tcW w:w="1413" w:type="dxa"/>
            <w:vAlign w:val="center"/>
          </w:tcPr>
          <w:p w14:paraId="1A04A22B" w14:textId="77777777" w:rsidR="00E360E5" w:rsidRPr="00413CC9" w:rsidRDefault="00E360E5" w:rsidP="006D66DC">
            <w:pPr>
              <w:keepNext/>
              <w:keepLines/>
              <w:spacing w:before="40" w:line="240" w:lineRule="auto"/>
              <w:ind w:left="0"/>
              <w:rPr>
                <w:rFonts w:ascii="Arial Narrow" w:hAnsi="Arial Narrow" w:cs="Calibri"/>
                <w:b/>
                <w:bCs/>
                <w:color w:val="000000"/>
                <w:sz w:val="20"/>
                <w:szCs w:val="20"/>
              </w:rPr>
            </w:pPr>
            <w:r w:rsidRPr="00413CC9">
              <w:rPr>
                <w:rFonts w:ascii="Arial Narrow" w:hAnsi="Arial Narrow"/>
                <w:b/>
                <w:bCs/>
                <w:sz w:val="20"/>
                <w:szCs w:val="20"/>
              </w:rPr>
              <w:t>Historical Annualised growth rate</w:t>
            </w:r>
          </w:p>
        </w:tc>
        <w:tc>
          <w:tcPr>
            <w:tcW w:w="1470" w:type="dxa"/>
            <w:vAlign w:val="center"/>
          </w:tcPr>
          <w:p w14:paraId="3ECDFECC" w14:textId="77777777" w:rsidR="00E360E5" w:rsidRPr="00413CC9" w:rsidRDefault="00E360E5" w:rsidP="006D66DC">
            <w:pPr>
              <w:keepNext/>
              <w:keepLines/>
              <w:spacing w:before="40" w:line="240" w:lineRule="auto"/>
              <w:ind w:left="0"/>
              <w:jc w:val="center"/>
              <w:rPr>
                <w:rFonts w:ascii="Arial Narrow" w:hAnsi="Arial Narrow" w:cs="Calibri"/>
                <w:b/>
                <w:bCs/>
                <w:color w:val="000000"/>
                <w:sz w:val="20"/>
                <w:szCs w:val="20"/>
              </w:rPr>
            </w:pPr>
            <w:r>
              <w:rPr>
                <w:rFonts w:ascii="Arial Narrow" w:hAnsi="Arial Narrow"/>
                <w:b/>
                <w:bCs/>
                <w:sz w:val="20"/>
                <w:szCs w:val="20"/>
              </w:rPr>
              <w:t>23.8</w:t>
            </w:r>
            <w:r w:rsidRPr="00413CC9">
              <w:rPr>
                <w:rFonts w:ascii="Arial Narrow" w:hAnsi="Arial Narrow"/>
                <w:b/>
                <w:bCs/>
                <w:sz w:val="20"/>
                <w:szCs w:val="20"/>
              </w:rPr>
              <w:t>%</w:t>
            </w:r>
          </w:p>
        </w:tc>
        <w:tc>
          <w:tcPr>
            <w:tcW w:w="1730" w:type="dxa"/>
            <w:vAlign w:val="center"/>
          </w:tcPr>
          <w:p w14:paraId="7FB4B445" w14:textId="77777777" w:rsidR="00E360E5" w:rsidRPr="00413CC9" w:rsidRDefault="00E360E5" w:rsidP="006D66DC">
            <w:pPr>
              <w:keepNext/>
              <w:keepLines/>
              <w:spacing w:before="40" w:line="240" w:lineRule="auto"/>
              <w:ind w:left="0"/>
              <w:jc w:val="center"/>
              <w:rPr>
                <w:rFonts w:ascii="Arial Narrow" w:hAnsi="Arial Narrow" w:cs="Calibri"/>
                <w:b/>
                <w:bCs/>
                <w:color w:val="000000"/>
                <w:sz w:val="20"/>
                <w:szCs w:val="20"/>
              </w:rPr>
            </w:pPr>
            <w:r w:rsidRPr="00413CC9">
              <w:rPr>
                <w:rFonts w:ascii="Arial Narrow" w:hAnsi="Arial Narrow"/>
                <w:b/>
                <w:bCs/>
                <w:sz w:val="20"/>
                <w:szCs w:val="20"/>
              </w:rPr>
              <w:t>-9.5%</w:t>
            </w:r>
          </w:p>
        </w:tc>
        <w:tc>
          <w:tcPr>
            <w:tcW w:w="1440" w:type="dxa"/>
            <w:vAlign w:val="center"/>
          </w:tcPr>
          <w:p w14:paraId="5274A4F0" w14:textId="77777777" w:rsidR="00E360E5" w:rsidRPr="00413CC9" w:rsidRDefault="00E360E5" w:rsidP="006D66DC">
            <w:pPr>
              <w:keepNext/>
              <w:keepLines/>
              <w:spacing w:before="40" w:line="240" w:lineRule="auto"/>
              <w:ind w:left="0"/>
              <w:jc w:val="center"/>
              <w:rPr>
                <w:rFonts w:ascii="Arial Narrow" w:hAnsi="Arial Narrow" w:cs="Calibri"/>
                <w:b/>
                <w:bCs/>
                <w:color w:val="000000"/>
                <w:sz w:val="20"/>
                <w:szCs w:val="20"/>
              </w:rPr>
            </w:pPr>
            <w:r w:rsidRPr="00413CC9">
              <w:rPr>
                <w:rFonts w:ascii="Arial Narrow" w:hAnsi="Arial Narrow"/>
                <w:b/>
                <w:bCs/>
                <w:sz w:val="20"/>
                <w:szCs w:val="20"/>
              </w:rPr>
              <w:t>-13.</w:t>
            </w:r>
            <w:r>
              <w:rPr>
                <w:rFonts w:ascii="Arial Narrow" w:hAnsi="Arial Narrow"/>
                <w:b/>
                <w:bCs/>
                <w:sz w:val="20"/>
                <w:szCs w:val="20"/>
              </w:rPr>
              <w:t>1</w:t>
            </w:r>
            <w:r w:rsidRPr="00413CC9">
              <w:rPr>
                <w:rFonts w:ascii="Arial Narrow" w:hAnsi="Arial Narrow"/>
                <w:b/>
                <w:bCs/>
                <w:sz w:val="20"/>
                <w:szCs w:val="20"/>
              </w:rPr>
              <w:t>%</w:t>
            </w:r>
          </w:p>
        </w:tc>
        <w:tc>
          <w:tcPr>
            <w:tcW w:w="1440" w:type="dxa"/>
            <w:vAlign w:val="center"/>
          </w:tcPr>
          <w:p w14:paraId="5FE87E5A" w14:textId="77777777" w:rsidR="00E360E5" w:rsidRPr="00413CC9" w:rsidRDefault="00E360E5" w:rsidP="006D66DC">
            <w:pPr>
              <w:keepNext/>
              <w:keepLines/>
              <w:spacing w:before="40" w:line="240" w:lineRule="auto"/>
              <w:ind w:left="0"/>
              <w:jc w:val="center"/>
              <w:rPr>
                <w:rFonts w:ascii="Arial Narrow" w:hAnsi="Arial Narrow" w:cs="Calibri"/>
                <w:b/>
                <w:bCs/>
                <w:color w:val="000000"/>
                <w:sz w:val="20"/>
                <w:szCs w:val="20"/>
              </w:rPr>
            </w:pPr>
            <w:r w:rsidRPr="00413CC9">
              <w:rPr>
                <w:rFonts w:ascii="Arial Narrow" w:hAnsi="Arial Narrow"/>
                <w:b/>
                <w:bCs/>
                <w:sz w:val="20"/>
                <w:szCs w:val="20"/>
              </w:rPr>
              <w:t>4.3%</w:t>
            </w:r>
          </w:p>
        </w:tc>
        <w:tc>
          <w:tcPr>
            <w:tcW w:w="1523" w:type="dxa"/>
            <w:vAlign w:val="center"/>
          </w:tcPr>
          <w:p w14:paraId="75442380" w14:textId="77777777" w:rsidR="00E360E5" w:rsidRPr="00413CC9" w:rsidRDefault="00E360E5" w:rsidP="006D66DC">
            <w:pPr>
              <w:keepNext/>
              <w:keepLines/>
              <w:spacing w:before="40" w:line="240" w:lineRule="auto"/>
              <w:ind w:left="0"/>
              <w:jc w:val="center"/>
              <w:rPr>
                <w:rFonts w:ascii="Arial Narrow" w:hAnsi="Arial Narrow" w:cs="Calibri"/>
                <w:b/>
                <w:bCs/>
                <w:color w:val="000000"/>
                <w:sz w:val="20"/>
                <w:szCs w:val="20"/>
              </w:rPr>
            </w:pPr>
            <w:r>
              <w:rPr>
                <w:rFonts w:ascii="Arial Narrow" w:hAnsi="Arial Narrow"/>
                <w:b/>
                <w:bCs/>
                <w:sz w:val="20"/>
                <w:szCs w:val="20"/>
              </w:rPr>
              <w:t>6.0%</w:t>
            </w:r>
          </w:p>
        </w:tc>
      </w:tr>
    </w:tbl>
    <w:p w14:paraId="7A73D500" w14:textId="341B04A9" w:rsidR="00E360E5" w:rsidRDefault="00E360E5" w:rsidP="00411D51">
      <w:pPr>
        <w:pStyle w:val="Tablenotes0"/>
        <w:jc w:val="left"/>
        <w:rPr>
          <w:color w:val="000000"/>
        </w:rPr>
      </w:pPr>
      <w:r>
        <w:t>Source: Department of Human Services, 2020</w:t>
      </w:r>
      <w:r w:rsidR="00411D51">
        <w:br/>
      </w:r>
      <w:r>
        <w:t>Abbreviations: 2DCRT=</w:t>
      </w:r>
      <w:r w:rsidRPr="00F81653">
        <w:t xml:space="preserve"> </w:t>
      </w:r>
      <w:r>
        <w:t>Two</w:t>
      </w:r>
      <w:r w:rsidRPr="00F81653">
        <w:t>-Dimensional Conformal Radiotherapy</w:t>
      </w:r>
      <w:r>
        <w:t>; 3DCRT=</w:t>
      </w:r>
      <w:r w:rsidRPr="00F81653">
        <w:rPr>
          <w:rFonts w:asciiTheme="minorHAnsi" w:hAnsiTheme="minorHAnsi"/>
          <w:color w:val="000000"/>
          <w:szCs w:val="24"/>
        </w:rPr>
        <w:t xml:space="preserve"> </w:t>
      </w:r>
      <w:r w:rsidRPr="00F81653">
        <w:rPr>
          <w:color w:val="000000"/>
        </w:rPr>
        <w:t>Three-Dimensional Conformal Radiotherapy</w:t>
      </w:r>
      <w:r>
        <w:rPr>
          <w:color w:val="000000"/>
        </w:rPr>
        <w:t>, EBRT=external beam radiation therapy, MBS=Medical Benefits Schedule</w:t>
      </w:r>
    </w:p>
    <w:p w14:paraId="70EF9A69" w14:textId="6B3F7B25" w:rsidR="00E360E5" w:rsidRDefault="00E360E5" w:rsidP="00411D51">
      <w:pPr>
        <w:jc w:val="both"/>
        <w:rPr>
          <w:rFonts w:asciiTheme="minorHAnsi" w:hAnsiTheme="minorHAnsi" w:cstheme="minorHAnsi"/>
        </w:rPr>
      </w:pPr>
      <w:r>
        <w:rPr>
          <w:rFonts w:asciiTheme="minorHAnsi" w:hAnsiTheme="minorHAnsi" w:cstheme="minorHAnsi"/>
        </w:rPr>
        <w:t>Since first listing in 2015, use of IMRT on the MBS has grown 23.8</w:t>
      </w:r>
      <w:r w:rsidR="001A3DF9">
        <w:rPr>
          <w:rFonts w:asciiTheme="minorHAnsi" w:hAnsiTheme="minorHAnsi" w:cstheme="minorHAnsi"/>
        </w:rPr>
        <w:t>%</w:t>
      </w:r>
      <w:r>
        <w:rPr>
          <w:rFonts w:asciiTheme="minorHAnsi" w:hAnsiTheme="minorHAnsi" w:cstheme="minorHAnsi"/>
        </w:rPr>
        <w:t xml:space="preserve"> per annum.  Conversely, use of 2DCRT (9.5</w:t>
      </w:r>
      <w:r w:rsidR="001A3DF9">
        <w:rPr>
          <w:rFonts w:asciiTheme="minorHAnsi" w:hAnsiTheme="minorHAnsi" w:cstheme="minorHAnsi"/>
        </w:rPr>
        <w:t>%</w:t>
      </w:r>
      <w:r>
        <w:rPr>
          <w:rFonts w:asciiTheme="minorHAnsi" w:hAnsiTheme="minorHAnsi" w:cstheme="minorHAnsi"/>
        </w:rPr>
        <w:t xml:space="preserve"> per annum) and 3DCRT  (13.1</w:t>
      </w:r>
      <w:r w:rsidR="001A3DF9">
        <w:rPr>
          <w:rFonts w:asciiTheme="minorHAnsi" w:hAnsiTheme="minorHAnsi" w:cstheme="minorHAnsi"/>
        </w:rPr>
        <w:t>%</w:t>
      </w:r>
      <w:r>
        <w:rPr>
          <w:rFonts w:asciiTheme="minorHAnsi" w:hAnsiTheme="minorHAnsi" w:cstheme="minorHAnsi"/>
        </w:rPr>
        <w:t xml:space="preserve"> per annum) items has decreased over the same time period.  Overall, the use of EBRT has increased approximately </w:t>
      </w:r>
      <w:r w:rsidR="00BE211D">
        <w:rPr>
          <w:rFonts w:asciiTheme="minorHAnsi" w:hAnsiTheme="minorHAnsi" w:cstheme="minorHAnsi"/>
        </w:rPr>
        <w:t>6%</w:t>
      </w:r>
      <w:r>
        <w:rPr>
          <w:rFonts w:asciiTheme="minorHAnsi" w:hAnsiTheme="minorHAnsi" w:cstheme="minorHAnsi"/>
        </w:rPr>
        <w:t xml:space="preserve"> per annum since 2010.  It is noted that in 2019, MBS EBRT utilisation, as reflected by dosimetry planning broadly concords with AIHW EBRT radiation therapy estimates.</w:t>
      </w:r>
    </w:p>
    <w:p w14:paraId="3303A73B" w14:textId="3AF3F66D" w:rsidR="00E360E5" w:rsidRDefault="00E360E5" w:rsidP="00E360E5">
      <w:pPr>
        <w:jc w:val="both"/>
        <w:rPr>
          <w:rFonts w:asciiTheme="minorHAnsi" w:hAnsiTheme="minorHAnsi" w:cstheme="minorHAnsi"/>
        </w:rPr>
      </w:pPr>
      <w:r>
        <w:rPr>
          <w:rFonts w:asciiTheme="minorHAnsi" w:hAnsiTheme="minorHAnsi" w:cstheme="minorHAnsi"/>
        </w:rPr>
        <w:t>Estimates of future MBS-listed IMRT utilisation in Australia based on historical utilisation are summarised in</w:t>
      </w:r>
      <w:r w:rsidR="008B6FC0">
        <w:rPr>
          <w:rFonts w:asciiTheme="minorHAnsi" w:hAnsiTheme="minorHAnsi" w:cstheme="minorHAnsi"/>
        </w:rPr>
        <w:t xml:space="preserve"> </w:t>
      </w:r>
      <w:r w:rsidR="008B6FC0">
        <w:rPr>
          <w:rFonts w:asciiTheme="minorHAnsi" w:hAnsiTheme="minorHAnsi" w:cstheme="minorHAnsi"/>
        </w:rPr>
        <w:fldChar w:fldCharType="begin"/>
      </w:r>
      <w:r w:rsidR="008B6FC0">
        <w:rPr>
          <w:rFonts w:asciiTheme="minorHAnsi" w:hAnsiTheme="minorHAnsi" w:cstheme="minorHAnsi"/>
        </w:rPr>
        <w:instrText xml:space="preserve"> REF _Ref59034500 \h </w:instrText>
      </w:r>
      <w:r w:rsidR="008B6FC0">
        <w:rPr>
          <w:rFonts w:asciiTheme="minorHAnsi" w:hAnsiTheme="minorHAnsi" w:cstheme="minorHAnsi"/>
        </w:rPr>
      </w:r>
      <w:r w:rsidR="008B6FC0">
        <w:rPr>
          <w:rFonts w:asciiTheme="minorHAnsi" w:hAnsiTheme="minorHAnsi" w:cstheme="minorHAnsi"/>
        </w:rPr>
        <w:fldChar w:fldCharType="separate"/>
      </w:r>
      <w:r w:rsidR="00451350">
        <w:t xml:space="preserve">Table </w:t>
      </w:r>
      <w:r w:rsidR="00451350">
        <w:rPr>
          <w:noProof/>
        </w:rPr>
        <w:t>64</w:t>
      </w:r>
      <w:r w:rsidR="008B6FC0">
        <w:rPr>
          <w:rFonts w:asciiTheme="minorHAnsi" w:hAnsiTheme="minorHAnsi" w:cstheme="minorHAnsi"/>
        </w:rPr>
        <w:fldChar w:fldCharType="end"/>
      </w:r>
      <w:r>
        <w:rPr>
          <w:rFonts w:asciiTheme="minorHAnsi" w:hAnsiTheme="minorHAnsi" w:cstheme="minorHAnsi"/>
        </w:rPr>
        <w:t>.  Key assumptions include:</w:t>
      </w:r>
    </w:p>
    <w:p w14:paraId="2E334A4B" w14:textId="7D642091" w:rsidR="00E360E5" w:rsidRPr="00744621" w:rsidRDefault="00E360E5" w:rsidP="00E360E5">
      <w:pPr>
        <w:pStyle w:val="ListParagraph"/>
        <w:numPr>
          <w:ilvl w:val="0"/>
          <w:numId w:val="31"/>
        </w:numPr>
        <w:jc w:val="both"/>
        <w:rPr>
          <w:rFonts w:ascii="Arial Narrow" w:hAnsi="Arial Narrow"/>
        </w:rPr>
      </w:pPr>
      <w:r>
        <w:rPr>
          <w:rFonts w:asciiTheme="minorHAnsi" w:hAnsiTheme="minorHAnsi" w:cstheme="minorHAnsi"/>
        </w:rPr>
        <w:t>Overall EBRT grows at approximately 6.0</w:t>
      </w:r>
      <w:r w:rsidR="00BE211D">
        <w:rPr>
          <w:rFonts w:asciiTheme="minorHAnsi" w:hAnsiTheme="minorHAnsi" w:cstheme="minorHAnsi"/>
        </w:rPr>
        <w:t>%</w:t>
      </w:r>
      <w:r>
        <w:rPr>
          <w:rFonts w:asciiTheme="minorHAnsi" w:hAnsiTheme="minorHAnsi" w:cstheme="minorHAnsi"/>
        </w:rPr>
        <w:t xml:space="preserve"> per annum</w:t>
      </w:r>
      <w:r w:rsidR="00217DFA">
        <w:rPr>
          <w:rFonts w:asciiTheme="minorHAnsi" w:hAnsiTheme="minorHAnsi" w:cstheme="minorHAnsi"/>
        </w:rPr>
        <w:t>; and</w:t>
      </w:r>
    </w:p>
    <w:p w14:paraId="00B5DA25" w14:textId="05424AB3" w:rsidR="00E360E5" w:rsidRPr="00744621" w:rsidRDefault="00E360E5" w:rsidP="00E360E5">
      <w:pPr>
        <w:pStyle w:val="ListParagraph"/>
        <w:numPr>
          <w:ilvl w:val="0"/>
          <w:numId w:val="31"/>
        </w:numPr>
        <w:jc w:val="both"/>
        <w:rPr>
          <w:rFonts w:ascii="Arial Narrow" w:hAnsi="Arial Narrow"/>
        </w:rPr>
      </w:pPr>
      <w:r>
        <w:rPr>
          <w:rFonts w:asciiTheme="minorHAnsi" w:hAnsiTheme="minorHAnsi" w:cstheme="minorHAnsi"/>
        </w:rPr>
        <w:t>IMRT maintains a steady-state of 70</w:t>
      </w:r>
      <w:r w:rsidR="00BE211D">
        <w:rPr>
          <w:rFonts w:asciiTheme="minorHAnsi" w:hAnsiTheme="minorHAnsi" w:cstheme="minorHAnsi"/>
        </w:rPr>
        <w:t>%</w:t>
      </w:r>
      <w:r>
        <w:rPr>
          <w:rFonts w:asciiTheme="minorHAnsi" w:hAnsiTheme="minorHAnsi" w:cstheme="minorHAnsi"/>
        </w:rPr>
        <w:t xml:space="preserve"> of all EBRT.</w:t>
      </w:r>
    </w:p>
    <w:p w14:paraId="20D99407" w14:textId="37C9520C" w:rsidR="00713363" w:rsidRDefault="00E360E5" w:rsidP="00F10E99">
      <w:pPr>
        <w:jc w:val="both"/>
        <w:rPr>
          <w:rFonts w:asciiTheme="minorHAnsi" w:hAnsiTheme="minorHAnsi" w:cstheme="minorHAnsi"/>
        </w:rPr>
      </w:pPr>
      <w:r>
        <w:rPr>
          <w:rFonts w:asciiTheme="minorHAnsi" w:hAnsiTheme="minorHAnsi" w:cstheme="minorHAnsi"/>
        </w:rPr>
        <w:t xml:space="preserve">It is estimated EBRT utilisation would increase to up to 112,000 treatment courses by 2025, with IMRT increasing to approximately 78,000 treatment courses.  It is acknowledged there </w:t>
      </w:r>
      <w:r w:rsidR="00713363">
        <w:rPr>
          <w:rFonts w:asciiTheme="minorHAnsi" w:hAnsiTheme="minorHAnsi" w:cstheme="minorHAnsi"/>
        </w:rPr>
        <w:t>is</w:t>
      </w:r>
      <w:r>
        <w:rPr>
          <w:rFonts w:asciiTheme="minorHAnsi" w:hAnsiTheme="minorHAnsi" w:cstheme="minorHAnsi"/>
        </w:rPr>
        <w:t xml:space="preserve"> uncertainty with these forecasts and the impact of these will be tested in sensitivity analysis in</w:t>
      </w:r>
      <w:r w:rsidR="006D66DC">
        <w:rPr>
          <w:rFonts w:asciiTheme="minorHAnsi" w:hAnsiTheme="minorHAnsi" w:cstheme="minorHAnsi"/>
        </w:rPr>
        <w:t xml:space="preserve"> </w:t>
      </w:r>
      <w:r w:rsidR="006D66DC">
        <w:rPr>
          <w:rFonts w:asciiTheme="minorHAnsi" w:hAnsiTheme="minorHAnsi" w:cstheme="minorHAnsi"/>
        </w:rPr>
        <w:fldChar w:fldCharType="begin"/>
      </w:r>
      <w:r w:rsidR="006D66DC">
        <w:rPr>
          <w:rFonts w:asciiTheme="minorHAnsi" w:hAnsiTheme="minorHAnsi" w:cstheme="minorHAnsi"/>
        </w:rPr>
        <w:instrText xml:space="preserve"> REF _Ref59034500 \h </w:instrText>
      </w:r>
      <w:r w:rsidR="006D66DC">
        <w:rPr>
          <w:rFonts w:asciiTheme="minorHAnsi" w:hAnsiTheme="minorHAnsi" w:cstheme="minorHAnsi"/>
        </w:rPr>
      </w:r>
      <w:r w:rsidR="006D66DC">
        <w:rPr>
          <w:rFonts w:asciiTheme="minorHAnsi" w:hAnsiTheme="minorHAnsi" w:cstheme="minorHAnsi"/>
        </w:rPr>
        <w:fldChar w:fldCharType="separate"/>
      </w:r>
      <w:r w:rsidR="00451350">
        <w:t xml:space="preserve">Table </w:t>
      </w:r>
      <w:r w:rsidR="00451350">
        <w:rPr>
          <w:noProof/>
        </w:rPr>
        <w:t>64</w:t>
      </w:r>
      <w:r w:rsidR="006D66DC">
        <w:rPr>
          <w:rFonts w:asciiTheme="minorHAnsi" w:hAnsiTheme="minorHAnsi" w:cstheme="minorHAnsi"/>
        </w:rPr>
        <w:fldChar w:fldCharType="end"/>
      </w:r>
      <w:bookmarkStart w:id="646" w:name="_Ref58775920"/>
      <w:r w:rsidR="006D66DC">
        <w:rPr>
          <w:rFonts w:asciiTheme="minorHAnsi" w:hAnsiTheme="minorHAnsi" w:cstheme="minorHAnsi"/>
        </w:rPr>
        <w:t>.</w:t>
      </w:r>
    </w:p>
    <w:p w14:paraId="466D5C2B" w14:textId="073C069F" w:rsidR="006D66DC" w:rsidRPr="006D66DC" w:rsidRDefault="006D66DC" w:rsidP="006D66DC">
      <w:pPr>
        <w:pStyle w:val="Caption"/>
        <w:ind w:left="1130" w:hanging="1130"/>
      </w:pPr>
      <w:bookmarkStart w:id="647" w:name="_Ref59034500"/>
      <w:bookmarkStart w:id="648" w:name="_Toc89857935"/>
      <w:bookmarkEnd w:id="646"/>
      <w:r>
        <w:t xml:space="preserve">Table </w:t>
      </w:r>
      <w:r w:rsidR="00211285">
        <w:fldChar w:fldCharType="begin"/>
      </w:r>
      <w:r w:rsidR="00211285">
        <w:instrText xml:space="preserve"> SEQ Table \* ARABIC </w:instrText>
      </w:r>
      <w:r w:rsidR="00211285">
        <w:fldChar w:fldCharType="separate"/>
      </w:r>
      <w:r w:rsidR="00451350">
        <w:rPr>
          <w:noProof/>
        </w:rPr>
        <w:t>64</w:t>
      </w:r>
      <w:r w:rsidR="00211285">
        <w:rPr>
          <w:noProof/>
        </w:rPr>
        <w:fldChar w:fldCharType="end"/>
      </w:r>
      <w:bookmarkEnd w:id="647"/>
      <w:r>
        <w:tab/>
      </w:r>
      <w:r w:rsidRPr="006D66DC">
        <w:t>Forecast utilisation of MBS-funded EBRT with reference to dosimetry planning item utilisation, 2021 to 2025</w:t>
      </w:r>
      <w:bookmarkEnd w:id="648"/>
    </w:p>
    <w:tbl>
      <w:tblPr>
        <w:tblStyle w:val="TableGrid"/>
        <w:tblW w:w="5000" w:type="pct"/>
        <w:tblLook w:val="04A0" w:firstRow="1" w:lastRow="0" w:firstColumn="1" w:lastColumn="0" w:noHBand="0" w:noVBand="1"/>
      </w:tblPr>
      <w:tblGrid>
        <w:gridCol w:w="4420"/>
        <w:gridCol w:w="4596"/>
      </w:tblGrid>
      <w:tr w:rsidR="003172DA" w14:paraId="733DBBEB" w14:textId="77777777" w:rsidTr="00A21A7F">
        <w:trPr>
          <w:tblHeader/>
        </w:trPr>
        <w:tc>
          <w:tcPr>
            <w:tcW w:w="2451" w:type="pct"/>
            <w:vAlign w:val="center"/>
          </w:tcPr>
          <w:p w14:paraId="5340BE81" w14:textId="77777777" w:rsidR="00713363" w:rsidRDefault="00713363" w:rsidP="009E682D">
            <w:pPr>
              <w:spacing w:before="40" w:line="240" w:lineRule="auto"/>
              <w:ind w:left="0"/>
              <w:rPr>
                <w:rFonts w:ascii="Arial Narrow" w:hAnsi="Arial Narrow" w:cs="Calibri"/>
                <w:b/>
                <w:bCs/>
                <w:color w:val="000000"/>
                <w:sz w:val="20"/>
                <w:szCs w:val="20"/>
              </w:rPr>
            </w:pPr>
          </w:p>
          <w:p w14:paraId="2E4EFE99" w14:textId="56108810" w:rsidR="003172DA" w:rsidRDefault="003172DA" w:rsidP="009E682D">
            <w:pPr>
              <w:spacing w:before="40" w:line="240" w:lineRule="auto"/>
              <w:ind w:left="0"/>
            </w:pPr>
            <w:r>
              <w:rPr>
                <w:rFonts w:ascii="Arial Narrow" w:hAnsi="Arial Narrow" w:cs="Calibri"/>
                <w:b/>
                <w:bCs/>
                <w:color w:val="000000"/>
                <w:sz w:val="20"/>
                <w:szCs w:val="20"/>
              </w:rPr>
              <w:t>Calendar Year</w:t>
            </w:r>
          </w:p>
        </w:tc>
        <w:tc>
          <w:tcPr>
            <w:tcW w:w="2549" w:type="pct"/>
            <w:vAlign w:val="center"/>
          </w:tcPr>
          <w:p w14:paraId="2789F9B7" w14:textId="77777777" w:rsidR="003172DA" w:rsidRDefault="003172DA" w:rsidP="009E682D">
            <w:pPr>
              <w:spacing w:before="40" w:line="240" w:lineRule="auto"/>
              <w:ind w:left="0"/>
              <w:jc w:val="center"/>
            </w:pPr>
            <w:r>
              <w:rPr>
                <w:rFonts w:ascii="Arial Narrow" w:hAnsi="Arial Narrow" w:cs="Calibri"/>
                <w:b/>
                <w:bCs/>
                <w:color w:val="000000"/>
                <w:sz w:val="20"/>
                <w:szCs w:val="20"/>
              </w:rPr>
              <w:t>Intensity Modulated Radiation Therapy (15565)</w:t>
            </w:r>
          </w:p>
        </w:tc>
      </w:tr>
      <w:tr w:rsidR="003172DA" w14:paraId="27B83591" w14:textId="77777777" w:rsidTr="00A21A7F">
        <w:tc>
          <w:tcPr>
            <w:tcW w:w="2451" w:type="pct"/>
            <w:vAlign w:val="center"/>
          </w:tcPr>
          <w:p w14:paraId="225F096E" w14:textId="77777777" w:rsidR="003172DA" w:rsidRDefault="003172DA" w:rsidP="009E682D">
            <w:pPr>
              <w:spacing w:before="40" w:line="240" w:lineRule="auto"/>
              <w:ind w:left="0"/>
            </w:pPr>
            <w:r>
              <w:rPr>
                <w:rFonts w:ascii="Arial Narrow" w:hAnsi="Arial Narrow" w:cs="Calibri"/>
                <w:color w:val="000000"/>
                <w:sz w:val="20"/>
                <w:szCs w:val="20"/>
              </w:rPr>
              <w:t>2021</w:t>
            </w:r>
          </w:p>
        </w:tc>
        <w:tc>
          <w:tcPr>
            <w:tcW w:w="2549" w:type="pct"/>
            <w:vAlign w:val="center"/>
          </w:tcPr>
          <w:p w14:paraId="32F97988" w14:textId="77777777" w:rsidR="003172DA" w:rsidRDefault="003172DA" w:rsidP="009E682D">
            <w:pPr>
              <w:spacing w:before="40" w:line="240" w:lineRule="auto"/>
              <w:ind w:left="0"/>
              <w:jc w:val="center"/>
            </w:pPr>
            <w:r>
              <w:rPr>
                <w:rFonts w:ascii="Arial Narrow" w:hAnsi="Arial Narrow" w:cs="Calibri"/>
                <w:color w:val="000000"/>
                <w:sz w:val="20"/>
                <w:szCs w:val="20"/>
              </w:rPr>
              <w:t>62,043</w:t>
            </w:r>
          </w:p>
        </w:tc>
      </w:tr>
      <w:tr w:rsidR="003172DA" w14:paraId="248EA33B" w14:textId="77777777" w:rsidTr="00A21A7F">
        <w:tc>
          <w:tcPr>
            <w:tcW w:w="2451" w:type="pct"/>
            <w:vAlign w:val="center"/>
          </w:tcPr>
          <w:p w14:paraId="60EBC960" w14:textId="77777777" w:rsidR="003172DA" w:rsidRDefault="003172DA" w:rsidP="009E682D">
            <w:pPr>
              <w:spacing w:before="40" w:line="240" w:lineRule="auto"/>
              <w:ind w:left="0"/>
            </w:pPr>
            <w:r>
              <w:rPr>
                <w:rFonts w:ascii="Arial Narrow" w:hAnsi="Arial Narrow" w:cs="Calibri"/>
                <w:color w:val="000000"/>
                <w:sz w:val="20"/>
                <w:szCs w:val="20"/>
              </w:rPr>
              <w:t>2022</w:t>
            </w:r>
          </w:p>
        </w:tc>
        <w:tc>
          <w:tcPr>
            <w:tcW w:w="2549" w:type="pct"/>
            <w:vAlign w:val="center"/>
          </w:tcPr>
          <w:p w14:paraId="50994F93" w14:textId="77777777" w:rsidR="003172DA" w:rsidRDefault="003172DA" w:rsidP="009E682D">
            <w:pPr>
              <w:spacing w:before="40" w:line="240" w:lineRule="auto"/>
              <w:ind w:left="0"/>
              <w:jc w:val="center"/>
            </w:pPr>
            <w:r>
              <w:rPr>
                <w:rFonts w:ascii="Arial Narrow" w:hAnsi="Arial Narrow" w:cs="Calibri"/>
                <w:color w:val="000000"/>
                <w:sz w:val="20"/>
                <w:szCs w:val="20"/>
              </w:rPr>
              <w:t>65,766</w:t>
            </w:r>
          </w:p>
        </w:tc>
      </w:tr>
      <w:tr w:rsidR="003172DA" w14:paraId="1B7F395E" w14:textId="77777777" w:rsidTr="00A21A7F">
        <w:tc>
          <w:tcPr>
            <w:tcW w:w="2451" w:type="pct"/>
            <w:vAlign w:val="center"/>
          </w:tcPr>
          <w:p w14:paraId="0F18C655" w14:textId="77777777" w:rsidR="003172DA" w:rsidRDefault="003172DA" w:rsidP="009E682D">
            <w:pPr>
              <w:spacing w:before="40" w:line="240" w:lineRule="auto"/>
              <w:ind w:left="0"/>
            </w:pPr>
            <w:r>
              <w:rPr>
                <w:rFonts w:ascii="Arial Narrow" w:hAnsi="Arial Narrow" w:cs="Calibri"/>
                <w:color w:val="000000"/>
                <w:sz w:val="20"/>
                <w:szCs w:val="20"/>
              </w:rPr>
              <w:t>2023</w:t>
            </w:r>
          </w:p>
        </w:tc>
        <w:tc>
          <w:tcPr>
            <w:tcW w:w="2549" w:type="pct"/>
            <w:vAlign w:val="center"/>
          </w:tcPr>
          <w:p w14:paraId="447D71B0" w14:textId="77777777" w:rsidR="003172DA" w:rsidRDefault="003172DA" w:rsidP="009E682D">
            <w:pPr>
              <w:spacing w:before="40" w:line="240" w:lineRule="auto"/>
              <w:ind w:left="0"/>
              <w:jc w:val="center"/>
            </w:pPr>
            <w:r>
              <w:rPr>
                <w:rFonts w:ascii="Arial Narrow" w:hAnsi="Arial Narrow" w:cs="Calibri"/>
                <w:color w:val="000000"/>
                <w:sz w:val="20"/>
                <w:szCs w:val="20"/>
              </w:rPr>
              <w:t>69,712</w:t>
            </w:r>
          </w:p>
        </w:tc>
      </w:tr>
      <w:tr w:rsidR="003172DA" w14:paraId="2A9E0158" w14:textId="77777777" w:rsidTr="00A21A7F">
        <w:tc>
          <w:tcPr>
            <w:tcW w:w="2451" w:type="pct"/>
            <w:vAlign w:val="center"/>
          </w:tcPr>
          <w:p w14:paraId="7AC8891C" w14:textId="77777777" w:rsidR="003172DA" w:rsidRDefault="003172DA" w:rsidP="009E682D">
            <w:pPr>
              <w:spacing w:before="40" w:line="240" w:lineRule="auto"/>
              <w:ind w:left="0"/>
            </w:pPr>
            <w:r>
              <w:rPr>
                <w:rFonts w:ascii="Arial Narrow" w:hAnsi="Arial Narrow" w:cs="Calibri"/>
                <w:color w:val="000000"/>
                <w:sz w:val="20"/>
                <w:szCs w:val="20"/>
              </w:rPr>
              <w:t>2024</w:t>
            </w:r>
          </w:p>
        </w:tc>
        <w:tc>
          <w:tcPr>
            <w:tcW w:w="2549" w:type="pct"/>
            <w:vAlign w:val="center"/>
          </w:tcPr>
          <w:p w14:paraId="7A40FFB0" w14:textId="77777777" w:rsidR="003172DA" w:rsidRDefault="003172DA" w:rsidP="009E682D">
            <w:pPr>
              <w:spacing w:before="40" w:line="240" w:lineRule="auto"/>
              <w:ind w:left="0"/>
              <w:jc w:val="center"/>
            </w:pPr>
            <w:r>
              <w:rPr>
                <w:rFonts w:ascii="Arial Narrow" w:hAnsi="Arial Narrow" w:cs="Calibri"/>
                <w:color w:val="000000"/>
                <w:sz w:val="20"/>
                <w:szCs w:val="20"/>
              </w:rPr>
              <w:t>73,894</w:t>
            </w:r>
          </w:p>
        </w:tc>
      </w:tr>
      <w:tr w:rsidR="003172DA" w14:paraId="03825055" w14:textId="77777777" w:rsidTr="00A21A7F">
        <w:tc>
          <w:tcPr>
            <w:tcW w:w="2451" w:type="pct"/>
            <w:vAlign w:val="center"/>
          </w:tcPr>
          <w:p w14:paraId="0AA650EF" w14:textId="77777777" w:rsidR="003172DA" w:rsidRDefault="003172DA" w:rsidP="009E682D">
            <w:pPr>
              <w:spacing w:before="40" w:line="240" w:lineRule="auto"/>
              <w:ind w:left="0"/>
            </w:pPr>
            <w:r>
              <w:rPr>
                <w:rFonts w:ascii="Arial Narrow" w:hAnsi="Arial Narrow" w:cs="Calibri"/>
                <w:color w:val="000000"/>
                <w:sz w:val="20"/>
                <w:szCs w:val="20"/>
              </w:rPr>
              <w:t>2025</w:t>
            </w:r>
          </w:p>
        </w:tc>
        <w:tc>
          <w:tcPr>
            <w:tcW w:w="2549" w:type="pct"/>
            <w:vAlign w:val="center"/>
          </w:tcPr>
          <w:p w14:paraId="297B8AA3" w14:textId="77777777" w:rsidR="003172DA" w:rsidRDefault="003172DA" w:rsidP="009E682D">
            <w:pPr>
              <w:spacing w:before="40" w:line="240" w:lineRule="auto"/>
              <w:ind w:left="0"/>
              <w:jc w:val="center"/>
            </w:pPr>
            <w:r>
              <w:rPr>
                <w:rFonts w:ascii="Arial Narrow" w:hAnsi="Arial Narrow" w:cs="Calibri"/>
                <w:color w:val="000000"/>
                <w:sz w:val="20"/>
                <w:szCs w:val="20"/>
              </w:rPr>
              <w:t>78,328</w:t>
            </w:r>
          </w:p>
        </w:tc>
      </w:tr>
    </w:tbl>
    <w:p w14:paraId="0773EDD0" w14:textId="421523EC" w:rsidR="00C71F0C" w:rsidRDefault="00C71F0C" w:rsidP="00411D51">
      <w:pPr>
        <w:pStyle w:val="Tablenotes0"/>
        <w:jc w:val="left"/>
      </w:pPr>
      <w:r>
        <w:t>Abbreviations: 2DCRT=</w:t>
      </w:r>
      <w:r w:rsidRPr="00F81653">
        <w:t xml:space="preserve"> </w:t>
      </w:r>
      <w:r>
        <w:t>Two</w:t>
      </w:r>
      <w:r w:rsidRPr="00F81653">
        <w:t>-Dimensional Conformal Radiotherapy</w:t>
      </w:r>
      <w:r>
        <w:t>; 3DCRT=</w:t>
      </w:r>
      <w:r w:rsidRPr="00F81653">
        <w:rPr>
          <w:rFonts w:asciiTheme="minorHAnsi" w:hAnsiTheme="minorHAnsi"/>
          <w:szCs w:val="24"/>
        </w:rPr>
        <w:t xml:space="preserve"> </w:t>
      </w:r>
      <w:r w:rsidRPr="00F81653">
        <w:t>Three-Dimensional Conformal Radiotherapy</w:t>
      </w:r>
      <w:r>
        <w:t>, EBRT=external beam radiation therapy, MBS=Medical Benefits Schedule</w:t>
      </w:r>
      <w:r w:rsidR="006D66DC">
        <w:br/>
      </w:r>
      <w:r>
        <w:t>Note: These are indicative estimates only based on historical utilisation to date.</w:t>
      </w:r>
    </w:p>
    <w:p w14:paraId="11F2A4F2" w14:textId="77777777" w:rsidR="00E360E5" w:rsidRDefault="00E360E5" w:rsidP="00E360E5">
      <w:pPr>
        <w:pStyle w:val="Heading4"/>
        <w:keepLines/>
        <w:spacing w:after="240"/>
      </w:pPr>
      <w:r>
        <w:t>Present MR-linac utilisation in Australia</w:t>
      </w:r>
    </w:p>
    <w:p w14:paraId="24AE9416" w14:textId="66566DD7" w:rsidR="00E360E5" w:rsidRDefault="00E360E5" w:rsidP="00E360E5">
      <w:pPr>
        <w:jc w:val="both"/>
      </w:pPr>
      <w:r>
        <w:t xml:space="preserve">The Applicant presented data estimating MR-IGRT utilisation by cancer indication to date in Australia at its two treatment centres in Townsville and Sydney.  </w:t>
      </w:r>
      <w:r>
        <w:fldChar w:fldCharType="begin"/>
      </w:r>
      <w:r>
        <w:instrText xml:space="preserve"> REF _Ref58786771 \h </w:instrText>
      </w:r>
      <w:r>
        <w:fldChar w:fldCharType="separate"/>
      </w:r>
      <w:r w:rsidR="00451350">
        <w:t xml:space="preserve">Table </w:t>
      </w:r>
      <w:r w:rsidR="00451350">
        <w:rPr>
          <w:noProof/>
        </w:rPr>
        <w:t>65</w:t>
      </w:r>
      <w:r>
        <w:fldChar w:fldCharType="end"/>
      </w:r>
      <w:r>
        <w:t xml:space="preserve"> summarises the proportions of </w:t>
      </w:r>
      <w:r>
        <w:lastRenderedPageBreak/>
        <w:t>patients by indication.  Predominantly, utilisation has been for prostate, rectum and oligometastatic indications.  The Applicant did not disclose the total volume of treatments undertaken, nor whether it anticipated the respective weighting of patients would likely be similar should MR-linac capacity expand upon approval for use of the MBS items.</w:t>
      </w:r>
    </w:p>
    <w:p w14:paraId="5873D500" w14:textId="283D6F87" w:rsidR="00E360E5" w:rsidRDefault="00E360E5" w:rsidP="00AF799A">
      <w:pPr>
        <w:pStyle w:val="Caption"/>
        <w:ind w:left="1130" w:hanging="1130"/>
      </w:pPr>
      <w:bookmarkStart w:id="649" w:name="_Ref58786771"/>
      <w:bookmarkStart w:id="650" w:name="_Toc89857936"/>
      <w:r>
        <w:t xml:space="preserve">Table </w:t>
      </w:r>
      <w:r w:rsidR="00211285">
        <w:fldChar w:fldCharType="begin"/>
      </w:r>
      <w:r w:rsidR="00211285">
        <w:instrText xml:space="preserve"> SEQ Table \* ARABIC </w:instrText>
      </w:r>
      <w:r w:rsidR="00211285">
        <w:fldChar w:fldCharType="separate"/>
      </w:r>
      <w:r w:rsidR="00451350">
        <w:rPr>
          <w:noProof/>
        </w:rPr>
        <w:t>65</w:t>
      </w:r>
      <w:r w:rsidR="00211285">
        <w:rPr>
          <w:noProof/>
        </w:rPr>
        <w:fldChar w:fldCharType="end"/>
      </w:r>
      <w:bookmarkEnd w:id="649"/>
      <w:r>
        <w:tab/>
        <w:t>Applicant-provided current utilisation breakdown of MR-linac patient indications to date</w:t>
      </w:r>
      <w:bookmarkEnd w:id="650"/>
    </w:p>
    <w:tbl>
      <w:tblPr>
        <w:tblStyle w:val="TableGrid"/>
        <w:tblW w:w="5000" w:type="pct"/>
        <w:tblLook w:val="04A0" w:firstRow="1" w:lastRow="0" w:firstColumn="1" w:lastColumn="0" w:noHBand="0" w:noVBand="1"/>
      </w:tblPr>
      <w:tblGrid>
        <w:gridCol w:w="4506"/>
        <w:gridCol w:w="4510"/>
      </w:tblGrid>
      <w:tr w:rsidR="00E360E5" w:rsidRPr="00382CF9" w14:paraId="40CF1C77" w14:textId="77777777" w:rsidTr="00A21A7F">
        <w:trPr>
          <w:trHeight w:val="416"/>
        </w:trPr>
        <w:tc>
          <w:tcPr>
            <w:tcW w:w="2499" w:type="pct"/>
            <w:vAlign w:val="center"/>
          </w:tcPr>
          <w:p w14:paraId="6EBF4600" w14:textId="77777777" w:rsidR="00E360E5" w:rsidRPr="00382CF9" w:rsidRDefault="00E360E5" w:rsidP="009E682D">
            <w:pPr>
              <w:spacing w:before="40" w:line="240" w:lineRule="auto"/>
              <w:ind w:left="0"/>
              <w:rPr>
                <w:rFonts w:ascii="Arial Narrow" w:hAnsi="Arial Narrow"/>
                <w:b/>
                <w:sz w:val="20"/>
                <w:szCs w:val="20"/>
              </w:rPr>
            </w:pPr>
            <w:r w:rsidRPr="00382CF9">
              <w:rPr>
                <w:rFonts w:ascii="Arial Narrow" w:hAnsi="Arial Narrow"/>
                <w:b/>
                <w:sz w:val="20"/>
                <w:szCs w:val="20"/>
              </w:rPr>
              <w:t>Indications</w:t>
            </w:r>
          </w:p>
        </w:tc>
        <w:tc>
          <w:tcPr>
            <w:tcW w:w="2501" w:type="pct"/>
            <w:vAlign w:val="center"/>
          </w:tcPr>
          <w:p w14:paraId="3AED6882" w14:textId="77777777" w:rsidR="00E360E5" w:rsidRPr="00382CF9" w:rsidRDefault="00E360E5" w:rsidP="009E682D">
            <w:pPr>
              <w:spacing w:before="40" w:line="240" w:lineRule="auto"/>
              <w:ind w:left="0"/>
              <w:jc w:val="center"/>
              <w:rPr>
                <w:rFonts w:ascii="Arial Narrow" w:hAnsi="Arial Narrow"/>
                <w:b/>
                <w:sz w:val="20"/>
                <w:szCs w:val="20"/>
              </w:rPr>
            </w:pPr>
            <w:r w:rsidRPr="00382CF9">
              <w:rPr>
                <w:rFonts w:ascii="Arial Narrow" w:hAnsi="Arial Narrow"/>
                <w:b/>
                <w:sz w:val="20"/>
                <w:szCs w:val="20"/>
              </w:rPr>
              <w:t>Utilisation of MR-linac</w:t>
            </w:r>
          </w:p>
        </w:tc>
      </w:tr>
      <w:tr w:rsidR="00E360E5" w:rsidRPr="00382CF9" w14:paraId="0F8E9350" w14:textId="77777777" w:rsidTr="00A21A7F">
        <w:trPr>
          <w:trHeight w:val="300"/>
        </w:trPr>
        <w:tc>
          <w:tcPr>
            <w:tcW w:w="2499" w:type="pct"/>
            <w:vAlign w:val="center"/>
          </w:tcPr>
          <w:p w14:paraId="6483E7E1"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Prostate</w:t>
            </w:r>
          </w:p>
        </w:tc>
        <w:tc>
          <w:tcPr>
            <w:tcW w:w="2501" w:type="pct"/>
            <w:vAlign w:val="center"/>
          </w:tcPr>
          <w:p w14:paraId="33639D19"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29%</w:t>
            </w:r>
          </w:p>
        </w:tc>
      </w:tr>
      <w:tr w:rsidR="00E360E5" w:rsidRPr="00382CF9" w14:paraId="14D9ADD3" w14:textId="77777777" w:rsidTr="00A21A7F">
        <w:tc>
          <w:tcPr>
            <w:tcW w:w="2499" w:type="pct"/>
            <w:vAlign w:val="center"/>
          </w:tcPr>
          <w:p w14:paraId="6BB6259F"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Oligometastatic</w:t>
            </w:r>
          </w:p>
        </w:tc>
        <w:tc>
          <w:tcPr>
            <w:tcW w:w="2501" w:type="pct"/>
            <w:vAlign w:val="center"/>
          </w:tcPr>
          <w:p w14:paraId="45CE427E"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22%</w:t>
            </w:r>
          </w:p>
        </w:tc>
      </w:tr>
      <w:tr w:rsidR="00E360E5" w:rsidRPr="00382CF9" w14:paraId="09B6DAA8" w14:textId="77777777" w:rsidTr="00A21A7F">
        <w:tc>
          <w:tcPr>
            <w:tcW w:w="2499" w:type="pct"/>
            <w:vAlign w:val="center"/>
          </w:tcPr>
          <w:p w14:paraId="7DEE2727"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Rectum</w:t>
            </w:r>
          </w:p>
        </w:tc>
        <w:tc>
          <w:tcPr>
            <w:tcW w:w="2501" w:type="pct"/>
            <w:vAlign w:val="center"/>
          </w:tcPr>
          <w:p w14:paraId="34610984"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17%</w:t>
            </w:r>
          </w:p>
        </w:tc>
      </w:tr>
      <w:tr w:rsidR="00E360E5" w:rsidRPr="00382CF9" w14:paraId="121494B8" w14:textId="77777777" w:rsidTr="00A21A7F">
        <w:tc>
          <w:tcPr>
            <w:tcW w:w="2499" w:type="pct"/>
            <w:vAlign w:val="center"/>
          </w:tcPr>
          <w:p w14:paraId="46EF205E"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Liver</w:t>
            </w:r>
          </w:p>
        </w:tc>
        <w:tc>
          <w:tcPr>
            <w:tcW w:w="2501" w:type="pct"/>
            <w:vAlign w:val="center"/>
          </w:tcPr>
          <w:p w14:paraId="5EB99EF9"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8%</w:t>
            </w:r>
          </w:p>
        </w:tc>
      </w:tr>
      <w:tr w:rsidR="00E360E5" w:rsidRPr="00382CF9" w14:paraId="0289E90D" w14:textId="77777777" w:rsidTr="00A21A7F">
        <w:tc>
          <w:tcPr>
            <w:tcW w:w="2499" w:type="pct"/>
            <w:vAlign w:val="center"/>
          </w:tcPr>
          <w:p w14:paraId="3A9A1DA7"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Breast</w:t>
            </w:r>
          </w:p>
        </w:tc>
        <w:tc>
          <w:tcPr>
            <w:tcW w:w="2501" w:type="pct"/>
            <w:vAlign w:val="center"/>
          </w:tcPr>
          <w:p w14:paraId="45705C18"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6%</w:t>
            </w:r>
          </w:p>
        </w:tc>
      </w:tr>
      <w:tr w:rsidR="00E360E5" w:rsidRPr="00382CF9" w14:paraId="0A573FC9" w14:textId="77777777" w:rsidTr="00A21A7F">
        <w:tc>
          <w:tcPr>
            <w:tcW w:w="2499" w:type="pct"/>
            <w:vAlign w:val="center"/>
          </w:tcPr>
          <w:p w14:paraId="7FBE5383"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Bone</w:t>
            </w:r>
          </w:p>
        </w:tc>
        <w:tc>
          <w:tcPr>
            <w:tcW w:w="2501" w:type="pct"/>
            <w:vAlign w:val="center"/>
          </w:tcPr>
          <w:p w14:paraId="4396C6D9"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6%</w:t>
            </w:r>
          </w:p>
        </w:tc>
      </w:tr>
      <w:tr w:rsidR="00E360E5" w:rsidRPr="00382CF9" w14:paraId="48463815" w14:textId="77777777" w:rsidTr="00A21A7F">
        <w:tc>
          <w:tcPr>
            <w:tcW w:w="2499" w:type="pct"/>
            <w:vAlign w:val="center"/>
          </w:tcPr>
          <w:p w14:paraId="5036CA66"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Pancreas</w:t>
            </w:r>
          </w:p>
        </w:tc>
        <w:tc>
          <w:tcPr>
            <w:tcW w:w="2501" w:type="pct"/>
            <w:vAlign w:val="center"/>
          </w:tcPr>
          <w:p w14:paraId="60FF96BA"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3%</w:t>
            </w:r>
          </w:p>
        </w:tc>
      </w:tr>
      <w:tr w:rsidR="00E360E5" w:rsidRPr="00382CF9" w14:paraId="50102A7A" w14:textId="77777777" w:rsidTr="00A21A7F">
        <w:tc>
          <w:tcPr>
            <w:tcW w:w="2499" w:type="pct"/>
            <w:vAlign w:val="center"/>
          </w:tcPr>
          <w:p w14:paraId="48E267A7"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Head &amp; neck</w:t>
            </w:r>
          </w:p>
        </w:tc>
        <w:tc>
          <w:tcPr>
            <w:tcW w:w="2501" w:type="pct"/>
            <w:vAlign w:val="center"/>
          </w:tcPr>
          <w:p w14:paraId="30AF4C55"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2%</w:t>
            </w:r>
          </w:p>
        </w:tc>
      </w:tr>
      <w:tr w:rsidR="00E360E5" w:rsidRPr="00382CF9" w14:paraId="10FB82E5" w14:textId="77777777" w:rsidTr="00A21A7F">
        <w:tc>
          <w:tcPr>
            <w:tcW w:w="2499" w:type="pct"/>
            <w:vAlign w:val="center"/>
          </w:tcPr>
          <w:p w14:paraId="173A5CBF"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Larynx</w:t>
            </w:r>
          </w:p>
        </w:tc>
        <w:tc>
          <w:tcPr>
            <w:tcW w:w="2501" w:type="pct"/>
            <w:vAlign w:val="center"/>
          </w:tcPr>
          <w:p w14:paraId="3504B75F"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2%</w:t>
            </w:r>
          </w:p>
        </w:tc>
      </w:tr>
      <w:tr w:rsidR="00E360E5" w:rsidRPr="00382CF9" w14:paraId="3D4AEB39" w14:textId="77777777" w:rsidTr="00A21A7F">
        <w:tc>
          <w:tcPr>
            <w:tcW w:w="2499" w:type="pct"/>
            <w:vAlign w:val="center"/>
          </w:tcPr>
          <w:p w14:paraId="1BD93454"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Brain/GBM</w:t>
            </w:r>
          </w:p>
        </w:tc>
        <w:tc>
          <w:tcPr>
            <w:tcW w:w="2501" w:type="pct"/>
            <w:vAlign w:val="center"/>
          </w:tcPr>
          <w:p w14:paraId="76B949A3"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1%</w:t>
            </w:r>
          </w:p>
        </w:tc>
      </w:tr>
      <w:tr w:rsidR="00E360E5" w:rsidRPr="00382CF9" w14:paraId="19E0E644" w14:textId="77777777" w:rsidTr="00A21A7F">
        <w:tc>
          <w:tcPr>
            <w:tcW w:w="2499" w:type="pct"/>
            <w:vAlign w:val="center"/>
          </w:tcPr>
          <w:p w14:paraId="7E2ED108"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Oesophagus</w:t>
            </w:r>
          </w:p>
        </w:tc>
        <w:tc>
          <w:tcPr>
            <w:tcW w:w="2501" w:type="pct"/>
            <w:vAlign w:val="center"/>
          </w:tcPr>
          <w:p w14:paraId="65160C40"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1%</w:t>
            </w:r>
          </w:p>
        </w:tc>
      </w:tr>
      <w:tr w:rsidR="00E360E5" w:rsidRPr="00382CF9" w14:paraId="69E9792D" w14:textId="77777777" w:rsidTr="00A21A7F">
        <w:tc>
          <w:tcPr>
            <w:tcW w:w="2499" w:type="pct"/>
            <w:vAlign w:val="center"/>
          </w:tcPr>
          <w:p w14:paraId="63EE9192"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Nodal boosts</w:t>
            </w:r>
          </w:p>
        </w:tc>
        <w:tc>
          <w:tcPr>
            <w:tcW w:w="2501" w:type="pct"/>
            <w:vAlign w:val="center"/>
          </w:tcPr>
          <w:p w14:paraId="52538A32"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1%</w:t>
            </w:r>
          </w:p>
        </w:tc>
      </w:tr>
      <w:tr w:rsidR="00E360E5" w:rsidRPr="00382CF9" w14:paraId="4598F364" w14:textId="77777777" w:rsidTr="00A21A7F">
        <w:tc>
          <w:tcPr>
            <w:tcW w:w="2499" w:type="pct"/>
            <w:vAlign w:val="center"/>
          </w:tcPr>
          <w:p w14:paraId="3CDAAB75" w14:textId="77777777" w:rsidR="00E360E5" w:rsidRPr="00382CF9" w:rsidRDefault="00E360E5" w:rsidP="009E682D">
            <w:pPr>
              <w:spacing w:before="40" w:line="240" w:lineRule="auto"/>
              <w:ind w:left="0"/>
              <w:rPr>
                <w:rFonts w:ascii="Arial Narrow" w:hAnsi="Arial Narrow"/>
                <w:sz w:val="20"/>
                <w:szCs w:val="20"/>
              </w:rPr>
            </w:pPr>
            <w:r>
              <w:rPr>
                <w:rFonts w:ascii="Arial Narrow" w:hAnsi="Arial Narrow" w:cs="Calibri"/>
                <w:color w:val="000000"/>
                <w:sz w:val="20"/>
                <w:szCs w:val="20"/>
              </w:rPr>
              <w:t>Lung</w:t>
            </w:r>
          </w:p>
        </w:tc>
        <w:tc>
          <w:tcPr>
            <w:tcW w:w="2501" w:type="pct"/>
            <w:vAlign w:val="center"/>
          </w:tcPr>
          <w:p w14:paraId="2BF087DD" w14:textId="77777777" w:rsidR="00E360E5" w:rsidRPr="00382CF9"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1%</w:t>
            </w:r>
          </w:p>
        </w:tc>
      </w:tr>
    </w:tbl>
    <w:p w14:paraId="7163C3F5" w14:textId="7CB3DA7F" w:rsidR="00E360E5" w:rsidRDefault="00E360E5" w:rsidP="00411D51">
      <w:pPr>
        <w:pStyle w:val="Tablenotes0"/>
      </w:pPr>
      <w:r>
        <w:t xml:space="preserve">Source: Department of Health, 2020.  Ratified PICO 1620: </w:t>
      </w:r>
      <w:r w:rsidRPr="00954D5B">
        <w:t>Magnetic Resonance Image-Guided Radiation Therapy</w:t>
      </w:r>
      <w:r w:rsidR="00411D51">
        <w:br/>
      </w:r>
      <w:r>
        <w:t>Abbreviations: MR=magnetic resonance</w:t>
      </w:r>
    </w:p>
    <w:p w14:paraId="0691107D" w14:textId="77777777" w:rsidR="00E360E5" w:rsidRDefault="00E360E5" w:rsidP="00E360E5">
      <w:pPr>
        <w:pStyle w:val="Heading4"/>
      </w:pPr>
      <w:r>
        <w:t>Contraindications to MR-IGRT</w:t>
      </w:r>
    </w:p>
    <w:p w14:paraId="06323706" w14:textId="77777777" w:rsidR="00E360E5" w:rsidRDefault="00E360E5" w:rsidP="00E360E5">
      <w:pPr>
        <w:jc w:val="both"/>
      </w:pPr>
      <w:r>
        <w:t>The Applicant stated many clinical tumour sites would be appropriate for use with MR-IGRT, excluding patients with contraindications for MRI, and obese patients unable to fit into the device (Ratified PICO 1620, p.6).  The Applicant did not indicate the likely proportion of potential patient populations that may be ineligible.</w:t>
      </w:r>
    </w:p>
    <w:p w14:paraId="4F7589B7" w14:textId="77777777" w:rsidR="00E360E5" w:rsidRDefault="00E360E5" w:rsidP="00E360E5">
      <w:pPr>
        <w:jc w:val="both"/>
      </w:pPr>
      <w:r>
        <w:t>The Royal Australian College of General Practitioners (RACGP) outlines MRI contraindications as those with prostheses and implants (</w:t>
      </w:r>
      <w:r w:rsidRPr="00954D5B">
        <w:t>e.g., pacemakers, internal hearing devices, neurostimulators, orthopaedic and dental implants, programmable shunts, vascular clips</w:t>
      </w:r>
      <w:r>
        <w:t>), metallic foreign bodies or conductors (e.g., wires, metallic surgical staples) (RACGP, 2013).  The MR-linac technologies currently available (Ratified PICO 1620, p.5) have a width of 70 cm: it is not clear what proportion of patients this may preclude from treatment.</w:t>
      </w:r>
    </w:p>
    <w:p w14:paraId="6B311595" w14:textId="77777777" w:rsidR="00E360E5" w:rsidRDefault="00E360E5" w:rsidP="00E360E5">
      <w:pPr>
        <w:pStyle w:val="Heading4"/>
      </w:pPr>
      <w:r>
        <w:t>Patient Eligibility</w:t>
      </w:r>
    </w:p>
    <w:p w14:paraId="5515E8BE" w14:textId="77777777" w:rsidR="00E360E5" w:rsidRDefault="00E360E5" w:rsidP="00E360E5">
      <w:pPr>
        <w:jc w:val="both"/>
      </w:pPr>
      <w:r>
        <w:t>Advice from both the Applicant and Australian clinicians indicates m</w:t>
      </w:r>
      <w:r w:rsidRPr="00D315CD">
        <w:t xml:space="preserve">ultidisciplinary </w:t>
      </w:r>
      <w:r>
        <w:t>t</w:t>
      </w:r>
      <w:r w:rsidRPr="00D315CD">
        <w:t xml:space="preserve">eam meetings covering </w:t>
      </w:r>
      <w:r>
        <w:t xml:space="preserve">patient </w:t>
      </w:r>
      <w:r w:rsidRPr="00D315CD">
        <w:t xml:space="preserve">cases are expected to be a channel for identification and referral of </w:t>
      </w:r>
      <w:r>
        <w:t>patients for MR-IGRT.</w:t>
      </w:r>
    </w:p>
    <w:p w14:paraId="448EA55A" w14:textId="77777777" w:rsidR="00E360E5" w:rsidRDefault="00E360E5" w:rsidP="00E360E5">
      <w:pPr>
        <w:jc w:val="both"/>
      </w:pPr>
      <w:r>
        <w:lastRenderedPageBreak/>
        <w:t>Aside from indicating which cancers MR-IGRT is likely to initially treat, the Applicant has not specified any characteristics of patients who are proposed to be eligible for the proposed medical service or how patients would be investigated, managed, and referred within the Australian health care system in the lead up to being considered eligible for the service.</w:t>
      </w:r>
    </w:p>
    <w:p w14:paraId="2F6A4FDA" w14:textId="77777777" w:rsidR="00E360E5" w:rsidRPr="00183E4D" w:rsidRDefault="00E360E5" w:rsidP="00E360E5">
      <w:pPr>
        <w:jc w:val="both"/>
      </w:pPr>
      <w:r>
        <w:t>The Applicant’s premise is the current clinical management algorithm would remain largely unchanged, as MR-IGRT is a form of IGRT (Ratified PICO, p.9). MR-IGRT would introduce a new clinical choice for tumour sites that may benefit from reduced target volume margins and hypofractionated courses. The only change compared to standard IGRT is that imaging and treatment adaptation for dose delivery optimisation is ongoing during the radiotherapy session.</w:t>
      </w:r>
    </w:p>
    <w:p w14:paraId="1C863617" w14:textId="77777777" w:rsidR="00E360E5" w:rsidRDefault="00E360E5" w:rsidP="00E360E5">
      <w:pPr>
        <w:pStyle w:val="Heading3"/>
      </w:pPr>
      <w:bookmarkStart w:id="651" w:name="_Toc59018813"/>
      <w:bookmarkStart w:id="652" w:name="_Toc59020357"/>
      <w:bookmarkStart w:id="653" w:name="_Toc59439579"/>
      <w:bookmarkStart w:id="654" w:name="_Toc89857851"/>
      <w:r>
        <w:t>Capacity</w:t>
      </w:r>
      <w:bookmarkEnd w:id="651"/>
      <w:bookmarkEnd w:id="652"/>
      <w:bookmarkEnd w:id="653"/>
      <w:bookmarkEnd w:id="654"/>
    </w:p>
    <w:p w14:paraId="63D5C64D" w14:textId="77777777" w:rsidR="00E360E5" w:rsidRDefault="00E360E5" w:rsidP="00E360E5">
      <w:pPr>
        <w:jc w:val="both"/>
      </w:pPr>
      <w:r>
        <w:t>Capacity has several dimensions which would ultimately affect the ability for the MR-linac to deliver treatment courses to patients.  The number of patients capable of being treated is a function of the number of estimated fractions per treatment course, the number of treatment courses delivered per MR-linac and the number of MR-linacs deployed in Australia.</w:t>
      </w:r>
    </w:p>
    <w:p w14:paraId="1B256FC9" w14:textId="77777777" w:rsidR="00E360E5" w:rsidRDefault="00E360E5" w:rsidP="00E360E5">
      <w:pPr>
        <w:jc w:val="both"/>
      </w:pPr>
      <w:r>
        <w:t>The MR-IGRT technique is more time-intensive than CBCT-IGRT, requiring twice- to three-times as long per fraction as CBCT-guided IGRT.  However, this is intended to be offset by hypofractionation.  Ultimately, more complex workflows may require professionals to be present collectively at the treatment machine at the same time.  The respective availability and geographical location of CBCT-IGRT and MR-IGRT in Australia will also influence uptake.</w:t>
      </w:r>
    </w:p>
    <w:p w14:paraId="063E3682" w14:textId="77777777" w:rsidR="00E360E5" w:rsidRDefault="00E360E5" w:rsidP="00E360E5">
      <w:pPr>
        <w:jc w:val="both"/>
      </w:pPr>
      <w:r>
        <w:t>There are currently two MR-linac systems operating in Australia: one at Townsville Cancer Centre of the Townsville University Hospital, Queensland, and GenesisCare St Vincent’s Hospital, Darlinghurst,</w:t>
      </w:r>
      <w:r w:rsidRPr="00022B59">
        <w:t xml:space="preserve"> </w:t>
      </w:r>
      <w:r>
        <w:t>New South Wales), both using the Elekta Unity technology.  A third Elekta Unity MR-linac is supposed to start operating in Victoria in late 2020 or early 2021. All three facilities have obtained interim approval to use MBS item 15275 for MR-IGRT.</w:t>
      </w:r>
    </w:p>
    <w:p w14:paraId="1BBDCD74" w14:textId="63006DF1" w:rsidR="00E360E5" w:rsidRDefault="00E360E5" w:rsidP="00E360E5">
      <w:pPr>
        <w:jc w:val="both"/>
      </w:pPr>
      <w:r>
        <w:t>The Applicant has stated that over the next three years, at least 10 MR-linac units will be operating in Australia (Ratified PICO, p.5).  It has not made any statement regarding capacity expansion beyond this time period.</w:t>
      </w:r>
    </w:p>
    <w:p w14:paraId="5B7FA5C5" w14:textId="5B38576B" w:rsidR="00E360E5" w:rsidRDefault="00E360E5" w:rsidP="00E360E5">
      <w:pPr>
        <w:jc w:val="both"/>
      </w:pPr>
      <w:r>
        <w:t>The Applicant assumes MR-linac availability 230 days a year (i.e., a 46 work-week equivalent).  Further, it estimates a capability to deliver 400 to 500 treatment courses per MR-linac in the first year, with 900 to 1,000 treatment courses per MR-linac possible over time, based on a treatment course duration of five fractions (Ratified PICO, p.5).  Any rate of progression towards this annual throughput has not been specified.  The Applicant estimates average fractions per MR-linac treatment currently is five, with average treatment time of 45 minutes.  Presuming a nine-hour operational day based on the ROHPG Scheme guidelines, this equates to 12 treatment fractions per day</w:t>
      </w:r>
      <w:r w:rsidR="003B4A4F">
        <w:t xml:space="preserve"> (Ratified PICO, p.5)</w:t>
      </w:r>
    </w:p>
    <w:p w14:paraId="4B074D1C" w14:textId="6E479FE3" w:rsidR="00E360E5" w:rsidRDefault="00E360E5" w:rsidP="00E360E5">
      <w:pPr>
        <w:jc w:val="both"/>
      </w:pPr>
      <w:r>
        <w:lastRenderedPageBreak/>
        <w:t xml:space="preserve">The majority of MR-IGRT treatment in Australia to date has been for prostate, oligometastatic, rectum, </w:t>
      </w:r>
      <w:r w:rsidR="004F342B">
        <w:t>liver,</w:t>
      </w:r>
      <w:r>
        <w:t xml:space="preserve"> and breast cancers (82</w:t>
      </w:r>
      <w:r w:rsidR="00BE211D">
        <w:t>%</w:t>
      </w:r>
      <w:r>
        <w:t xml:space="preserve">).  </w:t>
      </w:r>
      <w:r w:rsidR="004F105A">
        <w:t>C</w:t>
      </w:r>
      <w:r>
        <w:t xml:space="preserve">linical advice indicates that </w:t>
      </w:r>
      <w:r w:rsidRPr="00DD3983">
        <w:t xml:space="preserve">while </w:t>
      </w:r>
      <w:r>
        <w:t>initial evidence suggests a significant proportion</w:t>
      </w:r>
      <w:r w:rsidRPr="00DD3983">
        <w:t xml:space="preserve"> </w:t>
      </w:r>
      <w:r w:rsidR="00453129">
        <w:t xml:space="preserve">of </w:t>
      </w:r>
      <w:r w:rsidRPr="00DD3983">
        <w:t xml:space="preserve">patients with prostate and breast cancer </w:t>
      </w:r>
      <w:r>
        <w:t>can be treated with five fractions</w:t>
      </w:r>
      <w:r w:rsidRPr="00DD3983">
        <w:t xml:space="preserve">, </w:t>
      </w:r>
      <w:r>
        <w:t xml:space="preserve">other cancers such as </w:t>
      </w:r>
      <w:r w:rsidRPr="00DD3983">
        <w:t>oesophag</w:t>
      </w:r>
      <w:r>
        <w:t>eal cancer</w:t>
      </w:r>
      <w:r w:rsidRPr="00DD3983">
        <w:t xml:space="preserve"> may see moderate reduction in fractions and head and neck cancers are unlikely to see any reduction in fractions.</w:t>
      </w:r>
    </w:p>
    <w:p w14:paraId="7225FD24" w14:textId="77777777" w:rsidR="00E360E5" w:rsidRDefault="00E360E5" w:rsidP="00E360E5">
      <w:pPr>
        <w:jc w:val="both"/>
      </w:pPr>
      <w:r>
        <w:t>The Applicant states reduction in average treatment time would drive additional treatment throughput per MR-linac site.  The best fraction time in Australia to date is 25 minutes, which if achieved consistently would imply the ability to deliver 1,012 fractions per MR-linac per year.</w:t>
      </w:r>
    </w:p>
    <w:p w14:paraId="366D4358" w14:textId="0AEDD9D7" w:rsidR="00E360E5" w:rsidRDefault="00E360E5" w:rsidP="00E360E5">
      <w:pPr>
        <w:jc w:val="both"/>
      </w:pPr>
      <w:r>
        <w:t>The Applicant notes the current distribution of</w:t>
      </w:r>
      <w:r w:rsidRPr="005900CB">
        <w:t xml:space="preserve"> </w:t>
      </w:r>
      <w:r>
        <w:t>f</w:t>
      </w:r>
      <w:r w:rsidRPr="005900CB">
        <w:t xml:space="preserve">ractionation schedules </w:t>
      </w:r>
      <w:r>
        <w:t xml:space="preserve">in Australia as: </w:t>
      </w:r>
      <w:r w:rsidRPr="005900CB">
        <w:t>80</w:t>
      </w:r>
      <w:r w:rsidR="00BE211D">
        <w:t>%</w:t>
      </w:r>
      <w:r>
        <w:t xml:space="preserve"> of patients receiving less than ten f</w:t>
      </w:r>
      <w:r w:rsidRPr="005900CB">
        <w:t>ractions and 20</w:t>
      </w:r>
      <w:r w:rsidR="00BE211D">
        <w:t>%</w:t>
      </w:r>
      <w:r>
        <w:t xml:space="preserve"> receiving more than ten fractions.  However, further break down, including breakdown by cancer indication or more definitive utilisation averages for above and below ten fractions use, was not provided.</w:t>
      </w:r>
    </w:p>
    <w:p w14:paraId="18BD44CA" w14:textId="61CAC97F" w:rsidR="00E360E5" w:rsidRDefault="004F105A" w:rsidP="00E360E5">
      <w:pPr>
        <w:jc w:val="both"/>
      </w:pPr>
      <w:r>
        <w:rPr>
          <w:rFonts w:asciiTheme="minorHAnsi" w:hAnsiTheme="minorHAnsi" w:cstheme="minorHAnsi"/>
        </w:rPr>
        <w:t>C</w:t>
      </w:r>
      <w:r w:rsidR="00E554DF">
        <w:rPr>
          <w:rFonts w:asciiTheme="minorHAnsi" w:hAnsiTheme="minorHAnsi" w:cstheme="minorHAnsi"/>
        </w:rPr>
        <w:t xml:space="preserve">linical advice estimates that with CBCT-IGRT, prostate and breast cancer </w:t>
      </w:r>
      <w:r w:rsidR="00311910">
        <w:rPr>
          <w:rFonts w:asciiTheme="minorHAnsi" w:hAnsiTheme="minorHAnsi" w:cstheme="minorHAnsi"/>
        </w:rPr>
        <w:t>treatments</w:t>
      </w:r>
      <w:r w:rsidR="00E554DF">
        <w:rPr>
          <w:rFonts w:asciiTheme="minorHAnsi" w:hAnsiTheme="minorHAnsi" w:cstheme="minorHAnsi"/>
        </w:rPr>
        <w:t xml:space="preserve"> currently need between 16 to 20 fractions per treatment course in Australian clinical settings.  </w:t>
      </w:r>
      <w:r w:rsidR="00E360E5">
        <w:t xml:space="preserve">Information provided by the Applicant notes a recent survey by the Royal Australian and New Zealand College of Radiation Oncologists (RANZCR) that estimates the </w:t>
      </w:r>
      <w:r w:rsidR="000970AF">
        <w:t xml:space="preserve">overall </w:t>
      </w:r>
      <w:r w:rsidR="00E360E5">
        <w:t xml:space="preserve">average fractions per radiation course is </w:t>
      </w:r>
      <w:r w:rsidR="00F5379B">
        <w:t xml:space="preserve">delivered in Australia is </w:t>
      </w:r>
      <w:r w:rsidR="00E360E5">
        <w:t xml:space="preserve">currently 19.  </w:t>
      </w:r>
      <w:r w:rsidR="00287206">
        <w:t>These</w:t>
      </w:r>
      <w:r w:rsidR="00E360E5">
        <w:t xml:space="preserve"> broadly concord with MBS utilisation data for MBS items 15565 (dosimetry planning) and 15275 (single episode of radiation oncology treatment, or fraction).  In 2019-20, 50,906 items for dosimetry planning and 968,287 items for fractions were claimed, equating to approximately 19.5 fractions per patient undertaking dosimetry planning.  While the Applicant notes continual MR-linac fraction reductions, CBCT-linacs have also seen reduced average fractions per treatment course, decreasing from an estimated 22.7 in 2015-16.</w:t>
      </w:r>
    </w:p>
    <w:p w14:paraId="3004A73D" w14:textId="274B853A" w:rsidR="00E360E5" w:rsidRDefault="00E360E5" w:rsidP="00E360E5">
      <w:pPr>
        <w:jc w:val="both"/>
      </w:pPr>
      <w:r>
        <w:fldChar w:fldCharType="begin"/>
      </w:r>
      <w:r>
        <w:instrText xml:space="preserve"> REF _Ref58795493 \h </w:instrText>
      </w:r>
      <w:r>
        <w:fldChar w:fldCharType="separate"/>
      </w:r>
      <w:r w:rsidR="00451350">
        <w:t xml:space="preserve">Table </w:t>
      </w:r>
      <w:r w:rsidR="00451350">
        <w:rPr>
          <w:noProof/>
        </w:rPr>
        <w:t>66</w:t>
      </w:r>
      <w:r>
        <w:fldChar w:fldCharType="end"/>
      </w:r>
      <w:r>
        <w:t xml:space="preserve"> summarises information provided by the Applicant.  It should be noted it is unclear whether the stated current courses per year for the MR-linac (i.e., 552) is considered to be operational capacity or actual throughput of patients.</w:t>
      </w:r>
    </w:p>
    <w:p w14:paraId="3D90AF4B" w14:textId="0AEE5F2E" w:rsidR="00E360E5" w:rsidRDefault="00E360E5" w:rsidP="00E360E5">
      <w:pPr>
        <w:pStyle w:val="Caption"/>
        <w:spacing w:after="40"/>
      </w:pPr>
      <w:bookmarkStart w:id="655" w:name="_Ref58795493"/>
      <w:bookmarkStart w:id="656" w:name="_Toc89857937"/>
      <w:r>
        <w:t xml:space="preserve">Table </w:t>
      </w:r>
      <w:r w:rsidR="00211285">
        <w:fldChar w:fldCharType="begin"/>
      </w:r>
      <w:r w:rsidR="00211285">
        <w:instrText xml:space="preserve"> SEQ Table \* ARABIC </w:instrText>
      </w:r>
      <w:r w:rsidR="00211285">
        <w:fldChar w:fldCharType="separate"/>
      </w:r>
      <w:r w:rsidR="00451350">
        <w:rPr>
          <w:noProof/>
        </w:rPr>
        <w:t>66</w:t>
      </w:r>
      <w:r w:rsidR="00211285">
        <w:rPr>
          <w:noProof/>
        </w:rPr>
        <w:fldChar w:fldCharType="end"/>
      </w:r>
      <w:bookmarkEnd w:id="655"/>
      <w:r>
        <w:tab/>
        <w:t>Estimated current and project EBRT treatment course capacity with CBCT-IGRT and MR-IGRT</w:t>
      </w:r>
      <w:bookmarkEnd w:id="656"/>
    </w:p>
    <w:tbl>
      <w:tblPr>
        <w:tblStyle w:val="TableGrid1"/>
        <w:tblW w:w="5000" w:type="pct"/>
        <w:tblLook w:val="04A0" w:firstRow="1" w:lastRow="0" w:firstColumn="1" w:lastColumn="0" w:noHBand="0" w:noVBand="1"/>
      </w:tblPr>
      <w:tblGrid>
        <w:gridCol w:w="2254"/>
        <w:gridCol w:w="2254"/>
        <w:gridCol w:w="2254"/>
        <w:gridCol w:w="2254"/>
      </w:tblGrid>
      <w:tr w:rsidR="00E360E5" w:rsidRPr="00470967" w14:paraId="2638C80A" w14:textId="77777777" w:rsidTr="00CE24F8">
        <w:trPr>
          <w:cnfStyle w:val="100000000000" w:firstRow="1" w:lastRow="0" w:firstColumn="0" w:lastColumn="0" w:oddVBand="0" w:evenVBand="0" w:oddHBand="0" w:evenHBand="0" w:firstRowFirstColumn="0" w:firstRowLastColumn="0" w:lastRowFirstColumn="0" w:lastRowLastColumn="0"/>
          <w:trHeight w:val="290"/>
          <w:tblHeader/>
        </w:trPr>
        <w:tc>
          <w:tcPr>
            <w:tcW w:w="1250" w:type="pct"/>
            <w:shd w:val="clear" w:color="auto" w:fill="auto"/>
            <w:noWrap/>
            <w:vAlign w:val="center"/>
            <w:hideMark/>
          </w:tcPr>
          <w:p w14:paraId="72A1ABCE" w14:textId="77777777" w:rsidR="00E360E5" w:rsidRPr="00470967" w:rsidRDefault="00E360E5" w:rsidP="009E682D">
            <w:pPr>
              <w:spacing w:before="40" w:line="240" w:lineRule="auto"/>
              <w:rPr>
                <w:rFonts w:ascii="Arial Narrow" w:hAnsi="Arial Narrow" w:cs="Calibri"/>
                <w:b/>
                <w:bCs/>
                <w:sz w:val="20"/>
                <w:szCs w:val="20"/>
              </w:rPr>
            </w:pPr>
            <w:r w:rsidRPr="00470967">
              <w:rPr>
                <w:rFonts w:ascii="Arial Narrow" w:hAnsi="Arial Narrow" w:cs="Calibri"/>
                <w:b/>
                <w:bCs/>
                <w:sz w:val="20"/>
                <w:szCs w:val="20"/>
              </w:rPr>
              <w:t>Item</w:t>
            </w:r>
          </w:p>
        </w:tc>
        <w:tc>
          <w:tcPr>
            <w:tcW w:w="1250" w:type="pct"/>
            <w:shd w:val="clear" w:color="auto" w:fill="auto"/>
            <w:noWrap/>
            <w:vAlign w:val="center"/>
            <w:hideMark/>
          </w:tcPr>
          <w:p w14:paraId="3F48FCB1" w14:textId="77777777" w:rsidR="00E360E5" w:rsidRPr="00470967" w:rsidRDefault="00E360E5" w:rsidP="009E682D">
            <w:pPr>
              <w:spacing w:before="40" w:line="240" w:lineRule="auto"/>
              <w:jc w:val="center"/>
              <w:rPr>
                <w:rFonts w:ascii="Arial Narrow" w:hAnsi="Arial Narrow" w:cs="Calibri"/>
                <w:b/>
                <w:bCs/>
                <w:sz w:val="20"/>
                <w:szCs w:val="20"/>
              </w:rPr>
            </w:pPr>
            <w:r w:rsidRPr="00470967">
              <w:rPr>
                <w:rFonts w:ascii="Arial Narrow" w:hAnsi="Arial Narrow" w:cs="Calibri"/>
                <w:b/>
                <w:bCs/>
                <w:sz w:val="20"/>
                <w:szCs w:val="20"/>
              </w:rPr>
              <w:t>CBCT Linac</w:t>
            </w:r>
          </w:p>
        </w:tc>
        <w:tc>
          <w:tcPr>
            <w:tcW w:w="1250" w:type="pct"/>
            <w:shd w:val="clear" w:color="auto" w:fill="auto"/>
            <w:vAlign w:val="center"/>
            <w:hideMark/>
          </w:tcPr>
          <w:p w14:paraId="6E12D9B4" w14:textId="77777777" w:rsidR="00E360E5" w:rsidRPr="00470967" w:rsidRDefault="00E360E5" w:rsidP="009E682D">
            <w:pPr>
              <w:spacing w:before="40" w:line="240" w:lineRule="auto"/>
              <w:jc w:val="center"/>
              <w:rPr>
                <w:rFonts w:ascii="Arial Narrow" w:hAnsi="Arial Narrow" w:cs="Calibri"/>
                <w:b/>
                <w:bCs/>
                <w:sz w:val="20"/>
                <w:szCs w:val="20"/>
              </w:rPr>
            </w:pPr>
            <w:r w:rsidRPr="00470967">
              <w:rPr>
                <w:rFonts w:ascii="Arial Narrow" w:hAnsi="Arial Narrow" w:cs="Calibri"/>
                <w:b/>
                <w:bCs/>
                <w:sz w:val="20"/>
                <w:szCs w:val="20"/>
              </w:rPr>
              <w:t xml:space="preserve">MR-Linac </w:t>
            </w:r>
            <w:r>
              <w:rPr>
                <w:rFonts w:ascii="Arial Narrow" w:hAnsi="Arial Narrow" w:cs="Calibri"/>
                <w:b/>
                <w:bCs/>
                <w:sz w:val="20"/>
                <w:szCs w:val="20"/>
              </w:rPr>
              <w:t>c</w:t>
            </w:r>
            <w:r w:rsidRPr="00470967">
              <w:rPr>
                <w:rFonts w:ascii="Arial Narrow" w:hAnsi="Arial Narrow" w:cs="Calibri"/>
                <w:b/>
                <w:bCs/>
                <w:sz w:val="20"/>
                <w:szCs w:val="20"/>
              </w:rPr>
              <w:t>urrent</w:t>
            </w:r>
          </w:p>
        </w:tc>
        <w:tc>
          <w:tcPr>
            <w:tcW w:w="1250" w:type="pct"/>
            <w:shd w:val="clear" w:color="auto" w:fill="auto"/>
            <w:vAlign w:val="center"/>
            <w:hideMark/>
          </w:tcPr>
          <w:p w14:paraId="6436D290" w14:textId="77777777" w:rsidR="00E360E5" w:rsidRPr="00470967" w:rsidRDefault="00E360E5" w:rsidP="009E682D">
            <w:pPr>
              <w:spacing w:before="40" w:line="240" w:lineRule="auto"/>
              <w:jc w:val="center"/>
              <w:rPr>
                <w:rFonts w:ascii="Arial Narrow" w:hAnsi="Arial Narrow" w:cs="Calibri"/>
                <w:b/>
                <w:bCs/>
                <w:sz w:val="20"/>
                <w:szCs w:val="20"/>
              </w:rPr>
            </w:pPr>
            <w:r w:rsidRPr="00470967">
              <w:rPr>
                <w:rFonts w:ascii="Arial Narrow" w:hAnsi="Arial Narrow" w:cs="Calibri"/>
                <w:b/>
                <w:bCs/>
                <w:sz w:val="20"/>
                <w:szCs w:val="20"/>
              </w:rPr>
              <w:t xml:space="preserve">MR-Linac </w:t>
            </w:r>
            <w:r>
              <w:rPr>
                <w:rFonts w:ascii="Arial Narrow" w:hAnsi="Arial Narrow" w:cs="Calibri"/>
                <w:b/>
                <w:bCs/>
                <w:sz w:val="20"/>
                <w:szCs w:val="20"/>
              </w:rPr>
              <w:t>p</w:t>
            </w:r>
            <w:r w:rsidRPr="00470967">
              <w:rPr>
                <w:rFonts w:ascii="Arial Narrow" w:hAnsi="Arial Narrow" w:cs="Calibri"/>
                <w:b/>
                <w:bCs/>
                <w:sz w:val="20"/>
                <w:szCs w:val="20"/>
              </w:rPr>
              <w:t>lanned</w:t>
            </w:r>
          </w:p>
        </w:tc>
      </w:tr>
      <w:tr w:rsidR="00E360E5" w:rsidRPr="00470967" w14:paraId="5B92E72A" w14:textId="77777777" w:rsidTr="00A21A7F">
        <w:trPr>
          <w:trHeight w:val="290"/>
        </w:trPr>
        <w:tc>
          <w:tcPr>
            <w:tcW w:w="1250" w:type="pct"/>
            <w:shd w:val="clear" w:color="auto" w:fill="auto"/>
            <w:vAlign w:val="center"/>
            <w:hideMark/>
          </w:tcPr>
          <w:p w14:paraId="6B5EE66C" w14:textId="77777777" w:rsidR="00E360E5" w:rsidRPr="00470967" w:rsidRDefault="00E360E5" w:rsidP="009E682D">
            <w:pPr>
              <w:spacing w:before="40" w:line="240" w:lineRule="auto"/>
              <w:rPr>
                <w:rFonts w:ascii="Arial Narrow" w:hAnsi="Arial Narrow" w:cs="Calibri"/>
                <w:sz w:val="20"/>
                <w:szCs w:val="20"/>
              </w:rPr>
            </w:pPr>
            <w:r w:rsidRPr="00470967">
              <w:rPr>
                <w:rFonts w:ascii="Arial Narrow" w:hAnsi="Arial Narrow" w:cs="Calibri"/>
                <w:sz w:val="20"/>
                <w:szCs w:val="20"/>
              </w:rPr>
              <w:t>Treatment Days / Year</w:t>
            </w:r>
          </w:p>
        </w:tc>
        <w:tc>
          <w:tcPr>
            <w:tcW w:w="1250" w:type="pct"/>
            <w:shd w:val="clear" w:color="auto" w:fill="auto"/>
            <w:noWrap/>
            <w:vAlign w:val="center"/>
            <w:hideMark/>
          </w:tcPr>
          <w:p w14:paraId="32BA9F51"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230</w:t>
            </w:r>
          </w:p>
        </w:tc>
        <w:tc>
          <w:tcPr>
            <w:tcW w:w="1250" w:type="pct"/>
            <w:shd w:val="clear" w:color="auto" w:fill="auto"/>
            <w:vAlign w:val="center"/>
            <w:hideMark/>
          </w:tcPr>
          <w:p w14:paraId="3C7EB76C"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230</w:t>
            </w:r>
          </w:p>
        </w:tc>
        <w:tc>
          <w:tcPr>
            <w:tcW w:w="1250" w:type="pct"/>
            <w:shd w:val="clear" w:color="auto" w:fill="auto"/>
            <w:vAlign w:val="center"/>
            <w:hideMark/>
          </w:tcPr>
          <w:p w14:paraId="644F91A2"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230</w:t>
            </w:r>
          </w:p>
        </w:tc>
      </w:tr>
      <w:tr w:rsidR="00E360E5" w:rsidRPr="00470967" w14:paraId="5A713A0E" w14:textId="77777777" w:rsidTr="00A21A7F">
        <w:trPr>
          <w:trHeight w:val="290"/>
        </w:trPr>
        <w:tc>
          <w:tcPr>
            <w:tcW w:w="1250" w:type="pct"/>
            <w:shd w:val="clear" w:color="auto" w:fill="auto"/>
            <w:vAlign w:val="center"/>
            <w:hideMark/>
          </w:tcPr>
          <w:p w14:paraId="2DBB2501" w14:textId="77777777" w:rsidR="00E360E5" w:rsidRPr="00470967" w:rsidRDefault="00E360E5" w:rsidP="009E682D">
            <w:pPr>
              <w:spacing w:before="40" w:line="240" w:lineRule="auto"/>
              <w:rPr>
                <w:rFonts w:ascii="Arial Narrow" w:hAnsi="Arial Narrow" w:cs="Calibri"/>
                <w:sz w:val="20"/>
                <w:szCs w:val="20"/>
              </w:rPr>
            </w:pPr>
            <w:r w:rsidRPr="00470967">
              <w:rPr>
                <w:rFonts w:ascii="Arial Narrow" w:hAnsi="Arial Narrow" w:cs="Calibri"/>
                <w:sz w:val="20"/>
                <w:szCs w:val="20"/>
              </w:rPr>
              <w:t>Treatment Hours / Day</w:t>
            </w:r>
          </w:p>
        </w:tc>
        <w:tc>
          <w:tcPr>
            <w:tcW w:w="1250" w:type="pct"/>
            <w:shd w:val="clear" w:color="auto" w:fill="auto"/>
            <w:noWrap/>
            <w:vAlign w:val="center"/>
            <w:hideMark/>
          </w:tcPr>
          <w:p w14:paraId="7F875CAB"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9</w:t>
            </w:r>
          </w:p>
        </w:tc>
        <w:tc>
          <w:tcPr>
            <w:tcW w:w="1250" w:type="pct"/>
            <w:shd w:val="clear" w:color="auto" w:fill="auto"/>
            <w:vAlign w:val="center"/>
            <w:hideMark/>
          </w:tcPr>
          <w:p w14:paraId="06FB0D00"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9</w:t>
            </w:r>
          </w:p>
        </w:tc>
        <w:tc>
          <w:tcPr>
            <w:tcW w:w="1250" w:type="pct"/>
            <w:shd w:val="clear" w:color="auto" w:fill="auto"/>
            <w:vAlign w:val="center"/>
            <w:hideMark/>
          </w:tcPr>
          <w:p w14:paraId="682E7CA8"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9</w:t>
            </w:r>
          </w:p>
        </w:tc>
      </w:tr>
      <w:tr w:rsidR="00E360E5" w:rsidRPr="00470967" w14:paraId="7D62E185" w14:textId="77777777" w:rsidTr="00A21A7F">
        <w:trPr>
          <w:trHeight w:val="290"/>
        </w:trPr>
        <w:tc>
          <w:tcPr>
            <w:tcW w:w="1250" w:type="pct"/>
            <w:shd w:val="clear" w:color="auto" w:fill="auto"/>
            <w:vAlign w:val="center"/>
            <w:hideMark/>
          </w:tcPr>
          <w:p w14:paraId="44CD230C" w14:textId="77777777" w:rsidR="00E360E5" w:rsidRPr="00470967" w:rsidRDefault="00E360E5" w:rsidP="009E682D">
            <w:pPr>
              <w:spacing w:before="40" w:line="240" w:lineRule="auto"/>
              <w:rPr>
                <w:rFonts w:ascii="Arial Narrow" w:hAnsi="Arial Narrow" w:cs="Calibri"/>
                <w:sz w:val="20"/>
                <w:szCs w:val="20"/>
              </w:rPr>
            </w:pPr>
            <w:r w:rsidRPr="00470967">
              <w:rPr>
                <w:rFonts w:ascii="Arial Narrow" w:hAnsi="Arial Narrow" w:cs="Calibri"/>
                <w:sz w:val="20"/>
                <w:szCs w:val="20"/>
              </w:rPr>
              <w:t>Treatment minutes/day</w:t>
            </w:r>
          </w:p>
        </w:tc>
        <w:tc>
          <w:tcPr>
            <w:tcW w:w="1250" w:type="pct"/>
            <w:shd w:val="clear" w:color="auto" w:fill="auto"/>
            <w:noWrap/>
            <w:vAlign w:val="center"/>
            <w:hideMark/>
          </w:tcPr>
          <w:p w14:paraId="0CC655C9"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540</w:t>
            </w:r>
          </w:p>
        </w:tc>
        <w:tc>
          <w:tcPr>
            <w:tcW w:w="1250" w:type="pct"/>
            <w:shd w:val="clear" w:color="auto" w:fill="auto"/>
            <w:noWrap/>
            <w:vAlign w:val="center"/>
            <w:hideMark/>
          </w:tcPr>
          <w:p w14:paraId="2FD5AC01"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540</w:t>
            </w:r>
          </w:p>
        </w:tc>
        <w:tc>
          <w:tcPr>
            <w:tcW w:w="1250" w:type="pct"/>
            <w:shd w:val="clear" w:color="auto" w:fill="auto"/>
            <w:noWrap/>
            <w:vAlign w:val="center"/>
            <w:hideMark/>
          </w:tcPr>
          <w:p w14:paraId="33346DBE"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540</w:t>
            </w:r>
          </w:p>
        </w:tc>
      </w:tr>
      <w:tr w:rsidR="00E360E5" w:rsidRPr="00470967" w14:paraId="7D3C8B83" w14:textId="77777777" w:rsidTr="00A21A7F">
        <w:trPr>
          <w:trHeight w:val="520"/>
        </w:trPr>
        <w:tc>
          <w:tcPr>
            <w:tcW w:w="1250" w:type="pct"/>
            <w:shd w:val="clear" w:color="auto" w:fill="auto"/>
            <w:vAlign w:val="center"/>
            <w:hideMark/>
          </w:tcPr>
          <w:p w14:paraId="5572A0CE" w14:textId="77777777" w:rsidR="00E360E5" w:rsidRPr="00470967" w:rsidRDefault="00E360E5" w:rsidP="009E682D">
            <w:pPr>
              <w:spacing w:before="40" w:line="240" w:lineRule="auto"/>
              <w:rPr>
                <w:rFonts w:ascii="Arial Narrow" w:hAnsi="Arial Narrow" w:cs="Calibri"/>
                <w:sz w:val="20"/>
                <w:szCs w:val="20"/>
              </w:rPr>
            </w:pPr>
            <w:r w:rsidRPr="00470967">
              <w:rPr>
                <w:rFonts w:ascii="Arial Narrow" w:hAnsi="Arial Narrow" w:cs="Calibri"/>
                <w:sz w:val="20"/>
                <w:szCs w:val="20"/>
              </w:rPr>
              <w:t>Time (minutes) / Treatment (fraction)</w:t>
            </w:r>
          </w:p>
        </w:tc>
        <w:tc>
          <w:tcPr>
            <w:tcW w:w="1250" w:type="pct"/>
            <w:shd w:val="clear" w:color="auto" w:fill="auto"/>
            <w:noWrap/>
            <w:vAlign w:val="center"/>
            <w:hideMark/>
          </w:tcPr>
          <w:p w14:paraId="298FD17C"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15</w:t>
            </w:r>
          </w:p>
        </w:tc>
        <w:tc>
          <w:tcPr>
            <w:tcW w:w="1250" w:type="pct"/>
            <w:shd w:val="clear" w:color="auto" w:fill="auto"/>
            <w:vAlign w:val="center"/>
            <w:hideMark/>
          </w:tcPr>
          <w:p w14:paraId="0D6442F0"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45</w:t>
            </w:r>
          </w:p>
        </w:tc>
        <w:tc>
          <w:tcPr>
            <w:tcW w:w="1250" w:type="pct"/>
            <w:shd w:val="clear" w:color="auto" w:fill="auto"/>
            <w:vAlign w:val="center"/>
            <w:hideMark/>
          </w:tcPr>
          <w:p w14:paraId="5A68B033"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25</w:t>
            </w:r>
          </w:p>
        </w:tc>
      </w:tr>
      <w:tr w:rsidR="00E360E5" w:rsidRPr="00470967" w14:paraId="17EF24D7" w14:textId="77777777" w:rsidTr="00A21A7F">
        <w:trPr>
          <w:trHeight w:val="290"/>
        </w:trPr>
        <w:tc>
          <w:tcPr>
            <w:tcW w:w="1250" w:type="pct"/>
            <w:shd w:val="clear" w:color="auto" w:fill="auto"/>
            <w:vAlign w:val="center"/>
            <w:hideMark/>
          </w:tcPr>
          <w:p w14:paraId="16C10B84" w14:textId="77777777" w:rsidR="00E360E5" w:rsidRPr="00470967" w:rsidRDefault="00E360E5" w:rsidP="009E682D">
            <w:pPr>
              <w:spacing w:before="40" w:line="240" w:lineRule="auto"/>
              <w:rPr>
                <w:rFonts w:ascii="Arial Narrow" w:hAnsi="Arial Narrow" w:cs="Calibri"/>
                <w:sz w:val="20"/>
                <w:szCs w:val="20"/>
              </w:rPr>
            </w:pPr>
            <w:r w:rsidRPr="00470967">
              <w:rPr>
                <w:rFonts w:ascii="Arial Narrow" w:hAnsi="Arial Narrow" w:cs="Calibri"/>
                <w:sz w:val="20"/>
                <w:szCs w:val="20"/>
              </w:rPr>
              <w:t>Fractions / Day</w:t>
            </w:r>
          </w:p>
        </w:tc>
        <w:tc>
          <w:tcPr>
            <w:tcW w:w="1250" w:type="pct"/>
            <w:shd w:val="clear" w:color="auto" w:fill="auto"/>
            <w:noWrap/>
            <w:vAlign w:val="center"/>
            <w:hideMark/>
          </w:tcPr>
          <w:p w14:paraId="06E3823A"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36</w:t>
            </w:r>
          </w:p>
        </w:tc>
        <w:tc>
          <w:tcPr>
            <w:tcW w:w="1250" w:type="pct"/>
            <w:shd w:val="clear" w:color="auto" w:fill="auto"/>
            <w:noWrap/>
            <w:vAlign w:val="center"/>
            <w:hideMark/>
          </w:tcPr>
          <w:p w14:paraId="6107922E"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12</w:t>
            </w:r>
          </w:p>
        </w:tc>
        <w:tc>
          <w:tcPr>
            <w:tcW w:w="1250" w:type="pct"/>
            <w:shd w:val="clear" w:color="auto" w:fill="auto"/>
            <w:noWrap/>
            <w:vAlign w:val="center"/>
            <w:hideMark/>
          </w:tcPr>
          <w:p w14:paraId="7A7FE7DE"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22</w:t>
            </w:r>
          </w:p>
        </w:tc>
      </w:tr>
      <w:tr w:rsidR="00E360E5" w:rsidRPr="00470967" w14:paraId="7A62EE93" w14:textId="77777777" w:rsidTr="00A21A7F">
        <w:trPr>
          <w:trHeight w:val="290"/>
        </w:trPr>
        <w:tc>
          <w:tcPr>
            <w:tcW w:w="1250" w:type="pct"/>
            <w:shd w:val="clear" w:color="auto" w:fill="auto"/>
            <w:vAlign w:val="center"/>
            <w:hideMark/>
          </w:tcPr>
          <w:p w14:paraId="4C6502E1" w14:textId="77777777" w:rsidR="00E360E5" w:rsidRPr="00470967" w:rsidRDefault="00E360E5" w:rsidP="009E682D">
            <w:pPr>
              <w:spacing w:before="40" w:line="240" w:lineRule="auto"/>
              <w:rPr>
                <w:rFonts w:ascii="Arial Narrow" w:hAnsi="Arial Narrow" w:cs="Calibri"/>
                <w:sz w:val="20"/>
                <w:szCs w:val="20"/>
              </w:rPr>
            </w:pPr>
            <w:r w:rsidRPr="00470967">
              <w:rPr>
                <w:rFonts w:ascii="Arial Narrow" w:hAnsi="Arial Narrow" w:cs="Calibri"/>
                <w:sz w:val="20"/>
                <w:szCs w:val="20"/>
              </w:rPr>
              <w:t>Fractions / Year</w:t>
            </w:r>
          </w:p>
        </w:tc>
        <w:tc>
          <w:tcPr>
            <w:tcW w:w="1250" w:type="pct"/>
            <w:shd w:val="clear" w:color="auto" w:fill="auto"/>
            <w:noWrap/>
            <w:vAlign w:val="center"/>
            <w:hideMark/>
          </w:tcPr>
          <w:p w14:paraId="5A2C431C"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8,280</w:t>
            </w:r>
          </w:p>
        </w:tc>
        <w:tc>
          <w:tcPr>
            <w:tcW w:w="1250" w:type="pct"/>
            <w:shd w:val="clear" w:color="auto" w:fill="auto"/>
            <w:noWrap/>
            <w:vAlign w:val="center"/>
            <w:hideMark/>
          </w:tcPr>
          <w:p w14:paraId="6F176D0C"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2,760</w:t>
            </w:r>
          </w:p>
        </w:tc>
        <w:tc>
          <w:tcPr>
            <w:tcW w:w="1250" w:type="pct"/>
            <w:shd w:val="clear" w:color="auto" w:fill="auto"/>
            <w:noWrap/>
            <w:vAlign w:val="center"/>
            <w:hideMark/>
          </w:tcPr>
          <w:p w14:paraId="70BF6A6E"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4,968</w:t>
            </w:r>
          </w:p>
        </w:tc>
      </w:tr>
      <w:tr w:rsidR="00E360E5" w:rsidRPr="00470967" w14:paraId="7F0AE4EA" w14:textId="77777777" w:rsidTr="00A21A7F">
        <w:trPr>
          <w:trHeight w:val="290"/>
        </w:trPr>
        <w:tc>
          <w:tcPr>
            <w:tcW w:w="1250" w:type="pct"/>
            <w:shd w:val="clear" w:color="auto" w:fill="auto"/>
            <w:vAlign w:val="center"/>
            <w:hideMark/>
          </w:tcPr>
          <w:p w14:paraId="40677DE8" w14:textId="77777777" w:rsidR="00E360E5" w:rsidRPr="00470967" w:rsidRDefault="00E360E5" w:rsidP="009E682D">
            <w:pPr>
              <w:spacing w:before="40" w:line="240" w:lineRule="auto"/>
              <w:rPr>
                <w:rFonts w:ascii="Arial Narrow" w:hAnsi="Arial Narrow" w:cs="Calibri"/>
                <w:sz w:val="20"/>
                <w:szCs w:val="20"/>
              </w:rPr>
            </w:pPr>
            <w:r w:rsidRPr="00470967">
              <w:rPr>
                <w:rFonts w:ascii="Arial Narrow" w:hAnsi="Arial Narrow" w:cs="Calibri"/>
                <w:sz w:val="20"/>
                <w:szCs w:val="20"/>
              </w:rPr>
              <w:t>Average Fractions / Course</w:t>
            </w:r>
          </w:p>
        </w:tc>
        <w:tc>
          <w:tcPr>
            <w:tcW w:w="1250" w:type="pct"/>
            <w:shd w:val="clear" w:color="auto" w:fill="auto"/>
            <w:noWrap/>
            <w:vAlign w:val="center"/>
            <w:hideMark/>
          </w:tcPr>
          <w:p w14:paraId="5D55F489"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19</w:t>
            </w:r>
          </w:p>
        </w:tc>
        <w:tc>
          <w:tcPr>
            <w:tcW w:w="1250" w:type="pct"/>
            <w:shd w:val="clear" w:color="auto" w:fill="auto"/>
            <w:vAlign w:val="center"/>
            <w:hideMark/>
          </w:tcPr>
          <w:p w14:paraId="45932202"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5</w:t>
            </w:r>
          </w:p>
        </w:tc>
        <w:tc>
          <w:tcPr>
            <w:tcW w:w="1250" w:type="pct"/>
            <w:shd w:val="clear" w:color="auto" w:fill="auto"/>
            <w:vAlign w:val="center"/>
            <w:hideMark/>
          </w:tcPr>
          <w:p w14:paraId="388C7254" w14:textId="77777777" w:rsidR="00E360E5" w:rsidRPr="00470967" w:rsidRDefault="00E360E5" w:rsidP="009E682D">
            <w:pPr>
              <w:spacing w:before="40" w:line="240" w:lineRule="auto"/>
              <w:jc w:val="center"/>
              <w:rPr>
                <w:rFonts w:ascii="Arial Narrow" w:hAnsi="Arial Narrow" w:cs="Calibri"/>
                <w:sz w:val="20"/>
                <w:szCs w:val="20"/>
              </w:rPr>
            </w:pPr>
            <w:r w:rsidRPr="00470967">
              <w:rPr>
                <w:rFonts w:ascii="Arial Narrow" w:hAnsi="Arial Narrow" w:cs="Calibri"/>
                <w:sz w:val="20"/>
                <w:szCs w:val="20"/>
              </w:rPr>
              <w:t>5</w:t>
            </w:r>
          </w:p>
        </w:tc>
      </w:tr>
      <w:tr w:rsidR="00E360E5" w:rsidRPr="00470967" w14:paraId="5B3C1943" w14:textId="77777777" w:rsidTr="00A21A7F">
        <w:trPr>
          <w:trHeight w:val="290"/>
        </w:trPr>
        <w:tc>
          <w:tcPr>
            <w:tcW w:w="1250" w:type="pct"/>
            <w:shd w:val="clear" w:color="auto" w:fill="auto"/>
            <w:vAlign w:val="center"/>
            <w:hideMark/>
          </w:tcPr>
          <w:p w14:paraId="5FFCF47E" w14:textId="77777777" w:rsidR="00E360E5" w:rsidRPr="00470967" w:rsidRDefault="00E360E5" w:rsidP="009C1ABE">
            <w:pPr>
              <w:keepNext/>
              <w:keepLines/>
              <w:spacing w:before="40" w:line="240" w:lineRule="auto"/>
              <w:rPr>
                <w:rFonts w:ascii="Arial Narrow" w:hAnsi="Arial Narrow" w:cs="Calibri"/>
                <w:sz w:val="20"/>
                <w:szCs w:val="20"/>
              </w:rPr>
            </w:pPr>
            <w:r w:rsidRPr="00470967">
              <w:rPr>
                <w:rFonts w:ascii="Arial Narrow" w:hAnsi="Arial Narrow" w:cs="Calibri"/>
                <w:sz w:val="20"/>
                <w:szCs w:val="20"/>
              </w:rPr>
              <w:t>Courses / Year</w:t>
            </w:r>
          </w:p>
        </w:tc>
        <w:tc>
          <w:tcPr>
            <w:tcW w:w="1250" w:type="pct"/>
            <w:shd w:val="clear" w:color="auto" w:fill="auto"/>
            <w:noWrap/>
            <w:vAlign w:val="center"/>
            <w:hideMark/>
          </w:tcPr>
          <w:p w14:paraId="063C7FFC" w14:textId="77777777" w:rsidR="00E360E5" w:rsidRPr="00470967" w:rsidRDefault="00E360E5" w:rsidP="009C1ABE">
            <w:pPr>
              <w:keepNext/>
              <w:keepLines/>
              <w:spacing w:before="40" w:line="240" w:lineRule="auto"/>
              <w:jc w:val="center"/>
              <w:rPr>
                <w:rFonts w:ascii="Arial Narrow" w:hAnsi="Arial Narrow" w:cs="Calibri"/>
                <w:sz w:val="20"/>
                <w:szCs w:val="20"/>
              </w:rPr>
            </w:pPr>
            <w:r w:rsidRPr="00470967">
              <w:rPr>
                <w:rFonts w:ascii="Arial Narrow" w:hAnsi="Arial Narrow" w:cs="Calibri"/>
                <w:sz w:val="20"/>
                <w:szCs w:val="20"/>
              </w:rPr>
              <w:t>436</w:t>
            </w:r>
          </w:p>
        </w:tc>
        <w:tc>
          <w:tcPr>
            <w:tcW w:w="1250" w:type="pct"/>
            <w:shd w:val="clear" w:color="auto" w:fill="auto"/>
            <w:noWrap/>
            <w:vAlign w:val="center"/>
            <w:hideMark/>
          </w:tcPr>
          <w:p w14:paraId="5A06A3D6" w14:textId="77777777" w:rsidR="00E360E5" w:rsidRPr="00470967" w:rsidRDefault="00E360E5" w:rsidP="009C1ABE">
            <w:pPr>
              <w:keepNext/>
              <w:keepLines/>
              <w:spacing w:before="40" w:line="240" w:lineRule="auto"/>
              <w:jc w:val="center"/>
              <w:rPr>
                <w:rFonts w:ascii="Arial Narrow" w:hAnsi="Arial Narrow" w:cs="Calibri"/>
                <w:sz w:val="20"/>
                <w:szCs w:val="20"/>
              </w:rPr>
            </w:pPr>
            <w:r w:rsidRPr="00470967">
              <w:rPr>
                <w:rFonts w:ascii="Arial Narrow" w:hAnsi="Arial Narrow" w:cs="Calibri"/>
                <w:sz w:val="20"/>
                <w:szCs w:val="20"/>
              </w:rPr>
              <w:t>552</w:t>
            </w:r>
          </w:p>
        </w:tc>
        <w:tc>
          <w:tcPr>
            <w:tcW w:w="1250" w:type="pct"/>
            <w:shd w:val="clear" w:color="auto" w:fill="auto"/>
            <w:noWrap/>
            <w:vAlign w:val="center"/>
            <w:hideMark/>
          </w:tcPr>
          <w:p w14:paraId="4BC838E9" w14:textId="77777777" w:rsidR="00E360E5" w:rsidRPr="00470967" w:rsidRDefault="00E360E5" w:rsidP="009C1ABE">
            <w:pPr>
              <w:keepNext/>
              <w:keepLines/>
              <w:spacing w:before="40" w:line="240" w:lineRule="auto"/>
              <w:jc w:val="center"/>
              <w:rPr>
                <w:rFonts w:ascii="Arial Narrow" w:hAnsi="Arial Narrow" w:cs="Calibri"/>
                <w:sz w:val="20"/>
                <w:szCs w:val="20"/>
              </w:rPr>
            </w:pPr>
            <w:r>
              <w:rPr>
                <w:rFonts w:ascii="Arial Narrow" w:hAnsi="Arial Narrow" w:cs="Calibri"/>
                <w:sz w:val="20"/>
                <w:szCs w:val="20"/>
              </w:rPr>
              <w:t>1,012</w:t>
            </w:r>
          </w:p>
        </w:tc>
      </w:tr>
    </w:tbl>
    <w:p w14:paraId="7FBEACEE" w14:textId="36F866D6" w:rsidR="00E360E5" w:rsidRDefault="00647462" w:rsidP="009C1ABE">
      <w:pPr>
        <w:pStyle w:val="Tablenotes0"/>
        <w:keepNext/>
        <w:keepLines/>
        <w:jc w:val="left"/>
      </w:pPr>
      <w:r w:rsidRPr="00647462">
        <w:t>Source: Department of Health, 2020.  Ratified PICO 1620: Magnetic Resonance Image-Guided Radiation Therapy</w:t>
      </w:r>
      <w:r w:rsidR="00411D51">
        <w:br/>
      </w:r>
      <w:r w:rsidR="00E360E5">
        <w:t>Abbreviations: CBCT=cone beam computer tomography, EBRT=external beam radiation therapy, MR-IGRT=magnetic resonance image-guided radiation therapy, MR-linac=magnetic resonance linac</w:t>
      </w:r>
    </w:p>
    <w:p w14:paraId="636CF7E1" w14:textId="0FCC5F98" w:rsidR="00D20BAB" w:rsidRDefault="00E360E5" w:rsidP="00E360E5">
      <w:pPr>
        <w:jc w:val="both"/>
        <w:rPr>
          <w:rFonts w:asciiTheme="minorHAnsi" w:hAnsiTheme="minorHAnsi" w:cstheme="minorHAnsi"/>
        </w:rPr>
      </w:pPr>
      <w:r>
        <w:rPr>
          <w:rFonts w:asciiTheme="minorHAnsi" w:hAnsiTheme="minorHAnsi" w:cstheme="minorHAnsi"/>
        </w:rPr>
        <w:t xml:space="preserve">Analysis assumes average fractions per treatment course of five, with three operational MR-linacs in year one, increasing to ten by year three and remaining so thereafter.  </w:t>
      </w:r>
      <w:r>
        <w:t xml:space="preserve">Assuming consistent growth in deployment of MR-linac machines, analysis further assumes six will have been deployed and operational by year two.  </w:t>
      </w:r>
      <w:r>
        <w:rPr>
          <w:rFonts w:asciiTheme="minorHAnsi" w:hAnsiTheme="minorHAnsi" w:cstheme="minorHAnsi"/>
        </w:rPr>
        <w:t>Further, analysis assumes average treatment courses per year</w:t>
      </w:r>
      <w:r w:rsidR="007E6FB6">
        <w:rPr>
          <w:rFonts w:asciiTheme="minorHAnsi" w:hAnsiTheme="minorHAnsi" w:cstheme="minorHAnsi"/>
        </w:rPr>
        <w:t xml:space="preserve"> capacity</w:t>
      </w:r>
      <w:r>
        <w:rPr>
          <w:rFonts w:asciiTheme="minorHAnsi" w:hAnsiTheme="minorHAnsi" w:cstheme="minorHAnsi"/>
        </w:rPr>
        <w:t xml:space="preserve"> of approximately 1,000 per MR-linac by year three and thereafter.  </w:t>
      </w:r>
    </w:p>
    <w:p w14:paraId="50FD314D" w14:textId="7604C47A" w:rsidR="00E360E5" w:rsidRPr="00470967" w:rsidRDefault="00D20BAB" w:rsidP="00E360E5">
      <w:pPr>
        <w:jc w:val="both"/>
        <w:rPr>
          <w:rFonts w:asciiTheme="minorHAnsi" w:hAnsiTheme="minorHAnsi" w:cstheme="minorHAnsi"/>
        </w:rPr>
      </w:pPr>
      <w:r>
        <w:rPr>
          <w:rFonts w:asciiTheme="minorHAnsi" w:hAnsiTheme="minorHAnsi" w:cstheme="minorHAnsi"/>
        </w:rPr>
        <w:t>Overall, these</w:t>
      </w:r>
      <w:r w:rsidR="003053D5">
        <w:rPr>
          <w:rFonts w:asciiTheme="minorHAnsi" w:hAnsiTheme="minorHAnsi" w:cstheme="minorHAnsi"/>
        </w:rPr>
        <w:t xml:space="preserve"> assumptions </w:t>
      </w:r>
      <w:r>
        <w:t xml:space="preserve">would indicate the potential to provide 1,656 courses of treatment in year one and 5,520 courses of treatment from year three onwards assuming </w:t>
      </w:r>
      <w:r w:rsidR="007E6FB6">
        <w:t xml:space="preserve">Applicant-indicated </w:t>
      </w:r>
      <w:r>
        <w:t>optimal fraction rates of five per treatment course.  Assuming the treatment fraction length reached a consistent 25-minutes by year three, this would mean the potential to provide 10,120 courses of treatment from year three onwards</w:t>
      </w:r>
      <w:r w:rsidR="00453129">
        <w:t xml:space="preserve">. </w:t>
      </w:r>
      <w:r>
        <w:rPr>
          <w:rFonts w:asciiTheme="minorHAnsi" w:hAnsiTheme="minorHAnsi" w:cstheme="minorHAnsi"/>
        </w:rPr>
        <w:t xml:space="preserve"> </w:t>
      </w:r>
      <w:r w:rsidR="00E360E5">
        <w:rPr>
          <w:rFonts w:asciiTheme="minorHAnsi" w:hAnsiTheme="minorHAnsi" w:cstheme="minorHAnsi"/>
        </w:rPr>
        <w:t xml:space="preserve">These assumptions are tested in sensitivity analysis in Section </w:t>
      </w:r>
      <w:r w:rsidR="00C71F0C">
        <w:rPr>
          <w:rFonts w:asciiTheme="minorHAnsi" w:hAnsiTheme="minorHAnsi" w:cstheme="minorHAnsi"/>
        </w:rPr>
        <w:fldChar w:fldCharType="begin"/>
      </w:r>
      <w:r w:rsidR="00C71F0C">
        <w:rPr>
          <w:rFonts w:asciiTheme="minorHAnsi" w:hAnsiTheme="minorHAnsi" w:cstheme="minorHAnsi"/>
        </w:rPr>
        <w:instrText xml:space="preserve"> REF _Ref59013088 \r \h </w:instrText>
      </w:r>
      <w:r w:rsidR="00C71F0C">
        <w:rPr>
          <w:rFonts w:asciiTheme="minorHAnsi" w:hAnsiTheme="minorHAnsi" w:cstheme="minorHAnsi"/>
        </w:rPr>
      </w:r>
      <w:r w:rsidR="00C71F0C">
        <w:rPr>
          <w:rFonts w:asciiTheme="minorHAnsi" w:hAnsiTheme="minorHAnsi" w:cstheme="minorHAnsi"/>
        </w:rPr>
        <w:fldChar w:fldCharType="separate"/>
      </w:r>
      <w:r w:rsidR="00451350">
        <w:rPr>
          <w:rFonts w:asciiTheme="minorHAnsi" w:hAnsiTheme="minorHAnsi" w:cstheme="minorHAnsi"/>
        </w:rPr>
        <w:t>E.6</w:t>
      </w:r>
      <w:r w:rsidR="00C71F0C">
        <w:rPr>
          <w:rFonts w:asciiTheme="minorHAnsi" w:hAnsiTheme="minorHAnsi" w:cstheme="minorHAnsi"/>
        </w:rPr>
        <w:fldChar w:fldCharType="end"/>
      </w:r>
      <w:r w:rsidR="00C71F0C">
        <w:rPr>
          <w:rFonts w:asciiTheme="minorHAnsi" w:hAnsiTheme="minorHAnsi" w:cstheme="minorHAnsi"/>
        </w:rPr>
        <w:t>.</w:t>
      </w:r>
    </w:p>
    <w:p w14:paraId="1C594725" w14:textId="77777777" w:rsidR="00E360E5" w:rsidRDefault="00E360E5" w:rsidP="00E360E5">
      <w:pPr>
        <w:pStyle w:val="Heading3"/>
      </w:pPr>
      <w:bookmarkStart w:id="657" w:name="_Toc59018814"/>
      <w:bookmarkStart w:id="658" w:name="_Toc59020358"/>
      <w:bookmarkStart w:id="659" w:name="_Toc59439580"/>
      <w:bookmarkStart w:id="660" w:name="_Toc89857852"/>
      <w:r>
        <w:t>Uptake</w:t>
      </w:r>
      <w:bookmarkEnd w:id="657"/>
      <w:bookmarkEnd w:id="658"/>
      <w:bookmarkEnd w:id="659"/>
      <w:bookmarkEnd w:id="660"/>
    </w:p>
    <w:p w14:paraId="280B06B2" w14:textId="2919FBDA" w:rsidR="00E360E5" w:rsidRDefault="00E360E5" w:rsidP="00E360E5">
      <w:pPr>
        <w:jc w:val="both"/>
      </w:pPr>
      <w:r>
        <w:t xml:space="preserve">PASC has noted estimating substitution of CBCT-IGRT for MR-IGRT may be difficult given the novel technique (Ratified PICO, p.7), but considered rollout of MR-linac facilities is likely to be constrained in the short-term by the capital costs of the machine (Ratified PICO, p.6).  </w:t>
      </w:r>
      <w:r w:rsidR="00AB6244">
        <w:t>C</w:t>
      </w:r>
      <w:r>
        <w:t>linical advice notes radiation therapy has seen gradual advances in particular with</w:t>
      </w:r>
      <w:r w:rsidRPr="00366E89">
        <w:t xml:space="preserve"> on-treatment visualisation</w:t>
      </w:r>
      <w:r>
        <w:t>, starting with</w:t>
      </w:r>
      <w:r w:rsidRPr="00366E89">
        <w:t xml:space="preserve"> CT and now with MRI. </w:t>
      </w:r>
      <w:r>
        <w:t xml:space="preserve"> As such, advice indicated a</w:t>
      </w:r>
      <w:r w:rsidRPr="00366E89">
        <w:t xml:space="preserve">ny emerging technology with strong technical and dosimetric justification will </w:t>
      </w:r>
      <w:r>
        <w:t xml:space="preserve">likely </w:t>
      </w:r>
      <w:r w:rsidRPr="00366E89">
        <w:t>result in rapid uptake in routine practice</w:t>
      </w:r>
      <w:r>
        <w:t>, preceding high level randomised clinical evidence.</w:t>
      </w:r>
    </w:p>
    <w:p w14:paraId="4A0CB39B" w14:textId="2CDC09D0" w:rsidR="00E360E5" w:rsidRDefault="00E360E5" w:rsidP="00E360E5">
      <w:pPr>
        <w:jc w:val="both"/>
      </w:pPr>
      <w:r>
        <w:t>Ultimate uptake will depend on numerous interdependent factors including achieving MBS listing, the number of MR-linacs deployed</w:t>
      </w:r>
      <w:r w:rsidR="00337834">
        <w:t xml:space="preserve"> and their geographical location relative to CBCT-IGRT</w:t>
      </w:r>
      <w:r>
        <w:t xml:space="preserve">, achievable fraction numbers per cancer indication and reduction in average fractionation time, cancer indications targeted, improvement in fraction delivery schedules </w:t>
      </w:r>
      <w:r w:rsidR="00337834">
        <w:t xml:space="preserve">and </w:t>
      </w:r>
      <w:r>
        <w:t>availability and training as required of health care resources.</w:t>
      </w:r>
    </w:p>
    <w:p w14:paraId="61038C78" w14:textId="64DFAEA3" w:rsidR="00E360E5" w:rsidRDefault="00E360E5" w:rsidP="00E360E5">
      <w:pPr>
        <w:jc w:val="both"/>
      </w:pPr>
      <w:r>
        <w:t>Analysis assumes patients from the current mix of cancer indications treated by MR-linac centres in Australia, as provided by the Applicant</w:t>
      </w:r>
      <w:r w:rsidRPr="009E5DE2">
        <w:t xml:space="preserve">, including prostate and breast cancers.  Information provided by the Applicant and </w:t>
      </w:r>
      <w:r w:rsidR="004F105A">
        <w:t>clinical</w:t>
      </w:r>
      <w:r w:rsidR="004F105A" w:rsidRPr="009E5DE2">
        <w:t xml:space="preserve"> </w:t>
      </w:r>
      <w:r w:rsidRPr="009E5DE2">
        <w:t xml:space="preserve">advice indicates </w:t>
      </w:r>
      <w:r>
        <w:t>these patients have the</w:t>
      </w:r>
      <w:r w:rsidRPr="009E5DE2">
        <w:t xml:space="preserve"> possibility to achieve low average fraction rates per treatment course for a significant proportion of patients, giving an estimate of maximum initial </w:t>
      </w:r>
      <w:r>
        <w:t xml:space="preserve">potential </w:t>
      </w:r>
      <w:r w:rsidRPr="009E5DE2">
        <w:t>for MR-IGRT treatment utilisation subject to capacity constraints.</w:t>
      </w:r>
    </w:p>
    <w:p w14:paraId="20D354CA" w14:textId="2E6E9978" w:rsidR="00113992" w:rsidRDefault="00113992" w:rsidP="00113992">
      <w:pPr>
        <w:jc w:val="both"/>
      </w:pPr>
      <w:r>
        <w:t>It is assumed the locations of MR-linacs deployed in Australia provides for CBCT-IGRT and MR-IGRT to be equally feasible patient treatment options.</w:t>
      </w:r>
    </w:p>
    <w:p w14:paraId="6030C7AF" w14:textId="0192159B" w:rsidR="00E360E5" w:rsidRDefault="00E360E5" w:rsidP="00E360E5">
      <w:pPr>
        <w:jc w:val="both"/>
      </w:pPr>
      <w:r>
        <w:t>The first step of analysis assumes that without capacity constraints, 10</w:t>
      </w:r>
      <w:r w:rsidR="00BE211D">
        <w:t>%</w:t>
      </w:r>
      <w:r>
        <w:t xml:space="preserve"> of patients would switch to MR-IGRT in year one, increasing to 50</w:t>
      </w:r>
      <w:r w:rsidR="00BE211D">
        <w:t>%</w:t>
      </w:r>
      <w:r>
        <w:t xml:space="preserve"> by year five.  Estimates are then modified to reflect projected </w:t>
      </w:r>
      <w:r>
        <w:lastRenderedPageBreak/>
        <w:t xml:space="preserve">annual capacity constraints.  Given the inherent uncertainties, including current absolute utilisation, sensitivity analysis tests these assumptions (Section </w:t>
      </w:r>
      <w:r w:rsidR="008D1E9F">
        <w:fldChar w:fldCharType="begin"/>
      </w:r>
      <w:r w:rsidR="008D1E9F">
        <w:instrText xml:space="preserve"> REF _Ref59013928 \r \h </w:instrText>
      </w:r>
      <w:r w:rsidR="008D1E9F">
        <w:fldChar w:fldCharType="separate"/>
      </w:r>
      <w:r w:rsidR="00451350">
        <w:t>E.6</w:t>
      </w:r>
      <w:r w:rsidR="008D1E9F">
        <w:fldChar w:fldCharType="end"/>
      </w:r>
      <w:r>
        <w:t>).</w:t>
      </w:r>
    </w:p>
    <w:p w14:paraId="4A697A96" w14:textId="164FB0AA" w:rsidR="00E360E5" w:rsidRDefault="00E360E5" w:rsidP="00E360E5">
      <w:pPr>
        <w:jc w:val="both"/>
      </w:pPr>
      <w:r>
        <w:fldChar w:fldCharType="begin"/>
      </w:r>
      <w:r>
        <w:instrText xml:space="preserve"> REF _Ref58929441 \h </w:instrText>
      </w:r>
      <w:r>
        <w:fldChar w:fldCharType="separate"/>
      </w:r>
      <w:r w:rsidR="00451350">
        <w:t xml:space="preserve">Table </w:t>
      </w:r>
      <w:r w:rsidR="00451350">
        <w:rPr>
          <w:noProof/>
        </w:rPr>
        <w:t>67</w:t>
      </w:r>
      <w:r>
        <w:fldChar w:fldCharType="end"/>
      </w:r>
      <w:r>
        <w:t xml:space="preserve"> summarises estimated maximum MR-IGRT utilisation assuming the projected MR-linac capacity and cancer indications being treated.  Total treatment courses (patients)</w:t>
      </w:r>
      <w:r w:rsidR="001A57E3">
        <w:t xml:space="preserve"> potentially being delivered</w:t>
      </w:r>
      <w:r>
        <w:t xml:space="preserve"> </w:t>
      </w:r>
      <w:r w:rsidR="001A57E3">
        <w:t xml:space="preserve">are </w:t>
      </w:r>
      <w:r>
        <w:t xml:space="preserve">estimated to increase from 1,656 patients in year one to 10,120 patients by year five. </w:t>
      </w:r>
    </w:p>
    <w:p w14:paraId="4B90A98E" w14:textId="19113218" w:rsidR="00E360E5" w:rsidRDefault="00E360E5" w:rsidP="00E360E5">
      <w:pPr>
        <w:pStyle w:val="Caption"/>
        <w:ind w:left="1130" w:hanging="1130"/>
      </w:pPr>
      <w:bookmarkStart w:id="661" w:name="_Ref58929441"/>
      <w:bookmarkStart w:id="662" w:name="_Ref58929437"/>
      <w:bookmarkStart w:id="663" w:name="_Toc89857938"/>
      <w:r>
        <w:t xml:space="preserve">Table </w:t>
      </w:r>
      <w:r w:rsidR="00211285">
        <w:fldChar w:fldCharType="begin"/>
      </w:r>
      <w:r w:rsidR="00211285">
        <w:instrText xml:space="preserve"> SEQ Table \* ARABIC </w:instrText>
      </w:r>
      <w:r w:rsidR="00211285">
        <w:fldChar w:fldCharType="separate"/>
      </w:r>
      <w:r w:rsidR="00451350">
        <w:rPr>
          <w:noProof/>
        </w:rPr>
        <w:t>67</w:t>
      </w:r>
      <w:r w:rsidR="00211285">
        <w:rPr>
          <w:noProof/>
        </w:rPr>
        <w:fldChar w:fldCharType="end"/>
      </w:r>
      <w:bookmarkEnd w:id="661"/>
      <w:r>
        <w:tab/>
        <w:t>Estimated utilisation of MR-IGRT (substitution of CBCT-IGRT), assuming predominantly prostate and breast cancer indication targeting, 2021 to 2025</w:t>
      </w:r>
      <w:bookmarkEnd w:id="662"/>
      <w:bookmarkEnd w:id="663"/>
    </w:p>
    <w:tbl>
      <w:tblPr>
        <w:tblStyle w:val="TableGrid1"/>
        <w:tblW w:w="5000" w:type="pct"/>
        <w:tblLook w:val="04A0" w:firstRow="1" w:lastRow="0" w:firstColumn="1" w:lastColumn="0" w:noHBand="0" w:noVBand="1"/>
      </w:tblPr>
      <w:tblGrid>
        <w:gridCol w:w="2504"/>
        <w:gridCol w:w="606"/>
        <w:gridCol w:w="541"/>
        <w:gridCol w:w="1311"/>
        <w:gridCol w:w="1311"/>
        <w:gridCol w:w="1441"/>
        <w:gridCol w:w="1302"/>
      </w:tblGrid>
      <w:tr w:rsidR="00E360E5" w:rsidRPr="008C5729" w14:paraId="6FD0ECDA" w14:textId="77777777" w:rsidTr="00A21A7F">
        <w:trPr>
          <w:cnfStyle w:val="100000000000" w:firstRow="1" w:lastRow="0" w:firstColumn="0" w:lastColumn="0" w:oddVBand="0" w:evenVBand="0" w:oddHBand="0" w:evenHBand="0" w:firstRowFirstColumn="0" w:firstRowLastColumn="0" w:lastRowFirstColumn="0" w:lastRowLastColumn="0"/>
          <w:trHeight w:val="290"/>
          <w:tblHeader/>
        </w:trPr>
        <w:tc>
          <w:tcPr>
            <w:tcW w:w="1389" w:type="pct"/>
            <w:tcBorders>
              <w:bottom w:val="single" w:sz="4" w:space="0" w:color="auto"/>
            </w:tcBorders>
            <w:shd w:val="clear" w:color="auto" w:fill="auto"/>
            <w:vAlign w:val="center"/>
            <w:hideMark/>
          </w:tcPr>
          <w:p w14:paraId="07C576FE" w14:textId="77777777" w:rsidR="00E360E5" w:rsidRPr="008C5729" w:rsidRDefault="00E360E5" w:rsidP="009E682D">
            <w:pPr>
              <w:spacing w:before="40" w:line="240" w:lineRule="auto"/>
              <w:rPr>
                <w:rFonts w:ascii="Arial Narrow" w:hAnsi="Arial Narrow" w:cs="Calibri"/>
                <w:b/>
                <w:bCs/>
                <w:color w:val="000000"/>
                <w:sz w:val="20"/>
                <w:szCs w:val="20"/>
              </w:rPr>
            </w:pPr>
            <w:r w:rsidRPr="008C5729">
              <w:rPr>
                <w:rFonts w:ascii="Arial Narrow" w:hAnsi="Arial Narrow" w:cs="Calibri"/>
                <w:b/>
                <w:bCs/>
                <w:color w:val="000000"/>
                <w:sz w:val="20"/>
                <w:szCs w:val="20"/>
              </w:rPr>
              <w:t>Item</w:t>
            </w:r>
          </w:p>
        </w:tc>
        <w:tc>
          <w:tcPr>
            <w:tcW w:w="636" w:type="pct"/>
            <w:gridSpan w:val="2"/>
            <w:tcBorders>
              <w:bottom w:val="single" w:sz="4" w:space="0" w:color="auto"/>
            </w:tcBorders>
            <w:shd w:val="clear" w:color="auto" w:fill="auto"/>
            <w:noWrap/>
            <w:vAlign w:val="center"/>
            <w:hideMark/>
          </w:tcPr>
          <w:p w14:paraId="3D72AFE9"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2021</w:t>
            </w:r>
          </w:p>
        </w:tc>
        <w:tc>
          <w:tcPr>
            <w:tcW w:w="727" w:type="pct"/>
            <w:tcBorders>
              <w:bottom w:val="single" w:sz="4" w:space="0" w:color="auto"/>
            </w:tcBorders>
            <w:shd w:val="clear" w:color="auto" w:fill="auto"/>
            <w:noWrap/>
            <w:vAlign w:val="center"/>
            <w:hideMark/>
          </w:tcPr>
          <w:p w14:paraId="73D35BFA"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2022</w:t>
            </w:r>
          </w:p>
        </w:tc>
        <w:tc>
          <w:tcPr>
            <w:tcW w:w="727" w:type="pct"/>
            <w:tcBorders>
              <w:bottom w:val="single" w:sz="4" w:space="0" w:color="auto"/>
            </w:tcBorders>
            <w:shd w:val="clear" w:color="auto" w:fill="auto"/>
            <w:noWrap/>
            <w:vAlign w:val="center"/>
            <w:hideMark/>
          </w:tcPr>
          <w:p w14:paraId="0E7C79F6"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2023</w:t>
            </w:r>
          </w:p>
        </w:tc>
        <w:tc>
          <w:tcPr>
            <w:tcW w:w="799" w:type="pct"/>
            <w:tcBorders>
              <w:bottom w:val="single" w:sz="4" w:space="0" w:color="auto"/>
            </w:tcBorders>
            <w:shd w:val="clear" w:color="auto" w:fill="auto"/>
            <w:noWrap/>
            <w:vAlign w:val="center"/>
            <w:hideMark/>
          </w:tcPr>
          <w:p w14:paraId="585F9AD2"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2024</w:t>
            </w:r>
          </w:p>
        </w:tc>
        <w:tc>
          <w:tcPr>
            <w:tcW w:w="722" w:type="pct"/>
            <w:tcBorders>
              <w:bottom w:val="single" w:sz="4" w:space="0" w:color="auto"/>
            </w:tcBorders>
            <w:shd w:val="clear" w:color="auto" w:fill="auto"/>
            <w:noWrap/>
            <w:vAlign w:val="center"/>
            <w:hideMark/>
          </w:tcPr>
          <w:p w14:paraId="66C35CED"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2025</w:t>
            </w:r>
          </w:p>
        </w:tc>
      </w:tr>
      <w:tr w:rsidR="00E360E5" w:rsidRPr="008C5729" w14:paraId="7EEA9442" w14:textId="77777777" w:rsidTr="00A21A7F">
        <w:trPr>
          <w:trHeight w:val="290"/>
        </w:trPr>
        <w:tc>
          <w:tcPr>
            <w:tcW w:w="1725" w:type="pct"/>
            <w:gridSpan w:val="2"/>
            <w:tcBorders>
              <w:top w:val="single" w:sz="4" w:space="0" w:color="auto"/>
              <w:left w:val="single" w:sz="4" w:space="0" w:color="auto"/>
              <w:bottom w:val="single" w:sz="4" w:space="0" w:color="auto"/>
              <w:right w:val="nil"/>
            </w:tcBorders>
            <w:shd w:val="clear" w:color="auto" w:fill="auto"/>
            <w:vAlign w:val="center"/>
          </w:tcPr>
          <w:p w14:paraId="3D1B5198" w14:textId="77777777" w:rsidR="00E360E5" w:rsidRPr="008C5729" w:rsidRDefault="00E360E5" w:rsidP="009E682D">
            <w:pPr>
              <w:spacing w:before="40" w:line="240" w:lineRule="auto"/>
              <w:rPr>
                <w:rFonts w:ascii="Arial Narrow" w:hAnsi="Arial Narrow" w:cs="Calibri"/>
                <w:b/>
                <w:bCs/>
                <w:color w:val="000000"/>
                <w:sz w:val="20"/>
                <w:szCs w:val="20"/>
              </w:rPr>
            </w:pPr>
            <w:r w:rsidRPr="008C5729">
              <w:rPr>
                <w:rFonts w:ascii="Arial Narrow" w:hAnsi="Arial Narrow" w:cs="Calibri"/>
                <w:b/>
                <w:bCs/>
                <w:color w:val="000000"/>
                <w:sz w:val="20"/>
                <w:szCs w:val="20"/>
              </w:rPr>
              <w:t>Capacity constraints</w:t>
            </w:r>
          </w:p>
        </w:tc>
        <w:tc>
          <w:tcPr>
            <w:tcW w:w="300" w:type="pct"/>
            <w:tcBorders>
              <w:top w:val="single" w:sz="4" w:space="0" w:color="auto"/>
              <w:left w:val="nil"/>
              <w:bottom w:val="single" w:sz="4" w:space="0" w:color="auto"/>
              <w:right w:val="nil"/>
            </w:tcBorders>
            <w:shd w:val="clear" w:color="auto" w:fill="auto"/>
            <w:noWrap/>
            <w:vAlign w:val="center"/>
          </w:tcPr>
          <w:p w14:paraId="5C160B5C" w14:textId="77777777" w:rsidR="00E360E5" w:rsidRPr="008C5729" w:rsidRDefault="00E360E5" w:rsidP="009E682D">
            <w:pPr>
              <w:spacing w:before="40" w:line="240" w:lineRule="auto"/>
              <w:jc w:val="center"/>
              <w:rPr>
                <w:rFonts w:ascii="Arial Narrow" w:hAnsi="Arial Narrow" w:cs="Calibri"/>
                <w:color w:val="000000"/>
                <w:sz w:val="20"/>
                <w:szCs w:val="20"/>
              </w:rPr>
            </w:pPr>
          </w:p>
        </w:tc>
        <w:tc>
          <w:tcPr>
            <w:tcW w:w="727" w:type="pct"/>
            <w:tcBorders>
              <w:top w:val="single" w:sz="4" w:space="0" w:color="auto"/>
              <w:left w:val="nil"/>
              <w:bottom w:val="single" w:sz="4" w:space="0" w:color="auto"/>
              <w:right w:val="nil"/>
            </w:tcBorders>
            <w:shd w:val="clear" w:color="auto" w:fill="auto"/>
            <w:noWrap/>
            <w:vAlign w:val="center"/>
          </w:tcPr>
          <w:p w14:paraId="54BEABC7" w14:textId="77777777" w:rsidR="00E360E5" w:rsidRPr="008C5729" w:rsidRDefault="00E360E5" w:rsidP="009E682D">
            <w:pPr>
              <w:spacing w:before="40" w:line="240" w:lineRule="auto"/>
              <w:jc w:val="center"/>
              <w:rPr>
                <w:rFonts w:ascii="Arial Narrow" w:hAnsi="Arial Narrow" w:cs="Calibri"/>
                <w:color w:val="000000"/>
                <w:sz w:val="20"/>
                <w:szCs w:val="20"/>
              </w:rPr>
            </w:pPr>
          </w:p>
        </w:tc>
        <w:tc>
          <w:tcPr>
            <w:tcW w:w="727" w:type="pct"/>
            <w:tcBorders>
              <w:top w:val="single" w:sz="4" w:space="0" w:color="auto"/>
              <w:left w:val="nil"/>
              <w:bottom w:val="single" w:sz="4" w:space="0" w:color="auto"/>
              <w:right w:val="nil"/>
            </w:tcBorders>
            <w:shd w:val="clear" w:color="auto" w:fill="auto"/>
            <w:noWrap/>
            <w:vAlign w:val="center"/>
          </w:tcPr>
          <w:p w14:paraId="31D0C597" w14:textId="77777777" w:rsidR="00E360E5" w:rsidRPr="008C5729" w:rsidRDefault="00E360E5" w:rsidP="009E682D">
            <w:pPr>
              <w:spacing w:before="40" w:line="240" w:lineRule="auto"/>
              <w:jc w:val="center"/>
              <w:rPr>
                <w:rFonts w:ascii="Arial Narrow" w:hAnsi="Arial Narrow" w:cs="Calibri"/>
                <w:color w:val="000000"/>
                <w:sz w:val="20"/>
                <w:szCs w:val="20"/>
              </w:rPr>
            </w:pPr>
          </w:p>
        </w:tc>
        <w:tc>
          <w:tcPr>
            <w:tcW w:w="799" w:type="pct"/>
            <w:tcBorders>
              <w:top w:val="single" w:sz="4" w:space="0" w:color="auto"/>
              <w:left w:val="nil"/>
              <w:bottom w:val="single" w:sz="4" w:space="0" w:color="auto"/>
              <w:right w:val="nil"/>
            </w:tcBorders>
            <w:shd w:val="clear" w:color="auto" w:fill="auto"/>
            <w:noWrap/>
            <w:vAlign w:val="center"/>
          </w:tcPr>
          <w:p w14:paraId="3138F298" w14:textId="77777777" w:rsidR="00E360E5" w:rsidRPr="008C5729" w:rsidRDefault="00E360E5" w:rsidP="009E682D">
            <w:pPr>
              <w:spacing w:before="40" w:line="240" w:lineRule="auto"/>
              <w:jc w:val="center"/>
              <w:rPr>
                <w:rFonts w:ascii="Arial Narrow" w:hAnsi="Arial Narrow" w:cs="Calibri"/>
                <w:color w:val="000000"/>
                <w:sz w:val="20"/>
                <w:szCs w:val="20"/>
              </w:rPr>
            </w:pP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70BF88A8" w14:textId="77777777" w:rsidR="00E360E5" w:rsidRPr="008C5729" w:rsidRDefault="00E360E5" w:rsidP="009E682D">
            <w:pPr>
              <w:spacing w:before="40" w:line="240" w:lineRule="auto"/>
              <w:jc w:val="center"/>
              <w:rPr>
                <w:rFonts w:ascii="Arial Narrow" w:hAnsi="Arial Narrow" w:cs="Calibri"/>
                <w:color w:val="000000"/>
                <w:sz w:val="20"/>
                <w:szCs w:val="20"/>
              </w:rPr>
            </w:pPr>
          </w:p>
        </w:tc>
      </w:tr>
      <w:tr w:rsidR="00E360E5" w:rsidRPr="008C5729" w14:paraId="4FFFEA8B" w14:textId="77777777" w:rsidTr="00A21A7F">
        <w:trPr>
          <w:trHeight w:val="290"/>
        </w:trPr>
        <w:tc>
          <w:tcPr>
            <w:tcW w:w="1389" w:type="pct"/>
            <w:tcBorders>
              <w:top w:val="single" w:sz="4" w:space="0" w:color="auto"/>
              <w:bottom w:val="single" w:sz="4" w:space="0" w:color="auto"/>
            </w:tcBorders>
            <w:shd w:val="clear" w:color="auto" w:fill="auto"/>
            <w:vAlign w:val="center"/>
            <w:hideMark/>
          </w:tcPr>
          <w:p w14:paraId="0846924E" w14:textId="77777777" w:rsidR="00E360E5" w:rsidRPr="008C5729" w:rsidRDefault="00E360E5" w:rsidP="009E682D">
            <w:pPr>
              <w:spacing w:before="40" w:line="240" w:lineRule="auto"/>
              <w:jc w:val="both"/>
              <w:rPr>
                <w:rFonts w:ascii="Arial Narrow" w:hAnsi="Arial Narrow" w:cs="Calibri"/>
                <w:color w:val="000000"/>
                <w:sz w:val="20"/>
                <w:szCs w:val="20"/>
              </w:rPr>
            </w:pPr>
            <w:r w:rsidRPr="008C5729">
              <w:rPr>
                <w:rFonts w:ascii="Arial Narrow" w:hAnsi="Arial Narrow" w:cs="Calibri"/>
                <w:color w:val="000000"/>
                <w:sz w:val="20"/>
                <w:szCs w:val="20"/>
              </w:rPr>
              <w:t>MR-linacs</w:t>
            </w:r>
          </w:p>
        </w:tc>
        <w:tc>
          <w:tcPr>
            <w:tcW w:w="636" w:type="pct"/>
            <w:gridSpan w:val="2"/>
            <w:tcBorders>
              <w:top w:val="single" w:sz="4" w:space="0" w:color="auto"/>
              <w:bottom w:val="single" w:sz="4" w:space="0" w:color="auto"/>
            </w:tcBorders>
            <w:shd w:val="clear" w:color="auto" w:fill="auto"/>
            <w:noWrap/>
            <w:vAlign w:val="center"/>
            <w:hideMark/>
          </w:tcPr>
          <w:p w14:paraId="16676439"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3</w:t>
            </w:r>
          </w:p>
        </w:tc>
        <w:tc>
          <w:tcPr>
            <w:tcW w:w="727" w:type="pct"/>
            <w:tcBorders>
              <w:top w:val="single" w:sz="4" w:space="0" w:color="auto"/>
              <w:bottom w:val="single" w:sz="4" w:space="0" w:color="auto"/>
            </w:tcBorders>
            <w:shd w:val="clear" w:color="auto" w:fill="auto"/>
            <w:noWrap/>
            <w:vAlign w:val="center"/>
            <w:hideMark/>
          </w:tcPr>
          <w:p w14:paraId="177CA6CA"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6</w:t>
            </w:r>
          </w:p>
        </w:tc>
        <w:tc>
          <w:tcPr>
            <w:tcW w:w="727" w:type="pct"/>
            <w:tcBorders>
              <w:top w:val="single" w:sz="4" w:space="0" w:color="auto"/>
              <w:bottom w:val="single" w:sz="4" w:space="0" w:color="auto"/>
            </w:tcBorders>
            <w:shd w:val="clear" w:color="auto" w:fill="auto"/>
            <w:noWrap/>
            <w:vAlign w:val="center"/>
            <w:hideMark/>
          </w:tcPr>
          <w:p w14:paraId="2417632F"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10</w:t>
            </w:r>
          </w:p>
        </w:tc>
        <w:tc>
          <w:tcPr>
            <w:tcW w:w="799" w:type="pct"/>
            <w:tcBorders>
              <w:top w:val="single" w:sz="4" w:space="0" w:color="auto"/>
              <w:bottom w:val="single" w:sz="4" w:space="0" w:color="auto"/>
            </w:tcBorders>
            <w:shd w:val="clear" w:color="auto" w:fill="auto"/>
            <w:noWrap/>
            <w:vAlign w:val="center"/>
            <w:hideMark/>
          </w:tcPr>
          <w:p w14:paraId="3044C6B6"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10</w:t>
            </w:r>
          </w:p>
        </w:tc>
        <w:tc>
          <w:tcPr>
            <w:tcW w:w="722" w:type="pct"/>
            <w:tcBorders>
              <w:top w:val="single" w:sz="4" w:space="0" w:color="auto"/>
              <w:bottom w:val="single" w:sz="4" w:space="0" w:color="auto"/>
            </w:tcBorders>
            <w:shd w:val="clear" w:color="auto" w:fill="auto"/>
            <w:noWrap/>
            <w:vAlign w:val="center"/>
            <w:hideMark/>
          </w:tcPr>
          <w:p w14:paraId="5987F647"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10</w:t>
            </w:r>
          </w:p>
        </w:tc>
      </w:tr>
      <w:tr w:rsidR="00E360E5" w:rsidRPr="008C5729" w14:paraId="7DAC415E" w14:textId="77777777" w:rsidTr="00A21A7F">
        <w:trPr>
          <w:trHeight w:val="290"/>
        </w:trPr>
        <w:tc>
          <w:tcPr>
            <w:tcW w:w="1389" w:type="pct"/>
            <w:tcBorders>
              <w:top w:val="single" w:sz="4" w:space="0" w:color="auto"/>
              <w:bottom w:val="single" w:sz="4" w:space="0" w:color="auto"/>
            </w:tcBorders>
            <w:shd w:val="clear" w:color="auto" w:fill="auto"/>
            <w:vAlign w:val="center"/>
          </w:tcPr>
          <w:p w14:paraId="27D5ADCA" w14:textId="77777777" w:rsidR="00E360E5" w:rsidRDefault="00E360E5" w:rsidP="009E682D">
            <w:pPr>
              <w:spacing w:before="40" w:line="240" w:lineRule="auto"/>
              <w:jc w:val="both"/>
              <w:rPr>
                <w:rFonts w:ascii="Arial Narrow" w:hAnsi="Arial Narrow" w:cs="Calibri"/>
                <w:color w:val="000000"/>
                <w:sz w:val="20"/>
                <w:szCs w:val="20"/>
              </w:rPr>
            </w:pPr>
            <w:r>
              <w:rPr>
                <w:rFonts w:ascii="Arial Narrow" w:hAnsi="Arial Narrow" w:cs="Calibri"/>
                <w:color w:val="000000"/>
                <w:sz w:val="20"/>
                <w:szCs w:val="20"/>
              </w:rPr>
              <w:t>Treatment fractions delivered</w:t>
            </w:r>
          </w:p>
          <w:p w14:paraId="4B78E950" w14:textId="77777777" w:rsidR="00E360E5" w:rsidRDefault="00E360E5" w:rsidP="009E682D">
            <w:pPr>
              <w:spacing w:before="40" w:line="240" w:lineRule="auto"/>
              <w:jc w:val="both"/>
              <w:rPr>
                <w:rFonts w:ascii="Arial Narrow" w:hAnsi="Arial Narrow" w:cs="Calibri"/>
                <w:color w:val="000000"/>
                <w:sz w:val="20"/>
                <w:szCs w:val="20"/>
              </w:rPr>
            </w:pPr>
            <w:r>
              <w:rPr>
                <w:rFonts w:ascii="Arial Narrow" w:hAnsi="Arial Narrow" w:cs="Calibri"/>
                <w:color w:val="000000"/>
                <w:sz w:val="20"/>
                <w:szCs w:val="20"/>
              </w:rPr>
              <w:t>per day</w:t>
            </w:r>
          </w:p>
        </w:tc>
        <w:tc>
          <w:tcPr>
            <w:tcW w:w="636" w:type="pct"/>
            <w:gridSpan w:val="2"/>
            <w:tcBorders>
              <w:top w:val="single" w:sz="4" w:space="0" w:color="auto"/>
              <w:bottom w:val="single" w:sz="4" w:space="0" w:color="auto"/>
            </w:tcBorders>
            <w:shd w:val="clear" w:color="auto" w:fill="auto"/>
            <w:noWrap/>
            <w:vAlign w:val="center"/>
          </w:tcPr>
          <w:p w14:paraId="789B6E1D"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12</w:t>
            </w:r>
          </w:p>
        </w:tc>
        <w:tc>
          <w:tcPr>
            <w:tcW w:w="727" w:type="pct"/>
            <w:tcBorders>
              <w:top w:val="single" w:sz="4" w:space="0" w:color="auto"/>
              <w:bottom w:val="single" w:sz="4" w:space="0" w:color="auto"/>
            </w:tcBorders>
            <w:shd w:val="clear" w:color="auto" w:fill="auto"/>
            <w:noWrap/>
            <w:vAlign w:val="center"/>
          </w:tcPr>
          <w:p w14:paraId="7DDC3662"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12</w:t>
            </w:r>
          </w:p>
        </w:tc>
        <w:tc>
          <w:tcPr>
            <w:tcW w:w="727" w:type="pct"/>
            <w:tcBorders>
              <w:top w:val="single" w:sz="4" w:space="0" w:color="auto"/>
              <w:bottom w:val="single" w:sz="4" w:space="0" w:color="auto"/>
            </w:tcBorders>
            <w:shd w:val="clear" w:color="auto" w:fill="auto"/>
            <w:noWrap/>
            <w:vAlign w:val="center"/>
          </w:tcPr>
          <w:p w14:paraId="041F4484"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22</w:t>
            </w:r>
          </w:p>
        </w:tc>
        <w:tc>
          <w:tcPr>
            <w:tcW w:w="799" w:type="pct"/>
            <w:tcBorders>
              <w:top w:val="single" w:sz="4" w:space="0" w:color="auto"/>
              <w:bottom w:val="single" w:sz="4" w:space="0" w:color="auto"/>
            </w:tcBorders>
            <w:shd w:val="clear" w:color="auto" w:fill="auto"/>
            <w:noWrap/>
            <w:vAlign w:val="center"/>
          </w:tcPr>
          <w:p w14:paraId="3E94399F"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22</w:t>
            </w:r>
          </w:p>
        </w:tc>
        <w:tc>
          <w:tcPr>
            <w:tcW w:w="722" w:type="pct"/>
            <w:tcBorders>
              <w:top w:val="single" w:sz="4" w:space="0" w:color="auto"/>
              <w:bottom w:val="single" w:sz="4" w:space="0" w:color="auto"/>
            </w:tcBorders>
            <w:shd w:val="clear" w:color="auto" w:fill="auto"/>
            <w:noWrap/>
            <w:vAlign w:val="center"/>
          </w:tcPr>
          <w:p w14:paraId="57734F0B"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22</w:t>
            </w:r>
          </w:p>
        </w:tc>
      </w:tr>
      <w:tr w:rsidR="00E360E5" w:rsidRPr="008C5729" w14:paraId="4F0A51A9" w14:textId="77777777" w:rsidTr="00A21A7F">
        <w:trPr>
          <w:trHeight w:val="290"/>
        </w:trPr>
        <w:tc>
          <w:tcPr>
            <w:tcW w:w="1389" w:type="pct"/>
            <w:tcBorders>
              <w:top w:val="single" w:sz="4" w:space="0" w:color="auto"/>
              <w:bottom w:val="single" w:sz="4" w:space="0" w:color="auto"/>
            </w:tcBorders>
            <w:shd w:val="clear" w:color="auto" w:fill="auto"/>
            <w:vAlign w:val="center"/>
          </w:tcPr>
          <w:p w14:paraId="5454B453" w14:textId="77777777" w:rsidR="00E360E5" w:rsidRDefault="00E360E5" w:rsidP="009E682D">
            <w:pPr>
              <w:spacing w:before="40" w:line="240" w:lineRule="auto"/>
              <w:jc w:val="both"/>
              <w:rPr>
                <w:rFonts w:ascii="Arial Narrow" w:hAnsi="Arial Narrow" w:cs="Calibri"/>
                <w:color w:val="000000"/>
                <w:sz w:val="20"/>
                <w:szCs w:val="20"/>
              </w:rPr>
            </w:pPr>
            <w:r>
              <w:rPr>
                <w:rFonts w:ascii="Arial Narrow" w:hAnsi="Arial Narrow" w:cs="Calibri"/>
                <w:color w:val="000000"/>
                <w:sz w:val="20"/>
                <w:szCs w:val="20"/>
              </w:rPr>
              <w:t>Annual treatment courses</w:t>
            </w:r>
          </w:p>
          <w:p w14:paraId="5096B3AF" w14:textId="77777777" w:rsidR="00E360E5" w:rsidRPr="008C5729" w:rsidRDefault="00E360E5" w:rsidP="009E682D">
            <w:pPr>
              <w:spacing w:before="40" w:line="240" w:lineRule="auto"/>
              <w:jc w:val="both"/>
              <w:rPr>
                <w:rFonts w:ascii="Arial Narrow" w:hAnsi="Arial Narrow" w:cs="Calibri"/>
                <w:color w:val="000000"/>
                <w:sz w:val="20"/>
                <w:szCs w:val="20"/>
              </w:rPr>
            </w:pPr>
            <w:r>
              <w:rPr>
                <w:rFonts w:ascii="Arial Narrow" w:hAnsi="Arial Narrow" w:cs="Calibri"/>
                <w:color w:val="000000"/>
                <w:sz w:val="20"/>
                <w:szCs w:val="20"/>
              </w:rPr>
              <w:t>(patients)</w:t>
            </w:r>
          </w:p>
        </w:tc>
        <w:tc>
          <w:tcPr>
            <w:tcW w:w="636" w:type="pct"/>
            <w:gridSpan w:val="2"/>
            <w:tcBorders>
              <w:top w:val="single" w:sz="4" w:space="0" w:color="auto"/>
              <w:bottom w:val="single" w:sz="4" w:space="0" w:color="auto"/>
            </w:tcBorders>
            <w:shd w:val="clear" w:color="auto" w:fill="auto"/>
            <w:noWrap/>
            <w:vAlign w:val="center"/>
          </w:tcPr>
          <w:p w14:paraId="4078311E"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1,656</w:t>
            </w:r>
          </w:p>
        </w:tc>
        <w:tc>
          <w:tcPr>
            <w:tcW w:w="727" w:type="pct"/>
            <w:tcBorders>
              <w:top w:val="single" w:sz="4" w:space="0" w:color="auto"/>
              <w:bottom w:val="single" w:sz="4" w:space="0" w:color="auto"/>
            </w:tcBorders>
            <w:shd w:val="clear" w:color="auto" w:fill="auto"/>
            <w:noWrap/>
            <w:vAlign w:val="center"/>
          </w:tcPr>
          <w:p w14:paraId="5E011EFE"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3,312</w:t>
            </w:r>
          </w:p>
        </w:tc>
        <w:tc>
          <w:tcPr>
            <w:tcW w:w="727" w:type="pct"/>
            <w:tcBorders>
              <w:top w:val="single" w:sz="4" w:space="0" w:color="auto"/>
              <w:bottom w:val="single" w:sz="4" w:space="0" w:color="auto"/>
            </w:tcBorders>
            <w:shd w:val="clear" w:color="auto" w:fill="auto"/>
            <w:noWrap/>
            <w:vAlign w:val="center"/>
          </w:tcPr>
          <w:p w14:paraId="6C0EE0F8"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10,120</w:t>
            </w:r>
          </w:p>
        </w:tc>
        <w:tc>
          <w:tcPr>
            <w:tcW w:w="799" w:type="pct"/>
            <w:tcBorders>
              <w:top w:val="single" w:sz="4" w:space="0" w:color="auto"/>
              <w:bottom w:val="single" w:sz="4" w:space="0" w:color="auto"/>
            </w:tcBorders>
            <w:shd w:val="clear" w:color="auto" w:fill="auto"/>
            <w:noWrap/>
            <w:vAlign w:val="center"/>
          </w:tcPr>
          <w:p w14:paraId="11D97D1D"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10,120</w:t>
            </w:r>
          </w:p>
        </w:tc>
        <w:tc>
          <w:tcPr>
            <w:tcW w:w="722" w:type="pct"/>
            <w:tcBorders>
              <w:top w:val="single" w:sz="4" w:space="0" w:color="auto"/>
              <w:bottom w:val="single" w:sz="4" w:space="0" w:color="auto"/>
            </w:tcBorders>
            <w:shd w:val="clear" w:color="auto" w:fill="auto"/>
            <w:noWrap/>
            <w:vAlign w:val="center"/>
          </w:tcPr>
          <w:p w14:paraId="5FA16E1E"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10,120</w:t>
            </w:r>
          </w:p>
        </w:tc>
      </w:tr>
      <w:tr w:rsidR="00E360E5" w:rsidRPr="008C5729" w14:paraId="16F84DEA" w14:textId="77777777" w:rsidTr="00A21A7F">
        <w:trPr>
          <w:trHeight w:val="290"/>
        </w:trPr>
        <w:tc>
          <w:tcPr>
            <w:tcW w:w="1389" w:type="pct"/>
            <w:tcBorders>
              <w:top w:val="single" w:sz="4" w:space="0" w:color="auto"/>
              <w:left w:val="single" w:sz="4" w:space="0" w:color="auto"/>
              <w:bottom w:val="single" w:sz="4" w:space="0" w:color="auto"/>
              <w:right w:val="nil"/>
            </w:tcBorders>
            <w:shd w:val="clear" w:color="auto" w:fill="auto"/>
            <w:vAlign w:val="center"/>
            <w:hideMark/>
          </w:tcPr>
          <w:p w14:paraId="59EB9549" w14:textId="77777777" w:rsidR="00E360E5" w:rsidRPr="008C5729" w:rsidRDefault="00E360E5" w:rsidP="009E682D">
            <w:pPr>
              <w:spacing w:before="40" w:line="240" w:lineRule="auto"/>
              <w:jc w:val="both"/>
              <w:rPr>
                <w:rFonts w:ascii="Arial Narrow" w:hAnsi="Arial Narrow" w:cs="Calibri"/>
                <w:b/>
                <w:bCs/>
                <w:color w:val="000000"/>
                <w:sz w:val="20"/>
                <w:szCs w:val="20"/>
              </w:rPr>
            </w:pPr>
            <w:r>
              <w:rPr>
                <w:rFonts w:ascii="Arial Narrow" w:hAnsi="Arial Narrow" w:cs="Calibri"/>
                <w:b/>
                <w:bCs/>
                <w:color w:val="000000"/>
                <w:sz w:val="20"/>
                <w:szCs w:val="20"/>
              </w:rPr>
              <w:t>Treatment assumptions</w:t>
            </w:r>
          </w:p>
        </w:tc>
        <w:tc>
          <w:tcPr>
            <w:tcW w:w="636" w:type="pct"/>
            <w:gridSpan w:val="2"/>
            <w:tcBorders>
              <w:top w:val="single" w:sz="4" w:space="0" w:color="auto"/>
              <w:left w:val="nil"/>
              <w:bottom w:val="single" w:sz="4" w:space="0" w:color="auto"/>
              <w:right w:val="nil"/>
            </w:tcBorders>
            <w:shd w:val="clear" w:color="auto" w:fill="auto"/>
            <w:noWrap/>
            <w:vAlign w:val="center"/>
            <w:hideMark/>
          </w:tcPr>
          <w:p w14:paraId="3DCB0A01"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 </w:t>
            </w:r>
          </w:p>
        </w:tc>
        <w:tc>
          <w:tcPr>
            <w:tcW w:w="727" w:type="pct"/>
            <w:tcBorders>
              <w:top w:val="single" w:sz="4" w:space="0" w:color="auto"/>
              <w:left w:val="nil"/>
              <w:bottom w:val="single" w:sz="4" w:space="0" w:color="auto"/>
              <w:right w:val="nil"/>
            </w:tcBorders>
            <w:shd w:val="clear" w:color="auto" w:fill="auto"/>
            <w:noWrap/>
            <w:vAlign w:val="center"/>
            <w:hideMark/>
          </w:tcPr>
          <w:p w14:paraId="314BA533"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 </w:t>
            </w:r>
          </w:p>
        </w:tc>
        <w:tc>
          <w:tcPr>
            <w:tcW w:w="727" w:type="pct"/>
            <w:tcBorders>
              <w:top w:val="single" w:sz="4" w:space="0" w:color="auto"/>
              <w:left w:val="nil"/>
              <w:bottom w:val="single" w:sz="4" w:space="0" w:color="auto"/>
              <w:right w:val="nil"/>
            </w:tcBorders>
            <w:shd w:val="clear" w:color="auto" w:fill="auto"/>
            <w:noWrap/>
            <w:vAlign w:val="center"/>
            <w:hideMark/>
          </w:tcPr>
          <w:p w14:paraId="3E0D7164"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 </w:t>
            </w:r>
          </w:p>
        </w:tc>
        <w:tc>
          <w:tcPr>
            <w:tcW w:w="799" w:type="pct"/>
            <w:tcBorders>
              <w:top w:val="single" w:sz="4" w:space="0" w:color="auto"/>
              <w:left w:val="nil"/>
              <w:bottom w:val="single" w:sz="4" w:space="0" w:color="auto"/>
              <w:right w:val="nil"/>
            </w:tcBorders>
            <w:shd w:val="clear" w:color="auto" w:fill="auto"/>
            <w:noWrap/>
            <w:vAlign w:val="center"/>
            <w:hideMark/>
          </w:tcPr>
          <w:p w14:paraId="24C3D755"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 </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8288EBB" w14:textId="77777777" w:rsidR="00E360E5" w:rsidRPr="008C5729" w:rsidRDefault="00E360E5" w:rsidP="009E682D">
            <w:pPr>
              <w:spacing w:before="40" w:line="240" w:lineRule="auto"/>
              <w:jc w:val="center"/>
              <w:rPr>
                <w:rFonts w:ascii="Arial Narrow" w:hAnsi="Arial Narrow" w:cs="Calibri"/>
                <w:b/>
                <w:bCs/>
                <w:color w:val="000000"/>
                <w:sz w:val="20"/>
                <w:szCs w:val="20"/>
              </w:rPr>
            </w:pPr>
            <w:r w:rsidRPr="008C5729">
              <w:rPr>
                <w:rFonts w:ascii="Arial Narrow" w:hAnsi="Arial Narrow" w:cs="Calibri"/>
                <w:b/>
                <w:bCs/>
                <w:color w:val="000000"/>
                <w:sz w:val="20"/>
                <w:szCs w:val="20"/>
              </w:rPr>
              <w:t> </w:t>
            </w:r>
          </w:p>
        </w:tc>
      </w:tr>
      <w:tr w:rsidR="00E360E5" w:rsidRPr="008C5729" w14:paraId="051695A3" w14:textId="77777777" w:rsidTr="00A21A7F">
        <w:trPr>
          <w:trHeight w:val="520"/>
        </w:trPr>
        <w:tc>
          <w:tcPr>
            <w:tcW w:w="1389" w:type="pct"/>
            <w:shd w:val="clear" w:color="auto" w:fill="auto"/>
            <w:vAlign w:val="center"/>
            <w:hideMark/>
          </w:tcPr>
          <w:p w14:paraId="4ED1C367" w14:textId="77777777" w:rsidR="00E360E5" w:rsidRPr="008C5729" w:rsidRDefault="00E360E5" w:rsidP="009E682D">
            <w:pPr>
              <w:spacing w:before="40" w:line="240" w:lineRule="auto"/>
              <w:jc w:val="both"/>
              <w:rPr>
                <w:rFonts w:ascii="Arial Narrow" w:hAnsi="Arial Narrow" w:cs="Calibri"/>
                <w:color w:val="000000"/>
                <w:sz w:val="20"/>
                <w:szCs w:val="20"/>
              </w:rPr>
            </w:pPr>
            <w:r w:rsidRPr="008C5729">
              <w:rPr>
                <w:rFonts w:ascii="Arial Narrow" w:hAnsi="Arial Narrow" w:cs="Calibri"/>
                <w:color w:val="000000"/>
                <w:sz w:val="20"/>
                <w:szCs w:val="20"/>
              </w:rPr>
              <w:t>Weighted-fractions (MR-IGRT)</w:t>
            </w:r>
          </w:p>
        </w:tc>
        <w:tc>
          <w:tcPr>
            <w:tcW w:w="636" w:type="pct"/>
            <w:gridSpan w:val="2"/>
            <w:shd w:val="clear" w:color="auto" w:fill="auto"/>
            <w:noWrap/>
            <w:vAlign w:val="center"/>
            <w:hideMark/>
          </w:tcPr>
          <w:p w14:paraId="60422580"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5</w:t>
            </w:r>
          </w:p>
        </w:tc>
        <w:tc>
          <w:tcPr>
            <w:tcW w:w="727" w:type="pct"/>
            <w:shd w:val="clear" w:color="auto" w:fill="auto"/>
            <w:noWrap/>
            <w:vAlign w:val="center"/>
            <w:hideMark/>
          </w:tcPr>
          <w:p w14:paraId="64A58C98"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5</w:t>
            </w:r>
          </w:p>
        </w:tc>
        <w:tc>
          <w:tcPr>
            <w:tcW w:w="727" w:type="pct"/>
            <w:shd w:val="clear" w:color="auto" w:fill="auto"/>
            <w:noWrap/>
            <w:vAlign w:val="center"/>
            <w:hideMark/>
          </w:tcPr>
          <w:p w14:paraId="3E0F8F0A"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5</w:t>
            </w:r>
          </w:p>
        </w:tc>
        <w:tc>
          <w:tcPr>
            <w:tcW w:w="799" w:type="pct"/>
            <w:shd w:val="clear" w:color="auto" w:fill="auto"/>
            <w:noWrap/>
            <w:vAlign w:val="center"/>
            <w:hideMark/>
          </w:tcPr>
          <w:p w14:paraId="75EF5B14"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5</w:t>
            </w:r>
          </w:p>
        </w:tc>
        <w:tc>
          <w:tcPr>
            <w:tcW w:w="722" w:type="pct"/>
            <w:shd w:val="clear" w:color="auto" w:fill="auto"/>
            <w:noWrap/>
            <w:vAlign w:val="center"/>
            <w:hideMark/>
          </w:tcPr>
          <w:p w14:paraId="7A861668"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5</w:t>
            </w:r>
          </w:p>
        </w:tc>
      </w:tr>
      <w:tr w:rsidR="00E360E5" w:rsidRPr="008C5729" w14:paraId="04E2B18B" w14:textId="77777777" w:rsidTr="00A21A7F">
        <w:trPr>
          <w:trHeight w:val="520"/>
        </w:trPr>
        <w:tc>
          <w:tcPr>
            <w:tcW w:w="1389" w:type="pct"/>
            <w:shd w:val="clear" w:color="auto" w:fill="auto"/>
            <w:vAlign w:val="center"/>
            <w:hideMark/>
          </w:tcPr>
          <w:p w14:paraId="4E773973" w14:textId="77777777" w:rsidR="00E360E5" w:rsidRPr="008C5729" w:rsidRDefault="00E360E5" w:rsidP="009E682D">
            <w:pPr>
              <w:spacing w:before="40" w:line="240" w:lineRule="auto"/>
              <w:jc w:val="both"/>
              <w:rPr>
                <w:rFonts w:ascii="Arial Narrow" w:hAnsi="Arial Narrow" w:cs="Calibri"/>
                <w:color w:val="000000"/>
                <w:sz w:val="20"/>
                <w:szCs w:val="20"/>
              </w:rPr>
            </w:pPr>
            <w:r w:rsidRPr="008C5729">
              <w:rPr>
                <w:rFonts w:ascii="Arial Narrow" w:hAnsi="Arial Narrow" w:cs="Calibri"/>
                <w:color w:val="000000"/>
                <w:sz w:val="20"/>
                <w:szCs w:val="20"/>
              </w:rPr>
              <w:t>Prostate MBS EBRT IMRT patient numbers (estimated)</w:t>
            </w:r>
          </w:p>
        </w:tc>
        <w:tc>
          <w:tcPr>
            <w:tcW w:w="636" w:type="pct"/>
            <w:gridSpan w:val="2"/>
            <w:shd w:val="clear" w:color="auto" w:fill="auto"/>
            <w:noWrap/>
            <w:vAlign w:val="center"/>
            <w:hideMark/>
          </w:tcPr>
          <w:p w14:paraId="4EE3C333"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7,571</w:t>
            </w:r>
          </w:p>
        </w:tc>
        <w:tc>
          <w:tcPr>
            <w:tcW w:w="727" w:type="pct"/>
            <w:shd w:val="clear" w:color="auto" w:fill="auto"/>
            <w:noWrap/>
            <w:vAlign w:val="center"/>
            <w:hideMark/>
          </w:tcPr>
          <w:p w14:paraId="12C44DE0"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8,026</w:t>
            </w:r>
          </w:p>
        </w:tc>
        <w:tc>
          <w:tcPr>
            <w:tcW w:w="727" w:type="pct"/>
            <w:shd w:val="clear" w:color="auto" w:fill="auto"/>
            <w:noWrap/>
            <w:vAlign w:val="center"/>
            <w:hideMark/>
          </w:tcPr>
          <w:p w14:paraId="0FEC55C2"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8,507</w:t>
            </w:r>
          </w:p>
        </w:tc>
        <w:tc>
          <w:tcPr>
            <w:tcW w:w="799" w:type="pct"/>
            <w:shd w:val="clear" w:color="auto" w:fill="auto"/>
            <w:noWrap/>
            <w:vAlign w:val="center"/>
            <w:hideMark/>
          </w:tcPr>
          <w:p w14:paraId="78A29C9C"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9,017</w:t>
            </w:r>
          </w:p>
        </w:tc>
        <w:tc>
          <w:tcPr>
            <w:tcW w:w="722" w:type="pct"/>
            <w:shd w:val="clear" w:color="auto" w:fill="auto"/>
            <w:noWrap/>
            <w:vAlign w:val="center"/>
            <w:hideMark/>
          </w:tcPr>
          <w:p w14:paraId="115F022A"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9,559</w:t>
            </w:r>
          </w:p>
        </w:tc>
      </w:tr>
      <w:tr w:rsidR="00E360E5" w:rsidRPr="008C5729" w14:paraId="0BB03FF4" w14:textId="77777777" w:rsidTr="00A21A7F">
        <w:trPr>
          <w:trHeight w:val="290"/>
        </w:trPr>
        <w:tc>
          <w:tcPr>
            <w:tcW w:w="1389" w:type="pct"/>
            <w:shd w:val="clear" w:color="auto" w:fill="auto"/>
            <w:vAlign w:val="center"/>
          </w:tcPr>
          <w:p w14:paraId="07C1E263" w14:textId="77777777" w:rsidR="00E360E5" w:rsidRPr="008C5729" w:rsidRDefault="00E360E5" w:rsidP="009E682D">
            <w:pPr>
              <w:spacing w:before="40" w:line="240" w:lineRule="auto"/>
              <w:jc w:val="both"/>
              <w:rPr>
                <w:rFonts w:ascii="Arial Narrow" w:hAnsi="Arial Narrow" w:cs="Calibri"/>
                <w:color w:val="000000"/>
                <w:sz w:val="20"/>
                <w:szCs w:val="20"/>
              </w:rPr>
            </w:pPr>
            <w:r w:rsidRPr="008C5729">
              <w:rPr>
                <w:rFonts w:ascii="Arial Narrow" w:hAnsi="Arial Narrow" w:cs="Calibri"/>
                <w:color w:val="000000"/>
                <w:sz w:val="20"/>
                <w:szCs w:val="20"/>
              </w:rPr>
              <w:t>Breast cancer MBS EBRT IMRT patient numbers (estimated)</w:t>
            </w:r>
          </w:p>
        </w:tc>
        <w:tc>
          <w:tcPr>
            <w:tcW w:w="636" w:type="pct"/>
            <w:gridSpan w:val="2"/>
            <w:shd w:val="clear" w:color="auto" w:fill="auto"/>
            <w:vAlign w:val="center"/>
          </w:tcPr>
          <w:p w14:paraId="3416AEFB"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11,745</w:t>
            </w:r>
          </w:p>
        </w:tc>
        <w:tc>
          <w:tcPr>
            <w:tcW w:w="727" w:type="pct"/>
            <w:shd w:val="clear" w:color="auto" w:fill="auto"/>
            <w:noWrap/>
            <w:vAlign w:val="center"/>
          </w:tcPr>
          <w:p w14:paraId="6543A3CE"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12,450</w:t>
            </w:r>
          </w:p>
        </w:tc>
        <w:tc>
          <w:tcPr>
            <w:tcW w:w="727" w:type="pct"/>
            <w:shd w:val="clear" w:color="auto" w:fill="auto"/>
            <w:noWrap/>
            <w:vAlign w:val="center"/>
          </w:tcPr>
          <w:p w14:paraId="6EF000C2"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13,197</w:t>
            </w:r>
          </w:p>
        </w:tc>
        <w:tc>
          <w:tcPr>
            <w:tcW w:w="799" w:type="pct"/>
            <w:shd w:val="clear" w:color="auto" w:fill="auto"/>
            <w:noWrap/>
            <w:vAlign w:val="center"/>
          </w:tcPr>
          <w:p w14:paraId="0859F409"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13,989</w:t>
            </w:r>
          </w:p>
        </w:tc>
        <w:tc>
          <w:tcPr>
            <w:tcW w:w="722" w:type="pct"/>
            <w:shd w:val="clear" w:color="auto" w:fill="auto"/>
            <w:noWrap/>
            <w:vAlign w:val="center"/>
          </w:tcPr>
          <w:p w14:paraId="7DF3C3EC"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14,828</w:t>
            </w:r>
          </w:p>
        </w:tc>
      </w:tr>
      <w:tr w:rsidR="00E360E5" w:rsidRPr="008C5729" w14:paraId="27E740F9" w14:textId="77777777" w:rsidTr="00A21A7F">
        <w:trPr>
          <w:trHeight w:val="290"/>
        </w:trPr>
        <w:tc>
          <w:tcPr>
            <w:tcW w:w="1389" w:type="pct"/>
            <w:shd w:val="clear" w:color="auto" w:fill="auto"/>
            <w:vAlign w:val="center"/>
            <w:hideMark/>
          </w:tcPr>
          <w:p w14:paraId="03923A01" w14:textId="77777777" w:rsidR="00E360E5" w:rsidRPr="008C5729" w:rsidRDefault="00E360E5" w:rsidP="009E682D">
            <w:pPr>
              <w:spacing w:before="40" w:line="240" w:lineRule="auto"/>
              <w:jc w:val="both"/>
              <w:rPr>
                <w:rFonts w:ascii="Arial Narrow" w:hAnsi="Arial Narrow" w:cs="Calibri"/>
                <w:color w:val="000000"/>
                <w:sz w:val="20"/>
                <w:szCs w:val="20"/>
              </w:rPr>
            </w:pPr>
            <w:r w:rsidRPr="008C5729">
              <w:rPr>
                <w:rFonts w:ascii="Arial Narrow" w:hAnsi="Arial Narrow" w:cs="Calibri"/>
                <w:color w:val="000000"/>
                <w:sz w:val="20"/>
                <w:szCs w:val="20"/>
              </w:rPr>
              <w:t>MR-linac uptake rate</w:t>
            </w:r>
            <w:r>
              <w:rPr>
                <w:rFonts w:ascii="Arial Narrow" w:hAnsi="Arial Narrow" w:cs="Calibri"/>
                <w:color w:val="000000"/>
                <w:sz w:val="20"/>
                <w:szCs w:val="20"/>
              </w:rPr>
              <w:t xml:space="preserve"> (overall)</w:t>
            </w:r>
          </w:p>
        </w:tc>
        <w:tc>
          <w:tcPr>
            <w:tcW w:w="636" w:type="pct"/>
            <w:gridSpan w:val="2"/>
            <w:shd w:val="clear" w:color="auto" w:fill="auto"/>
            <w:vAlign w:val="center"/>
            <w:hideMark/>
          </w:tcPr>
          <w:p w14:paraId="1BC7DAFC"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10%</w:t>
            </w:r>
          </w:p>
        </w:tc>
        <w:tc>
          <w:tcPr>
            <w:tcW w:w="727" w:type="pct"/>
            <w:shd w:val="clear" w:color="auto" w:fill="auto"/>
            <w:noWrap/>
            <w:vAlign w:val="center"/>
            <w:hideMark/>
          </w:tcPr>
          <w:p w14:paraId="5D28A5E0"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20%</w:t>
            </w:r>
          </w:p>
        </w:tc>
        <w:tc>
          <w:tcPr>
            <w:tcW w:w="727" w:type="pct"/>
            <w:shd w:val="clear" w:color="auto" w:fill="auto"/>
            <w:noWrap/>
            <w:vAlign w:val="center"/>
            <w:hideMark/>
          </w:tcPr>
          <w:p w14:paraId="7B706248"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30%</w:t>
            </w:r>
          </w:p>
        </w:tc>
        <w:tc>
          <w:tcPr>
            <w:tcW w:w="799" w:type="pct"/>
            <w:shd w:val="clear" w:color="auto" w:fill="auto"/>
            <w:noWrap/>
            <w:vAlign w:val="center"/>
            <w:hideMark/>
          </w:tcPr>
          <w:p w14:paraId="2177512E"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40%</w:t>
            </w:r>
          </w:p>
        </w:tc>
        <w:tc>
          <w:tcPr>
            <w:tcW w:w="722" w:type="pct"/>
            <w:shd w:val="clear" w:color="auto" w:fill="auto"/>
            <w:noWrap/>
            <w:vAlign w:val="center"/>
            <w:hideMark/>
          </w:tcPr>
          <w:p w14:paraId="79721046"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50%</w:t>
            </w:r>
          </w:p>
        </w:tc>
      </w:tr>
      <w:tr w:rsidR="00E360E5" w:rsidRPr="008C5729" w14:paraId="39F090BD" w14:textId="77777777" w:rsidTr="00A21A7F">
        <w:trPr>
          <w:trHeight w:val="260"/>
        </w:trPr>
        <w:tc>
          <w:tcPr>
            <w:tcW w:w="1389" w:type="pct"/>
            <w:tcBorders>
              <w:top w:val="single" w:sz="4" w:space="0" w:color="auto"/>
              <w:left w:val="single" w:sz="4" w:space="0" w:color="auto"/>
              <w:bottom w:val="single" w:sz="4" w:space="0" w:color="auto"/>
              <w:right w:val="nil"/>
            </w:tcBorders>
            <w:shd w:val="clear" w:color="auto" w:fill="auto"/>
            <w:vAlign w:val="center"/>
          </w:tcPr>
          <w:p w14:paraId="6DB44787" w14:textId="77777777" w:rsidR="00E360E5" w:rsidRPr="004A6CBF" w:rsidRDefault="00E360E5" w:rsidP="009E682D">
            <w:pPr>
              <w:spacing w:before="40" w:line="240" w:lineRule="auto"/>
              <w:rPr>
                <w:rFonts w:ascii="Arial Narrow" w:hAnsi="Arial Narrow" w:cs="Calibri"/>
                <w:b/>
                <w:bCs/>
                <w:color w:val="000000"/>
                <w:sz w:val="20"/>
                <w:szCs w:val="20"/>
              </w:rPr>
            </w:pPr>
            <w:r w:rsidRPr="004A6CBF">
              <w:rPr>
                <w:rFonts w:ascii="Arial Narrow" w:hAnsi="Arial Narrow" w:cs="Calibri"/>
                <w:b/>
                <w:bCs/>
                <w:color w:val="000000"/>
                <w:sz w:val="20"/>
                <w:szCs w:val="20"/>
              </w:rPr>
              <w:t>Estimated utilisation</w:t>
            </w:r>
          </w:p>
        </w:tc>
        <w:tc>
          <w:tcPr>
            <w:tcW w:w="636" w:type="pct"/>
            <w:gridSpan w:val="2"/>
            <w:tcBorders>
              <w:top w:val="single" w:sz="4" w:space="0" w:color="auto"/>
              <w:left w:val="nil"/>
              <w:bottom w:val="single" w:sz="4" w:space="0" w:color="auto"/>
              <w:right w:val="nil"/>
            </w:tcBorders>
            <w:shd w:val="clear" w:color="auto" w:fill="auto"/>
            <w:vAlign w:val="center"/>
          </w:tcPr>
          <w:p w14:paraId="3828F34A" w14:textId="77777777" w:rsidR="00E360E5" w:rsidRPr="008C5729" w:rsidRDefault="00E360E5" w:rsidP="009E682D">
            <w:pPr>
              <w:spacing w:before="40" w:line="240" w:lineRule="auto"/>
              <w:jc w:val="center"/>
              <w:rPr>
                <w:rFonts w:ascii="Arial Narrow" w:hAnsi="Arial Narrow" w:cs="Calibri"/>
                <w:color w:val="000000"/>
                <w:sz w:val="20"/>
                <w:szCs w:val="20"/>
              </w:rPr>
            </w:pPr>
          </w:p>
        </w:tc>
        <w:tc>
          <w:tcPr>
            <w:tcW w:w="727" w:type="pct"/>
            <w:tcBorders>
              <w:top w:val="single" w:sz="4" w:space="0" w:color="auto"/>
              <w:left w:val="nil"/>
              <w:bottom w:val="single" w:sz="4" w:space="0" w:color="auto"/>
              <w:right w:val="nil"/>
            </w:tcBorders>
            <w:shd w:val="clear" w:color="auto" w:fill="auto"/>
            <w:vAlign w:val="center"/>
          </w:tcPr>
          <w:p w14:paraId="160A316E" w14:textId="77777777" w:rsidR="00E360E5" w:rsidRPr="008C5729" w:rsidRDefault="00E360E5" w:rsidP="009E682D">
            <w:pPr>
              <w:spacing w:before="40" w:line="240" w:lineRule="auto"/>
              <w:jc w:val="center"/>
              <w:rPr>
                <w:rFonts w:ascii="Arial Narrow" w:hAnsi="Arial Narrow" w:cs="Calibri"/>
                <w:color w:val="000000"/>
                <w:sz w:val="20"/>
                <w:szCs w:val="20"/>
              </w:rPr>
            </w:pPr>
          </w:p>
        </w:tc>
        <w:tc>
          <w:tcPr>
            <w:tcW w:w="727" w:type="pct"/>
            <w:tcBorders>
              <w:top w:val="single" w:sz="4" w:space="0" w:color="auto"/>
              <w:left w:val="nil"/>
              <w:bottom w:val="single" w:sz="4" w:space="0" w:color="auto"/>
              <w:right w:val="nil"/>
            </w:tcBorders>
            <w:shd w:val="clear" w:color="auto" w:fill="auto"/>
            <w:vAlign w:val="center"/>
          </w:tcPr>
          <w:p w14:paraId="201710BF" w14:textId="77777777" w:rsidR="00E360E5" w:rsidRPr="008C5729" w:rsidRDefault="00E360E5" w:rsidP="009E682D">
            <w:pPr>
              <w:spacing w:before="40" w:line="240" w:lineRule="auto"/>
              <w:jc w:val="center"/>
              <w:rPr>
                <w:rFonts w:ascii="Arial Narrow" w:hAnsi="Arial Narrow" w:cs="Calibri"/>
                <w:color w:val="000000"/>
                <w:sz w:val="20"/>
                <w:szCs w:val="20"/>
              </w:rPr>
            </w:pPr>
          </w:p>
        </w:tc>
        <w:tc>
          <w:tcPr>
            <w:tcW w:w="799" w:type="pct"/>
            <w:tcBorders>
              <w:top w:val="single" w:sz="4" w:space="0" w:color="auto"/>
              <w:left w:val="nil"/>
              <w:bottom w:val="single" w:sz="4" w:space="0" w:color="auto"/>
              <w:right w:val="nil"/>
            </w:tcBorders>
            <w:shd w:val="clear" w:color="auto" w:fill="auto"/>
            <w:vAlign w:val="center"/>
          </w:tcPr>
          <w:p w14:paraId="2FEA2350" w14:textId="77777777" w:rsidR="00E360E5" w:rsidRPr="008C5729" w:rsidRDefault="00E360E5" w:rsidP="009E682D">
            <w:pPr>
              <w:spacing w:before="40" w:line="240" w:lineRule="auto"/>
              <w:jc w:val="center"/>
              <w:rPr>
                <w:rFonts w:ascii="Arial Narrow" w:hAnsi="Arial Narrow" w:cs="Calibri"/>
                <w:color w:val="000000"/>
                <w:sz w:val="20"/>
                <w:szCs w:val="20"/>
              </w:rPr>
            </w:pPr>
          </w:p>
        </w:tc>
        <w:tc>
          <w:tcPr>
            <w:tcW w:w="722" w:type="pct"/>
            <w:tcBorders>
              <w:top w:val="single" w:sz="4" w:space="0" w:color="auto"/>
              <w:left w:val="nil"/>
              <w:bottom w:val="single" w:sz="4" w:space="0" w:color="auto"/>
              <w:right w:val="single" w:sz="4" w:space="0" w:color="auto"/>
            </w:tcBorders>
            <w:shd w:val="clear" w:color="auto" w:fill="auto"/>
            <w:vAlign w:val="center"/>
          </w:tcPr>
          <w:p w14:paraId="4459892E" w14:textId="77777777" w:rsidR="00E360E5" w:rsidRPr="008C5729" w:rsidRDefault="00E360E5" w:rsidP="009E682D">
            <w:pPr>
              <w:spacing w:before="40" w:line="240" w:lineRule="auto"/>
              <w:jc w:val="center"/>
              <w:rPr>
                <w:rFonts w:ascii="Arial Narrow" w:hAnsi="Arial Narrow" w:cs="Calibri"/>
                <w:color w:val="000000"/>
                <w:sz w:val="20"/>
                <w:szCs w:val="20"/>
              </w:rPr>
            </w:pPr>
          </w:p>
        </w:tc>
      </w:tr>
      <w:tr w:rsidR="00E360E5" w:rsidRPr="008C5729" w14:paraId="498A5D70" w14:textId="77777777" w:rsidTr="00A21A7F">
        <w:trPr>
          <w:trHeight w:val="287"/>
        </w:trPr>
        <w:tc>
          <w:tcPr>
            <w:tcW w:w="1389" w:type="pct"/>
            <w:tcBorders>
              <w:top w:val="single" w:sz="4" w:space="0" w:color="auto"/>
            </w:tcBorders>
            <w:shd w:val="clear" w:color="auto" w:fill="auto"/>
            <w:vAlign w:val="center"/>
          </w:tcPr>
          <w:p w14:paraId="5CED7322" w14:textId="77777777" w:rsidR="00E360E5" w:rsidRPr="008C5729" w:rsidRDefault="00E360E5" w:rsidP="009E682D">
            <w:pPr>
              <w:spacing w:before="40" w:line="240" w:lineRule="auto"/>
              <w:jc w:val="both"/>
              <w:rPr>
                <w:rFonts w:ascii="Arial Narrow" w:hAnsi="Arial Narrow" w:cs="Calibri"/>
                <w:color w:val="000000"/>
                <w:sz w:val="20"/>
                <w:szCs w:val="20"/>
              </w:rPr>
            </w:pPr>
            <w:r w:rsidRPr="008C5729">
              <w:rPr>
                <w:rFonts w:ascii="Arial Narrow" w:hAnsi="Arial Narrow" w:cs="Calibri"/>
                <w:color w:val="000000"/>
                <w:sz w:val="20"/>
                <w:szCs w:val="20"/>
              </w:rPr>
              <w:t>Total</w:t>
            </w:r>
            <w:r>
              <w:rPr>
                <w:rFonts w:ascii="Arial Narrow" w:hAnsi="Arial Narrow" w:cs="Calibri"/>
                <w:color w:val="000000"/>
                <w:sz w:val="20"/>
                <w:szCs w:val="20"/>
              </w:rPr>
              <w:t xml:space="preserve"> patient numbers without capacity constraints </w:t>
            </w:r>
            <w:r w:rsidRPr="008C5729">
              <w:rPr>
                <w:rFonts w:ascii="Arial Narrow" w:hAnsi="Arial Narrow" w:cs="Calibri"/>
                <w:color w:val="000000"/>
                <w:sz w:val="20"/>
                <w:szCs w:val="20"/>
              </w:rPr>
              <w:t>(prostate and breast)</w:t>
            </w:r>
          </w:p>
        </w:tc>
        <w:tc>
          <w:tcPr>
            <w:tcW w:w="636" w:type="pct"/>
            <w:gridSpan w:val="2"/>
            <w:tcBorders>
              <w:top w:val="single" w:sz="4" w:space="0" w:color="auto"/>
            </w:tcBorders>
            <w:shd w:val="clear" w:color="auto" w:fill="auto"/>
            <w:vAlign w:val="center"/>
          </w:tcPr>
          <w:p w14:paraId="1C66BC57"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1,932</w:t>
            </w:r>
          </w:p>
        </w:tc>
        <w:tc>
          <w:tcPr>
            <w:tcW w:w="727" w:type="pct"/>
            <w:tcBorders>
              <w:top w:val="single" w:sz="4" w:space="0" w:color="auto"/>
            </w:tcBorders>
            <w:shd w:val="clear" w:color="auto" w:fill="auto"/>
            <w:vAlign w:val="center"/>
          </w:tcPr>
          <w:p w14:paraId="2C54190B"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4,095</w:t>
            </w:r>
          </w:p>
        </w:tc>
        <w:tc>
          <w:tcPr>
            <w:tcW w:w="727" w:type="pct"/>
            <w:tcBorders>
              <w:top w:val="single" w:sz="4" w:space="0" w:color="auto"/>
            </w:tcBorders>
            <w:shd w:val="clear" w:color="auto" w:fill="auto"/>
            <w:vAlign w:val="center"/>
          </w:tcPr>
          <w:p w14:paraId="315180C1"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6,511</w:t>
            </w:r>
          </w:p>
        </w:tc>
        <w:tc>
          <w:tcPr>
            <w:tcW w:w="799" w:type="pct"/>
            <w:tcBorders>
              <w:top w:val="single" w:sz="4" w:space="0" w:color="auto"/>
            </w:tcBorders>
            <w:shd w:val="clear" w:color="auto" w:fill="auto"/>
            <w:vAlign w:val="center"/>
          </w:tcPr>
          <w:p w14:paraId="1EC54A13"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9,203</w:t>
            </w:r>
          </w:p>
        </w:tc>
        <w:tc>
          <w:tcPr>
            <w:tcW w:w="722" w:type="pct"/>
            <w:tcBorders>
              <w:top w:val="single" w:sz="4" w:space="0" w:color="auto"/>
            </w:tcBorders>
            <w:shd w:val="clear" w:color="auto" w:fill="auto"/>
            <w:vAlign w:val="center"/>
          </w:tcPr>
          <w:p w14:paraId="11B78C34"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12,194</w:t>
            </w:r>
          </w:p>
        </w:tc>
      </w:tr>
      <w:tr w:rsidR="00E360E5" w:rsidRPr="008C5729" w14:paraId="56AF4B1D" w14:textId="77777777" w:rsidTr="00A21A7F">
        <w:trPr>
          <w:trHeight w:val="530"/>
        </w:trPr>
        <w:tc>
          <w:tcPr>
            <w:tcW w:w="1389" w:type="pct"/>
            <w:tcBorders>
              <w:top w:val="single" w:sz="4" w:space="0" w:color="auto"/>
            </w:tcBorders>
            <w:shd w:val="clear" w:color="auto" w:fill="auto"/>
            <w:vAlign w:val="center"/>
            <w:hideMark/>
          </w:tcPr>
          <w:p w14:paraId="5C2F7484" w14:textId="77777777" w:rsidR="00E360E5" w:rsidRPr="008C5729" w:rsidRDefault="00E360E5" w:rsidP="009E682D">
            <w:pPr>
              <w:spacing w:before="40" w:line="240" w:lineRule="auto"/>
              <w:jc w:val="both"/>
              <w:rPr>
                <w:rFonts w:ascii="Arial Narrow" w:hAnsi="Arial Narrow" w:cs="Calibri"/>
                <w:color w:val="000000"/>
                <w:sz w:val="20"/>
                <w:szCs w:val="20"/>
              </w:rPr>
            </w:pPr>
            <w:r w:rsidRPr="008C5729">
              <w:rPr>
                <w:rFonts w:ascii="Arial Narrow" w:hAnsi="Arial Narrow" w:cs="Calibri"/>
                <w:color w:val="000000"/>
                <w:sz w:val="20"/>
                <w:szCs w:val="20"/>
              </w:rPr>
              <w:t>Total max</w:t>
            </w:r>
            <w:r>
              <w:rPr>
                <w:rFonts w:ascii="Arial Narrow" w:hAnsi="Arial Narrow" w:cs="Calibri"/>
                <w:color w:val="000000"/>
                <w:sz w:val="20"/>
                <w:szCs w:val="20"/>
              </w:rPr>
              <w:t>imum</w:t>
            </w:r>
            <w:r w:rsidRPr="008C5729">
              <w:rPr>
                <w:rFonts w:ascii="Arial Narrow" w:hAnsi="Arial Narrow" w:cs="Calibri"/>
                <w:color w:val="000000"/>
                <w:sz w:val="20"/>
                <w:szCs w:val="20"/>
              </w:rPr>
              <w:t xml:space="preserve"> uptake accounting for capacity</w:t>
            </w:r>
            <w:r>
              <w:rPr>
                <w:rFonts w:ascii="Arial Narrow" w:hAnsi="Arial Narrow" w:cs="Calibri"/>
                <w:color w:val="000000"/>
                <w:sz w:val="20"/>
                <w:szCs w:val="20"/>
              </w:rPr>
              <w:t xml:space="preserve"> constraints</w:t>
            </w:r>
          </w:p>
        </w:tc>
        <w:tc>
          <w:tcPr>
            <w:tcW w:w="636" w:type="pct"/>
            <w:gridSpan w:val="2"/>
            <w:tcBorders>
              <w:top w:val="single" w:sz="4" w:space="0" w:color="auto"/>
            </w:tcBorders>
            <w:shd w:val="clear" w:color="auto" w:fill="auto"/>
            <w:vAlign w:val="center"/>
            <w:hideMark/>
          </w:tcPr>
          <w:p w14:paraId="2395DC33"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w:t>
            </w:r>
            <w:r>
              <w:rPr>
                <w:rFonts w:ascii="Arial Narrow" w:hAnsi="Arial Narrow" w:cs="Calibri"/>
                <w:color w:val="000000"/>
                <w:sz w:val="20"/>
                <w:szCs w:val="20"/>
              </w:rPr>
              <w:t>,</w:t>
            </w:r>
            <w:r w:rsidRPr="008C5729">
              <w:rPr>
                <w:rFonts w:ascii="Arial Narrow" w:hAnsi="Arial Narrow" w:cs="Calibri"/>
                <w:color w:val="000000"/>
                <w:sz w:val="20"/>
                <w:szCs w:val="20"/>
              </w:rPr>
              <w:t>656</w:t>
            </w:r>
          </w:p>
        </w:tc>
        <w:tc>
          <w:tcPr>
            <w:tcW w:w="727" w:type="pct"/>
            <w:tcBorders>
              <w:top w:val="single" w:sz="4" w:space="0" w:color="auto"/>
            </w:tcBorders>
            <w:shd w:val="clear" w:color="auto" w:fill="auto"/>
            <w:vAlign w:val="center"/>
            <w:hideMark/>
          </w:tcPr>
          <w:p w14:paraId="472D47C0"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3</w:t>
            </w:r>
            <w:r>
              <w:rPr>
                <w:rFonts w:ascii="Arial Narrow" w:hAnsi="Arial Narrow" w:cs="Calibri"/>
                <w:color w:val="000000"/>
                <w:sz w:val="20"/>
                <w:szCs w:val="20"/>
              </w:rPr>
              <w:t>,</w:t>
            </w:r>
            <w:r w:rsidRPr="008C5729">
              <w:rPr>
                <w:rFonts w:ascii="Arial Narrow" w:hAnsi="Arial Narrow" w:cs="Calibri"/>
                <w:color w:val="000000"/>
                <w:sz w:val="20"/>
                <w:szCs w:val="20"/>
              </w:rPr>
              <w:t>312</w:t>
            </w:r>
          </w:p>
        </w:tc>
        <w:tc>
          <w:tcPr>
            <w:tcW w:w="727" w:type="pct"/>
            <w:tcBorders>
              <w:top w:val="single" w:sz="4" w:space="0" w:color="auto"/>
            </w:tcBorders>
            <w:shd w:val="clear" w:color="auto" w:fill="auto"/>
            <w:vAlign w:val="center"/>
            <w:hideMark/>
          </w:tcPr>
          <w:p w14:paraId="2F266592"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6</w:t>
            </w:r>
            <w:r>
              <w:rPr>
                <w:rFonts w:ascii="Arial Narrow" w:hAnsi="Arial Narrow" w:cs="Calibri"/>
                <w:color w:val="000000"/>
                <w:sz w:val="20"/>
                <w:szCs w:val="20"/>
              </w:rPr>
              <w:t>,</w:t>
            </w:r>
            <w:r w:rsidRPr="008C5729">
              <w:rPr>
                <w:rFonts w:ascii="Arial Narrow" w:hAnsi="Arial Narrow" w:cs="Calibri"/>
                <w:color w:val="000000"/>
                <w:sz w:val="20"/>
                <w:szCs w:val="20"/>
              </w:rPr>
              <w:t>511</w:t>
            </w:r>
          </w:p>
        </w:tc>
        <w:tc>
          <w:tcPr>
            <w:tcW w:w="799" w:type="pct"/>
            <w:tcBorders>
              <w:top w:val="single" w:sz="4" w:space="0" w:color="auto"/>
            </w:tcBorders>
            <w:shd w:val="clear" w:color="auto" w:fill="auto"/>
            <w:vAlign w:val="center"/>
            <w:hideMark/>
          </w:tcPr>
          <w:p w14:paraId="6F135D31"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9</w:t>
            </w:r>
            <w:r>
              <w:rPr>
                <w:rFonts w:ascii="Arial Narrow" w:hAnsi="Arial Narrow" w:cs="Calibri"/>
                <w:color w:val="000000"/>
                <w:sz w:val="20"/>
                <w:szCs w:val="20"/>
              </w:rPr>
              <w:t>,</w:t>
            </w:r>
            <w:r w:rsidRPr="008C5729">
              <w:rPr>
                <w:rFonts w:ascii="Arial Narrow" w:hAnsi="Arial Narrow" w:cs="Calibri"/>
                <w:color w:val="000000"/>
                <w:sz w:val="20"/>
                <w:szCs w:val="20"/>
              </w:rPr>
              <w:t>203</w:t>
            </w:r>
          </w:p>
        </w:tc>
        <w:tc>
          <w:tcPr>
            <w:tcW w:w="722" w:type="pct"/>
            <w:tcBorders>
              <w:top w:val="single" w:sz="4" w:space="0" w:color="auto"/>
            </w:tcBorders>
            <w:shd w:val="clear" w:color="auto" w:fill="auto"/>
            <w:vAlign w:val="center"/>
            <w:hideMark/>
          </w:tcPr>
          <w:p w14:paraId="54EB01C2" w14:textId="77777777" w:rsidR="00E360E5" w:rsidRPr="008C5729" w:rsidRDefault="00E360E5" w:rsidP="009E682D">
            <w:pPr>
              <w:spacing w:before="40" w:line="240" w:lineRule="auto"/>
              <w:jc w:val="center"/>
              <w:rPr>
                <w:rFonts w:ascii="Arial Narrow" w:hAnsi="Arial Narrow" w:cs="Calibri"/>
                <w:color w:val="000000"/>
                <w:sz w:val="20"/>
                <w:szCs w:val="20"/>
              </w:rPr>
            </w:pPr>
            <w:r w:rsidRPr="008C5729">
              <w:rPr>
                <w:rFonts w:ascii="Arial Narrow" w:hAnsi="Arial Narrow" w:cs="Calibri"/>
                <w:color w:val="000000"/>
                <w:sz w:val="20"/>
                <w:szCs w:val="20"/>
              </w:rPr>
              <w:t>10</w:t>
            </w:r>
            <w:r>
              <w:rPr>
                <w:rFonts w:ascii="Arial Narrow" w:hAnsi="Arial Narrow" w:cs="Calibri"/>
                <w:color w:val="000000"/>
                <w:sz w:val="20"/>
                <w:szCs w:val="20"/>
              </w:rPr>
              <w:t>,</w:t>
            </w:r>
            <w:r w:rsidRPr="008C5729">
              <w:rPr>
                <w:rFonts w:ascii="Arial Narrow" w:hAnsi="Arial Narrow" w:cs="Calibri"/>
                <w:color w:val="000000"/>
                <w:sz w:val="20"/>
                <w:szCs w:val="20"/>
              </w:rPr>
              <w:t>120</w:t>
            </w:r>
          </w:p>
        </w:tc>
      </w:tr>
    </w:tbl>
    <w:p w14:paraId="1DE176FF" w14:textId="5CCD99B3" w:rsidR="00E360E5" w:rsidRDefault="00E360E5" w:rsidP="009E682D">
      <w:pPr>
        <w:spacing w:before="0" w:after="0" w:line="240" w:lineRule="auto"/>
        <w:rPr>
          <w:rFonts w:ascii="Arial Narrow" w:hAnsi="Arial Narrow"/>
          <w:sz w:val="16"/>
          <w:szCs w:val="16"/>
        </w:rPr>
      </w:pPr>
      <w:r>
        <w:rPr>
          <w:rFonts w:ascii="Arial Narrow" w:hAnsi="Arial Narrow"/>
          <w:sz w:val="16"/>
          <w:szCs w:val="16"/>
        </w:rPr>
        <w:t>Abbreviations: CBCT=cone beam computer tomography, EBRT=external beam radiation therapy, MR-IGRT=magnetic resonance image-guided radiation therapy, MR-linac=magnetic resonance linac</w:t>
      </w:r>
    </w:p>
    <w:p w14:paraId="6D9ED7D8" w14:textId="77777777" w:rsidR="00E360E5" w:rsidRDefault="00E360E5" w:rsidP="009E682D">
      <w:pPr>
        <w:spacing w:before="0" w:after="0" w:line="240" w:lineRule="auto"/>
        <w:rPr>
          <w:rFonts w:ascii="Arial Narrow" w:hAnsi="Arial Narrow"/>
          <w:sz w:val="16"/>
          <w:szCs w:val="16"/>
        </w:rPr>
      </w:pPr>
      <w:r>
        <w:rPr>
          <w:rFonts w:ascii="Arial Narrow" w:hAnsi="Arial Narrow"/>
          <w:sz w:val="16"/>
          <w:szCs w:val="16"/>
        </w:rPr>
        <w:t>Note: This analysis is indicative only and is not intended to make prediction about the ultimate cancer indications for which MR-IGRT may be used or the relative proportions of patients from different cancer indications that may use it.</w:t>
      </w:r>
    </w:p>
    <w:p w14:paraId="75A2F1AE" w14:textId="70D4F38F" w:rsidR="00E360E5" w:rsidRDefault="004F105A" w:rsidP="00E360E5">
      <w:pPr>
        <w:jc w:val="both"/>
      </w:pPr>
      <w:r>
        <w:rPr>
          <w:rFonts w:asciiTheme="minorHAnsi" w:hAnsiTheme="minorHAnsi" w:cstheme="minorHAnsi"/>
        </w:rPr>
        <w:t>C</w:t>
      </w:r>
      <w:r w:rsidR="00E360E5">
        <w:rPr>
          <w:rFonts w:asciiTheme="minorHAnsi" w:hAnsiTheme="minorHAnsi" w:cstheme="minorHAnsi"/>
        </w:rPr>
        <w:t xml:space="preserve">linical advice estimates that with CBCT-IGRT, prostate and breast cancer patients currently </w:t>
      </w:r>
      <w:r>
        <w:rPr>
          <w:rFonts w:asciiTheme="minorHAnsi" w:hAnsiTheme="minorHAnsi" w:cstheme="minorHAnsi"/>
        </w:rPr>
        <w:t xml:space="preserve">are using </w:t>
      </w:r>
      <w:r w:rsidR="00E360E5">
        <w:rPr>
          <w:rFonts w:asciiTheme="minorHAnsi" w:hAnsiTheme="minorHAnsi" w:cstheme="minorHAnsi"/>
        </w:rPr>
        <w:t xml:space="preserve">between 16 to 20 fractions per treatment course in Australian clinical settings.  </w:t>
      </w:r>
      <w:r w:rsidR="00E360E5">
        <w:t xml:space="preserve">This broadly concords with MBS utilisation data for MBS items 15565 (dosimetry planning) and 15275 (single episode of radiation oncology treatment, or fraction).  In 2019-20, 50,906 items for dosimetry planning and 968,287 items for fractions were claimed, equating to approximately 19.5 fractions per patient undertaking dosimetry planning.  Assuming this, there would be expected to be reductions in use of MBS item 15275 (single episode of radiation oncology treatment, or fraction).  </w:t>
      </w:r>
      <w:r w:rsidR="00E360E5">
        <w:fldChar w:fldCharType="begin"/>
      </w:r>
      <w:r w:rsidR="00E360E5">
        <w:instrText xml:space="preserve"> REF _Ref58931525 \h </w:instrText>
      </w:r>
      <w:r w:rsidR="00E360E5">
        <w:fldChar w:fldCharType="separate"/>
      </w:r>
      <w:r w:rsidR="00451350">
        <w:t xml:space="preserve">Table </w:t>
      </w:r>
      <w:r w:rsidR="00451350">
        <w:rPr>
          <w:noProof/>
        </w:rPr>
        <w:t>68</w:t>
      </w:r>
      <w:r w:rsidR="00E360E5">
        <w:fldChar w:fldCharType="end"/>
      </w:r>
      <w:r w:rsidR="00E360E5">
        <w:t xml:space="preserve"> summarises estimated reduction in utilisation of this item, assuming a CBCT-IGRT treatment fraction total of 18</w:t>
      </w:r>
      <w:r w:rsidR="00BC5FE6">
        <w:t xml:space="preserve"> and an MR-IGRT treatment fraction total of five</w:t>
      </w:r>
      <w:r w:rsidR="00E360E5">
        <w:t xml:space="preserve">.  This would lead to a reduction in utilisation of MBS </w:t>
      </w:r>
      <w:r w:rsidR="00E360E5">
        <w:lastRenderedPageBreak/>
        <w:t>item 15275 of 21,528 in year one, increasing to 131,560 in year three and remaining at that level thereafter.</w:t>
      </w:r>
    </w:p>
    <w:p w14:paraId="071E96C1" w14:textId="662A9A61" w:rsidR="00E360E5" w:rsidRDefault="00E360E5" w:rsidP="00183330">
      <w:pPr>
        <w:pStyle w:val="Caption"/>
        <w:keepNext/>
        <w:ind w:left="1130" w:hanging="1130"/>
      </w:pPr>
      <w:bookmarkStart w:id="664" w:name="_Ref58931525"/>
      <w:bookmarkStart w:id="665" w:name="_Toc89857939"/>
      <w:r>
        <w:t xml:space="preserve">Table </w:t>
      </w:r>
      <w:r w:rsidR="00211285">
        <w:fldChar w:fldCharType="begin"/>
      </w:r>
      <w:r w:rsidR="00211285">
        <w:instrText xml:space="preserve"> SEQ Table \* ARABIC </w:instrText>
      </w:r>
      <w:r w:rsidR="00211285">
        <w:fldChar w:fldCharType="separate"/>
      </w:r>
      <w:r w:rsidR="00451350">
        <w:rPr>
          <w:noProof/>
        </w:rPr>
        <w:t>68</w:t>
      </w:r>
      <w:r w:rsidR="00211285">
        <w:rPr>
          <w:noProof/>
        </w:rPr>
        <w:fldChar w:fldCharType="end"/>
      </w:r>
      <w:bookmarkEnd w:id="664"/>
      <w:r>
        <w:tab/>
        <w:t>Estimated reduction in utilisation of episodes of radiation oncology treatment, 2021 to 2025</w:t>
      </w:r>
      <w:bookmarkEnd w:id="665"/>
    </w:p>
    <w:tbl>
      <w:tblPr>
        <w:tblStyle w:val="TableGrid"/>
        <w:tblW w:w="0" w:type="auto"/>
        <w:tblLook w:val="04A0" w:firstRow="1" w:lastRow="0" w:firstColumn="1" w:lastColumn="0" w:noHBand="0" w:noVBand="1"/>
      </w:tblPr>
      <w:tblGrid>
        <w:gridCol w:w="3681"/>
        <w:gridCol w:w="1067"/>
        <w:gridCol w:w="1067"/>
        <w:gridCol w:w="1067"/>
        <w:gridCol w:w="1067"/>
        <w:gridCol w:w="1067"/>
      </w:tblGrid>
      <w:tr w:rsidR="00E360E5" w:rsidRPr="008519CE" w14:paraId="54051898" w14:textId="77777777" w:rsidTr="00183330">
        <w:trPr>
          <w:tblHeader/>
        </w:trPr>
        <w:tc>
          <w:tcPr>
            <w:tcW w:w="3681" w:type="dxa"/>
            <w:vAlign w:val="center"/>
          </w:tcPr>
          <w:p w14:paraId="3B8A1BF1" w14:textId="77777777" w:rsidR="00E360E5" w:rsidRPr="008519CE" w:rsidRDefault="00E360E5" w:rsidP="00183330">
            <w:pPr>
              <w:keepNext/>
              <w:spacing w:before="40" w:line="240" w:lineRule="auto"/>
              <w:ind w:left="0"/>
              <w:rPr>
                <w:rFonts w:ascii="Arial Narrow" w:hAnsi="Arial Narrow"/>
                <w:b/>
                <w:bCs/>
                <w:sz w:val="20"/>
                <w:szCs w:val="20"/>
              </w:rPr>
            </w:pPr>
            <w:r w:rsidRPr="008519CE">
              <w:rPr>
                <w:rFonts w:ascii="Arial Narrow" w:hAnsi="Arial Narrow"/>
                <w:b/>
                <w:bCs/>
                <w:sz w:val="20"/>
                <w:szCs w:val="20"/>
              </w:rPr>
              <w:t>Item</w:t>
            </w:r>
          </w:p>
        </w:tc>
        <w:tc>
          <w:tcPr>
            <w:tcW w:w="1067" w:type="dxa"/>
            <w:vAlign w:val="center"/>
          </w:tcPr>
          <w:p w14:paraId="3C5EBE5F" w14:textId="77777777" w:rsidR="00E360E5" w:rsidRPr="008519CE" w:rsidRDefault="00E360E5" w:rsidP="00183330">
            <w:pPr>
              <w:keepNext/>
              <w:spacing w:before="40" w:line="240" w:lineRule="auto"/>
              <w:ind w:left="0"/>
              <w:jc w:val="center"/>
              <w:rPr>
                <w:rFonts w:ascii="Arial Narrow" w:hAnsi="Arial Narrow"/>
                <w:b/>
                <w:bCs/>
                <w:sz w:val="20"/>
                <w:szCs w:val="20"/>
              </w:rPr>
            </w:pPr>
            <w:r>
              <w:rPr>
                <w:rFonts w:ascii="Arial Narrow" w:hAnsi="Arial Narrow"/>
                <w:b/>
                <w:bCs/>
                <w:sz w:val="20"/>
                <w:szCs w:val="20"/>
              </w:rPr>
              <w:t>2021</w:t>
            </w:r>
          </w:p>
        </w:tc>
        <w:tc>
          <w:tcPr>
            <w:tcW w:w="1067" w:type="dxa"/>
            <w:vAlign w:val="center"/>
          </w:tcPr>
          <w:p w14:paraId="19BA29D7" w14:textId="77777777" w:rsidR="00E360E5" w:rsidRPr="008519CE" w:rsidRDefault="00E360E5" w:rsidP="00183330">
            <w:pPr>
              <w:keepNext/>
              <w:spacing w:before="40" w:line="240" w:lineRule="auto"/>
              <w:ind w:left="0"/>
              <w:jc w:val="center"/>
              <w:rPr>
                <w:rFonts w:ascii="Arial Narrow" w:hAnsi="Arial Narrow"/>
                <w:b/>
                <w:bCs/>
                <w:sz w:val="20"/>
                <w:szCs w:val="20"/>
              </w:rPr>
            </w:pPr>
            <w:r>
              <w:rPr>
                <w:rFonts w:ascii="Arial Narrow" w:hAnsi="Arial Narrow"/>
                <w:b/>
                <w:bCs/>
                <w:sz w:val="20"/>
                <w:szCs w:val="20"/>
              </w:rPr>
              <w:t>2022</w:t>
            </w:r>
          </w:p>
        </w:tc>
        <w:tc>
          <w:tcPr>
            <w:tcW w:w="1067" w:type="dxa"/>
            <w:vAlign w:val="center"/>
          </w:tcPr>
          <w:p w14:paraId="15E3E317" w14:textId="77777777" w:rsidR="00E360E5" w:rsidRPr="008519CE" w:rsidRDefault="00E360E5" w:rsidP="00183330">
            <w:pPr>
              <w:keepNext/>
              <w:spacing w:before="40" w:line="240" w:lineRule="auto"/>
              <w:ind w:left="0"/>
              <w:jc w:val="center"/>
              <w:rPr>
                <w:rFonts w:ascii="Arial Narrow" w:hAnsi="Arial Narrow"/>
                <w:b/>
                <w:bCs/>
                <w:sz w:val="20"/>
                <w:szCs w:val="20"/>
              </w:rPr>
            </w:pPr>
            <w:r>
              <w:rPr>
                <w:rFonts w:ascii="Arial Narrow" w:hAnsi="Arial Narrow"/>
                <w:b/>
                <w:bCs/>
                <w:sz w:val="20"/>
                <w:szCs w:val="20"/>
              </w:rPr>
              <w:t>2023</w:t>
            </w:r>
          </w:p>
        </w:tc>
        <w:tc>
          <w:tcPr>
            <w:tcW w:w="1067" w:type="dxa"/>
            <w:vAlign w:val="center"/>
          </w:tcPr>
          <w:p w14:paraId="628BB5DB" w14:textId="77777777" w:rsidR="00E360E5" w:rsidRPr="008519CE" w:rsidRDefault="00E360E5" w:rsidP="00183330">
            <w:pPr>
              <w:keepNext/>
              <w:spacing w:before="40" w:line="240" w:lineRule="auto"/>
              <w:ind w:left="0"/>
              <w:jc w:val="center"/>
              <w:rPr>
                <w:rFonts w:ascii="Arial Narrow" w:hAnsi="Arial Narrow"/>
                <w:b/>
                <w:bCs/>
                <w:sz w:val="20"/>
                <w:szCs w:val="20"/>
              </w:rPr>
            </w:pPr>
            <w:r>
              <w:rPr>
                <w:rFonts w:ascii="Arial Narrow" w:hAnsi="Arial Narrow"/>
                <w:b/>
                <w:bCs/>
                <w:sz w:val="20"/>
                <w:szCs w:val="20"/>
              </w:rPr>
              <w:t>2024</w:t>
            </w:r>
          </w:p>
        </w:tc>
        <w:tc>
          <w:tcPr>
            <w:tcW w:w="1067" w:type="dxa"/>
            <w:vAlign w:val="center"/>
          </w:tcPr>
          <w:p w14:paraId="24CC7DDC" w14:textId="77777777" w:rsidR="00E360E5" w:rsidRPr="008519CE" w:rsidRDefault="00E360E5" w:rsidP="00183330">
            <w:pPr>
              <w:keepNext/>
              <w:spacing w:before="40" w:line="240" w:lineRule="auto"/>
              <w:ind w:left="0"/>
              <w:jc w:val="center"/>
              <w:rPr>
                <w:rFonts w:ascii="Arial Narrow" w:hAnsi="Arial Narrow"/>
                <w:b/>
                <w:bCs/>
                <w:sz w:val="20"/>
                <w:szCs w:val="20"/>
              </w:rPr>
            </w:pPr>
            <w:r>
              <w:rPr>
                <w:rFonts w:ascii="Arial Narrow" w:hAnsi="Arial Narrow"/>
                <w:b/>
                <w:bCs/>
                <w:sz w:val="20"/>
                <w:szCs w:val="20"/>
              </w:rPr>
              <w:t>2025</w:t>
            </w:r>
          </w:p>
        </w:tc>
      </w:tr>
      <w:tr w:rsidR="00E360E5" w:rsidRPr="008519CE" w14:paraId="4414278B" w14:textId="77777777" w:rsidTr="00183330">
        <w:tc>
          <w:tcPr>
            <w:tcW w:w="3681" w:type="dxa"/>
            <w:vAlign w:val="center"/>
          </w:tcPr>
          <w:p w14:paraId="628D577C" w14:textId="77777777" w:rsidR="00E360E5" w:rsidRPr="008519CE" w:rsidRDefault="00E360E5" w:rsidP="00183330">
            <w:pPr>
              <w:keepNext/>
              <w:spacing w:before="40" w:line="240" w:lineRule="auto"/>
              <w:ind w:left="0"/>
              <w:jc w:val="both"/>
              <w:rPr>
                <w:rFonts w:ascii="Arial Narrow" w:hAnsi="Arial Narrow"/>
                <w:sz w:val="20"/>
                <w:szCs w:val="20"/>
              </w:rPr>
            </w:pPr>
            <w:r w:rsidRPr="008519CE">
              <w:rPr>
                <w:rFonts w:ascii="Arial Narrow" w:hAnsi="Arial Narrow"/>
                <w:sz w:val="20"/>
                <w:szCs w:val="20"/>
              </w:rPr>
              <w:t>Weighted-average fractions MR-IGRT</w:t>
            </w:r>
          </w:p>
        </w:tc>
        <w:tc>
          <w:tcPr>
            <w:tcW w:w="1067" w:type="dxa"/>
            <w:vAlign w:val="center"/>
          </w:tcPr>
          <w:p w14:paraId="636208D6" w14:textId="77777777" w:rsidR="00E360E5" w:rsidRPr="008519CE" w:rsidRDefault="00E360E5" w:rsidP="00183330">
            <w:pPr>
              <w:keepNext/>
              <w:spacing w:before="40" w:line="240" w:lineRule="auto"/>
              <w:ind w:left="0"/>
              <w:jc w:val="center"/>
              <w:rPr>
                <w:rFonts w:ascii="Arial Narrow" w:hAnsi="Arial Narrow"/>
                <w:sz w:val="20"/>
                <w:szCs w:val="20"/>
              </w:rPr>
            </w:pPr>
            <w:r>
              <w:rPr>
                <w:rFonts w:ascii="Arial Narrow" w:hAnsi="Arial Narrow"/>
                <w:sz w:val="20"/>
                <w:szCs w:val="20"/>
              </w:rPr>
              <w:t>5</w:t>
            </w:r>
          </w:p>
        </w:tc>
        <w:tc>
          <w:tcPr>
            <w:tcW w:w="1067" w:type="dxa"/>
            <w:vAlign w:val="center"/>
          </w:tcPr>
          <w:p w14:paraId="42F9DCF3" w14:textId="77777777" w:rsidR="00E360E5" w:rsidRPr="008519CE" w:rsidRDefault="00E360E5" w:rsidP="00183330">
            <w:pPr>
              <w:keepNext/>
              <w:spacing w:before="40" w:line="240" w:lineRule="auto"/>
              <w:ind w:left="0"/>
              <w:jc w:val="center"/>
              <w:rPr>
                <w:rFonts w:ascii="Arial Narrow" w:hAnsi="Arial Narrow"/>
                <w:sz w:val="20"/>
                <w:szCs w:val="20"/>
              </w:rPr>
            </w:pPr>
            <w:r>
              <w:rPr>
                <w:rFonts w:ascii="Arial Narrow" w:hAnsi="Arial Narrow"/>
                <w:sz w:val="20"/>
                <w:szCs w:val="20"/>
              </w:rPr>
              <w:t>5</w:t>
            </w:r>
          </w:p>
        </w:tc>
        <w:tc>
          <w:tcPr>
            <w:tcW w:w="1067" w:type="dxa"/>
            <w:vAlign w:val="center"/>
          </w:tcPr>
          <w:p w14:paraId="069E1CA4" w14:textId="77777777" w:rsidR="00E360E5" w:rsidRPr="008519CE" w:rsidRDefault="00E360E5" w:rsidP="00183330">
            <w:pPr>
              <w:keepNext/>
              <w:spacing w:before="40" w:line="240" w:lineRule="auto"/>
              <w:ind w:left="0"/>
              <w:jc w:val="center"/>
              <w:rPr>
                <w:rFonts w:ascii="Arial Narrow" w:hAnsi="Arial Narrow"/>
                <w:sz w:val="20"/>
                <w:szCs w:val="20"/>
              </w:rPr>
            </w:pPr>
            <w:r>
              <w:rPr>
                <w:rFonts w:ascii="Arial Narrow" w:hAnsi="Arial Narrow"/>
                <w:sz w:val="20"/>
                <w:szCs w:val="20"/>
              </w:rPr>
              <w:t>5</w:t>
            </w:r>
          </w:p>
        </w:tc>
        <w:tc>
          <w:tcPr>
            <w:tcW w:w="1067" w:type="dxa"/>
            <w:vAlign w:val="center"/>
          </w:tcPr>
          <w:p w14:paraId="7ABD6231" w14:textId="77777777" w:rsidR="00E360E5" w:rsidRPr="008519CE" w:rsidRDefault="00E360E5" w:rsidP="00183330">
            <w:pPr>
              <w:keepNext/>
              <w:spacing w:before="40" w:line="240" w:lineRule="auto"/>
              <w:ind w:left="0"/>
              <w:jc w:val="center"/>
              <w:rPr>
                <w:rFonts w:ascii="Arial Narrow" w:hAnsi="Arial Narrow"/>
                <w:sz w:val="20"/>
                <w:szCs w:val="20"/>
              </w:rPr>
            </w:pPr>
            <w:r>
              <w:rPr>
                <w:rFonts w:ascii="Arial Narrow" w:hAnsi="Arial Narrow"/>
                <w:sz w:val="20"/>
                <w:szCs w:val="20"/>
              </w:rPr>
              <w:t>5</w:t>
            </w:r>
          </w:p>
        </w:tc>
        <w:tc>
          <w:tcPr>
            <w:tcW w:w="1067" w:type="dxa"/>
            <w:vAlign w:val="center"/>
          </w:tcPr>
          <w:p w14:paraId="4E6CEEDB" w14:textId="77777777" w:rsidR="00E360E5" w:rsidRPr="008519CE" w:rsidRDefault="00E360E5" w:rsidP="00183330">
            <w:pPr>
              <w:keepNext/>
              <w:spacing w:before="40" w:line="240" w:lineRule="auto"/>
              <w:ind w:left="0"/>
              <w:jc w:val="center"/>
              <w:rPr>
                <w:rFonts w:ascii="Arial Narrow" w:hAnsi="Arial Narrow"/>
                <w:sz w:val="20"/>
                <w:szCs w:val="20"/>
              </w:rPr>
            </w:pPr>
            <w:r>
              <w:rPr>
                <w:rFonts w:ascii="Arial Narrow" w:hAnsi="Arial Narrow"/>
                <w:sz w:val="20"/>
                <w:szCs w:val="20"/>
              </w:rPr>
              <w:t>5</w:t>
            </w:r>
          </w:p>
        </w:tc>
      </w:tr>
      <w:tr w:rsidR="00E360E5" w:rsidRPr="008519CE" w14:paraId="39EAC88B" w14:textId="77777777" w:rsidTr="00183330">
        <w:tc>
          <w:tcPr>
            <w:tcW w:w="3681" w:type="dxa"/>
            <w:vAlign w:val="center"/>
          </w:tcPr>
          <w:p w14:paraId="543DCD1F" w14:textId="77777777" w:rsidR="00E360E5" w:rsidRPr="008519CE" w:rsidRDefault="00E360E5" w:rsidP="009E682D">
            <w:pPr>
              <w:spacing w:before="40" w:line="240" w:lineRule="auto"/>
              <w:ind w:left="0"/>
              <w:jc w:val="both"/>
              <w:rPr>
                <w:rFonts w:ascii="Arial Narrow" w:hAnsi="Arial Narrow"/>
                <w:sz w:val="20"/>
                <w:szCs w:val="20"/>
              </w:rPr>
            </w:pPr>
            <w:r w:rsidRPr="008519CE">
              <w:rPr>
                <w:rFonts w:ascii="Arial Narrow" w:hAnsi="Arial Narrow"/>
                <w:sz w:val="20"/>
                <w:szCs w:val="20"/>
              </w:rPr>
              <w:t>Weighted-average fractions CBCT-IGRT</w:t>
            </w:r>
          </w:p>
        </w:tc>
        <w:tc>
          <w:tcPr>
            <w:tcW w:w="1067" w:type="dxa"/>
            <w:vAlign w:val="center"/>
          </w:tcPr>
          <w:p w14:paraId="61F2FEFE"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18</w:t>
            </w:r>
          </w:p>
        </w:tc>
        <w:tc>
          <w:tcPr>
            <w:tcW w:w="1067" w:type="dxa"/>
            <w:vAlign w:val="center"/>
          </w:tcPr>
          <w:p w14:paraId="422D4338"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18</w:t>
            </w:r>
          </w:p>
        </w:tc>
        <w:tc>
          <w:tcPr>
            <w:tcW w:w="1067" w:type="dxa"/>
            <w:vAlign w:val="center"/>
          </w:tcPr>
          <w:p w14:paraId="5D78993A"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18</w:t>
            </w:r>
          </w:p>
        </w:tc>
        <w:tc>
          <w:tcPr>
            <w:tcW w:w="1067" w:type="dxa"/>
            <w:vAlign w:val="center"/>
          </w:tcPr>
          <w:p w14:paraId="769B36C2"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18</w:t>
            </w:r>
          </w:p>
        </w:tc>
        <w:tc>
          <w:tcPr>
            <w:tcW w:w="1067" w:type="dxa"/>
            <w:vAlign w:val="center"/>
          </w:tcPr>
          <w:p w14:paraId="3B90B7DF"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18</w:t>
            </w:r>
          </w:p>
        </w:tc>
      </w:tr>
      <w:tr w:rsidR="00E360E5" w:rsidRPr="008519CE" w14:paraId="6F6DB2F0" w14:textId="77777777" w:rsidTr="00183330">
        <w:tc>
          <w:tcPr>
            <w:tcW w:w="3681" w:type="dxa"/>
            <w:vAlign w:val="center"/>
          </w:tcPr>
          <w:p w14:paraId="7F1C50DD" w14:textId="77777777" w:rsidR="00E360E5" w:rsidRPr="008519CE" w:rsidRDefault="00E360E5" w:rsidP="009E682D">
            <w:pPr>
              <w:spacing w:before="40" w:line="240" w:lineRule="auto"/>
              <w:ind w:left="0"/>
              <w:jc w:val="both"/>
              <w:rPr>
                <w:rFonts w:ascii="Arial Narrow" w:hAnsi="Arial Narrow"/>
                <w:sz w:val="20"/>
                <w:szCs w:val="20"/>
              </w:rPr>
            </w:pPr>
            <w:r>
              <w:rPr>
                <w:rFonts w:ascii="Arial Narrow" w:hAnsi="Arial Narrow"/>
                <w:sz w:val="20"/>
                <w:szCs w:val="20"/>
              </w:rPr>
              <w:t>Fraction difference</w:t>
            </w:r>
          </w:p>
        </w:tc>
        <w:tc>
          <w:tcPr>
            <w:tcW w:w="1067" w:type="dxa"/>
            <w:vAlign w:val="center"/>
          </w:tcPr>
          <w:p w14:paraId="7C571C5A"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13</w:t>
            </w:r>
          </w:p>
        </w:tc>
        <w:tc>
          <w:tcPr>
            <w:tcW w:w="1067" w:type="dxa"/>
            <w:vAlign w:val="center"/>
          </w:tcPr>
          <w:p w14:paraId="34E7A274"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13</w:t>
            </w:r>
          </w:p>
        </w:tc>
        <w:tc>
          <w:tcPr>
            <w:tcW w:w="1067" w:type="dxa"/>
            <w:vAlign w:val="center"/>
          </w:tcPr>
          <w:p w14:paraId="35501C6D"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13</w:t>
            </w:r>
          </w:p>
        </w:tc>
        <w:tc>
          <w:tcPr>
            <w:tcW w:w="1067" w:type="dxa"/>
            <w:vAlign w:val="center"/>
          </w:tcPr>
          <w:p w14:paraId="5D5F44BB"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13</w:t>
            </w:r>
          </w:p>
        </w:tc>
        <w:tc>
          <w:tcPr>
            <w:tcW w:w="1067" w:type="dxa"/>
            <w:vAlign w:val="center"/>
          </w:tcPr>
          <w:p w14:paraId="2ADCB08C" w14:textId="77777777" w:rsidR="00E360E5" w:rsidRPr="008519CE" w:rsidRDefault="00E360E5" w:rsidP="009E682D">
            <w:pPr>
              <w:spacing w:before="40" w:line="240" w:lineRule="auto"/>
              <w:ind w:left="0"/>
              <w:jc w:val="center"/>
              <w:rPr>
                <w:rFonts w:ascii="Arial Narrow" w:hAnsi="Arial Narrow"/>
                <w:sz w:val="20"/>
                <w:szCs w:val="20"/>
              </w:rPr>
            </w:pPr>
            <w:r>
              <w:rPr>
                <w:rFonts w:ascii="Arial Narrow" w:hAnsi="Arial Narrow"/>
                <w:sz w:val="20"/>
                <w:szCs w:val="20"/>
              </w:rPr>
              <w:t>13</w:t>
            </w:r>
          </w:p>
        </w:tc>
      </w:tr>
      <w:tr w:rsidR="00E360E5" w:rsidRPr="008519CE" w14:paraId="2D07B939" w14:textId="77777777" w:rsidTr="00183330">
        <w:tc>
          <w:tcPr>
            <w:tcW w:w="3681" w:type="dxa"/>
            <w:vAlign w:val="center"/>
          </w:tcPr>
          <w:p w14:paraId="5E769759" w14:textId="77777777" w:rsidR="00E360E5" w:rsidRDefault="00E360E5" w:rsidP="009E682D">
            <w:pPr>
              <w:spacing w:before="40" w:line="240" w:lineRule="auto"/>
              <w:ind w:left="0"/>
              <w:jc w:val="both"/>
              <w:rPr>
                <w:rFonts w:ascii="Arial Narrow" w:hAnsi="Arial Narrow"/>
                <w:sz w:val="20"/>
                <w:szCs w:val="20"/>
              </w:rPr>
            </w:pPr>
            <w:r>
              <w:rPr>
                <w:rFonts w:ascii="Arial Narrow" w:hAnsi="Arial Narrow"/>
                <w:sz w:val="20"/>
                <w:szCs w:val="20"/>
              </w:rPr>
              <w:t>Estimated MR-IGRT utilisation</w:t>
            </w:r>
          </w:p>
        </w:tc>
        <w:tc>
          <w:tcPr>
            <w:tcW w:w="1067" w:type="dxa"/>
            <w:vAlign w:val="center"/>
          </w:tcPr>
          <w:p w14:paraId="06991C69" w14:textId="77777777" w:rsidR="00E360E5" w:rsidRDefault="00E360E5" w:rsidP="009E682D">
            <w:pPr>
              <w:spacing w:before="40" w:line="240" w:lineRule="auto"/>
              <w:ind w:left="0"/>
              <w:jc w:val="center"/>
              <w:rPr>
                <w:rFonts w:ascii="Arial Narrow" w:hAnsi="Arial Narrow"/>
                <w:sz w:val="20"/>
                <w:szCs w:val="20"/>
              </w:rPr>
            </w:pPr>
            <w:r w:rsidRPr="008C5729">
              <w:rPr>
                <w:rFonts w:ascii="Arial Narrow" w:hAnsi="Arial Narrow" w:cs="Calibri"/>
                <w:color w:val="000000"/>
                <w:sz w:val="20"/>
                <w:szCs w:val="20"/>
              </w:rPr>
              <w:t>1</w:t>
            </w:r>
            <w:r>
              <w:rPr>
                <w:rFonts w:ascii="Arial Narrow" w:hAnsi="Arial Narrow" w:cs="Calibri"/>
                <w:color w:val="000000"/>
                <w:sz w:val="20"/>
                <w:szCs w:val="20"/>
              </w:rPr>
              <w:t>,</w:t>
            </w:r>
            <w:r w:rsidRPr="008C5729">
              <w:rPr>
                <w:rFonts w:ascii="Arial Narrow" w:hAnsi="Arial Narrow" w:cs="Calibri"/>
                <w:color w:val="000000"/>
                <w:sz w:val="20"/>
                <w:szCs w:val="20"/>
              </w:rPr>
              <w:t>656</w:t>
            </w:r>
          </w:p>
        </w:tc>
        <w:tc>
          <w:tcPr>
            <w:tcW w:w="1067" w:type="dxa"/>
            <w:vAlign w:val="center"/>
          </w:tcPr>
          <w:p w14:paraId="3AE38AE9" w14:textId="77777777" w:rsidR="00E360E5" w:rsidRDefault="00E360E5" w:rsidP="009E682D">
            <w:pPr>
              <w:spacing w:before="40" w:line="240" w:lineRule="auto"/>
              <w:ind w:left="0"/>
              <w:jc w:val="center"/>
              <w:rPr>
                <w:rFonts w:ascii="Arial Narrow" w:hAnsi="Arial Narrow"/>
                <w:sz w:val="20"/>
                <w:szCs w:val="20"/>
              </w:rPr>
            </w:pPr>
            <w:r w:rsidRPr="008C5729">
              <w:rPr>
                <w:rFonts w:ascii="Arial Narrow" w:hAnsi="Arial Narrow" w:cs="Calibri"/>
                <w:color w:val="000000"/>
                <w:sz w:val="20"/>
                <w:szCs w:val="20"/>
              </w:rPr>
              <w:t>3</w:t>
            </w:r>
            <w:r>
              <w:rPr>
                <w:rFonts w:ascii="Arial Narrow" w:hAnsi="Arial Narrow" w:cs="Calibri"/>
                <w:color w:val="000000"/>
                <w:sz w:val="20"/>
                <w:szCs w:val="20"/>
              </w:rPr>
              <w:t>,</w:t>
            </w:r>
            <w:r w:rsidRPr="008C5729">
              <w:rPr>
                <w:rFonts w:ascii="Arial Narrow" w:hAnsi="Arial Narrow" w:cs="Calibri"/>
                <w:color w:val="000000"/>
                <w:sz w:val="20"/>
                <w:szCs w:val="20"/>
              </w:rPr>
              <w:t>312</w:t>
            </w:r>
          </w:p>
        </w:tc>
        <w:tc>
          <w:tcPr>
            <w:tcW w:w="1067" w:type="dxa"/>
            <w:vAlign w:val="center"/>
          </w:tcPr>
          <w:p w14:paraId="4654F146" w14:textId="77777777" w:rsidR="00E360E5" w:rsidRDefault="00E360E5" w:rsidP="009E682D">
            <w:pPr>
              <w:spacing w:before="40" w:line="240" w:lineRule="auto"/>
              <w:ind w:left="0"/>
              <w:jc w:val="center"/>
              <w:rPr>
                <w:rFonts w:ascii="Arial Narrow" w:hAnsi="Arial Narrow"/>
                <w:sz w:val="20"/>
                <w:szCs w:val="20"/>
              </w:rPr>
            </w:pPr>
            <w:r w:rsidRPr="008C5729">
              <w:rPr>
                <w:rFonts w:ascii="Arial Narrow" w:hAnsi="Arial Narrow" w:cs="Calibri"/>
                <w:color w:val="000000"/>
                <w:sz w:val="20"/>
                <w:szCs w:val="20"/>
              </w:rPr>
              <w:t>6</w:t>
            </w:r>
            <w:r>
              <w:rPr>
                <w:rFonts w:ascii="Arial Narrow" w:hAnsi="Arial Narrow" w:cs="Calibri"/>
                <w:color w:val="000000"/>
                <w:sz w:val="20"/>
                <w:szCs w:val="20"/>
              </w:rPr>
              <w:t>,</w:t>
            </w:r>
            <w:r w:rsidRPr="008C5729">
              <w:rPr>
                <w:rFonts w:ascii="Arial Narrow" w:hAnsi="Arial Narrow" w:cs="Calibri"/>
                <w:color w:val="000000"/>
                <w:sz w:val="20"/>
                <w:szCs w:val="20"/>
              </w:rPr>
              <w:t>511</w:t>
            </w:r>
          </w:p>
        </w:tc>
        <w:tc>
          <w:tcPr>
            <w:tcW w:w="1067" w:type="dxa"/>
            <w:vAlign w:val="center"/>
          </w:tcPr>
          <w:p w14:paraId="43B8E219" w14:textId="77777777" w:rsidR="00E360E5" w:rsidRDefault="00E360E5" w:rsidP="009E682D">
            <w:pPr>
              <w:spacing w:before="40" w:line="240" w:lineRule="auto"/>
              <w:ind w:left="0"/>
              <w:jc w:val="center"/>
              <w:rPr>
                <w:rFonts w:ascii="Arial Narrow" w:hAnsi="Arial Narrow"/>
                <w:sz w:val="20"/>
                <w:szCs w:val="20"/>
              </w:rPr>
            </w:pPr>
            <w:r w:rsidRPr="008C5729">
              <w:rPr>
                <w:rFonts w:ascii="Arial Narrow" w:hAnsi="Arial Narrow" w:cs="Calibri"/>
                <w:color w:val="000000"/>
                <w:sz w:val="20"/>
                <w:szCs w:val="20"/>
              </w:rPr>
              <w:t>9</w:t>
            </w:r>
            <w:r>
              <w:rPr>
                <w:rFonts w:ascii="Arial Narrow" w:hAnsi="Arial Narrow" w:cs="Calibri"/>
                <w:color w:val="000000"/>
                <w:sz w:val="20"/>
                <w:szCs w:val="20"/>
              </w:rPr>
              <w:t>,</w:t>
            </w:r>
            <w:r w:rsidRPr="008C5729">
              <w:rPr>
                <w:rFonts w:ascii="Arial Narrow" w:hAnsi="Arial Narrow" w:cs="Calibri"/>
                <w:color w:val="000000"/>
                <w:sz w:val="20"/>
                <w:szCs w:val="20"/>
              </w:rPr>
              <w:t>203</w:t>
            </w:r>
          </w:p>
        </w:tc>
        <w:tc>
          <w:tcPr>
            <w:tcW w:w="1067" w:type="dxa"/>
            <w:vAlign w:val="center"/>
          </w:tcPr>
          <w:p w14:paraId="26C6A07E" w14:textId="77777777" w:rsidR="00E360E5" w:rsidRDefault="00E360E5" w:rsidP="009E682D">
            <w:pPr>
              <w:spacing w:before="40" w:line="240" w:lineRule="auto"/>
              <w:ind w:left="0"/>
              <w:jc w:val="center"/>
              <w:rPr>
                <w:rFonts w:ascii="Arial Narrow" w:hAnsi="Arial Narrow"/>
                <w:sz w:val="20"/>
                <w:szCs w:val="20"/>
              </w:rPr>
            </w:pPr>
            <w:r w:rsidRPr="008C5729">
              <w:rPr>
                <w:rFonts w:ascii="Arial Narrow" w:hAnsi="Arial Narrow" w:cs="Calibri"/>
                <w:color w:val="000000"/>
                <w:sz w:val="20"/>
                <w:szCs w:val="20"/>
              </w:rPr>
              <w:t>10</w:t>
            </w:r>
            <w:r>
              <w:rPr>
                <w:rFonts w:ascii="Arial Narrow" w:hAnsi="Arial Narrow" w:cs="Calibri"/>
                <w:color w:val="000000"/>
                <w:sz w:val="20"/>
                <w:szCs w:val="20"/>
              </w:rPr>
              <w:t>,</w:t>
            </w:r>
            <w:r w:rsidRPr="008C5729">
              <w:rPr>
                <w:rFonts w:ascii="Arial Narrow" w:hAnsi="Arial Narrow" w:cs="Calibri"/>
                <w:color w:val="000000"/>
                <w:sz w:val="20"/>
                <w:szCs w:val="20"/>
              </w:rPr>
              <w:t>120</w:t>
            </w:r>
          </w:p>
        </w:tc>
      </w:tr>
      <w:tr w:rsidR="00E360E5" w:rsidRPr="008519CE" w14:paraId="56BF9894" w14:textId="77777777" w:rsidTr="00183330">
        <w:tc>
          <w:tcPr>
            <w:tcW w:w="3681" w:type="dxa"/>
            <w:vAlign w:val="center"/>
          </w:tcPr>
          <w:p w14:paraId="1C598312" w14:textId="77777777" w:rsidR="00E360E5" w:rsidRDefault="00E360E5" w:rsidP="009E682D">
            <w:pPr>
              <w:spacing w:before="40" w:line="240" w:lineRule="auto"/>
              <w:ind w:left="0"/>
              <w:jc w:val="both"/>
              <w:rPr>
                <w:rFonts w:ascii="Arial Narrow" w:hAnsi="Arial Narrow"/>
                <w:sz w:val="20"/>
                <w:szCs w:val="20"/>
              </w:rPr>
            </w:pPr>
            <w:r>
              <w:rPr>
                <w:rFonts w:ascii="Arial Narrow" w:hAnsi="Arial Narrow"/>
                <w:sz w:val="20"/>
                <w:szCs w:val="20"/>
              </w:rPr>
              <w:t>Total difference in fractions (MBS item 15275)</w:t>
            </w:r>
          </w:p>
        </w:tc>
        <w:tc>
          <w:tcPr>
            <w:tcW w:w="1067" w:type="dxa"/>
            <w:vAlign w:val="center"/>
          </w:tcPr>
          <w:p w14:paraId="31060855" w14:textId="77777777" w:rsidR="00E360E5"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-21,528</w:t>
            </w:r>
          </w:p>
        </w:tc>
        <w:tc>
          <w:tcPr>
            <w:tcW w:w="1067" w:type="dxa"/>
            <w:vAlign w:val="center"/>
          </w:tcPr>
          <w:p w14:paraId="4F7A6099" w14:textId="77777777" w:rsidR="00E360E5"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-43,056</w:t>
            </w:r>
          </w:p>
        </w:tc>
        <w:tc>
          <w:tcPr>
            <w:tcW w:w="1067" w:type="dxa"/>
            <w:vAlign w:val="center"/>
          </w:tcPr>
          <w:p w14:paraId="24D89E82" w14:textId="77777777" w:rsidR="00E360E5"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-131,560</w:t>
            </w:r>
          </w:p>
        </w:tc>
        <w:tc>
          <w:tcPr>
            <w:tcW w:w="1067" w:type="dxa"/>
            <w:vAlign w:val="center"/>
          </w:tcPr>
          <w:p w14:paraId="25459B4C" w14:textId="77777777" w:rsidR="00E360E5"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-131,560</w:t>
            </w:r>
          </w:p>
        </w:tc>
        <w:tc>
          <w:tcPr>
            <w:tcW w:w="1067" w:type="dxa"/>
            <w:vAlign w:val="center"/>
          </w:tcPr>
          <w:p w14:paraId="7A6383AE" w14:textId="77777777" w:rsidR="00E360E5" w:rsidRDefault="00E360E5" w:rsidP="009E682D">
            <w:pPr>
              <w:spacing w:before="40" w:line="240" w:lineRule="auto"/>
              <w:ind w:left="0"/>
              <w:jc w:val="center"/>
              <w:rPr>
                <w:rFonts w:ascii="Arial Narrow" w:hAnsi="Arial Narrow"/>
                <w:sz w:val="20"/>
                <w:szCs w:val="20"/>
              </w:rPr>
            </w:pPr>
            <w:r>
              <w:rPr>
                <w:rFonts w:ascii="Arial Narrow" w:hAnsi="Arial Narrow" w:cs="Calibri"/>
                <w:color w:val="000000"/>
                <w:sz w:val="20"/>
                <w:szCs w:val="20"/>
              </w:rPr>
              <w:t>-131,560</w:t>
            </w:r>
          </w:p>
        </w:tc>
      </w:tr>
    </w:tbl>
    <w:p w14:paraId="0F4D550A" w14:textId="13FDDFF2" w:rsidR="00E360E5" w:rsidRDefault="00E360E5" w:rsidP="009E682D">
      <w:pPr>
        <w:spacing w:before="0" w:after="0" w:line="240" w:lineRule="auto"/>
        <w:rPr>
          <w:rFonts w:ascii="Arial Narrow" w:hAnsi="Arial Narrow"/>
          <w:sz w:val="16"/>
          <w:szCs w:val="16"/>
        </w:rPr>
      </w:pPr>
      <w:r>
        <w:rPr>
          <w:rFonts w:ascii="Arial Narrow" w:hAnsi="Arial Narrow"/>
          <w:sz w:val="16"/>
          <w:szCs w:val="16"/>
        </w:rPr>
        <w:t>Abbreviations: CBCT=cone beam computer tomography, EBRT=external beam radiation therapy, MBS=Medical Benefits Schedule, MR-IGRT=magnetic resonance image-guided radiation therapy, MR-linac=magnetic resonance linac</w:t>
      </w:r>
    </w:p>
    <w:p w14:paraId="0FC0394E" w14:textId="2F34A2E6" w:rsidR="00E360E5" w:rsidRDefault="00E360E5" w:rsidP="00E360E5">
      <w:pPr>
        <w:jc w:val="both"/>
        <w:rPr>
          <w:rFonts w:asciiTheme="minorHAnsi" w:hAnsiTheme="minorHAnsi" w:cstheme="minorHAnsi"/>
        </w:rPr>
      </w:pPr>
      <w:r>
        <w:rPr>
          <w:rFonts w:asciiTheme="minorHAnsi" w:hAnsiTheme="minorHAnsi" w:cstheme="minorHAnsi"/>
        </w:rPr>
        <w:t xml:space="preserve">It is noted that Section </w:t>
      </w:r>
      <w:r w:rsidR="00C93EB1">
        <w:rPr>
          <w:rFonts w:asciiTheme="minorHAnsi" w:hAnsiTheme="minorHAnsi" w:cstheme="minorHAnsi"/>
        </w:rPr>
        <w:fldChar w:fldCharType="begin"/>
      </w:r>
      <w:r w:rsidR="00C93EB1">
        <w:rPr>
          <w:rFonts w:asciiTheme="minorHAnsi" w:hAnsiTheme="minorHAnsi" w:cstheme="minorHAnsi"/>
        </w:rPr>
        <w:instrText xml:space="preserve"> REF _Ref59013950 \r \h </w:instrText>
      </w:r>
      <w:r w:rsidR="00C93EB1">
        <w:rPr>
          <w:rFonts w:asciiTheme="minorHAnsi" w:hAnsiTheme="minorHAnsi" w:cstheme="minorHAnsi"/>
        </w:rPr>
      </w:r>
      <w:r w:rsidR="00C93EB1">
        <w:rPr>
          <w:rFonts w:asciiTheme="minorHAnsi" w:hAnsiTheme="minorHAnsi" w:cstheme="minorHAnsi"/>
        </w:rPr>
        <w:fldChar w:fldCharType="separate"/>
      </w:r>
      <w:r w:rsidR="00451350">
        <w:rPr>
          <w:rFonts w:asciiTheme="minorHAnsi" w:hAnsiTheme="minorHAnsi" w:cstheme="minorHAnsi"/>
        </w:rPr>
        <w:t>D.4</w:t>
      </w:r>
      <w:r w:rsidR="00C93EB1">
        <w:rPr>
          <w:rFonts w:asciiTheme="minorHAnsi" w:hAnsiTheme="minorHAnsi" w:cstheme="minorHAnsi"/>
        </w:rPr>
        <w:fldChar w:fldCharType="end"/>
      </w:r>
      <w:r>
        <w:rPr>
          <w:rFonts w:asciiTheme="minorHAnsi" w:hAnsiTheme="minorHAnsi" w:cstheme="minorHAnsi"/>
        </w:rPr>
        <w:t xml:space="preserve"> analysis, which considers potential adverse event costs with reference to hypofractionated treatment courses assumes treatments compared both use five fractions per patient for prostate cancer.  As such, assuming there was no treatment fraction differential, then there would be no difference in use of MBS items 15565 and 15275.  However, as stated above, </w:t>
      </w:r>
      <w:r w:rsidR="00DA3AA9">
        <w:rPr>
          <w:rFonts w:asciiTheme="minorHAnsi" w:hAnsiTheme="minorHAnsi" w:cstheme="minorHAnsi"/>
        </w:rPr>
        <w:t xml:space="preserve">clinical </w:t>
      </w:r>
      <w:r>
        <w:rPr>
          <w:rFonts w:asciiTheme="minorHAnsi" w:hAnsiTheme="minorHAnsi" w:cstheme="minorHAnsi"/>
        </w:rPr>
        <w:t xml:space="preserve">advice and MBS utilisation data would tend to indicate current </w:t>
      </w:r>
      <w:r w:rsidR="00BC5FE6">
        <w:rPr>
          <w:rFonts w:asciiTheme="minorHAnsi" w:hAnsiTheme="minorHAnsi" w:cstheme="minorHAnsi"/>
        </w:rPr>
        <w:t xml:space="preserve">treatment course </w:t>
      </w:r>
      <w:r>
        <w:rPr>
          <w:rFonts w:asciiTheme="minorHAnsi" w:hAnsiTheme="minorHAnsi" w:cstheme="minorHAnsi"/>
        </w:rPr>
        <w:t>fraction requirements is close to 16 to 20</w:t>
      </w:r>
      <w:r w:rsidR="00BC5FE6">
        <w:rPr>
          <w:rFonts w:asciiTheme="minorHAnsi" w:hAnsiTheme="minorHAnsi" w:cstheme="minorHAnsi"/>
        </w:rPr>
        <w:t xml:space="preserve"> per patient</w:t>
      </w:r>
      <w:r>
        <w:rPr>
          <w:rFonts w:asciiTheme="minorHAnsi" w:hAnsiTheme="minorHAnsi" w:cstheme="minorHAnsi"/>
        </w:rPr>
        <w:t>.</w:t>
      </w:r>
    </w:p>
    <w:p w14:paraId="5C632B9E" w14:textId="77777777" w:rsidR="00E360E5" w:rsidRDefault="00E360E5" w:rsidP="00E360E5">
      <w:pPr>
        <w:pStyle w:val="Heading3"/>
      </w:pPr>
      <w:bookmarkStart w:id="666" w:name="_Toc59018815"/>
      <w:bookmarkStart w:id="667" w:name="_Toc59020359"/>
      <w:bookmarkStart w:id="668" w:name="_Toc59439581"/>
      <w:bookmarkStart w:id="669" w:name="_Toc89857853"/>
      <w:r>
        <w:t>Cost inputs</w:t>
      </w:r>
      <w:bookmarkEnd w:id="666"/>
      <w:bookmarkEnd w:id="667"/>
      <w:bookmarkEnd w:id="668"/>
      <w:bookmarkEnd w:id="669"/>
    </w:p>
    <w:p w14:paraId="638D34C6" w14:textId="6EF12332" w:rsidR="00E360E5" w:rsidRDefault="00E360E5" w:rsidP="00E360E5">
      <w:pPr>
        <w:jc w:val="both"/>
      </w:pPr>
      <w:r>
        <w:t>Cost items relate to pre-treatment, treatment, and post-treatment costs (adverse event costs).  Both Applicant and clinical advice indicates m</w:t>
      </w:r>
      <w:r w:rsidRPr="00A73939">
        <w:t xml:space="preserve">ultidisciplinary </w:t>
      </w:r>
      <w:r>
        <w:t>t</w:t>
      </w:r>
      <w:r w:rsidRPr="00A73939">
        <w:t>eam meetings covering these clinical cases are expected to be a channel for identification and referral of these patients</w:t>
      </w:r>
      <w:r>
        <w:t>.</w:t>
      </w:r>
    </w:p>
    <w:p w14:paraId="3B2E6ABE" w14:textId="4A884E1D" w:rsidR="00E360E5" w:rsidRDefault="00E360E5" w:rsidP="00E360E5">
      <w:pPr>
        <w:jc w:val="both"/>
      </w:pPr>
      <w:bookmarkStart w:id="670" w:name="_Ref59021605"/>
      <w:r>
        <w:t xml:space="preserve">Cost inputs were previously considered in Section </w:t>
      </w:r>
      <w:r w:rsidR="00072711">
        <w:fldChar w:fldCharType="begin"/>
      </w:r>
      <w:r w:rsidR="00072711">
        <w:instrText xml:space="preserve"> REF _Ref59013998 \r \h </w:instrText>
      </w:r>
      <w:r w:rsidR="00072711">
        <w:fldChar w:fldCharType="separate"/>
      </w:r>
      <w:r w:rsidR="00451350">
        <w:t>D.4</w:t>
      </w:r>
      <w:r w:rsidR="00072711">
        <w:fldChar w:fldCharType="end"/>
      </w:r>
      <w:r>
        <w:t xml:space="preserve">.  Cost of treatment delivery reflecting dosimetry planning, simulation and individual treatment sessions are captured by MBS items 15555, 15565 and 15275, respectively.  CBCT-IGRT also requires </w:t>
      </w:r>
      <w:r w:rsidR="009D13AE">
        <w:t>fiducial</w:t>
      </w:r>
      <w:r>
        <w:t xml:space="preserve"> marking.  Adverse events costs as a function of CBCT-IGRT and MR-IGRT were also considered in Section </w:t>
      </w:r>
      <w:r w:rsidR="00072711">
        <w:fldChar w:fldCharType="begin"/>
      </w:r>
      <w:r w:rsidR="00072711">
        <w:instrText xml:space="preserve"> REF _Ref59014012 \r \h </w:instrText>
      </w:r>
      <w:r w:rsidR="00072711">
        <w:fldChar w:fldCharType="separate"/>
      </w:r>
      <w:r w:rsidR="00451350">
        <w:t>D.4</w:t>
      </w:r>
      <w:r w:rsidR="00072711">
        <w:fldChar w:fldCharType="end"/>
      </w:r>
      <w:r>
        <w:t xml:space="preserve">.  Both the Applicant and clinical advice do not anticipate any difference in post-treatment patient management or monitoring aside from </w:t>
      </w:r>
      <w:r w:rsidR="00C26321">
        <w:t xml:space="preserve">those associated with </w:t>
      </w:r>
      <w:r>
        <w:t>adverse events.</w:t>
      </w:r>
      <w:r w:rsidR="00C26321">
        <w:t xml:space="preserve">  This reflects the Applicant’s claim of MR-IGRT having a reduced </w:t>
      </w:r>
      <w:r w:rsidR="00F762B0">
        <w:t>toxicities</w:t>
      </w:r>
      <w:r w:rsidR="00C26321">
        <w:t xml:space="preserve"> relative to CBCT-IGRT.</w:t>
      </w:r>
      <w:r>
        <w:t xml:space="preserve"> </w:t>
      </w:r>
      <w:r w:rsidR="00C26321">
        <w:t xml:space="preserve"> </w:t>
      </w:r>
      <w:r>
        <w:t xml:space="preserve">Relevant cost items for financial implications analysis are summarised in </w:t>
      </w:r>
      <w:r>
        <w:fldChar w:fldCharType="begin"/>
      </w:r>
      <w:r>
        <w:instrText xml:space="preserve"> REF _Ref58931642 \h </w:instrText>
      </w:r>
      <w:r>
        <w:fldChar w:fldCharType="separate"/>
      </w:r>
      <w:r w:rsidR="00451350">
        <w:t xml:space="preserve">Table </w:t>
      </w:r>
      <w:r w:rsidR="00451350">
        <w:rPr>
          <w:noProof/>
        </w:rPr>
        <w:t>69</w:t>
      </w:r>
      <w:r>
        <w:fldChar w:fldCharType="end"/>
      </w:r>
      <w:r>
        <w:t xml:space="preserve">.  These cost items are applied as appropriate in Sections </w:t>
      </w:r>
      <w:r w:rsidR="00072711">
        <w:fldChar w:fldCharType="begin"/>
      </w:r>
      <w:r w:rsidR="00072711">
        <w:instrText xml:space="preserve"> REF _Ref59014023 \r \h </w:instrText>
      </w:r>
      <w:r w:rsidR="00072711">
        <w:fldChar w:fldCharType="separate"/>
      </w:r>
      <w:r w:rsidR="00451350">
        <w:t>E.2</w:t>
      </w:r>
      <w:r w:rsidR="00072711">
        <w:fldChar w:fldCharType="end"/>
      </w:r>
      <w:r w:rsidR="00072711">
        <w:t xml:space="preserve"> </w:t>
      </w:r>
      <w:r>
        <w:t xml:space="preserve">to </w:t>
      </w:r>
      <w:r w:rsidR="00072711">
        <w:fldChar w:fldCharType="begin"/>
      </w:r>
      <w:r w:rsidR="00072711">
        <w:instrText xml:space="preserve"> REF _Ref59014036 \r \h </w:instrText>
      </w:r>
      <w:r w:rsidR="00072711">
        <w:fldChar w:fldCharType="separate"/>
      </w:r>
      <w:r w:rsidR="00451350">
        <w:t>E.6</w:t>
      </w:r>
      <w:r w:rsidR="00072711">
        <w:fldChar w:fldCharType="end"/>
      </w:r>
      <w:r>
        <w:t>.</w:t>
      </w:r>
    </w:p>
    <w:p w14:paraId="7EC1DA8E" w14:textId="60DB5BFE" w:rsidR="00E360E5" w:rsidRDefault="00E360E5" w:rsidP="009D6338">
      <w:pPr>
        <w:pStyle w:val="Caption"/>
        <w:keepNext/>
        <w:keepLines/>
      </w:pPr>
      <w:bookmarkStart w:id="671" w:name="_Ref58931642"/>
      <w:bookmarkStart w:id="672" w:name="_Toc89857940"/>
      <w:r>
        <w:lastRenderedPageBreak/>
        <w:t xml:space="preserve">Table </w:t>
      </w:r>
      <w:r w:rsidR="00211285">
        <w:fldChar w:fldCharType="begin"/>
      </w:r>
      <w:r w:rsidR="00211285">
        <w:instrText xml:space="preserve"> SEQ Table \* ARABIC </w:instrText>
      </w:r>
      <w:r w:rsidR="00211285">
        <w:fldChar w:fldCharType="separate"/>
      </w:r>
      <w:r w:rsidR="00451350">
        <w:rPr>
          <w:noProof/>
        </w:rPr>
        <w:t>69</w:t>
      </w:r>
      <w:r w:rsidR="00211285">
        <w:rPr>
          <w:noProof/>
        </w:rPr>
        <w:fldChar w:fldCharType="end"/>
      </w:r>
      <w:bookmarkEnd w:id="670"/>
      <w:bookmarkEnd w:id="671"/>
      <w:r>
        <w:tab/>
        <w:t>Relevant cost inputs for MR-IGRT and CBCT-IGRT</w:t>
      </w:r>
      <w:bookmarkEnd w:id="672"/>
    </w:p>
    <w:tbl>
      <w:tblPr>
        <w:tblStyle w:val="TableGrid1"/>
        <w:tblW w:w="5000" w:type="pct"/>
        <w:tblLook w:val="04A0" w:firstRow="1" w:lastRow="0" w:firstColumn="1" w:lastColumn="0" w:noHBand="0" w:noVBand="1"/>
      </w:tblPr>
      <w:tblGrid>
        <w:gridCol w:w="2260"/>
        <w:gridCol w:w="589"/>
        <w:gridCol w:w="1756"/>
        <w:gridCol w:w="1505"/>
        <w:gridCol w:w="1436"/>
        <w:gridCol w:w="1470"/>
      </w:tblGrid>
      <w:tr w:rsidR="00E360E5" w:rsidRPr="008519CE" w14:paraId="573C6C82" w14:textId="77777777" w:rsidTr="00A21A7F">
        <w:trPr>
          <w:cnfStyle w:val="100000000000" w:firstRow="1" w:lastRow="0" w:firstColumn="0" w:lastColumn="0" w:oddVBand="0" w:evenVBand="0" w:oddHBand="0" w:evenHBand="0" w:firstRowFirstColumn="0" w:firstRowLastColumn="0" w:lastRowFirstColumn="0" w:lastRowLastColumn="0"/>
          <w:trHeight w:val="520"/>
          <w:tblHeader/>
        </w:trPr>
        <w:tc>
          <w:tcPr>
            <w:tcW w:w="1303" w:type="pct"/>
            <w:tcBorders>
              <w:bottom w:val="single" w:sz="4" w:space="0" w:color="auto"/>
            </w:tcBorders>
            <w:shd w:val="clear" w:color="auto" w:fill="auto"/>
            <w:vAlign w:val="center"/>
            <w:hideMark/>
          </w:tcPr>
          <w:p w14:paraId="6DEA6A20" w14:textId="77777777" w:rsidR="00E360E5" w:rsidRPr="008519CE" w:rsidRDefault="00E360E5" w:rsidP="009D6338">
            <w:pPr>
              <w:keepNext/>
              <w:keepLines/>
              <w:spacing w:before="40" w:line="240" w:lineRule="auto"/>
              <w:jc w:val="both"/>
              <w:rPr>
                <w:rFonts w:ascii="Arial Narrow" w:hAnsi="Arial Narrow" w:cs="Calibri"/>
                <w:b/>
                <w:bCs/>
                <w:color w:val="000000"/>
                <w:sz w:val="20"/>
                <w:szCs w:val="20"/>
              </w:rPr>
            </w:pPr>
            <w:r w:rsidRPr="008519CE">
              <w:rPr>
                <w:rFonts w:ascii="Arial Narrow" w:hAnsi="Arial Narrow" w:cs="Calibri"/>
                <w:b/>
                <w:bCs/>
                <w:color w:val="000000"/>
                <w:sz w:val="20"/>
                <w:szCs w:val="20"/>
              </w:rPr>
              <w:t>MBS/PBS/AR-DRG/PLAC item number</w:t>
            </w:r>
          </w:p>
        </w:tc>
        <w:tc>
          <w:tcPr>
            <w:tcW w:w="1257" w:type="pct"/>
            <w:gridSpan w:val="2"/>
            <w:tcBorders>
              <w:bottom w:val="single" w:sz="4" w:space="0" w:color="auto"/>
            </w:tcBorders>
            <w:shd w:val="clear" w:color="auto" w:fill="auto"/>
            <w:vAlign w:val="center"/>
            <w:hideMark/>
          </w:tcPr>
          <w:p w14:paraId="54F6473C" w14:textId="77777777" w:rsidR="00E360E5" w:rsidRPr="008519CE" w:rsidRDefault="00E360E5" w:rsidP="009D6338">
            <w:pPr>
              <w:keepNext/>
              <w:keepLines/>
              <w:spacing w:before="40" w:line="240" w:lineRule="auto"/>
              <w:jc w:val="center"/>
              <w:rPr>
                <w:rFonts w:ascii="Arial Narrow" w:hAnsi="Arial Narrow" w:cs="Calibri"/>
                <w:b/>
                <w:bCs/>
                <w:color w:val="000000"/>
                <w:sz w:val="20"/>
                <w:szCs w:val="20"/>
              </w:rPr>
            </w:pPr>
            <w:r w:rsidRPr="008519CE">
              <w:rPr>
                <w:rFonts w:ascii="Arial Narrow" w:hAnsi="Arial Narrow" w:cs="Calibri"/>
                <w:b/>
                <w:bCs/>
                <w:color w:val="000000"/>
                <w:sz w:val="20"/>
                <w:szCs w:val="20"/>
              </w:rPr>
              <w:t>Description</w:t>
            </w:r>
          </w:p>
        </w:tc>
        <w:tc>
          <w:tcPr>
            <w:tcW w:w="835" w:type="pct"/>
            <w:tcBorders>
              <w:bottom w:val="single" w:sz="4" w:space="0" w:color="auto"/>
            </w:tcBorders>
            <w:shd w:val="clear" w:color="auto" w:fill="auto"/>
            <w:vAlign w:val="center"/>
            <w:hideMark/>
          </w:tcPr>
          <w:p w14:paraId="07179B26" w14:textId="77777777" w:rsidR="00E360E5" w:rsidRPr="008519CE" w:rsidRDefault="00E360E5" w:rsidP="009D6338">
            <w:pPr>
              <w:keepNext/>
              <w:keepLines/>
              <w:spacing w:before="40" w:line="240" w:lineRule="auto"/>
              <w:jc w:val="center"/>
              <w:rPr>
                <w:rFonts w:ascii="Arial Narrow" w:hAnsi="Arial Narrow" w:cs="Calibri"/>
                <w:b/>
                <w:bCs/>
                <w:color w:val="000000"/>
                <w:sz w:val="20"/>
                <w:szCs w:val="20"/>
              </w:rPr>
            </w:pPr>
            <w:r w:rsidRPr="008519CE">
              <w:rPr>
                <w:rFonts w:ascii="Arial Narrow" w:hAnsi="Arial Narrow" w:cs="Calibri"/>
                <w:b/>
                <w:bCs/>
                <w:color w:val="000000"/>
                <w:sz w:val="20"/>
                <w:szCs w:val="20"/>
              </w:rPr>
              <w:t>Cost/DPMQ/Fee</w:t>
            </w:r>
          </w:p>
        </w:tc>
        <w:tc>
          <w:tcPr>
            <w:tcW w:w="792" w:type="pct"/>
            <w:tcBorders>
              <w:bottom w:val="single" w:sz="4" w:space="0" w:color="auto"/>
            </w:tcBorders>
            <w:shd w:val="clear" w:color="auto" w:fill="auto"/>
            <w:vAlign w:val="center"/>
            <w:hideMark/>
          </w:tcPr>
          <w:p w14:paraId="2FA7A5D2" w14:textId="77777777" w:rsidR="00E360E5" w:rsidRPr="008519CE" w:rsidRDefault="00E360E5" w:rsidP="009D6338">
            <w:pPr>
              <w:keepNext/>
              <w:keepLines/>
              <w:spacing w:before="40" w:line="240" w:lineRule="auto"/>
              <w:jc w:val="center"/>
              <w:rPr>
                <w:rFonts w:ascii="Arial Narrow" w:hAnsi="Arial Narrow" w:cs="Calibri"/>
                <w:b/>
                <w:bCs/>
                <w:color w:val="000000"/>
                <w:sz w:val="20"/>
                <w:szCs w:val="20"/>
              </w:rPr>
            </w:pPr>
            <w:r w:rsidRPr="008519CE">
              <w:rPr>
                <w:rFonts w:ascii="Arial Narrow" w:hAnsi="Arial Narrow" w:cs="Calibri"/>
                <w:b/>
                <w:bCs/>
                <w:color w:val="000000"/>
                <w:sz w:val="20"/>
                <w:szCs w:val="20"/>
              </w:rPr>
              <w:t>MBS 85% Benefit</w:t>
            </w:r>
          </w:p>
        </w:tc>
        <w:tc>
          <w:tcPr>
            <w:tcW w:w="814" w:type="pct"/>
            <w:tcBorders>
              <w:bottom w:val="single" w:sz="4" w:space="0" w:color="auto"/>
            </w:tcBorders>
            <w:shd w:val="clear" w:color="auto" w:fill="auto"/>
            <w:vAlign w:val="center"/>
            <w:hideMark/>
          </w:tcPr>
          <w:p w14:paraId="4D9138CA" w14:textId="77777777" w:rsidR="00E360E5" w:rsidRPr="008519CE" w:rsidRDefault="00E360E5" w:rsidP="009D6338">
            <w:pPr>
              <w:keepNext/>
              <w:keepLines/>
              <w:spacing w:before="40" w:line="240" w:lineRule="auto"/>
              <w:jc w:val="center"/>
              <w:rPr>
                <w:rFonts w:ascii="Arial Narrow" w:hAnsi="Arial Narrow" w:cs="Calibri"/>
                <w:b/>
                <w:bCs/>
                <w:color w:val="000000"/>
                <w:sz w:val="20"/>
                <w:szCs w:val="20"/>
              </w:rPr>
            </w:pPr>
            <w:r w:rsidRPr="008519CE">
              <w:rPr>
                <w:rFonts w:ascii="Arial Narrow" w:hAnsi="Arial Narrow" w:cs="Calibri"/>
                <w:b/>
                <w:bCs/>
                <w:color w:val="000000"/>
                <w:sz w:val="20"/>
                <w:szCs w:val="20"/>
              </w:rPr>
              <w:t>MBS 75% Benefit</w:t>
            </w:r>
          </w:p>
        </w:tc>
      </w:tr>
      <w:tr w:rsidR="00E360E5" w:rsidRPr="008519CE" w14:paraId="5BE5109D" w14:textId="77777777" w:rsidTr="00A21A7F">
        <w:trPr>
          <w:trHeight w:val="280"/>
        </w:trPr>
        <w:tc>
          <w:tcPr>
            <w:tcW w:w="1303" w:type="pct"/>
            <w:tcBorders>
              <w:top w:val="single" w:sz="4" w:space="0" w:color="auto"/>
              <w:left w:val="single" w:sz="4" w:space="0" w:color="auto"/>
              <w:bottom w:val="single" w:sz="4" w:space="0" w:color="auto"/>
              <w:right w:val="nil"/>
            </w:tcBorders>
            <w:shd w:val="clear" w:color="auto" w:fill="auto"/>
            <w:noWrap/>
            <w:vAlign w:val="center"/>
            <w:hideMark/>
          </w:tcPr>
          <w:p w14:paraId="441B89DF" w14:textId="77777777" w:rsidR="00E360E5" w:rsidRPr="008519CE" w:rsidRDefault="00E360E5" w:rsidP="009D6338">
            <w:pPr>
              <w:keepNext/>
              <w:keepLines/>
              <w:spacing w:before="40" w:line="240" w:lineRule="auto"/>
              <w:jc w:val="both"/>
              <w:rPr>
                <w:rFonts w:ascii="Arial Narrow" w:hAnsi="Arial Narrow" w:cs="Calibri"/>
                <w:b/>
                <w:bCs/>
                <w:color w:val="000000"/>
                <w:sz w:val="20"/>
                <w:szCs w:val="20"/>
              </w:rPr>
            </w:pPr>
            <w:r w:rsidRPr="008519CE">
              <w:rPr>
                <w:rFonts w:ascii="Arial Narrow" w:hAnsi="Arial Narrow" w:cs="Calibri"/>
                <w:b/>
                <w:bCs/>
                <w:color w:val="000000"/>
                <w:sz w:val="20"/>
                <w:szCs w:val="20"/>
              </w:rPr>
              <w:t>Pre-treatment</w:t>
            </w:r>
          </w:p>
        </w:tc>
        <w:tc>
          <w:tcPr>
            <w:tcW w:w="1257" w:type="pct"/>
            <w:gridSpan w:val="2"/>
            <w:tcBorders>
              <w:top w:val="single" w:sz="4" w:space="0" w:color="auto"/>
              <w:left w:val="nil"/>
              <w:bottom w:val="single" w:sz="4" w:space="0" w:color="auto"/>
              <w:right w:val="nil"/>
            </w:tcBorders>
            <w:shd w:val="clear" w:color="auto" w:fill="auto"/>
            <w:noWrap/>
            <w:vAlign w:val="center"/>
            <w:hideMark/>
          </w:tcPr>
          <w:p w14:paraId="6F851743" w14:textId="164F2382" w:rsidR="00E360E5" w:rsidRPr="008519CE" w:rsidRDefault="00E360E5" w:rsidP="009D6338">
            <w:pPr>
              <w:keepNext/>
              <w:keepLines/>
              <w:spacing w:before="40" w:line="240" w:lineRule="auto"/>
              <w:jc w:val="center"/>
              <w:rPr>
                <w:rFonts w:ascii="Arial Narrow" w:hAnsi="Arial Narrow" w:cs="Calibri"/>
                <w:b/>
                <w:bCs/>
                <w:color w:val="000000"/>
                <w:sz w:val="20"/>
                <w:szCs w:val="20"/>
              </w:rPr>
            </w:pPr>
          </w:p>
        </w:tc>
        <w:tc>
          <w:tcPr>
            <w:tcW w:w="835" w:type="pct"/>
            <w:tcBorders>
              <w:top w:val="single" w:sz="4" w:space="0" w:color="auto"/>
              <w:left w:val="nil"/>
              <w:bottom w:val="single" w:sz="4" w:space="0" w:color="auto"/>
              <w:right w:val="nil"/>
            </w:tcBorders>
            <w:shd w:val="clear" w:color="auto" w:fill="auto"/>
            <w:noWrap/>
            <w:vAlign w:val="center"/>
            <w:hideMark/>
          </w:tcPr>
          <w:p w14:paraId="5FDA4AB7" w14:textId="7511EED7" w:rsidR="00E360E5" w:rsidRPr="008519CE" w:rsidRDefault="00E360E5" w:rsidP="009D6338">
            <w:pPr>
              <w:keepNext/>
              <w:keepLines/>
              <w:spacing w:before="40" w:line="240" w:lineRule="auto"/>
              <w:jc w:val="center"/>
              <w:rPr>
                <w:rFonts w:ascii="Arial Narrow" w:hAnsi="Arial Narrow" w:cs="Calibri"/>
                <w:b/>
                <w:bCs/>
                <w:color w:val="000000"/>
                <w:sz w:val="20"/>
                <w:szCs w:val="20"/>
              </w:rPr>
            </w:pPr>
          </w:p>
        </w:tc>
        <w:tc>
          <w:tcPr>
            <w:tcW w:w="792" w:type="pct"/>
            <w:tcBorders>
              <w:top w:val="single" w:sz="4" w:space="0" w:color="auto"/>
              <w:left w:val="nil"/>
              <w:bottom w:val="single" w:sz="4" w:space="0" w:color="auto"/>
              <w:right w:val="nil"/>
            </w:tcBorders>
            <w:shd w:val="clear" w:color="auto" w:fill="auto"/>
            <w:noWrap/>
            <w:vAlign w:val="center"/>
            <w:hideMark/>
          </w:tcPr>
          <w:p w14:paraId="5471458A" w14:textId="4C04AC49" w:rsidR="00E360E5" w:rsidRPr="008519CE" w:rsidRDefault="00E360E5" w:rsidP="009D6338">
            <w:pPr>
              <w:keepNext/>
              <w:keepLines/>
              <w:spacing w:before="40" w:line="240" w:lineRule="auto"/>
              <w:jc w:val="center"/>
              <w:rPr>
                <w:rFonts w:ascii="Arial Narrow" w:hAnsi="Arial Narrow" w:cs="Calibri"/>
                <w:b/>
                <w:bCs/>
                <w:color w:val="000000"/>
                <w:sz w:val="20"/>
                <w:szCs w:val="20"/>
              </w:rPr>
            </w:pP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1885B107" w14:textId="6A5241DC" w:rsidR="00E360E5" w:rsidRPr="008519CE" w:rsidRDefault="00E360E5" w:rsidP="009D6338">
            <w:pPr>
              <w:keepNext/>
              <w:keepLines/>
              <w:spacing w:before="40" w:line="240" w:lineRule="auto"/>
              <w:jc w:val="center"/>
              <w:rPr>
                <w:rFonts w:ascii="Arial Narrow" w:hAnsi="Arial Narrow" w:cs="Calibri"/>
                <w:b/>
                <w:bCs/>
                <w:color w:val="000000"/>
                <w:sz w:val="20"/>
                <w:szCs w:val="20"/>
              </w:rPr>
            </w:pPr>
          </w:p>
        </w:tc>
      </w:tr>
      <w:tr w:rsidR="00E360E5" w:rsidRPr="008519CE" w14:paraId="1437518E" w14:textId="77777777" w:rsidTr="00A21A7F">
        <w:trPr>
          <w:trHeight w:val="864"/>
        </w:trPr>
        <w:tc>
          <w:tcPr>
            <w:tcW w:w="5000" w:type="pct"/>
            <w:gridSpan w:val="6"/>
            <w:tcBorders>
              <w:top w:val="single" w:sz="4" w:space="0" w:color="auto"/>
              <w:bottom w:val="single" w:sz="4" w:space="0" w:color="auto"/>
            </w:tcBorders>
            <w:shd w:val="clear" w:color="auto" w:fill="auto"/>
            <w:noWrap/>
            <w:vAlign w:val="center"/>
            <w:hideMark/>
          </w:tcPr>
          <w:p w14:paraId="7DBB4447" w14:textId="6F06A47F" w:rsidR="00E360E5" w:rsidRPr="008519CE" w:rsidRDefault="00E360E5" w:rsidP="009D6338">
            <w:pPr>
              <w:keepNext/>
              <w:keepLines/>
              <w:spacing w:before="40" w:line="240" w:lineRule="auto"/>
              <w:jc w:val="both"/>
              <w:rPr>
                <w:rFonts w:ascii="Arial Narrow" w:hAnsi="Arial Narrow" w:cs="Calibri"/>
                <w:b/>
                <w:bCs/>
                <w:color w:val="000000"/>
                <w:sz w:val="20"/>
                <w:szCs w:val="20"/>
              </w:rPr>
            </w:pPr>
            <w:r w:rsidRPr="008519CE">
              <w:rPr>
                <w:rFonts w:ascii="Arial Narrow" w:hAnsi="Arial Narrow"/>
                <w:sz w:val="20"/>
                <w:szCs w:val="20"/>
              </w:rPr>
              <w:t xml:space="preserve">While both the Applicant and clinical advice indicate multidisciplinary team meetings covering these clinical cases are expected to be a channel for identification and referral of these patients, </w:t>
            </w:r>
            <w:r w:rsidR="004D7199">
              <w:rPr>
                <w:rFonts w:ascii="Arial Narrow" w:hAnsi="Arial Narrow"/>
                <w:sz w:val="20"/>
                <w:szCs w:val="20"/>
              </w:rPr>
              <w:t xml:space="preserve">specific processes were not identified and therefore </w:t>
            </w:r>
            <w:r w:rsidRPr="008519CE">
              <w:rPr>
                <w:rFonts w:ascii="Arial Narrow" w:hAnsi="Arial Narrow"/>
                <w:sz w:val="20"/>
                <w:szCs w:val="20"/>
              </w:rPr>
              <w:t xml:space="preserve">not explicitly costed.  </w:t>
            </w:r>
            <w:r w:rsidR="004D7199" w:rsidRPr="004D7199">
              <w:rPr>
                <w:rFonts w:ascii="Arial Narrow" w:hAnsi="Arial Narrow"/>
                <w:sz w:val="20"/>
                <w:szCs w:val="20"/>
              </w:rPr>
              <w:t xml:space="preserve">As per Section A.6, patients are assumed to proceed through the same clinical management algorithm as other radiation therapy patients, </w:t>
            </w:r>
            <w:r w:rsidR="0039697B">
              <w:rPr>
                <w:rFonts w:ascii="Arial Narrow" w:hAnsi="Arial Narrow"/>
                <w:sz w:val="20"/>
                <w:szCs w:val="20"/>
              </w:rPr>
              <w:t xml:space="preserve">with </w:t>
            </w:r>
            <w:r w:rsidR="004D7199" w:rsidRPr="004D7199">
              <w:rPr>
                <w:rFonts w:ascii="Arial Narrow" w:hAnsi="Arial Narrow"/>
                <w:sz w:val="20"/>
                <w:szCs w:val="20"/>
              </w:rPr>
              <w:t>MR-IGRT a proposed additional treatment option.  However, as processes and procedures for potential MR-IGRT patients evolve, clinical advice suggests such MDT workflows will become more clearly defined.</w:t>
            </w:r>
          </w:p>
        </w:tc>
      </w:tr>
      <w:tr w:rsidR="00E360E5" w:rsidRPr="008519CE" w14:paraId="77A285C5" w14:textId="77777777" w:rsidTr="00A21A7F">
        <w:trPr>
          <w:trHeight w:val="280"/>
        </w:trPr>
        <w:tc>
          <w:tcPr>
            <w:tcW w:w="1303" w:type="pct"/>
            <w:tcBorders>
              <w:top w:val="single" w:sz="4" w:space="0" w:color="auto"/>
              <w:left w:val="single" w:sz="4" w:space="0" w:color="auto"/>
              <w:bottom w:val="single" w:sz="4" w:space="0" w:color="auto"/>
              <w:right w:val="nil"/>
            </w:tcBorders>
            <w:shd w:val="clear" w:color="auto" w:fill="auto"/>
            <w:noWrap/>
            <w:vAlign w:val="center"/>
            <w:hideMark/>
          </w:tcPr>
          <w:p w14:paraId="29406E82" w14:textId="77777777" w:rsidR="00E360E5" w:rsidRPr="008519CE" w:rsidRDefault="00E360E5" w:rsidP="009D6338">
            <w:pPr>
              <w:keepNext/>
              <w:keepLines/>
              <w:spacing w:before="40" w:line="240" w:lineRule="auto"/>
              <w:jc w:val="both"/>
              <w:rPr>
                <w:rFonts w:ascii="Arial Narrow" w:hAnsi="Arial Narrow" w:cs="Calibri"/>
                <w:b/>
                <w:bCs/>
                <w:color w:val="000000"/>
                <w:sz w:val="20"/>
                <w:szCs w:val="20"/>
              </w:rPr>
            </w:pPr>
            <w:r w:rsidRPr="008519CE">
              <w:rPr>
                <w:rFonts w:ascii="Arial Narrow" w:hAnsi="Arial Narrow" w:cs="Calibri"/>
                <w:b/>
                <w:bCs/>
                <w:color w:val="000000"/>
                <w:sz w:val="20"/>
                <w:szCs w:val="20"/>
              </w:rPr>
              <w:t>Treatment</w:t>
            </w:r>
          </w:p>
        </w:tc>
        <w:tc>
          <w:tcPr>
            <w:tcW w:w="1257" w:type="pct"/>
            <w:gridSpan w:val="2"/>
            <w:tcBorders>
              <w:top w:val="single" w:sz="4" w:space="0" w:color="auto"/>
              <w:left w:val="nil"/>
              <w:bottom w:val="single" w:sz="4" w:space="0" w:color="auto"/>
              <w:right w:val="nil"/>
            </w:tcBorders>
            <w:shd w:val="clear" w:color="auto" w:fill="auto"/>
            <w:noWrap/>
            <w:vAlign w:val="center"/>
            <w:hideMark/>
          </w:tcPr>
          <w:p w14:paraId="27DC345D" w14:textId="38B1AF4F" w:rsidR="00E360E5" w:rsidRPr="008519CE" w:rsidRDefault="00E360E5" w:rsidP="009D6338">
            <w:pPr>
              <w:keepNext/>
              <w:keepLines/>
              <w:spacing w:before="40" w:line="240" w:lineRule="auto"/>
              <w:jc w:val="center"/>
              <w:rPr>
                <w:rFonts w:ascii="Arial Narrow" w:hAnsi="Arial Narrow" w:cs="Calibri"/>
                <w:b/>
                <w:bCs/>
                <w:color w:val="000000"/>
                <w:sz w:val="20"/>
                <w:szCs w:val="20"/>
              </w:rPr>
            </w:pPr>
          </w:p>
        </w:tc>
        <w:tc>
          <w:tcPr>
            <w:tcW w:w="835" w:type="pct"/>
            <w:tcBorders>
              <w:top w:val="single" w:sz="4" w:space="0" w:color="auto"/>
              <w:left w:val="nil"/>
              <w:bottom w:val="single" w:sz="4" w:space="0" w:color="auto"/>
              <w:right w:val="nil"/>
            </w:tcBorders>
            <w:shd w:val="clear" w:color="auto" w:fill="auto"/>
            <w:noWrap/>
            <w:vAlign w:val="center"/>
            <w:hideMark/>
          </w:tcPr>
          <w:p w14:paraId="45D1A409" w14:textId="139F298B" w:rsidR="00E360E5" w:rsidRPr="008519CE" w:rsidRDefault="00E360E5" w:rsidP="009D6338">
            <w:pPr>
              <w:keepNext/>
              <w:keepLines/>
              <w:spacing w:before="40" w:line="240" w:lineRule="auto"/>
              <w:jc w:val="center"/>
              <w:rPr>
                <w:rFonts w:ascii="Arial Narrow" w:hAnsi="Arial Narrow" w:cs="Calibri"/>
                <w:b/>
                <w:bCs/>
                <w:color w:val="000000"/>
                <w:sz w:val="20"/>
                <w:szCs w:val="20"/>
              </w:rPr>
            </w:pPr>
          </w:p>
        </w:tc>
        <w:tc>
          <w:tcPr>
            <w:tcW w:w="792" w:type="pct"/>
            <w:tcBorders>
              <w:top w:val="single" w:sz="4" w:space="0" w:color="auto"/>
              <w:left w:val="nil"/>
              <w:bottom w:val="single" w:sz="4" w:space="0" w:color="auto"/>
              <w:right w:val="nil"/>
            </w:tcBorders>
            <w:shd w:val="clear" w:color="auto" w:fill="auto"/>
            <w:noWrap/>
            <w:vAlign w:val="center"/>
            <w:hideMark/>
          </w:tcPr>
          <w:p w14:paraId="168EB55A" w14:textId="5C096F25" w:rsidR="00E360E5" w:rsidRPr="008519CE" w:rsidRDefault="00E360E5" w:rsidP="009D6338">
            <w:pPr>
              <w:keepNext/>
              <w:keepLines/>
              <w:spacing w:before="40" w:line="240" w:lineRule="auto"/>
              <w:jc w:val="center"/>
              <w:rPr>
                <w:rFonts w:ascii="Arial Narrow" w:hAnsi="Arial Narrow" w:cs="Calibri"/>
                <w:b/>
                <w:bCs/>
                <w:color w:val="000000"/>
                <w:sz w:val="20"/>
                <w:szCs w:val="20"/>
              </w:rPr>
            </w:pP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BD00D7E" w14:textId="70F9BA60" w:rsidR="00E360E5" w:rsidRPr="008519CE" w:rsidRDefault="00E360E5" w:rsidP="009D6338">
            <w:pPr>
              <w:keepNext/>
              <w:keepLines/>
              <w:spacing w:before="40" w:line="240" w:lineRule="auto"/>
              <w:jc w:val="center"/>
              <w:rPr>
                <w:rFonts w:ascii="Arial Narrow" w:hAnsi="Arial Narrow" w:cs="Calibri"/>
                <w:b/>
                <w:bCs/>
                <w:color w:val="000000"/>
                <w:sz w:val="20"/>
                <w:szCs w:val="20"/>
              </w:rPr>
            </w:pPr>
          </w:p>
        </w:tc>
      </w:tr>
      <w:tr w:rsidR="00E360E5" w:rsidRPr="008519CE" w14:paraId="07BE8A1A" w14:textId="77777777" w:rsidTr="00A21A7F">
        <w:trPr>
          <w:trHeight w:val="280"/>
        </w:trPr>
        <w:tc>
          <w:tcPr>
            <w:tcW w:w="1569" w:type="pct"/>
            <w:gridSpan w:val="2"/>
            <w:tcBorders>
              <w:top w:val="single" w:sz="4" w:space="0" w:color="auto"/>
              <w:left w:val="single" w:sz="4" w:space="0" w:color="auto"/>
              <w:bottom w:val="single" w:sz="4" w:space="0" w:color="auto"/>
              <w:right w:val="nil"/>
            </w:tcBorders>
            <w:shd w:val="clear" w:color="auto" w:fill="auto"/>
            <w:noWrap/>
            <w:vAlign w:val="center"/>
            <w:hideMark/>
          </w:tcPr>
          <w:p w14:paraId="30F2BF18" w14:textId="376FF035" w:rsidR="00E360E5" w:rsidRPr="008519CE" w:rsidRDefault="009D13AE" w:rsidP="009D6338">
            <w:pPr>
              <w:keepNext/>
              <w:keepLines/>
              <w:spacing w:before="40" w:line="240" w:lineRule="auto"/>
              <w:rPr>
                <w:rFonts w:ascii="Arial Narrow" w:hAnsi="Arial Narrow" w:cs="Calibri"/>
                <w:sz w:val="20"/>
                <w:szCs w:val="20"/>
              </w:rPr>
            </w:pPr>
            <w:r>
              <w:rPr>
                <w:rFonts w:ascii="Arial Narrow" w:hAnsi="Arial Narrow" w:cs="Calibri"/>
                <w:sz w:val="20"/>
                <w:szCs w:val="20"/>
              </w:rPr>
              <w:t>Fiducial</w:t>
            </w:r>
            <w:r w:rsidR="00E360E5" w:rsidRPr="008519CE">
              <w:rPr>
                <w:rFonts w:ascii="Arial Narrow" w:hAnsi="Arial Narrow" w:cs="Calibri"/>
                <w:sz w:val="20"/>
                <w:szCs w:val="20"/>
              </w:rPr>
              <w:t xml:space="preserve"> Marking (CBCT only)</w:t>
            </w:r>
          </w:p>
        </w:tc>
        <w:tc>
          <w:tcPr>
            <w:tcW w:w="990" w:type="pct"/>
            <w:tcBorders>
              <w:top w:val="single" w:sz="4" w:space="0" w:color="auto"/>
              <w:left w:val="nil"/>
              <w:bottom w:val="single" w:sz="4" w:space="0" w:color="auto"/>
              <w:right w:val="nil"/>
            </w:tcBorders>
            <w:shd w:val="clear" w:color="auto" w:fill="auto"/>
            <w:vAlign w:val="center"/>
            <w:hideMark/>
          </w:tcPr>
          <w:p w14:paraId="6B99BE2E" w14:textId="5C5EFA7E" w:rsidR="00E360E5" w:rsidRPr="008519CE" w:rsidRDefault="00E360E5" w:rsidP="009D6338">
            <w:pPr>
              <w:keepNext/>
              <w:keepLines/>
              <w:spacing w:before="40" w:line="240" w:lineRule="auto"/>
              <w:jc w:val="center"/>
              <w:rPr>
                <w:rFonts w:ascii="Arial Narrow" w:hAnsi="Arial Narrow" w:cs="Calibri"/>
                <w:b/>
                <w:bCs/>
                <w:sz w:val="20"/>
                <w:szCs w:val="20"/>
              </w:rPr>
            </w:pPr>
          </w:p>
        </w:tc>
        <w:tc>
          <w:tcPr>
            <w:tcW w:w="835" w:type="pct"/>
            <w:tcBorders>
              <w:top w:val="single" w:sz="4" w:space="0" w:color="auto"/>
              <w:left w:val="nil"/>
              <w:bottom w:val="single" w:sz="4" w:space="0" w:color="auto"/>
              <w:right w:val="nil"/>
            </w:tcBorders>
            <w:shd w:val="clear" w:color="auto" w:fill="auto"/>
            <w:noWrap/>
            <w:vAlign w:val="center"/>
            <w:hideMark/>
          </w:tcPr>
          <w:p w14:paraId="0421C8FA" w14:textId="42BC9A6D" w:rsidR="00E360E5" w:rsidRPr="008519CE" w:rsidRDefault="00E360E5" w:rsidP="009D6338">
            <w:pPr>
              <w:keepNext/>
              <w:keepLines/>
              <w:spacing w:before="40" w:line="240" w:lineRule="auto"/>
              <w:jc w:val="center"/>
              <w:rPr>
                <w:rFonts w:ascii="Arial Narrow" w:hAnsi="Arial Narrow" w:cs="Calibri"/>
                <w:b/>
                <w:bCs/>
                <w:sz w:val="20"/>
                <w:szCs w:val="20"/>
              </w:rPr>
            </w:pPr>
          </w:p>
        </w:tc>
        <w:tc>
          <w:tcPr>
            <w:tcW w:w="792" w:type="pct"/>
            <w:tcBorders>
              <w:top w:val="single" w:sz="4" w:space="0" w:color="auto"/>
              <w:left w:val="nil"/>
              <w:bottom w:val="single" w:sz="4" w:space="0" w:color="auto"/>
              <w:right w:val="nil"/>
            </w:tcBorders>
            <w:shd w:val="clear" w:color="auto" w:fill="auto"/>
            <w:noWrap/>
            <w:vAlign w:val="center"/>
            <w:hideMark/>
          </w:tcPr>
          <w:p w14:paraId="1F27BF6B" w14:textId="587D1B97" w:rsidR="00E360E5" w:rsidRPr="008519CE" w:rsidRDefault="00E360E5" w:rsidP="009D6338">
            <w:pPr>
              <w:keepNext/>
              <w:keepLines/>
              <w:spacing w:before="40" w:line="240" w:lineRule="auto"/>
              <w:jc w:val="center"/>
              <w:rPr>
                <w:rFonts w:ascii="Arial Narrow" w:hAnsi="Arial Narrow" w:cs="Calibri"/>
                <w:b/>
                <w:bCs/>
                <w:sz w:val="20"/>
                <w:szCs w:val="20"/>
              </w:rPr>
            </w:pP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52E71FDF" w14:textId="52986172" w:rsidR="00E360E5" w:rsidRPr="008519CE" w:rsidRDefault="00E360E5" w:rsidP="009D6338">
            <w:pPr>
              <w:keepNext/>
              <w:keepLines/>
              <w:spacing w:before="40" w:line="240" w:lineRule="auto"/>
              <w:jc w:val="center"/>
              <w:rPr>
                <w:rFonts w:ascii="Arial Narrow" w:hAnsi="Arial Narrow" w:cs="Calibri"/>
                <w:b/>
                <w:bCs/>
                <w:sz w:val="20"/>
                <w:szCs w:val="20"/>
              </w:rPr>
            </w:pPr>
          </w:p>
        </w:tc>
      </w:tr>
      <w:tr w:rsidR="00E360E5" w:rsidRPr="008519CE" w14:paraId="747FF12A" w14:textId="77777777" w:rsidTr="00A21A7F">
        <w:trPr>
          <w:trHeight w:val="780"/>
        </w:trPr>
        <w:tc>
          <w:tcPr>
            <w:tcW w:w="1303" w:type="pct"/>
            <w:tcBorders>
              <w:top w:val="single" w:sz="4" w:space="0" w:color="auto"/>
            </w:tcBorders>
            <w:shd w:val="clear" w:color="auto" w:fill="auto"/>
            <w:noWrap/>
            <w:vAlign w:val="center"/>
            <w:hideMark/>
          </w:tcPr>
          <w:p w14:paraId="33C4C3FD" w14:textId="6A299A81" w:rsidR="00E360E5" w:rsidRPr="008519CE" w:rsidRDefault="00211285" w:rsidP="009D6338">
            <w:pPr>
              <w:keepNext/>
              <w:keepLines/>
              <w:spacing w:before="40" w:line="240" w:lineRule="auto"/>
              <w:jc w:val="both"/>
              <w:rPr>
                <w:rFonts w:ascii="Arial Narrow" w:hAnsi="Arial Narrow" w:cs="Calibri"/>
                <w:sz w:val="20"/>
                <w:szCs w:val="20"/>
              </w:rPr>
            </w:pPr>
            <w:hyperlink r:id="rId38" w:history="1">
              <w:r w:rsidR="00E360E5" w:rsidRPr="008519CE">
                <w:rPr>
                  <w:rFonts w:ascii="Arial Narrow" w:hAnsi="Arial Narrow" w:cs="Calibri"/>
                  <w:sz w:val="20"/>
                  <w:szCs w:val="20"/>
                </w:rPr>
                <w:t>37217</w:t>
              </w:r>
            </w:hyperlink>
          </w:p>
        </w:tc>
        <w:tc>
          <w:tcPr>
            <w:tcW w:w="1257" w:type="pct"/>
            <w:gridSpan w:val="2"/>
            <w:tcBorders>
              <w:top w:val="single" w:sz="4" w:space="0" w:color="auto"/>
            </w:tcBorders>
            <w:shd w:val="clear" w:color="auto" w:fill="auto"/>
            <w:vAlign w:val="center"/>
            <w:hideMark/>
          </w:tcPr>
          <w:p w14:paraId="1E9F91C3" w14:textId="3ADF3A57" w:rsidR="00E360E5" w:rsidRPr="008519CE" w:rsidRDefault="00E360E5" w:rsidP="009D6338">
            <w:pPr>
              <w:keepNext/>
              <w:keepLines/>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Prostate, implantation of radio-opaque fiducial markers into the prostate gland</w:t>
            </w:r>
          </w:p>
        </w:tc>
        <w:tc>
          <w:tcPr>
            <w:tcW w:w="835" w:type="pct"/>
            <w:tcBorders>
              <w:top w:val="single" w:sz="4" w:space="0" w:color="auto"/>
            </w:tcBorders>
            <w:shd w:val="clear" w:color="auto" w:fill="auto"/>
            <w:noWrap/>
            <w:vAlign w:val="center"/>
            <w:hideMark/>
          </w:tcPr>
          <w:p w14:paraId="6AA798F0" w14:textId="77777777" w:rsidR="00E360E5" w:rsidRPr="008519CE" w:rsidRDefault="00E360E5" w:rsidP="009D6338">
            <w:pPr>
              <w:keepNext/>
              <w:keepLines/>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$142.60</w:t>
            </w:r>
          </w:p>
        </w:tc>
        <w:tc>
          <w:tcPr>
            <w:tcW w:w="792" w:type="pct"/>
            <w:tcBorders>
              <w:top w:val="single" w:sz="4" w:space="0" w:color="auto"/>
            </w:tcBorders>
            <w:shd w:val="clear" w:color="auto" w:fill="auto"/>
            <w:noWrap/>
            <w:vAlign w:val="center"/>
            <w:hideMark/>
          </w:tcPr>
          <w:p w14:paraId="3AA32ABF" w14:textId="77777777" w:rsidR="00E360E5" w:rsidRPr="008519CE" w:rsidRDefault="00E360E5" w:rsidP="009D6338">
            <w:pPr>
              <w:keepNext/>
              <w:keepLines/>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$121.25</w:t>
            </w:r>
          </w:p>
        </w:tc>
        <w:tc>
          <w:tcPr>
            <w:tcW w:w="814" w:type="pct"/>
            <w:tcBorders>
              <w:top w:val="single" w:sz="4" w:space="0" w:color="auto"/>
            </w:tcBorders>
            <w:shd w:val="clear" w:color="auto" w:fill="auto"/>
            <w:noWrap/>
            <w:vAlign w:val="center"/>
            <w:hideMark/>
          </w:tcPr>
          <w:p w14:paraId="20ABA905" w14:textId="77777777" w:rsidR="00E360E5" w:rsidRPr="008519CE" w:rsidRDefault="00E360E5" w:rsidP="009D6338">
            <w:pPr>
              <w:keepNext/>
              <w:keepLines/>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$106.95</w:t>
            </w:r>
          </w:p>
        </w:tc>
      </w:tr>
      <w:tr w:rsidR="00E360E5" w:rsidRPr="008519CE" w14:paraId="3E7A49CA" w14:textId="77777777" w:rsidTr="00A21A7F">
        <w:trPr>
          <w:trHeight w:val="280"/>
        </w:trPr>
        <w:tc>
          <w:tcPr>
            <w:tcW w:w="1303" w:type="pct"/>
            <w:shd w:val="clear" w:color="auto" w:fill="auto"/>
            <w:noWrap/>
            <w:vAlign w:val="center"/>
            <w:hideMark/>
          </w:tcPr>
          <w:p w14:paraId="6B53DBFB" w14:textId="59193D40" w:rsidR="00E360E5" w:rsidRPr="008519CE" w:rsidRDefault="00211285" w:rsidP="009E682D">
            <w:pPr>
              <w:spacing w:before="40" w:line="240" w:lineRule="auto"/>
              <w:jc w:val="both"/>
              <w:rPr>
                <w:rFonts w:ascii="Arial Narrow" w:hAnsi="Arial Narrow" w:cs="Calibri"/>
                <w:sz w:val="20"/>
                <w:szCs w:val="20"/>
              </w:rPr>
            </w:pPr>
            <w:hyperlink r:id="rId39" w:history="1">
              <w:r w:rsidR="00E360E5" w:rsidRPr="008519CE">
                <w:rPr>
                  <w:rFonts w:ascii="Arial Narrow" w:hAnsi="Arial Narrow" w:cs="Calibri"/>
                  <w:sz w:val="20"/>
                  <w:szCs w:val="20"/>
                </w:rPr>
                <w:t>55603</w:t>
              </w:r>
            </w:hyperlink>
          </w:p>
        </w:tc>
        <w:tc>
          <w:tcPr>
            <w:tcW w:w="1257" w:type="pct"/>
            <w:gridSpan w:val="2"/>
            <w:shd w:val="clear" w:color="auto" w:fill="auto"/>
            <w:vAlign w:val="center"/>
            <w:hideMark/>
          </w:tcPr>
          <w:p w14:paraId="0B2B129D"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Cost of ultrasound scan</w:t>
            </w:r>
          </w:p>
        </w:tc>
        <w:tc>
          <w:tcPr>
            <w:tcW w:w="835" w:type="pct"/>
            <w:shd w:val="clear" w:color="auto" w:fill="auto"/>
            <w:noWrap/>
            <w:vAlign w:val="center"/>
            <w:hideMark/>
          </w:tcPr>
          <w:p w14:paraId="0E75D034" w14:textId="77777777" w:rsidR="00E360E5" w:rsidRPr="008519CE" w:rsidRDefault="00E360E5" w:rsidP="001E5DB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$110.75</w:t>
            </w:r>
          </w:p>
        </w:tc>
        <w:tc>
          <w:tcPr>
            <w:tcW w:w="792" w:type="pct"/>
            <w:shd w:val="clear" w:color="auto" w:fill="auto"/>
            <w:noWrap/>
            <w:vAlign w:val="center"/>
            <w:hideMark/>
          </w:tcPr>
          <w:p w14:paraId="58C11316" w14:textId="77777777" w:rsidR="00E360E5" w:rsidRPr="008519CE" w:rsidRDefault="00E360E5" w:rsidP="003057B6">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$94.15</w:t>
            </w:r>
          </w:p>
        </w:tc>
        <w:tc>
          <w:tcPr>
            <w:tcW w:w="814" w:type="pct"/>
            <w:shd w:val="clear" w:color="auto" w:fill="auto"/>
            <w:noWrap/>
            <w:vAlign w:val="center"/>
            <w:hideMark/>
          </w:tcPr>
          <w:p w14:paraId="020615AD" w14:textId="77777777" w:rsidR="00E360E5" w:rsidRPr="008519CE" w:rsidRDefault="00E360E5">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$83.10</w:t>
            </w:r>
          </w:p>
        </w:tc>
      </w:tr>
      <w:tr w:rsidR="00E360E5" w:rsidRPr="008519CE" w14:paraId="794D4149" w14:textId="77777777" w:rsidTr="00A21A7F">
        <w:trPr>
          <w:trHeight w:val="280"/>
        </w:trPr>
        <w:tc>
          <w:tcPr>
            <w:tcW w:w="1303" w:type="pct"/>
            <w:shd w:val="clear" w:color="auto" w:fill="auto"/>
            <w:noWrap/>
            <w:vAlign w:val="center"/>
            <w:hideMark/>
          </w:tcPr>
          <w:p w14:paraId="746DB036" w14:textId="384F99CA" w:rsidR="00E360E5" w:rsidRPr="008519CE" w:rsidRDefault="00211285" w:rsidP="009E682D">
            <w:pPr>
              <w:spacing w:before="40" w:line="240" w:lineRule="auto"/>
              <w:jc w:val="both"/>
              <w:rPr>
                <w:rFonts w:ascii="Arial Narrow" w:hAnsi="Arial Narrow" w:cs="Calibri"/>
                <w:sz w:val="20"/>
                <w:szCs w:val="20"/>
              </w:rPr>
            </w:pPr>
            <w:hyperlink r:id="rId40" w:history="1">
              <w:r w:rsidR="00E360E5" w:rsidRPr="008519CE">
                <w:rPr>
                  <w:rFonts w:ascii="Arial Narrow" w:hAnsi="Arial Narrow" w:cs="Calibri"/>
                  <w:sz w:val="20"/>
                  <w:szCs w:val="20"/>
                </w:rPr>
                <w:t>104</w:t>
              </w:r>
            </w:hyperlink>
          </w:p>
        </w:tc>
        <w:tc>
          <w:tcPr>
            <w:tcW w:w="1257" w:type="pct"/>
            <w:gridSpan w:val="2"/>
            <w:shd w:val="clear" w:color="auto" w:fill="auto"/>
            <w:vAlign w:val="center"/>
            <w:hideMark/>
          </w:tcPr>
          <w:p w14:paraId="2F0DF2B1"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Cost of specialist attendance</w:t>
            </w:r>
          </w:p>
        </w:tc>
        <w:tc>
          <w:tcPr>
            <w:tcW w:w="835" w:type="pct"/>
            <w:shd w:val="clear" w:color="auto" w:fill="auto"/>
            <w:noWrap/>
            <w:vAlign w:val="center"/>
            <w:hideMark/>
          </w:tcPr>
          <w:p w14:paraId="45243981"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$89.55</w:t>
            </w:r>
          </w:p>
        </w:tc>
        <w:tc>
          <w:tcPr>
            <w:tcW w:w="792" w:type="pct"/>
            <w:shd w:val="clear" w:color="auto" w:fill="auto"/>
            <w:noWrap/>
            <w:vAlign w:val="center"/>
            <w:hideMark/>
          </w:tcPr>
          <w:p w14:paraId="19BEF577"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$76.15</w:t>
            </w:r>
          </w:p>
        </w:tc>
        <w:tc>
          <w:tcPr>
            <w:tcW w:w="814" w:type="pct"/>
            <w:shd w:val="clear" w:color="auto" w:fill="auto"/>
            <w:noWrap/>
            <w:vAlign w:val="center"/>
            <w:hideMark/>
          </w:tcPr>
          <w:p w14:paraId="4DDB8369"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$67.20</w:t>
            </w:r>
          </w:p>
        </w:tc>
      </w:tr>
      <w:tr w:rsidR="00E360E5" w:rsidRPr="008519CE" w14:paraId="396D6E15" w14:textId="77777777" w:rsidTr="00A21A7F">
        <w:trPr>
          <w:trHeight w:val="280"/>
        </w:trPr>
        <w:tc>
          <w:tcPr>
            <w:tcW w:w="1303" w:type="pct"/>
            <w:shd w:val="clear" w:color="auto" w:fill="auto"/>
            <w:noWrap/>
            <w:vAlign w:val="center"/>
            <w:hideMark/>
          </w:tcPr>
          <w:p w14:paraId="23CE8E2C" w14:textId="60CBB68B" w:rsidR="00E360E5" w:rsidRPr="008519CE" w:rsidRDefault="00211285" w:rsidP="009E682D">
            <w:pPr>
              <w:spacing w:before="40" w:line="240" w:lineRule="auto"/>
              <w:jc w:val="both"/>
              <w:rPr>
                <w:rFonts w:ascii="Arial Narrow" w:hAnsi="Arial Narrow" w:cs="Calibri"/>
                <w:sz w:val="20"/>
                <w:szCs w:val="20"/>
              </w:rPr>
            </w:pPr>
            <w:hyperlink r:id="rId41" w:history="1">
              <w:r w:rsidR="00E360E5" w:rsidRPr="008519CE">
                <w:rPr>
                  <w:rFonts w:ascii="Arial Narrow" w:hAnsi="Arial Narrow" w:cs="Calibri"/>
                  <w:sz w:val="20"/>
                  <w:szCs w:val="20"/>
                </w:rPr>
                <w:t>21980</w:t>
              </w:r>
            </w:hyperlink>
          </w:p>
        </w:tc>
        <w:tc>
          <w:tcPr>
            <w:tcW w:w="1257" w:type="pct"/>
            <w:gridSpan w:val="2"/>
            <w:shd w:val="clear" w:color="auto" w:fill="auto"/>
            <w:vAlign w:val="center"/>
            <w:hideMark/>
          </w:tcPr>
          <w:p w14:paraId="4631032E"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Cost of anaesthesia</w:t>
            </w:r>
          </w:p>
        </w:tc>
        <w:tc>
          <w:tcPr>
            <w:tcW w:w="835" w:type="pct"/>
            <w:shd w:val="clear" w:color="auto" w:fill="auto"/>
            <w:noWrap/>
            <w:vAlign w:val="center"/>
            <w:hideMark/>
          </w:tcPr>
          <w:p w14:paraId="6153C357"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$102.00</w:t>
            </w:r>
          </w:p>
        </w:tc>
        <w:tc>
          <w:tcPr>
            <w:tcW w:w="792" w:type="pct"/>
            <w:shd w:val="clear" w:color="auto" w:fill="auto"/>
            <w:noWrap/>
            <w:vAlign w:val="center"/>
            <w:hideMark/>
          </w:tcPr>
          <w:p w14:paraId="6579D352"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$86.70</w:t>
            </w:r>
          </w:p>
        </w:tc>
        <w:tc>
          <w:tcPr>
            <w:tcW w:w="814" w:type="pct"/>
            <w:shd w:val="clear" w:color="auto" w:fill="auto"/>
            <w:noWrap/>
            <w:vAlign w:val="center"/>
            <w:hideMark/>
          </w:tcPr>
          <w:p w14:paraId="0DACCE27"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$76.50</w:t>
            </w:r>
          </w:p>
        </w:tc>
      </w:tr>
      <w:tr w:rsidR="00E360E5" w:rsidRPr="008519CE" w14:paraId="2D053B00" w14:textId="77777777" w:rsidTr="00A21A7F">
        <w:trPr>
          <w:trHeight w:val="280"/>
        </w:trPr>
        <w:tc>
          <w:tcPr>
            <w:tcW w:w="1303" w:type="pct"/>
            <w:tcBorders>
              <w:bottom w:val="single" w:sz="4" w:space="0" w:color="auto"/>
            </w:tcBorders>
            <w:shd w:val="clear" w:color="auto" w:fill="auto"/>
            <w:noWrap/>
            <w:vAlign w:val="center"/>
            <w:hideMark/>
          </w:tcPr>
          <w:p w14:paraId="3624F325" w14:textId="0226DC60" w:rsidR="00E360E5" w:rsidRPr="008519CE" w:rsidRDefault="00211285" w:rsidP="009E682D">
            <w:pPr>
              <w:spacing w:before="40" w:line="240" w:lineRule="auto"/>
              <w:jc w:val="both"/>
              <w:rPr>
                <w:rFonts w:ascii="Arial Narrow" w:hAnsi="Arial Narrow" w:cs="Calibri"/>
                <w:sz w:val="20"/>
                <w:szCs w:val="20"/>
              </w:rPr>
            </w:pPr>
            <w:hyperlink r:id="rId42" w:history="1">
              <w:r w:rsidR="00E360E5" w:rsidRPr="008519CE">
                <w:rPr>
                  <w:rFonts w:ascii="Arial Narrow" w:hAnsi="Arial Narrow" w:cs="Calibri"/>
                  <w:sz w:val="20"/>
                  <w:szCs w:val="20"/>
                </w:rPr>
                <w:t>1209P</w:t>
              </w:r>
            </w:hyperlink>
          </w:p>
        </w:tc>
        <w:tc>
          <w:tcPr>
            <w:tcW w:w="1257" w:type="pct"/>
            <w:gridSpan w:val="2"/>
            <w:tcBorders>
              <w:bottom w:val="single" w:sz="4" w:space="0" w:color="auto"/>
            </w:tcBorders>
            <w:shd w:val="clear" w:color="auto" w:fill="auto"/>
            <w:vAlign w:val="center"/>
            <w:hideMark/>
          </w:tcPr>
          <w:p w14:paraId="4290B246"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Cost of antibiotics</w:t>
            </w:r>
          </w:p>
        </w:tc>
        <w:tc>
          <w:tcPr>
            <w:tcW w:w="835" w:type="pct"/>
            <w:tcBorders>
              <w:bottom w:val="single" w:sz="4" w:space="0" w:color="auto"/>
            </w:tcBorders>
            <w:shd w:val="clear" w:color="auto" w:fill="auto"/>
            <w:noWrap/>
            <w:vAlign w:val="center"/>
            <w:hideMark/>
          </w:tcPr>
          <w:p w14:paraId="44140D7B"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$18.28</w:t>
            </w:r>
          </w:p>
        </w:tc>
        <w:tc>
          <w:tcPr>
            <w:tcW w:w="792" w:type="pct"/>
            <w:tcBorders>
              <w:bottom w:val="single" w:sz="4" w:space="0" w:color="auto"/>
            </w:tcBorders>
            <w:shd w:val="clear" w:color="auto" w:fill="auto"/>
            <w:noWrap/>
            <w:vAlign w:val="center"/>
            <w:hideMark/>
          </w:tcPr>
          <w:p w14:paraId="505610A8"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N/A</w:t>
            </w:r>
          </w:p>
        </w:tc>
        <w:tc>
          <w:tcPr>
            <w:tcW w:w="814" w:type="pct"/>
            <w:tcBorders>
              <w:bottom w:val="single" w:sz="4" w:space="0" w:color="auto"/>
            </w:tcBorders>
            <w:shd w:val="clear" w:color="auto" w:fill="auto"/>
            <w:noWrap/>
            <w:vAlign w:val="center"/>
            <w:hideMark/>
          </w:tcPr>
          <w:p w14:paraId="10C9E93B"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N/A</w:t>
            </w:r>
          </w:p>
        </w:tc>
      </w:tr>
      <w:tr w:rsidR="00E360E5" w:rsidRPr="008519CE" w14:paraId="004E1CDD" w14:textId="77777777" w:rsidTr="00A21A7F">
        <w:trPr>
          <w:trHeight w:val="280"/>
        </w:trPr>
        <w:tc>
          <w:tcPr>
            <w:tcW w:w="1303" w:type="pct"/>
            <w:tcBorders>
              <w:top w:val="single" w:sz="4" w:space="0" w:color="auto"/>
              <w:left w:val="single" w:sz="4" w:space="0" w:color="auto"/>
              <w:bottom w:val="single" w:sz="4" w:space="0" w:color="auto"/>
              <w:right w:val="nil"/>
            </w:tcBorders>
            <w:shd w:val="clear" w:color="auto" w:fill="auto"/>
            <w:noWrap/>
            <w:vAlign w:val="center"/>
            <w:hideMark/>
          </w:tcPr>
          <w:p w14:paraId="3CB53C2D" w14:textId="77777777" w:rsidR="00E360E5" w:rsidRPr="008519CE" w:rsidRDefault="00E360E5" w:rsidP="009E682D">
            <w:pPr>
              <w:spacing w:before="40" w:line="240" w:lineRule="auto"/>
              <w:jc w:val="both"/>
              <w:rPr>
                <w:rFonts w:ascii="Arial Narrow" w:hAnsi="Arial Narrow" w:cs="Calibri"/>
                <w:sz w:val="20"/>
                <w:szCs w:val="20"/>
              </w:rPr>
            </w:pPr>
            <w:r w:rsidRPr="008519CE">
              <w:rPr>
                <w:rFonts w:ascii="Arial Narrow" w:hAnsi="Arial Narrow" w:cs="Calibri"/>
                <w:sz w:val="20"/>
                <w:szCs w:val="20"/>
              </w:rPr>
              <w:t>CBCT and MR-IGRT</w:t>
            </w:r>
          </w:p>
        </w:tc>
        <w:tc>
          <w:tcPr>
            <w:tcW w:w="1257" w:type="pct"/>
            <w:gridSpan w:val="2"/>
            <w:tcBorders>
              <w:top w:val="single" w:sz="4" w:space="0" w:color="auto"/>
              <w:left w:val="nil"/>
              <w:bottom w:val="single" w:sz="4" w:space="0" w:color="auto"/>
              <w:right w:val="nil"/>
            </w:tcBorders>
            <w:shd w:val="clear" w:color="auto" w:fill="auto"/>
            <w:vAlign w:val="center"/>
            <w:hideMark/>
          </w:tcPr>
          <w:p w14:paraId="0FD267A3" w14:textId="20CDF2F9" w:rsidR="00E360E5" w:rsidRPr="008519CE" w:rsidRDefault="00E360E5" w:rsidP="006D66DC">
            <w:pPr>
              <w:spacing w:before="40" w:line="240" w:lineRule="auto"/>
              <w:jc w:val="center"/>
              <w:rPr>
                <w:rFonts w:ascii="Arial Narrow" w:hAnsi="Arial Narrow" w:cs="Calibri"/>
                <w:color w:val="000000"/>
                <w:sz w:val="20"/>
                <w:szCs w:val="20"/>
              </w:rPr>
            </w:pPr>
          </w:p>
        </w:tc>
        <w:tc>
          <w:tcPr>
            <w:tcW w:w="835" w:type="pct"/>
            <w:tcBorders>
              <w:top w:val="single" w:sz="4" w:space="0" w:color="auto"/>
              <w:left w:val="nil"/>
              <w:bottom w:val="single" w:sz="4" w:space="0" w:color="auto"/>
              <w:right w:val="nil"/>
            </w:tcBorders>
            <w:shd w:val="clear" w:color="auto" w:fill="auto"/>
            <w:noWrap/>
            <w:vAlign w:val="center"/>
            <w:hideMark/>
          </w:tcPr>
          <w:p w14:paraId="15DE912A"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792" w:type="pct"/>
            <w:tcBorders>
              <w:top w:val="single" w:sz="4" w:space="0" w:color="auto"/>
              <w:left w:val="nil"/>
              <w:bottom w:val="single" w:sz="4" w:space="0" w:color="auto"/>
              <w:right w:val="nil"/>
            </w:tcBorders>
            <w:shd w:val="clear" w:color="auto" w:fill="auto"/>
            <w:noWrap/>
            <w:vAlign w:val="center"/>
            <w:hideMark/>
          </w:tcPr>
          <w:p w14:paraId="1673AD89"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6ED519DD"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28645AB9" w14:textId="77777777" w:rsidTr="00A21A7F">
        <w:trPr>
          <w:trHeight w:val="520"/>
        </w:trPr>
        <w:tc>
          <w:tcPr>
            <w:tcW w:w="1303" w:type="pct"/>
            <w:tcBorders>
              <w:top w:val="single" w:sz="4" w:space="0" w:color="auto"/>
            </w:tcBorders>
            <w:shd w:val="clear" w:color="auto" w:fill="auto"/>
            <w:noWrap/>
            <w:vAlign w:val="center"/>
            <w:hideMark/>
          </w:tcPr>
          <w:p w14:paraId="4FB5FB36" w14:textId="27E0F53D" w:rsidR="00E360E5" w:rsidRPr="008519CE" w:rsidRDefault="00211285" w:rsidP="009E682D">
            <w:pPr>
              <w:spacing w:before="40" w:line="240" w:lineRule="auto"/>
              <w:jc w:val="both"/>
              <w:rPr>
                <w:rFonts w:ascii="Arial Narrow" w:hAnsi="Arial Narrow" w:cs="Calibri"/>
                <w:sz w:val="20"/>
                <w:szCs w:val="20"/>
              </w:rPr>
            </w:pPr>
            <w:hyperlink r:id="rId43" w:history="1">
              <w:r w:rsidR="00E360E5" w:rsidRPr="008519CE">
                <w:rPr>
                  <w:rFonts w:ascii="Arial Narrow" w:hAnsi="Arial Narrow" w:cs="Calibri"/>
                  <w:sz w:val="20"/>
                  <w:szCs w:val="20"/>
                </w:rPr>
                <w:t>15275 (fraction)</w:t>
              </w:r>
            </w:hyperlink>
          </w:p>
        </w:tc>
        <w:tc>
          <w:tcPr>
            <w:tcW w:w="1257" w:type="pct"/>
            <w:gridSpan w:val="2"/>
            <w:tcBorders>
              <w:top w:val="single" w:sz="4" w:space="0" w:color="auto"/>
            </w:tcBorders>
            <w:shd w:val="clear" w:color="auto" w:fill="auto"/>
            <w:vAlign w:val="center"/>
            <w:hideMark/>
          </w:tcPr>
          <w:p w14:paraId="137337EA"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Radiation oncology treatment with IGRT imaging facilities</w:t>
            </w:r>
          </w:p>
        </w:tc>
        <w:tc>
          <w:tcPr>
            <w:tcW w:w="835" w:type="pct"/>
            <w:tcBorders>
              <w:top w:val="single" w:sz="4" w:space="0" w:color="auto"/>
            </w:tcBorders>
            <w:shd w:val="clear" w:color="auto" w:fill="auto"/>
            <w:noWrap/>
            <w:vAlign w:val="center"/>
            <w:hideMark/>
          </w:tcPr>
          <w:p w14:paraId="4634C015"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$188.65</w:t>
            </w:r>
          </w:p>
        </w:tc>
        <w:tc>
          <w:tcPr>
            <w:tcW w:w="792" w:type="pct"/>
            <w:tcBorders>
              <w:top w:val="single" w:sz="4" w:space="0" w:color="auto"/>
            </w:tcBorders>
            <w:shd w:val="clear" w:color="auto" w:fill="auto"/>
            <w:noWrap/>
            <w:vAlign w:val="center"/>
            <w:hideMark/>
          </w:tcPr>
          <w:p w14:paraId="70B9C8AE"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$160.40</w:t>
            </w:r>
          </w:p>
        </w:tc>
        <w:tc>
          <w:tcPr>
            <w:tcW w:w="814" w:type="pct"/>
            <w:tcBorders>
              <w:top w:val="single" w:sz="4" w:space="0" w:color="auto"/>
            </w:tcBorders>
            <w:shd w:val="clear" w:color="auto" w:fill="auto"/>
            <w:noWrap/>
            <w:vAlign w:val="center"/>
            <w:hideMark/>
          </w:tcPr>
          <w:p w14:paraId="2254C05C"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$141.50</w:t>
            </w:r>
          </w:p>
        </w:tc>
      </w:tr>
      <w:tr w:rsidR="00E360E5" w:rsidRPr="008519CE" w14:paraId="31656BF7" w14:textId="77777777" w:rsidTr="00A21A7F">
        <w:trPr>
          <w:trHeight w:val="794"/>
        </w:trPr>
        <w:tc>
          <w:tcPr>
            <w:tcW w:w="1303" w:type="pct"/>
            <w:shd w:val="clear" w:color="auto" w:fill="auto"/>
            <w:noWrap/>
            <w:vAlign w:val="center"/>
            <w:hideMark/>
          </w:tcPr>
          <w:p w14:paraId="2CF921C2" w14:textId="7C2CFF00" w:rsidR="00E360E5" w:rsidRPr="008519CE" w:rsidRDefault="00211285" w:rsidP="009E682D">
            <w:pPr>
              <w:spacing w:before="40" w:line="240" w:lineRule="auto"/>
              <w:jc w:val="both"/>
              <w:rPr>
                <w:rFonts w:ascii="Arial Narrow" w:hAnsi="Arial Narrow" w:cs="Calibri"/>
                <w:sz w:val="20"/>
                <w:szCs w:val="20"/>
              </w:rPr>
            </w:pPr>
            <w:hyperlink r:id="rId44" w:history="1">
              <w:r w:rsidR="00E360E5" w:rsidRPr="008519CE">
                <w:rPr>
                  <w:rFonts w:ascii="Arial Narrow" w:hAnsi="Arial Narrow" w:cs="Calibri"/>
                  <w:sz w:val="20"/>
                  <w:szCs w:val="20"/>
                </w:rPr>
                <w:t>15555 (simulation)</w:t>
              </w:r>
            </w:hyperlink>
          </w:p>
        </w:tc>
        <w:tc>
          <w:tcPr>
            <w:tcW w:w="1257" w:type="pct"/>
            <w:gridSpan w:val="2"/>
            <w:shd w:val="clear" w:color="auto" w:fill="auto"/>
            <w:vAlign w:val="center"/>
            <w:hideMark/>
          </w:tcPr>
          <w:p w14:paraId="6C90CBF1"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Simulation for IMRT with or without intravenous contrast medium.</w:t>
            </w:r>
          </w:p>
        </w:tc>
        <w:tc>
          <w:tcPr>
            <w:tcW w:w="835" w:type="pct"/>
            <w:shd w:val="clear" w:color="auto" w:fill="auto"/>
            <w:noWrap/>
            <w:vAlign w:val="center"/>
            <w:hideMark/>
          </w:tcPr>
          <w:p w14:paraId="09ECCCCC"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$732.75</w:t>
            </w:r>
          </w:p>
        </w:tc>
        <w:tc>
          <w:tcPr>
            <w:tcW w:w="792" w:type="pct"/>
            <w:shd w:val="clear" w:color="auto" w:fill="auto"/>
            <w:noWrap/>
            <w:vAlign w:val="center"/>
            <w:hideMark/>
          </w:tcPr>
          <w:p w14:paraId="5C79657B"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$648.05</w:t>
            </w:r>
          </w:p>
        </w:tc>
        <w:tc>
          <w:tcPr>
            <w:tcW w:w="814" w:type="pct"/>
            <w:shd w:val="clear" w:color="auto" w:fill="auto"/>
            <w:noWrap/>
            <w:vAlign w:val="center"/>
            <w:hideMark/>
          </w:tcPr>
          <w:p w14:paraId="38370271"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$549.60</w:t>
            </w:r>
          </w:p>
        </w:tc>
      </w:tr>
      <w:tr w:rsidR="00E360E5" w:rsidRPr="008519CE" w14:paraId="0ABC6140" w14:textId="77777777" w:rsidTr="00A21A7F">
        <w:trPr>
          <w:trHeight w:val="970"/>
        </w:trPr>
        <w:tc>
          <w:tcPr>
            <w:tcW w:w="1303" w:type="pct"/>
            <w:tcBorders>
              <w:bottom w:val="single" w:sz="4" w:space="0" w:color="auto"/>
            </w:tcBorders>
            <w:shd w:val="clear" w:color="auto" w:fill="auto"/>
            <w:noWrap/>
            <w:vAlign w:val="center"/>
            <w:hideMark/>
          </w:tcPr>
          <w:p w14:paraId="1AEB9E14" w14:textId="653F8BAC" w:rsidR="00E360E5" w:rsidRPr="008519CE" w:rsidRDefault="00211285" w:rsidP="009E682D">
            <w:pPr>
              <w:spacing w:before="40" w:line="240" w:lineRule="auto"/>
              <w:jc w:val="both"/>
              <w:rPr>
                <w:rFonts w:ascii="Arial Narrow" w:hAnsi="Arial Narrow" w:cs="Calibri"/>
                <w:sz w:val="20"/>
                <w:szCs w:val="20"/>
              </w:rPr>
            </w:pPr>
            <w:hyperlink r:id="rId45" w:history="1">
              <w:r w:rsidR="00E360E5" w:rsidRPr="008519CE">
                <w:rPr>
                  <w:rFonts w:ascii="Arial Narrow" w:hAnsi="Arial Narrow" w:cs="Calibri"/>
                  <w:sz w:val="20"/>
                  <w:szCs w:val="20"/>
                </w:rPr>
                <w:t>15565 (IMRT dosimetry plan)</w:t>
              </w:r>
            </w:hyperlink>
          </w:p>
        </w:tc>
        <w:tc>
          <w:tcPr>
            <w:tcW w:w="1257" w:type="pct"/>
            <w:gridSpan w:val="2"/>
            <w:tcBorders>
              <w:bottom w:val="single" w:sz="4" w:space="0" w:color="auto"/>
            </w:tcBorders>
            <w:shd w:val="clear" w:color="auto" w:fill="auto"/>
            <w:vAlign w:val="center"/>
            <w:hideMark/>
          </w:tcPr>
          <w:p w14:paraId="5C1C1358"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Preparation of an IMRT DOSIMETRY PLAN, which uses one or more CT image volume datasets</w:t>
            </w:r>
          </w:p>
        </w:tc>
        <w:tc>
          <w:tcPr>
            <w:tcW w:w="835" w:type="pct"/>
            <w:tcBorders>
              <w:bottom w:val="single" w:sz="4" w:space="0" w:color="auto"/>
            </w:tcBorders>
            <w:shd w:val="clear" w:color="auto" w:fill="auto"/>
            <w:noWrap/>
            <w:vAlign w:val="center"/>
            <w:hideMark/>
          </w:tcPr>
          <w:p w14:paraId="3C1F0C02"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$3,417.35</w:t>
            </w:r>
          </w:p>
        </w:tc>
        <w:tc>
          <w:tcPr>
            <w:tcW w:w="792" w:type="pct"/>
            <w:tcBorders>
              <w:bottom w:val="single" w:sz="4" w:space="0" w:color="auto"/>
            </w:tcBorders>
            <w:shd w:val="clear" w:color="auto" w:fill="auto"/>
            <w:noWrap/>
            <w:vAlign w:val="center"/>
            <w:hideMark/>
          </w:tcPr>
          <w:p w14:paraId="0E1C77EE"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$3,332.65</w:t>
            </w:r>
          </w:p>
        </w:tc>
        <w:tc>
          <w:tcPr>
            <w:tcW w:w="814" w:type="pct"/>
            <w:tcBorders>
              <w:bottom w:val="single" w:sz="4" w:space="0" w:color="auto"/>
            </w:tcBorders>
            <w:shd w:val="clear" w:color="auto" w:fill="auto"/>
            <w:noWrap/>
            <w:vAlign w:val="center"/>
            <w:hideMark/>
          </w:tcPr>
          <w:p w14:paraId="753198B5"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$2,563.05</w:t>
            </w:r>
          </w:p>
        </w:tc>
      </w:tr>
      <w:tr w:rsidR="00E360E5" w:rsidRPr="008519CE" w14:paraId="1B03A5A3" w14:textId="77777777" w:rsidTr="00A21A7F">
        <w:trPr>
          <w:trHeight w:val="280"/>
        </w:trPr>
        <w:tc>
          <w:tcPr>
            <w:tcW w:w="1303" w:type="pct"/>
            <w:tcBorders>
              <w:top w:val="single" w:sz="4" w:space="0" w:color="auto"/>
              <w:left w:val="single" w:sz="4" w:space="0" w:color="auto"/>
              <w:bottom w:val="single" w:sz="4" w:space="0" w:color="auto"/>
              <w:right w:val="nil"/>
            </w:tcBorders>
            <w:shd w:val="clear" w:color="auto" w:fill="auto"/>
            <w:noWrap/>
            <w:vAlign w:val="center"/>
            <w:hideMark/>
          </w:tcPr>
          <w:p w14:paraId="77EB93B6" w14:textId="77777777" w:rsidR="00E360E5" w:rsidRPr="008519CE" w:rsidRDefault="00E360E5" w:rsidP="009E682D">
            <w:pPr>
              <w:spacing w:before="40" w:line="240" w:lineRule="auto"/>
              <w:jc w:val="both"/>
              <w:rPr>
                <w:rFonts w:ascii="Arial Narrow" w:hAnsi="Arial Narrow" w:cs="Calibri"/>
                <w:b/>
                <w:bCs/>
                <w:sz w:val="20"/>
                <w:szCs w:val="20"/>
              </w:rPr>
            </w:pPr>
            <w:r w:rsidRPr="008519CE">
              <w:rPr>
                <w:rFonts w:ascii="Arial Narrow" w:hAnsi="Arial Narrow" w:cs="Calibri"/>
                <w:b/>
                <w:bCs/>
                <w:sz w:val="20"/>
                <w:szCs w:val="20"/>
              </w:rPr>
              <w:t>Adverse Events</w:t>
            </w:r>
          </w:p>
        </w:tc>
        <w:tc>
          <w:tcPr>
            <w:tcW w:w="1257" w:type="pct"/>
            <w:gridSpan w:val="2"/>
            <w:tcBorders>
              <w:top w:val="single" w:sz="4" w:space="0" w:color="auto"/>
              <w:left w:val="nil"/>
              <w:bottom w:val="single" w:sz="4" w:space="0" w:color="auto"/>
              <w:right w:val="nil"/>
            </w:tcBorders>
            <w:shd w:val="clear" w:color="auto" w:fill="auto"/>
            <w:vAlign w:val="center"/>
            <w:hideMark/>
          </w:tcPr>
          <w:p w14:paraId="238EA78D" w14:textId="17EF0C5B" w:rsidR="00E360E5" w:rsidRPr="008519CE" w:rsidRDefault="00E360E5" w:rsidP="006D66DC">
            <w:pPr>
              <w:spacing w:before="40" w:line="240" w:lineRule="auto"/>
              <w:jc w:val="center"/>
              <w:rPr>
                <w:rFonts w:ascii="Arial Narrow" w:hAnsi="Arial Narrow" w:cs="Calibri"/>
                <w:color w:val="222222"/>
                <w:sz w:val="20"/>
                <w:szCs w:val="20"/>
              </w:rPr>
            </w:pPr>
          </w:p>
        </w:tc>
        <w:tc>
          <w:tcPr>
            <w:tcW w:w="835" w:type="pct"/>
            <w:tcBorders>
              <w:top w:val="single" w:sz="4" w:space="0" w:color="auto"/>
              <w:left w:val="nil"/>
              <w:bottom w:val="single" w:sz="4" w:space="0" w:color="auto"/>
              <w:right w:val="nil"/>
            </w:tcBorders>
            <w:shd w:val="clear" w:color="auto" w:fill="auto"/>
            <w:noWrap/>
            <w:vAlign w:val="center"/>
            <w:hideMark/>
          </w:tcPr>
          <w:p w14:paraId="32BE9E92" w14:textId="48B9C6FD" w:rsidR="00E360E5" w:rsidRPr="008519CE" w:rsidRDefault="00E360E5" w:rsidP="006D66DC">
            <w:pPr>
              <w:spacing w:before="40" w:line="240" w:lineRule="auto"/>
              <w:jc w:val="center"/>
              <w:rPr>
                <w:rFonts w:ascii="Arial Narrow" w:hAnsi="Arial Narrow" w:cs="Calibri"/>
                <w:color w:val="000000"/>
                <w:sz w:val="20"/>
                <w:szCs w:val="20"/>
              </w:rPr>
            </w:pPr>
          </w:p>
        </w:tc>
        <w:tc>
          <w:tcPr>
            <w:tcW w:w="792" w:type="pct"/>
            <w:tcBorders>
              <w:top w:val="single" w:sz="4" w:space="0" w:color="auto"/>
              <w:left w:val="nil"/>
              <w:bottom w:val="single" w:sz="4" w:space="0" w:color="auto"/>
              <w:right w:val="nil"/>
            </w:tcBorders>
            <w:shd w:val="clear" w:color="auto" w:fill="auto"/>
            <w:noWrap/>
            <w:vAlign w:val="center"/>
            <w:hideMark/>
          </w:tcPr>
          <w:p w14:paraId="55D6126A" w14:textId="1A13C023"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108D6260" w14:textId="02BECB98"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6CF6576F" w14:textId="77777777" w:rsidTr="00A21A7F">
        <w:trPr>
          <w:trHeight w:val="280"/>
        </w:trPr>
        <w:tc>
          <w:tcPr>
            <w:tcW w:w="1303" w:type="pct"/>
            <w:tcBorders>
              <w:top w:val="single" w:sz="4" w:space="0" w:color="auto"/>
            </w:tcBorders>
            <w:shd w:val="clear" w:color="auto" w:fill="auto"/>
            <w:noWrap/>
            <w:vAlign w:val="center"/>
            <w:hideMark/>
          </w:tcPr>
          <w:p w14:paraId="75F630DC" w14:textId="51DE3C3F" w:rsidR="00E360E5" w:rsidRPr="008519CE" w:rsidRDefault="00211285" w:rsidP="009E682D">
            <w:pPr>
              <w:spacing w:before="40" w:line="240" w:lineRule="auto"/>
              <w:jc w:val="both"/>
              <w:rPr>
                <w:rFonts w:ascii="Arial Narrow" w:hAnsi="Arial Narrow" w:cs="Calibri"/>
                <w:sz w:val="20"/>
                <w:szCs w:val="20"/>
              </w:rPr>
            </w:pPr>
            <w:hyperlink r:id="rId46" w:history="1">
              <w:r w:rsidR="00E360E5" w:rsidRPr="008519CE">
                <w:rPr>
                  <w:rFonts w:ascii="Arial Narrow" w:hAnsi="Arial Narrow" w:cs="Calibri"/>
                  <w:sz w:val="20"/>
                  <w:szCs w:val="20"/>
                </w:rPr>
                <w:t>23</w:t>
              </w:r>
            </w:hyperlink>
          </w:p>
        </w:tc>
        <w:tc>
          <w:tcPr>
            <w:tcW w:w="1257" w:type="pct"/>
            <w:gridSpan w:val="2"/>
            <w:tcBorders>
              <w:top w:val="single" w:sz="4" w:space="0" w:color="auto"/>
            </w:tcBorders>
            <w:shd w:val="clear" w:color="auto" w:fill="auto"/>
            <w:vAlign w:val="center"/>
            <w:hideMark/>
          </w:tcPr>
          <w:p w14:paraId="00BD4F2D"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Professional attendance</w:t>
            </w:r>
          </w:p>
        </w:tc>
        <w:tc>
          <w:tcPr>
            <w:tcW w:w="835" w:type="pct"/>
            <w:tcBorders>
              <w:top w:val="single" w:sz="4" w:space="0" w:color="auto"/>
            </w:tcBorders>
            <w:shd w:val="clear" w:color="auto" w:fill="auto"/>
            <w:noWrap/>
            <w:vAlign w:val="center"/>
            <w:hideMark/>
          </w:tcPr>
          <w:p w14:paraId="79933082"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$38.75</w:t>
            </w:r>
          </w:p>
        </w:tc>
        <w:tc>
          <w:tcPr>
            <w:tcW w:w="792" w:type="pct"/>
            <w:tcBorders>
              <w:top w:val="single" w:sz="4" w:space="0" w:color="auto"/>
            </w:tcBorders>
            <w:shd w:val="clear" w:color="auto" w:fill="auto"/>
            <w:noWrap/>
            <w:vAlign w:val="center"/>
            <w:hideMark/>
          </w:tcPr>
          <w:p w14:paraId="1EB8F027"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tcBorders>
              <w:top w:val="single" w:sz="4" w:space="0" w:color="auto"/>
            </w:tcBorders>
            <w:shd w:val="clear" w:color="auto" w:fill="auto"/>
            <w:noWrap/>
            <w:vAlign w:val="center"/>
            <w:hideMark/>
          </w:tcPr>
          <w:p w14:paraId="37E1D006"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1F250F65" w14:textId="77777777" w:rsidTr="00A21A7F">
        <w:trPr>
          <w:trHeight w:val="460"/>
        </w:trPr>
        <w:tc>
          <w:tcPr>
            <w:tcW w:w="1303" w:type="pct"/>
            <w:shd w:val="clear" w:color="auto" w:fill="auto"/>
            <w:noWrap/>
            <w:vAlign w:val="center"/>
            <w:hideMark/>
          </w:tcPr>
          <w:p w14:paraId="418534AF" w14:textId="55BA12E7" w:rsidR="00E360E5" w:rsidRPr="008519CE" w:rsidRDefault="00211285" w:rsidP="009E682D">
            <w:pPr>
              <w:spacing w:before="40" w:line="240" w:lineRule="auto"/>
              <w:jc w:val="both"/>
              <w:rPr>
                <w:rFonts w:ascii="Arial Narrow" w:hAnsi="Arial Narrow" w:cs="Calibri"/>
                <w:sz w:val="20"/>
                <w:szCs w:val="20"/>
              </w:rPr>
            </w:pPr>
            <w:hyperlink r:id="rId47" w:history="1">
              <w:r w:rsidR="00E360E5" w:rsidRPr="008519CE">
                <w:rPr>
                  <w:rFonts w:ascii="Arial Narrow" w:hAnsi="Arial Narrow" w:cs="Calibri"/>
                  <w:sz w:val="20"/>
                  <w:szCs w:val="20"/>
                </w:rPr>
                <w:t>105</w:t>
              </w:r>
            </w:hyperlink>
          </w:p>
        </w:tc>
        <w:tc>
          <w:tcPr>
            <w:tcW w:w="1257" w:type="pct"/>
            <w:gridSpan w:val="2"/>
            <w:shd w:val="clear" w:color="auto" w:fill="auto"/>
            <w:vAlign w:val="center"/>
            <w:hideMark/>
          </w:tcPr>
          <w:p w14:paraId="2E43050D"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Specialist consultation (subsequent)</w:t>
            </w:r>
          </w:p>
        </w:tc>
        <w:tc>
          <w:tcPr>
            <w:tcW w:w="835" w:type="pct"/>
            <w:shd w:val="clear" w:color="auto" w:fill="auto"/>
            <w:noWrap/>
            <w:vAlign w:val="center"/>
            <w:hideMark/>
          </w:tcPr>
          <w:p w14:paraId="5C2597A4"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$45.00</w:t>
            </w:r>
          </w:p>
        </w:tc>
        <w:tc>
          <w:tcPr>
            <w:tcW w:w="792" w:type="pct"/>
            <w:shd w:val="clear" w:color="auto" w:fill="auto"/>
            <w:noWrap/>
            <w:vAlign w:val="center"/>
            <w:hideMark/>
          </w:tcPr>
          <w:p w14:paraId="29375934"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4B65E593"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75B1FAA1" w14:textId="77777777" w:rsidTr="00A21A7F">
        <w:trPr>
          <w:trHeight w:val="280"/>
        </w:trPr>
        <w:tc>
          <w:tcPr>
            <w:tcW w:w="1303" w:type="pct"/>
            <w:shd w:val="clear" w:color="auto" w:fill="auto"/>
            <w:noWrap/>
            <w:vAlign w:val="center"/>
            <w:hideMark/>
          </w:tcPr>
          <w:p w14:paraId="6BCC6B1B" w14:textId="5E7415D6" w:rsidR="00E360E5" w:rsidRPr="008519CE" w:rsidRDefault="00211285" w:rsidP="009E682D">
            <w:pPr>
              <w:spacing w:before="40" w:line="240" w:lineRule="auto"/>
              <w:jc w:val="both"/>
              <w:rPr>
                <w:rFonts w:ascii="Arial Narrow" w:hAnsi="Arial Narrow" w:cs="Calibri"/>
                <w:sz w:val="20"/>
                <w:szCs w:val="20"/>
              </w:rPr>
            </w:pPr>
            <w:hyperlink r:id="rId48" w:history="1">
              <w:r w:rsidR="00E360E5" w:rsidRPr="008519CE">
                <w:rPr>
                  <w:rFonts w:ascii="Arial Narrow" w:hAnsi="Arial Narrow" w:cs="Calibri"/>
                  <w:sz w:val="20"/>
                  <w:szCs w:val="20"/>
                </w:rPr>
                <w:t>10592L</w:t>
              </w:r>
            </w:hyperlink>
          </w:p>
        </w:tc>
        <w:tc>
          <w:tcPr>
            <w:tcW w:w="1257" w:type="pct"/>
            <w:gridSpan w:val="2"/>
            <w:shd w:val="clear" w:color="auto" w:fill="auto"/>
            <w:noWrap/>
            <w:vAlign w:val="center"/>
            <w:hideMark/>
          </w:tcPr>
          <w:p w14:paraId="1C35EDB6"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Loperamide</w:t>
            </w:r>
          </w:p>
        </w:tc>
        <w:tc>
          <w:tcPr>
            <w:tcW w:w="835" w:type="pct"/>
            <w:shd w:val="clear" w:color="auto" w:fill="auto"/>
            <w:noWrap/>
            <w:vAlign w:val="center"/>
            <w:hideMark/>
          </w:tcPr>
          <w:p w14:paraId="5BED1F2E"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$13.51</w:t>
            </w:r>
          </w:p>
        </w:tc>
        <w:tc>
          <w:tcPr>
            <w:tcW w:w="792" w:type="pct"/>
            <w:shd w:val="clear" w:color="auto" w:fill="auto"/>
            <w:noWrap/>
            <w:vAlign w:val="center"/>
            <w:hideMark/>
          </w:tcPr>
          <w:p w14:paraId="32D20D2A"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3F4FDBD9"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7951B021" w14:textId="77777777" w:rsidTr="00A21A7F">
        <w:trPr>
          <w:trHeight w:val="280"/>
        </w:trPr>
        <w:tc>
          <w:tcPr>
            <w:tcW w:w="1303" w:type="pct"/>
            <w:shd w:val="clear" w:color="auto" w:fill="auto"/>
            <w:noWrap/>
            <w:vAlign w:val="center"/>
            <w:hideMark/>
          </w:tcPr>
          <w:p w14:paraId="47E8FAC8" w14:textId="26769E7E" w:rsidR="00E360E5" w:rsidRPr="008519CE" w:rsidRDefault="00211285" w:rsidP="009E682D">
            <w:pPr>
              <w:spacing w:before="40" w:line="240" w:lineRule="auto"/>
              <w:jc w:val="both"/>
              <w:rPr>
                <w:rFonts w:ascii="Arial Narrow" w:hAnsi="Arial Narrow" w:cs="Calibri"/>
                <w:sz w:val="20"/>
                <w:szCs w:val="20"/>
              </w:rPr>
            </w:pPr>
            <w:hyperlink r:id="rId49" w:history="1">
              <w:r w:rsidR="00E360E5" w:rsidRPr="008519CE">
                <w:rPr>
                  <w:rFonts w:ascii="Arial Narrow" w:hAnsi="Arial Narrow" w:cs="Calibri"/>
                  <w:sz w:val="20"/>
                  <w:szCs w:val="20"/>
                </w:rPr>
                <w:t>1502C</w:t>
              </w:r>
            </w:hyperlink>
          </w:p>
        </w:tc>
        <w:tc>
          <w:tcPr>
            <w:tcW w:w="1257" w:type="pct"/>
            <w:gridSpan w:val="2"/>
            <w:shd w:val="clear" w:color="auto" w:fill="auto"/>
            <w:noWrap/>
            <w:vAlign w:val="center"/>
            <w:hideMark/>
          </w:tcPr>
          <w:p w14:paraId="4FE9B414"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Hydrocortisone Suppositories</w:t>
            </w:r>
          </w:p>
        </w:tc>
        <w:tc>
          <w:tcPr>
            <w:tcW w:w="835" w:type="pct"/>
            <w:shd w:val="clear" w:color="auto" w:fill="auto"/>
            <w:noWrap/>
            <w:vAlign w:val="center"/>
            <w:hideMark/>
          </w:tcPr>
          <w:p w14:paraId="53AE52E8"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$41.60</w:t>
            </w:r>
          </w:p>
        </w:tc>
        <w:tc>
          <w:tcPr>
            <w:tcW w:w="792" w:type="pct"/>
            <w:shd w:val="clear" w:color="auto" w:fill="auto"/>
            <w:noWrap/>
            <w:vAlign w:val="center"/>
            <w:hideMark/>
          </w:tcPr>
          <w:p w14:paraId="61AF80D8"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24EED442"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228B23BA" w14:textId="77777777" w:rsidTr="00A21A7F">
        <w:trPr>
          <w:trHeight w:val="280"/>
        </w:trPr>
        <w:tc>
          <w:tcPr>
            <w:tcW w:w="1303" w:type="pct"/>
            <w:shd w:val="clear" w:color="auto" w:fill="auto"/>
            <w:noWrap/>
            <w:vAlign w:val="center"/>
            <w:hideMark/>
          </w:tcPr>
          <w:p w14:paraId="4DDEDF1E" w14:textId="2FAB02E5" w:rsidR="00E360E5" w:rsidRPr="008519CE" w:rsidRDefault="00211285" w:rsidP="009E682D">
            <w:pPr>
              <w:spacing w:before="40" w:line="240" w:lineRule="auto"/>
              <w:jc w:val="both"/>
              <w:rPr>
                <w:rFonts w:ascii="Arial Narrow" w:hAnsi="Arial Narrow" w:cs="Calibri"/>
                <w:sz w:val="20"/>
                <w:szCs w:val="20"/>
              </w:rPr>
            </w:pPr>
            <w:hyperlink r:id="rId50" w:history="1">
              <w:r w:rsidR="00E360E5" w:rsidRPr="008519CE">
                <w:rPr>
                  <w:rFonts w:ascii="Arial Narrow" w:hAnsi="Arial Narrow" w:cs="Calibri"/>
                  <w:sz w:val="20"/>
                  <w:szCs w:val="20"/>
                </w:rPr>
                <w:t>4049D</w:t>
              </w:r>
            </w:hyperlink>
          </w:p>
        </w:tc>
        <w:tc>
          <w:tcPr>
            <w:tcW w:w="1257" w:type="pct"/>
            <w:gridSpan w:val="2"/>
            <w:shd w:val="clear" w:color="auto" w:fill="auto"/>
            <w:noWrap/>
            <w:vAlign w:val="center"/>
            <w:hideMark/>
          </w:tcPr>
          <w:p w14:paraId="7A2268EC"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Ural Sachets</w:t>
            </w:r>
          </w:p>
        </w:tc>
        <w:tc>
          <w:tcPr>
            <w:tcW w:w="835" w:type="pct"/>
            <w:shd w:val="clear" w:color="auto" w:fill="auto"/>
            <w:noWrap/>
            <w:vAlign w:val="center"/>
            <w:hideMark/>
          </w:tcPr>
          <w:p w14:paraId="15201C93"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$18.22</w:t>
            </w:r>
          </w:p>
        </w:tc>
        <w:tc>
          <w:tcPr>
            <w:tcW w:w="792" w:type="pct"/>
            <w:shd w:val="clear" w:color="auto" w:fill="auto"/>
            <w:noWrap/>
            <w:vAlign w:val="center"/>
            <w:hideMark/>
          </w:tcPr>
          <w:p w14:paraId="0BF4EA2E"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4DC891B8"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259B22D1" w14:textId="77777777" w:rsidTr="00A21A7F">
        <w:trPr>
          <w:trHeight w:val="280"/>
        </w:trPr>
        <w:tc>
          <w:tcPr>
            <w:tcW w:w="1303" w:type="pct"/>
            <w:shd w:val="clear" w:color="auto" w:fill="auto"/>
            <w:noWrap/>
            <w:vAlign w:val="center"/>
            <w:hideMark/>
          </w:tcPr>
          <w:p w14:paraId="4EE64EEA" w14:textId="4E9ACABB" w:rsidR="00E360E5" w:rsidRPr="008519CE" w:rsidRDefault="00211285" w:rsidP="009E682D">
            <w:pPr>
              <w:spacing w:before="40" w:line="240" w:lineRule="auto"/>
              <w:jc w:val="both"/>
              <w:rPr>
                <w:rFonts w:ascii="Arial Narrow" w:hAnsi="Arial Narrow" w:cs="Calibri"/>
                <w:sz w:val="20"/>
                <w:szCs w:val="20"/>
              </w:rPr>
            </w:pPr>
            <w:hyperlink r:id="rId51" w:history="1">
              <w:r w:rsidR="00E360E5" w:rsidRPr="008519CE">
                <w:rPr>
                  <w:rFonts w:ascii="Arial Narrow" w:hAnsi="Arial Narrow" w:cs="Calibri"/>
                  <w:sz w:val="20"/>
                  <w:szCs w:val="20"/>
                </w:rPr>
                <w:t>10831C</w:t>
              </w:r>
            </w:hyperlink>
          </w:p>
        </w:tc>
        <w:tc>
          <w:tcPr>
            <w:tcW w:w="1257" w:type="pct"/>
            <w:gridSpan w:val="2"/>
            <w:shd w:val="clear" w:color="auto" w:fill="auto"/>
            <w:noWrap/>
            <w:vAlign w:val="center"/>
            <w:hideMark/>
          </w:tcPr>
          <w:p w14:paraId="746E579F" w14:textId="77777777" w:rsidR="00E360E5" w:rsidRPr="008519CE" w:rsidRDefault="00E360E5" w:rsidP="006D66DC">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H</w:t>
            </w:r>
            <w:r w:rsidRPr="008519CE">
              <w:rPr>
                <w:rFonts w:ascii="Arial Narrow" w:hAnsi="Arial Narrow" w:cs="Calibri"/>
                <w:color w:val="000000"/>
                <w:sz w:val="20"/>
                <w:szCs w:val="20"/>
              </w:rPr>
              <w:t>ydrocortisone tubes</w:t>
            </w:r>
          </w:p>
        </w:tc>
        <w:tc>
          <w:tcPr>
            <w:tcW w:w="835" w:type="pct"/>
            <w:shd w:val="clear" w:color="auto" w:fill="auto"/>
            <w:noWrap/>
            <w:vAlign w:val="center"/>
            <w:hideMark/>
          </w:tcPr>
          <w:p w14:paraId="48246F30"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$17.19</w:t>
            </w:r>
          </w:p>
        </w:tc>
        <w:tc>
          <w:tcPr>
            <w:tcW w:w="792" w:type="pct"/>
            <w:shd w:val="clear" w:color="auto" w:fill="auto"/>
            <w:noWrap/>
            <w:vAlign w:val="center"/>
            <w:hideMark/>
          </w:tcPr>
          <w:p w14:paraId="38CA6B2A"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487E0538"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7F823015" w14:textId="77777777" w:rsidTr="00A21A7F">
        <w:trPr>
          <w:trHeight w:val="280"/>
        </w:trPr>
        <w:tc>
          <w:tcPr>
            <w:tcW w:w="1303" w:type="pct"/>
            <w:shd w:val="clear" w:color="auto" w:fill="auto"/>
            <w:noWrap/>
            <w:vAlign w:val="center"/>
            <w:hideMark/>
          </w:tcPr>
          <w:p w14:paraId="4B936DDD" w14:textId="236042F9" w:rsidR="00E360E5" w:rsidRPr="008519CE" w:rsidRDefault="00211285" w:rsidP="009E682D">
            <w:pPr>
              <w:spacing w:before="40" w:line="240" w:lineRule="auto"/>
              <w:jc w:val="both"/>
              <w:rPr>
                <w:rFonts w:ascii="Arial Narrow" w:hAnsi="Arial Narrow" w:cs="Calibri"/>
                <w:sz w:val="20"/>
                <w:szCs w:val="20"/>
              </w:rPr>
            </w:pPr>
            <w:hyperlink r:id="rId52" w:history="1">
              <w:r w:rsidR="00E360E5" w:rsidRPr="008519CE">
                <w:rPr>
                  <w:rFonts w:ascii="Arial Narrow" w:hAnsi="Arial Narrow" w:cs="Calibri"/>
                  <w:sz w:val="20"/>
                  <w:szCs w:val="20"/>
                </w:rPr>
                <w:t>11900</w:t>
              </w:r>
            </w:hyperlink>
          </w:p>
        </w:tc>
        <w:tc>
          <w:tcPr>
            <w:tcW w:w="1257" w:type="pct"/>
            <w:gridSpan w:val="2"/>
            <w:shd w:val="clear" w:color="auto" w:fill="auto"/>
            <w:vAlign w:val="center"/>
            <w:hideMark/>
          </w:tcPr>
          <w:p w14:paraId="71EA8B21"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Urine flow study</w:t>
            </w:r>
          </w:p>
        </w:tc>
        <w:tc>
          <w:tcPr>
            <w:tcW w:w="835" w:type="pct"/>
            <w:shd w:val="clear" w:color="auto" w:fill="auto"/>
            <w:noWrap/>
            <w:vAlign w:val="center"/>
            <w:hideMark/>
          </w:tcPr>
          <w:p w14:paraId="4DE854A4"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$28.40</w:t>
            </w:r>
          </w:p>
        </w:tc>
        <w:tc>
          <w:tcPr>
            <w:tcW w:w="792" w:type="pct"/>
            <w:shd w:val="clear" w:color="auto" w:fill="auto"/>
            <w:noWrap/>
            <w:vAlign w:val="center"/>
            <w:hideMark/>
          </w:tcPr>
          <w:p w14:paraId="650407E5"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$24.15</w:t>
            </w:r>
          </w:p>
        </w:tc>
        <w:tc>
          <w:tcPr>
            <w:tcW w:w="814" w:type="pct"/>
            <w:shd w:val="clear" w:color="auto" w:fill="auto"/>
            <w:noWrap/>
            <w:vAlign w:val="center"/>
            <w:hideMark/>
          </w:tcPr>
          <w:p w14:paraId="66AFC0BE"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$21.30</w:t>
            </w:r>
          </w:p>
        </w:tc>
      </w:tr>
      <w:tr w:rsidR="00E360E5" w:rsidRPr="008519CE" w14:paraId="39482C11" w14:textId="77777777" w:rsidTr="00A21A7F">
        <w:trPr>
          <w:trHeight w:val="280"/>
        </w:trPr>
        <w:tc>
          <w:tcPr>
            <w:tcW w:w="1303" w:type="pct"/>
            <w:shd w:val="clear" w:color="auto" w:fill="auto"/>
            <w:noWrap/>
            <w:vAlign w:val="center"/>
            <w:hideMark/>
          </w:tcPr>
          <w:p w14:paraId="407B8785" w14:textId="3EF61888" w:rsidR="00E360E5" w:rsidRPr="008519CE" w:rsidRDefault="00211285" w:rsidP="009E682D">
            <w:pPr>
              <w:spacing w:before="40" w:line="240" w:lineRule="auto"/>
              <w:jc w:val="both"/>
              <w:rPr>
                <w:rFonts w:ascii="Arial Narrow" w:hAnsi="Arial Narrow" w:cs="Calibri"/>
                <w:sz w:val="20"/>
                <w:szCs w:val="20"/>
              </w:rPr>
            </w:pPr>
            <w:hyperlink r:id="rId53" w:history="1">
              <w:r w:rsidR="00E360E5" w:rsidRPr="008519CE">
                <w:rPr>
                  <w:rFonts w:ascii="Arial Narrow" w:hAnsi="Arial Narrow" w:cs="Calibri"/>
                  <w:sz w:val="20"/>
                  <w:szCs w:val="20"/>
                </w:rPr>
                <w:t>4321K</w:t>
              </w:r>
            </w:hyperlink>
          </w:p>
        </w:tc>
        <w:tc>
          <w:tcPr>
            <w:tcW w:w="1257" w:type="pct"/>
            <w:gridSpan w:val="2"/>
            <w:shd w:val="clear" w:color="auto" w:fill="auto"/>
            <w:vAlign w:val="center"/>
            <w:hideMark/>
          </w:tcPr>
          <w:p w14:paraId="5E0AD6C0"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Magnesium</w:t>
            </w:r>
          </w:p>
        </w:tc>
        <w:tc>
          <w:tcPr>
            <w:tcW w:w="835" w:type="pct"/>
            <w:shd w:val="clear" w:color="auto" w:fill="auto"/>
            <w:noWrap/>
            <w:vAlign w:val="center"/>
            <w:hideMark/>
          </w:tcPr>
          <w:p w14:paraId="60DD70FE"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$18.04</w:t>
            </w:r>
          </w:p>
        </w:tc>
        <w:tc>
          <w:tcPr>
            <w:tcW w:w="792" w:type="pct"/>
            <w:shd w:val="clear" w:color="auto" w:fill="auto"/>
            <w:noWrap/>
            <w:vAlign w:val="center"/>
            <w:hideMark/>
          </w:tcPr>
          <w:p w14:paraId="2A44BA09"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29A1A51E"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06E66E69" w14:textId="77777777" w:rsidTr="00A21A7F">
        <w:trPr>
          <w:trHeight w:val="280"/>
        </w:trPr>
        <w:tc>
          <w:tcPr>
            <w:tcW w:w="1303" w:type="pct"/>
            <w:shd w:val="clear" w:color="auto" w:fill="auto"/>
            <w:noWrap/>
            <w:vAlign w:val="center"/>
            <w:hideMark/>
          </w:tcPr>
          <w:p w14:paraId="20CF5C8C" w14:textId="0217FD97" w:rsidR="00E360E5" w:rsidRPr="008519CE" w:rsidRDefault="00211285" w:rsidP="009E682D">
            <w:pPr>
              <w:spacing w:before="40" w:line="240" w:lineRule="auto"/>
              <w:jc w:val="both"/>
              <w:rPr>
                <w:rFonts w:ascii="Arial Narrow" w:hAnsi="Arial Narrow" w:cs="Calibri"/>
                <w:sz w:val="20"/>
                <w:szCs w:val="20"/>
              </w:rPr>
            </w:pPr>
            <w:hyperlink r:id="rId54" w:history="1">
              <w:r w:rsidR="00E360E5" w:rsidRPr="008519CE">
                <w:rPr>
                  <w:rFonts w:ascii="Arial Narrow" w:hAnsi="Arial Narrow" w:cs="Calibri"/>
                  <w:sz w:val="20"/>
                  <w:szCs w:val="20"/>
                </w:rPr>
                <w:t>4422R</w:t>
              </w:r>
            </w:hyperlink>
          </w:p>
        </w:tc>
        <w:tc>
          <w:tcPr>
            <w:tcW w:w="1257" w:type="pct"/>
            <w:gridSpan w:val="2"/>
            <w:shd w:val="clear" w:color="auto" w:fill="auto"/>
            <w:noWrap/>
            <w:vAlign w:val="center"/>
            <w:hideMark/>
          </w:tcPr>
          <w:p w14:paraId="4E1E2E91"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Psyllium Husk Powder</w:t>
            </w:r>
          </w:p>
        </w:tc>
        <w:tc>
          <w:tcPr>
            <w:tcW w:w="835" w:type="pct"/>
            <w:shd w:val="clear" w:color="auto" w:fill="auto"/>
            <w:noWrap/>
            <w:vAlign w:val="center"/>
            <w:hideMark/>
          </w:tcPr>
          <w:p w14:paraId="76ED43FE"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$25.28</w:t>
            </w:r>
          </w:p>
        </w:tc>
        <w:tc>
          <w:tcPr>
            <w:tcW w:w="792" w:type="pct"/>
            <w:shd w:val="clear" w:color="auto" w:fill="auto"/>
            <w:noWrap/>
            <w:vAlign w:val="center"/>
            <w:hideMark/>
          </w:tcPr>
          <w:p w14:paraId="075666E1"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18B5861B"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3A4346B1" w14:textId="77777777" w:rsidTr="00A21A7F">
        <w:trPr>
          <w:trHeight w:val="280"/>
        </w:trPr>
        <w:tc>
          <w:tcPr>
            <w:tcW w:w="1303" w:type="pct"/>
            <w:shd w:val="clear" w:color="auto" w:fill="auto"/>
            <w:noWrap/>
            <w:vAlign w:val="center"/>
            <w:hideMark/>
          </w:tcPr>
          <w:p w14:paraId="51267940" w14:textId="6D6837B6" w:rsidR="00E360E5" w:rsidRPr="008519CE" w:rsidRDefault="00211285" w:rsidP="009E682D">
            <w:pPr>
              <w:spacing w:before="40" w:line="240" w:lineRule="auto"/>
              <w:jc w:val="both"/>
              <w:rPr>
                <w:rFonts w:ascii="Arial Narrow" w:hAnsi="Arial Narrow" w:cs="Calibri"/>
                <w:sz w:val="20"/>
                <w:szCs w:val="20"/>
              </w:rPr>
            </w:pPr>
            <w:hyperlink r:id="rId55" w:history="1">
              <w:r w:rsidR="00E360E5" w:rsidRPr="008519CE">
                <w:rPr>
                  <w:rFonts w:ascii="Arial Narrow" w:hAnsi="Arial Narrow" w:cs="Calibri"/>
                  <w:sz w:val="20"/>
                  <w:szCs w:val="20"/>
                </w:rPr>
                <w:t>4275B</w:t>
              </w:r>
            </w:hyperlink>
          </w:p>
        </w:tc>
        <w:tc>
          <w:tcPr>
            <w:tcW w:w="1257" w:type="pct"/>
            <w:gridSpan w:val="2"/>
            <w:shd w:val="clear" w:color="auto" w:fill="auto"/>
            <w:noWrap/>
            <w:vAlign w:val="center"/>
            <w:hideMark/>
          </w:tcPr>
          <w:p w14:paraId="4C06748D"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Panadeine forte</w:t>
            </w:r>
          </w:p>
        </w:tc>
        <w:tc>
          <w:tcPr>
            <w:tcW w:w="835" w:type="pct"/>
            <w:shd w:val="clear" w:color="auto" w:fill="auto"/>
            <w:noWrap/>
            <w:vAlign w:val="center"/>
            <w:hideMark/>
          </w:tcPr>
          <w:p w14:paraId="2EB21912"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$15.73</w:t>
            </w:r>
          </w:p>
        </w:tc>
        <w:tc>
          <w:tcPr>
            <w:tcW w:w="792" w:type="pct"/>
            <w:shd w:val="clear" w:color="auto" w:fill="auto"/>
            <w:noWrap/>
            <w:vAlign w:val="center"/>
            <w:hideMark/>
          </w:tcPr>
          <w:p w14:paraId="017884D6"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078CA930"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157118A3" w14:textId="77777777" w:rsidTr="00A21A7F">
        <w:trPr>
          <w:trHeight w:val="280"/>
        </w:trPr>
        <w:tc>
          <w:tcPr>
            <w:tcW w:w="1303" w:type="pct"/>
            <w:shd w:val="clear" w:color="auto" w:fill="auto"/>
            <w:noWrap/>
            <w:vAlign w:val="center"/>
            <w:hideMark/>
          </w:tcPr>
          <w:p w14:paraId="41FBD8BE" w14:textId="522E2140" w:rsidR="00E360E5" w:rsidRPr="008519CE" w:rsidRDefault="00211285" w:rsidP="009E682D">
            <w:pPr>
              <w:spacing w:before="40" w:line="240" w:lineRule="auto"/>
              <w:jc w:val="both"/>
              <w:rPr>
                <w:rFonts w:ascii="Arial Narrow" w:hAnsi="Arial Narrow" w:cs="Calibri"/>
                <w:sz w:val="20"/>
                <w:szCs w:val="20"/>
              </w:rPr>
            </w:pPr>
            <w:hyperlink r:id="rId56" w:history="1">
              <w:r w:rsidR="00E360E5" w:rsidRPr="008519CE">
                <w:rPr>
                  <w:rFonts w:ascii="Arial Narrow" w:hAnsi="Arial Narrow" w:cs="Calibri"/>
                  <w:sz w:val="20"/>
                  <w:szCs w:val="20"/>
                </w:rPr>
                <w:t>65070</w:t>
              </w:r>
            </w:hyperlink>
          </w:p>
        </w:tc>
        <w:tc>
          <w:tcPr>
            <w:tcW w:w="1257" w:type="pct"/>
            <w:gridSpan w:val="2"/>
            <w:shd w:val="clear" w:color="auto" w:fill="auto"/>
            <w:vAlign w:val="center"/>
            <w:hideMark/>
          </w:tcPr>
          <w:p w14:paraId="75B6CA7C"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Pathology service</w:t>
            </w:r>
          </w:p>
        </w:tc>
        <w:tc>
          <w:tcPr>
            <w:tcW w:w="835" w:type="pct"/>
            <w:shd w:val="clear" w:color="auto" w:fill="auto"/>
            <w:noWrap/>
            <w:vAlign w:val="center"/>
            <w:hideMark/>
          </w:tcPr>
          <w:p w14:paraId="0082F29C"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$16.95</w:t>
            </w:r>
          </w:p>
        </w:tc>
        <w:tc>
          <w:tcPr>
            <w:tcW w:w="792" w:type="pct"/>
            <w:shd w:val="clear" w:color="auto" w:fill="auto"/>
            <w:noWrap/>
            <w:vAlign w:val="center"/>
            <w:hideMark/>
          </w:tcPr>
          <w:p w14:paraId="3AA1EC04"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$14.45</w:t>
            </w:r>
          </w:p>
        </w:tc>
        <w:tc>
          <w:tcPr>
            <w:tcW w:w="814" w:type="pct"/>
            <w:shd w:val="clear" w:color="auto" w:fill="auto"/>
            <w:noWrap/>
            <w:vAlign w:val="center"/>
            <w:hideMark/>
          </w:tcPr>
          <w:p w14:paraId="70E828C6"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$12.75</w:t>
            </w:r>
          </w:p>
        </w:tc>
      </w:tr>
      <w:tr w:rsidR="00E360E5" w:rsidRPr="008519CE" w14:paraId="792746F4" w14:textId="77777777" w:rsidTr="00A21A7F">
        <w:trPr>
          <w:trHeight w:val="560"/>
        </w:trPr>
        <w:tc>
          <w:tcPr>
            <w:tcW w:w="1303" w:type="pct"/>
            <w:shd w:val="clear" w:color="auto" w:fill="auto"/>
            <w:noWrap/>
            <w:vAlign w:val="center"/>
            <w:hideMark/>
          </w:tcPr>
          <w:p w14:paraId="2ECADD7D" w14:textId="4EBE86D1" w:rsidR="00E360E5" w:rsidRPr="008519CE" w:rsidRDefault="00211285" w:rsidP="009E682D">
            <w:pPr>
              <w:spacing w:before="40" w:line="240" w:lineRule="auto"/>
              <w:jc w:val="both"/>
              <w:rPr>
                <w:rFonts w:ascii="Arial Narrow" w:hAnsi="Arial Narrow" w:cs="Calibri"/>
                <w:sz w:val="20"/>
                <w:szCs w:val="20"/>
              </w:rPr>
            </w:pPr>
            <w:hyperlink r:id="rId57" w:history="1">
              <w:r w:rsidR="00E360E5" w:rsidRPr="008519CE">
                <w:rPr>
                  <w:rFonts w:ascii="Arial Narrow" w:hAnsi="Arial Narrow" w:cs="Calibri"/>
                  <w:sz w:val="20"/>
                  <w:szCs w:val="20"/>
                </w:rPr>
                <w:t>32084</w:t>
              </w:r>
            </w:hyperlink>
          </w:p>
        </w:tc>
        <w:tc>
          <w:tcPr>
            <w:tcW w:w="1257" w:type="pct"/>
            <w:gridSpan w:val="2"/>
            <w:shd w:val="clear" w:color="auto" w:fill="auto"/>
            <w:vAlign w:val="center"/>
            <w:hideMark/>
          </w:tcPr>
          <w:p w14:paraId="379FC7B2"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Sigmoidoscopy or colonoscopy</w:t>
            </w:r>
          </w:p>
        </w:tc>
        <w:tc>
          <w:tcPr>
            <w:tcW w:w="835" w:type="pct"/>
            <w:shd w:val="clear" w:color="auto" w:fill="auto"/>
            <w:noWrap/>
            <w:vAlign w:val="center"/>
            <w:hideMark/>
          </w:tcPr>
          <w:p w14:paraId="07BCD5DA"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$114.85</w:t>
            </w:r>
          </w:p>
        </w:tc>
        <w:tc>
          <w:tcPr>
            <w:tcW w:w="792" w:type="pct"/>
            <w:shd w:val="clear" w:color="auto" w:fill="auto"/>
            <w:noWrap/>
            <w:vAlign w:val="center"/>
            <w:hideMark/>
          </w:tcPr>
          <w:p w14:paraId="7264CC08"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$97.65</w:t>
            </w:r>
          </w:p>
        </w:tc>
        <w:tc>
          <w:tcPr>
            <w:tcW w:w="814" w:type="pct"/>
            <w:shd w:val="clear" w:color="auto" w:fill="auto"/>
            <w:noWrap/>
            <w:vAlign w:val="center"/>
            <w:hideMark/>
          </w:tcPr>
          <w:p w14:paraId="1FF445D2"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$86.15</w:t>
            </w:r>
          </w:p>
        </w:tc>
      </w:tr>
      <w:tr w:rsidR="00E360E5" w:rsidRPr="008519CE" w14:paraId="176F4B56" w14:textId="77777777" w:rsidTr="00A21A7F">
        <w:trPr>
          <w:trHeight w:val="280"/>
        </w:trPr>
        <w:tc>
          <w:tcPr>
            <w:tcW w:w="1303" w:type="pct"/>
            <w:shd w:val="clear" w:color="auto" w:fill="auto"/>
            <w:noWrap/>
            <w:vAlign w:val="center"/>
            <w:hideMark/>
          </w:tcPr>
          <w:p w14:paraId="72D9EB49" w14:textId="7E46CF59" w:rsidR="00E360E5" w:rsidRPr="008519CE" w:rsidRDefault="00211285" w:rsidP="009E682D">
            <w:pPr>
              <w:spacing w:before="40" w:line="240" w:lineRule="auto"/>
              <w:jc w:val="both"/>
              <w:rPr>
                <w:rFonts w:ascii="Arial Narrow" w:hAnsi="Arial Narrow" w:cs="Calibri"/>
                <w:sz w:val="20"/>
                <w:szCs w:val="20"/>
              </w:rPr>
            </w:pPr>
            <w:hyperlink r:id="rId58" w:history="1">
              <w:r w:rsidR="00E360E5" w:rsidRPr="008519CE">
                <w:rPr>
                  <w:rFonts w:ascii="Arial Narrow" w:hAnsi="Arial Narrow" w:cs="Calibri"/>
                  <w:sz w:val="20"/>
                  <w:szCs w:val="20"/>
                </w:rPr>
                <w:t>66716</w:t>
              </w:r>
            </w:hyperlink>
          </w:p>
        </w:tc>
        <w:tc>
          <w:tcPr>
            <w:tcW w:w="1257" w:type="pct"/>
            <w:gridSpan w:val="2"/>
            <w:shd w:val="clear" w:color="auto" w:fill="auto"/>
            <w:vAlign w:val="center"/>
            <w:hideMark/>
          </w:tcPr>
          <w:p w14:paraId="2D24380C"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TSH quantitation</w:t>
            </w:r>
          </w:p>
        </w:tc>
        <w:tc>
          <w:tcPr>
            <w:tcW w:w="835" w:type="pct"/>
            <w:shd w:val="clear" w:color="auto" w:fill="auto"/>
            <w:noWrap/>
            <w:vAlign w:val="center"/>
            <w:hideMark/>
          </w:tcPr>
          <w:p w14:paraId="6186E6D2"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$25.05</w:t>
            </w:r>
          </w:p>
        </w:tc>
        <w:tc>
          <w:tcPr>
            <w:tcW w:w="792" w:type="pct"/>
            <w:shd w:val="clear" w:color="auto" w:fill="auto"/>
            <w:noWrap/>
            <w:vAlign w:val="center"/>
            <w:hideMark/>
          </w:tcPr>
          <w:p w14:paraId="0F51E48D"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$21.30</w:t>
            </w:r>
          </w:p>
        </w:tc>
        <w:tc>
          <w:tcPr>
            <w:tcW w:w="814" w:type="pct"/>
            <w:shd w:val="clear" w:color="auto" w:fill="auto"/>
            <w:noWrap/>
            <w:vAlign w:val="center"/>
            <w:hideMark/>
          </w:tcPr>
          <w:p w14:paraId="53B9BC07"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$18.80</w:t>
            </w:r>
          </w:p>
        </w:tc>
      </w:tr>
      <w:tr w:rsidR="00E360E5" w:rsidRPr="008519CE" w14:paraId="2D868740" w14:textId="77777777" w:rsidTr="00A21A7F">
        <w:trPr>
          <w:trHeight w:val="280"/>
        </w:trPr>
        <w:tc>
          <w:tcPr>
            <w:tcW w:w="1303" w:type="pct"/>
            <w:shd w:val="clear" w:color="auto" w:fill="auto"/>
            <w:noWrap/>
            <w:vAlign w:val="center"/>
            <w:hideMark/>
          </w:tcPr>
          <w:p w14:paraId="23A9E036" w14:textId="7D8D77D9" w:rsidR="00E360E5" w:rsidRPr="008519CE" w:rsidRDefault="00211285" w:rsidP="009E682D">
            <w:pPr>
              <w:spacing w:before="40" w:line="240" w:lineRule="auto"/>
              <w:jc w:val="both"/>
              <w:rPr>
                <w:rFonts w:ascii="Arial Narrow" w:hAnsi="Arial Narrow" w:cs="Calibri"/>
                <w:sz w:val="20"/>
                <w:szCs w:val="20"/>
              </w:rPr>
            </w:pPr>
            <w:hyperlink r:id="rId59" w:history="1">
              <w:r w:rsidR="00E360E5" w:rsidRPr="008519CE">
                <w:rPr>
                  <w:rFonts w:ascii="Arial Narrow" w:hAnsi="Arial Narrow" w:cs="Calibri"/>
                  <w:sz w:val="20"/>
                  <w:szCs w:val="20"/>
                </w:rPr>
                <w:t>58900</w:t>
              </w:r>
            </w:hyperlink>
          </w:p>
        </w:tc>
        <w:tc>
          <w:tcPr>
            <w:tcW w:w="1257" w:type="pct"/>
            <w:gridSpan w:val="2"/>
            <w:shd w:val="clear" w:color="auto" w:fill="auto"/>
            <w:vAlign w:val="center"/>
            <w:hideMark/>
          </w:tcPr>
          <w:p w14:paraId="470B3369"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Abdominal diagnostic imaging</w:t>
            </w:r>
          </w:p>
        </w:tc>
        <w:tc>
          <w:tcPr>
            <w:tcW w:w="835" w:type="pct"/>
            <w:shd w:val="clear" w:color="auto" w:fill="auto"/>
            <w:noWrap/>
            <w:vAlign w:val="center"/>
            <w:hideMark/>
          </w:tcPr>
          <w:p w14:paraId="13C01B0A"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$36.25</w:t>
            </w:r>
          </w:p>
        </w:tc>
        <w:tc>
          <w:tcPr>
            <w:tcW w:w="792" w:type="pct"/>
            <w:shd w:val="clear" w:color="auto" w:fill="auto"/>
            <w:noWrap/>
            <w:vAlign w:val="center"/>
            <w:hideMark/>
          </w:tcPr>
          <w:p w14:paraId="4BDA0495"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$30.85</w:t>
            </w:r>
          </w:p>
        </w:tc>
        <w:tc>
          <w:tcPr>
            <w:tcW w:w="814" w:type="pct"/>
            <w:shd w:val="clear" w:color="auto" w:fill="auto"/>
            <w:noWrap/>
            <w:vAlign w:val="center"/>
            <w:hideMark/>
          </w:tcPr>
          <w:p w14:paraId="05EE9994"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$27.20</w:t>
            </w:r>
          </w:p>
        </w:tc>
      </w:tr>
      <w:tr w:rsidR="00E360E5" w:rsidRPr="008519CE" w14:paraId="57A35770" w14:textId="77777777" w:rsidTr="00A21A7F">
        <w:trPr>
          <w:trHeight w:val="280"/>
        </w:trPr>
        <w:tc>
          <w:tcPr>
            <w:tcW w:w="1303" w:type="pct"/>
            <w:shd w:val="clear" w:color="auto" w:fill="auto"/>
            <w:noWrap/>
            <w:vAlign w:val="center"/>
            <w:hideMark/>
          </w:tcPr>
          <w:p w14:paraId="1CFF7CD7" w14:textId="373BBD0A" w:rsidR="00E360E5" w:rsidRPr="008519CE" w:rsidRDefault="00211285" w:rsidP="009E682D">
            <w:pPr>
              <w:spacing w:before="40" w:line="240" w:lineRule="auto"/>
              <w:jc w:val="both"/>
              <w:rPr>
                <w:rFonts w:ascii="Arial Narrow" w:hAnsi="Arial Narrow" w:cs="Calibri"/>
                <w:sz w:val="20"/>
                <w:szCs w:val="20"/>
              </w:rPr>
            </w:pPr>
            <w:hyperlink r:id="rId60" w:history="1">
              <w:r w:rsidR="00E360E5" w:rsidRPr="008519CE">
                <w:rPr>
                  <w:rFonts w:ascii="Arial Narrow" w:hAnsi="Arial Narrow" w:cs="Calibri"/>
                  <w:sz w:val="20"/>
                  <w:szCs w:val="20"/>
                </w:rPr>
                <w:t>10954</w:t>
              </w:r>
            </w:hyperlink>
          </w:p>
        </w:tc>
        <w:tc>
          <w:tcPr>
            <w:tcW w:w="1257" w:type="pct"/>
            <w:gridSpan w:val="2"/>
            <w:shd w:val="clear" w:color="auto" w:fill="auto"/>
            <w:vAlign w:val="center"/>
            <w:hideMark/>
          </w:tcPr>
          <w:p w14:paraId="10650EBD"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Dietetic services</w:t>
            </w:r>
          </w:p>
        </w:tc>
        <w:tc>
          <w:tcPr>
            <w:tcW w:w="835" w:type="pct"/>
            <w:shd w:val="clear" w:color="auto" w:fill="auto"/>
            <w:noWrap/>
            <w:vAlign w:val="center"/>
            <w:hideMark/>
          </w:tcPr>
          <w:p w14:paraId="0FF318D8"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$64.20</w:t>
            </w:r>
          </w:p>
        </w:tc>
        <w:tc>
          <w:tcPr>
            <w:tcW w:w="792" w:type="pct"/>
            <w:shd w:val="clear" w:color="auto" w:fill="auto"/>
            <w:noWrap/>
            <w:vAlign w:val="center"/>
            <w:hideMark/>
          </w:tcPr>
          <w:p w14:paraId="7C0CC213"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$54.60</w:t>
            </w:r>
          </w:p>
        </w:tc>
        <w:tc>
          <w:tcPr>
            <w:tcW w:w="814" w:type="pct"/>
            <w:shd w:val="clear" w:color="auto" w:fill="auto"/>
            <w:noWrap/>
            <w:vAlign w:val="center"/>
            <w:hideMark/>
          </w:tcPr>
          <w:p w14:paraId="107E482B"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3C967501" w14:textId="77777777" w:rsidTr="00A21A7F">
        <w:trPr>
          <w:trHeight w:val="405"/>
        </w:trPr>
        <w:tc>
          <w:tcPr>
            <w:tcW w:w="1303" w:type="pct"/>
            <w:shd w:val="clear" w:color="auto" w:fill="auto"/>
            <w:noWrap/>
            <w:vAlign w:val="center"/>
            <w:hideMark/>
          </w:tcPr>
          <w:p w14:paraId="305E37E8" w14:textId="77777777" w:rsidR="00E360E5" w:rsidRPr="008519CE" w:rsidRDefault="00E360E5" w:rsidP="009E682D">
            <w:pPr>
              <w:spacing w:before="40" w:line="240" w:lineRule="auto"/>
              <w:jc w:val="both"/>
              <w:rPr>
                <w:rFonts w:ascii="Arial Narrow" w:hAnsi="Arial Narrow" w:cs="Calibri"/>
                <w:sz w:val="20"/>
                <w:szCs w:val="20"/>
              </w:rPr>
            </w:pPr>
            <w:r w:rsidRPr="008519CE">
              <w:rPr>
                <w:rFonts w:ascii="Arial Narrow" w:hAnsi="Arial Narrow" w:cs="Calibri"/>
                <w:sz w:val="20"/>
                <w:szCs w:val="20"/>
              </w:rPr>
              <w:t>2020-21 NEP</w:t>
            </w:r>
          </w:p>
        </w:tc>
        <w:tc>
          <w:tcPr>
            <w:tcW w:w="1257" w:type="pct"/>
            <w:gridSpan w:val="2"/>
            <w:shd w:val="clear" w:color="auto" w:fill="auto"/>
            <w:vAlign w:val="center"/>
            <w:hideMark/>
          </w:tcPr>
          <w:p w14:paraId="29939F6A"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2020-21 NEP</w:t>
            </w:r>
          </w:p>
        </w:tc>
        <w:tc>
          <w:tcPr>
            <w:tcW w:w="835" w:type="pct"/>
            <w:shd w:val="clear" w:color="auto" w:fill="auto"/>
            <w:noWrap/>
            <w:vAlign w:val="center"/>
            <w:hideMark/>
          </w:tcPr>
          <w:p w14:paraId="1F578113"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$4,998.00</w:t>
            </w:r>
          </w:p>
        </w:tc>
        <w:tc>
          <w:tcPr>
            <w:tcW w:w="792" w:type="pct"/>
            <w:shd w:val="clear" w:color="auto" w:fill="auto"/>
            <w:noWrap/>
            <w:vAlign w:val="center"/>
            <w:hideMark/>
          </w:tcPr>
          <w:p w14:paraId="7AFF6807"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3346C23D"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78130A44" w14:textId="77777777" w:rsidTr="00A21A7F">
        <w:trPr>
          <w:trHeight w:val="760"/>
        </w:trPr>
        <w:tc>
          <w:tcPr>
            <w:tcW w:w="1303" w:type="pct"/>
            <w:shd w:val="clear" w:color="auto" w:fill="auto"/>
            <w:noWrap/>
            <w:vAlign w:val="center"/>
            <w:hideMark/>
          </w:tcPr>
          <w:p w14:paraId="73136ED8" w14:textId="77777777" w:rsidR="00E360E5" w:rsidRPr="008519CE" w:rsidRDefault="00E360E5" w:rsidP="009E682D">
            <w:pPr>
              <w:spacing w:before="40" w:line="240" w:lineRule="auto"/>
              <w:jc w:val="both"/>
              <w:rPr>
                <w:rFonts w:ascii="Arial Narrow" w:hAnsi="Arial Narrow" w:cs="Calibri"/>
                <w:sz w:val="20"/>
                <w:szCs w:val="20"/>
              </w:rPr>
            </w:pPr>
            <w:r w:rsidRPr="008519CE">
              <w:rPr>
                <w:rFonts w:ascii="Arial Narrow" w:hAnsi="Arial Narrow" w:cs="Calibri"/>
                <w:sz w:val="20"/>
                <w:szCs w:val="20"/>
              </w:rPr>
              <w:t>G67A/G67B</w:t>
            </w:r>
          </w:p>
        </w:tc>
        <w:tc>
          <w:tcPr>
            <w:tcW w:w="1257" w:type="pct"/>
            <w:gridSpan w:val="2"/>
            <w:shd w:val="clear" w:color="auto" w:fill="auto"/>
            <w:vAlign w:val="center"/>
            <w:hideMark/>
          </w:tcPr>
          <w:p w14:paraId="4B90393F"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Oesophagitis and Gastroenteritis, Major/Minor Complexity</w:t>
            </w:r>
          </w:p>
        </w:tc>
        <w:tc>
          <w:tcPr>
            <w:tcW w:w="835" w:type="pct"/>
            <w:shd w:val="clear" w:color="auto" w:fill="auto"/>
            <w:noWrap/>
            <w:vAlign w:val="center"/>
            <w:hideMark/>
          </w:tcPr>
          <w:p w14:paraId="76F10B90"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$2,062.42</w:t>
            </w:r>
          </w:p>
        </w:tc>
        <w:tc>
          <w:tcPr>
            <w:tcW w:w="792" w:type="pct"/>
            <w:shd w:val="clear" w:color="auto" w:fill="auto"/>
            <w:noWrap/>
            <w:vAlign w:val="center"/>
            <w:hideMark/>
          </w:tcPr>
          <w:p w14:paraId="18557FD0"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231502A4"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3468ACFB" w14:textId="77777777" w:rsidTr="00A21A7F">
        <w:trPr>
          <w:trHeight w:val="780"/>
        </w:trPr>
        <w:tc>
          <w:tcPr>
            <w:tcW w:w="1303" w:type="pct"/>
            <w:shd w:val="clear" w:color="auto" w:fill="auto"/>
            <w:noWrap/>
            <w:vAlign w:val="center"/>
            <w:hideMark/>
          </w:tcPr>
          <w:p w14:paraId="0D7DD7DB" w14:textId="77777777" w:rsidR="00E360E5" w:rsidRPr="008519CE" w:rsidRDefault="00E360E5" w:rsidP="009E682D">
            <w:pPr>
              <w:spacing w:before="40" w:line="240" w:lineRule="auto"/>
              <w:jc w:val="both"/>
              <w:rPr>
                <w:rFonts w:ascii="Arial Narrow" w:hAnsi="Arial Narrow" w:cs="Calibri"/>
                <w:sz w:val="20"/>
                <w:szCs w:val="20"/>
              </w:rPr>
            </w:pPr>
            <w:r w:rsidRPr="008519CE">
              <w:rPr>
                <w:rFonts w:ascii="Arial Narrow" w:hAnsi="Arial Narrow" w:cs="Calibri"/>
                <w:sz w:val="20"/>
                <w:szCs w:val="20"/>
              </w:rPr>
              <w:t>G61A/G61B</w:t>
            </w:r>
          </w:p>
        </w:tc>
        <w:tc>
          <w:tcPr>
            <w:tcW w:w="1257" w:type="pct"/>
            <w:gridSpan w:val="2"/>
            <w:shd w:val="clear" w:color="auto" w:fill="auto"/>
            <w:vAlign w:val="center"/>
            <w:hideMark/>
          </w:tcPr>
          <w:p w14:paraId="2FCE977E" w14:textId="6C9547A1"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Gastrointestinal Haemorrhage, Major/Minor Complexity</w:t>
            </w:r>
          </w:p>
        </w:tc>
        <w:tc>
          <w:tcPr>
            <w:tcW w:w="835" w:type="pct"/>
            <w:shd w:val="clear" w:color="auto" w:fill="auto"/>
            <w:noWrap/>
            <w:vAlign w:val="center"/>
            <w:hideMark/>
          </w:tcPr>
          <w:p w14:paraId="239699B0"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$3,153.63</w:t>
            </w:r>
          </w:p>
        </w:tc>
        <w:tc>
          <w:tcPr>
            <w:tcW w:w="792" w:type="pct"/>
            <w:shd w:val="clear" w:color="auto" w:fill="auto"/>
            <w:noWrap/>
            <w:vAlign w:val="center"/>
            <w:hideMark/>
          </w:tcPr>
          <w:p w14:paraId="6392B167"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shd w:val="clear" w:color="auto" w:fill="auto"/>
            <w:noWrap/>
            <w:vAlign w:val="center"/>
            <w:hideMark/>
          </w:tcPr>
          <w:p w14:paraId="0DACACAA"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19C5D6D5" w14:textId="77777777" w:rsidTr="00A21A7F">
        <w:trPr>
          <w:trHeight w:val="810"/>
        </w:trPr>
        <w:tc>
          <w:tcPr>
            <w:tcW w:w="1303" w:type="pct"/>
            <w:tcBorders>
              <w:bottom w:val="single" w:sz="4" w:space="0" w:color="auto"/>
            </w:tcBorders>
            <w:shd w:val="clear" w:color="auto" w:fill="auto"/>
            <w:noWrap/>
            <w:vAlign w:val="center"/>
            <w:hideMark/>
          </w:tcPr>
          <w:p w14:paraId="2EC0EE01" w14:textId="77777777" w:rsidR="00E360E5" w:rsidRPr="008519CE" w:rsidRDefault="00E360E5" w:rsidP="009E682D">
            <w:pPr>
              <w:spacing w:before="40" w:line="240" w:lineRule="auto"/>
              <w:jc w:val="both"/>
              <w:rPr>
                <w:rFonts w:ascii="Arial Narrow" w:hAnsi="Arial Narrow" w:cs="Calibri"/>
                <w:sz w:val="20"/>
                <w:szCs w:val="20"/>
              </w:rPr>
            </w:pPr>
            <w:r w:rsidRPr="008519CE">
              <w:rPr>
                <w:rFonts w:ascii="Arial Narrow" w:hAnsi="Arial Narrow" w:cs="Calibri"/>
                <w:sz w:val="20"/>
                <w:szCs w:val="20"/>
              </w:rPr>
              <w:t>G70A/G70B</w:t>
            </w:r>
          </w:p>
        </w:tc>
        <w:tc>
          <w:tcPr>
            <w:tcW w:w="1257" w:type="pct"/>
            <w:gridSpan w:val="2"/>
            <w:tcBorders>
              <w:bottom w:val="single" w:sz="4" w:space="0" w:color="auto"/>
            </w:tcBorders>
            <w:shd w:val="clear" w:color="auto" w:fill="auto"/>
            <w:vAlign w:val="center"/>
            <w:hideMark/>
          </w:tcPr>
          <w:p w14:paraId="3A776784" w14:textId="77777777" w:rsidR="00E360E5" w:rsidRPr="008519CE" w:rsidRDefault="00E360E5" w:rsidP="006D66DC">
            <w:pPr>
              <w:spacing w:before="40" w:line="240" w:lineRule="auto"/>
              <w:jc w:val="center"/>
              <w:rPr>
                <w:rFonts w:ascii="Arial Narrow" w:hAnsi="Arial Narrow" w:cs="Calibri"/>
                <w:color w:val="222222"/>
                <w:sz w:val="20"/>
                <w:szCs w:val="20"/>
              </w:rPr>
            </w:pPr>
            <w:r w:rsidRPr="008519CE">
              <w:rPr>
                <w:rFonts w:ascii="Arial Narrow" w:hAnsi="Arial Narrow" w:cs="Calibri"/>
                <w:color w:val="222222"/>
                <w:sz w:val="20"/>
                <w:szCs w:val="20"/>
              </w:rPr>
              <w:t>Other Digestive System Disorders, Major/Minor Complexity</w:t>
            </w:r>
          </w:p>
        </w:tc>
        <w:tc>
          <w:tcPr>
            <w:tcW w:w="835" w:type="pct"/>
            <w:tcBorders>
              <w:bottom w:val="single" w:sz="4" w:space="0" w:color="auto"/>
            </w:tcBorders>
            <w:shd w:val="clear" w:color="auto" w:fill="auto"/>
            <w:noWrap/>
            <w:vAlign w:val="center"/>
            <w:hideMark/>
          </w:tcPr>
          <w:p w14:paraId="11CB13EA" w14:textId="77777777" w:rsidR="00E360E5" w:rsidRPr="008519CE" w:rsidRDefault="00E360E5" w:rsidP="006D66DC">
            <w:pPr>
              <w:spacing w:before="40" w:line="240" w:lineRule="auto"/>
              <w:jc w:val="center"/>
              <w:rPr>
                <w:rFonts w:ascii="Arial Narrow" w:hAnsi="Arial Narrow" w:cs="Calibri"/>
                <w:color w:val="000000"/>
                <w:sz w:val="20"/>
                <w:szCs w:val="20"/>
              </w:rPr>
            </w:pPr>
            <w:r w:rsidRPr="008519CE">
              <w:rPr>
                <w:rFonts w:ascii="Arial Narrow" w:hAnsi="Arial Narrow" w:cs="Calibri"/>
                <w:color w:val="000000"/>
                <w:sz w:val="20"/>
                <w:szCs w:val="20"/>
              </w:rPr>
              <w:t>$5,117.94</w:t>
            </w:r>
          </w:p>
        </w:tc>
        <w:tc>
          <w:tcPr>
            <w:tcW w:w="792" w:type="pct"/>
            <w:tcBorders>
              <w:bottom w:val="single" w:sz="4" w:space="0" w:color="auto"/>
            </w:tcBorders>
            <w:shd w:val="clear" w:color="auto" w:fill="auto"/>
            <w:noWrap/>
            <w:vAlign w:val="center"/>
            <w:hideMark/>
          </w:tcPr>
          <w:p w14:paraId="36C7AD22" w14:textId="77777777" w:rsidR="00E360E5" w:rsidRPr="008519CE" w:rsidRDefault="00E360E5" w:rsidP="006D66DC">
            <w:pPr>
              <w:spacing w:before="40" w:line="240" w:lineRule="auto"/>
              <w:jc w:val="center"/>
              <w:rPr>
                <w:rFonts w:ascii="Arial Narrow" w:hAnsi="Arial Narrow" w:cs="Calibri"/>
                <w:color w:val="000000"/>
                <w:sz w:val="20"/>
                <w:szCs w:val="20"/>
              </w:rPr>
            </w:pPr>
          </w:p>
        </w:tc>
        <w:tc>
          <w:tcPr>
            <w:tcW w:w="814" w:type="pct"/>
            <w:tcBorders>
              <w:bottom w:val="single" w:sz="4" w:space="0" w:color="auto"/>
            </w:tcBorders>
            <w:shd w:val="clear" w:color="auto" w:fill="auto"/>
            <w:noWrap/>
            <w:vAlign w:val="center"/>
            <w:hideMark/>
          </w:tcPr>
          <w:p w14:paraId="2549C2E0" w14:textId="77777777" w:rsidR="00E360E5" w:rsidRPr="008519CE" w:rsidRDefault="00E360E5" w:rsidP="006D66DC">
            <w:pPr>
              <w:spacing w:before="40" w:line="240" w:lineRule="auto"/>
              <w:jc w:val="center"/>
              <w:rPr>
                <w:rFonts w:ascii="Arial Narrow" w:hAnsi="Arial Narrow" w:cs="Calibri"/>
                <w:color w:val="000000"/>
                <w:sz w:val="20"/>
                <w:szCs w:val="20"/>
              </w:rPr>
            </w:pPr>
          </w:p>
        </w:tc>
      </w:tr>
      <w:tr w:rsidR="00E360E5" w:rsidRPr="008519CE" w14:paraId="03955EF7" w14:textId="77777777" w:rsidTr="009E682D">
        <w:trPr>
          <w:trHeight w:val="203"/>
        </w:trPr>
        <w:tc>
          <w:tcPr>
            <w:tcW w:w="2560" w:type="pct"/>
            <w:gridSpan w:val="3"/>
            <w:tcBorders>
              <w:top w:val="single" w:sz="4" w:space="0" w:color="auto"/>
              <w:left w:val="single" w:sz="4" w:space="0" w:color="auto"/>
              <w:bottom w:val="single" w:sz="4" w:space="0" w:color="auto"/>
              <w:right w:val="nil"/>
            </w:tcBorders>
            <w:shd w:val="clear" w:color="auto" w:fill="auto"/>
            <w:noWrap/>
            <w:vAlign w:val="center"/>
            <w:hideMark/>
          </w:tcPr>
          <w:p w14:paraId="55CF597B" w14:textId="77777777" w:rsidR="00E360E5" w:rsidRPr="008519CE" w:rsidRDefault="00E360E5" w:rsidP="009E682D">
            <w:pPr>
              <w:spacing w:before="40" w:line="240" w:lineRule="auto"/>
              <w:rPr>
                <w:rFonts w:ascii="Arial Narrow" w:hAnsi="Arial Narrow" w:cs="Calibri"/>
                <w:b/>
                <w:bCs/>
                <w:sz w:val="20"/>
                <w:szCs w:val="20"/>
              </w:rPr>
            </w:pPr>
            <w:r w:rsidRPr="008519CE">
              <w:rPr>
                <w:rFonts w:ascii="Arial Narrow" w:hAnsi="Arial Narrow" w:cs="Calibri"/>
                <w:b/>
                <w:bCs/>
                <w:sz w:val="20"/>
                <w:szCs w:val="20"/>
              </w:rPr>
              <w:t>Other Post-treatment patient management</w:t>
            </w:r>
          </w:p>
        </w:tc>
        <w:tc>
          <w:tcPr>
            <w:tcW w:w="835" w:type="pct"/>
            <w:tcBorders>
              <w:top w:val="single" w:sz="4" w:space="0" w:color="auto"/>
              <w:left w:val="nil"/>
              <w:bottom w:val="single" w:sz="4" w:space="0" w:color="auto"/>
              <w:right w:val="nil"/>
            </w:tcBorders>
            <w:shd w:val="clear" w:color="auto" w:fill="auto"/>
            <w:noWrap/>
            <w:vAlign w:val="center"/>
            <w:hideMark/>
          </w:tcPr>
          <w:p w14:paraId="0EA8B50E" w14:textId="77777777" w:rsidR="00E360E5" w:rsidRPr="008519CE" w:rsidRDefault="00E360E5" w:rsidP="009E682D">
            <w:pPr>
              <w:spacing w:before="40" w:line="240" w:lineRule="auto"/>
              <w:jc w:val="center"/>
              <w:rPr>
                <w:rFonts w:ascii="Arial Narrow" w:hAnsi="Arial Narrow" w:cs="Calibri"/>
                <w:b/>
                <w:bCs/>
                <w:sz w:val="20"/>
                <w:szCs w:val="20"/>
              </w:rPr>
            </w:pPr>
            <w:r w:rsidRPr="008519CE">
              <w:rPr>
                <w:rFonts w:ascii="Arial Narrow" w:hAnsi="Arial Narrow" w:cs="Calibri"/>
                <w:b/>
                <w:bCs/>
                <w:sz w:val="20"/>
                <w:szCs w:val="20"/>
              </w:rPr>
              <w:t> </w:t>
            </w:r>
          </w:p>
        </w:tc>
        <w:tc>
          <w:tcPr>
            <w:tcW w:w="792" w:type="pct"/>
            <w:tcBorders>
              <w:top w:val="single" w:sz="4" w:space="0" w:color="auto"/>
              <w:left w:val="nil"/>
              <w:bottom w:val="single" w:sz="4" w:space="0" w:color="auto"/>
              <w:right w:val="nil"/>
            </w:tcBorders>
            <w:shd w:val="clear" w:color="auto" w:fill="auto"/>
            <w:noWrap/>
            <w:vAlign w:val="center"/>
            <w:hideMark/>
          </w:tcPr>
          <w:p w14:paraId="793686BD" w14:textId="77777777" w:rsidR="00E360E5" w:rsidRPr="008519CE" w:rsidRDefault="00E360E5" w:rsidP="009E682D">
            <w:pPr>
              <w:spacing w:before="40" w:line="240" w:lineRule="auto"/>
              <w:jc w:val="center"/>
              <w:rPr>
                <w:rFonts w:ascii="Arial Narrow" w:hAnsi="Arial Narrow" w:cs="Calibri"/>
                <w:b/>
                <w:bCs/>
                <w:sz w:val="20"/>
                <w:szCs w:val="20"/>
              </w:rPr>
            </w:pPr>
            <w:r w:rsidRPr="008519CE">
              <w:rPr>
                <w:rFonts w:ascii="Arial Narrow" w:hAnsi="Arial Narrow" w:cs="Calibri"/>
                <w:b/>
                <w:bCs/>
                <w:sz w:val="20"/>
                <w:szCs w:val="20"/>
              </w:rPr>
              <w:t> </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3BDC0AC1" w14:textId="77777777" w:rsidR="00E360E5" w:rsidRPr="008519CE" w:rsidRDefault="00E360E5" w:rsidP="009E682D">
            <w:pPr>
              <w:spacing w:before="40" w:line="240" w:lineRule="auto"/>
              <w:jc w:val="center"/>
              <w:rPr>
                <w:rFonts w:ascii="Arial Narrow" w:hAnsi="Arial Narrow" w:cs="Calibri"/>
                <w:b/>
                <w:bCs/>
                <w:sz w:val="20"/>
                <w:szCs w:val="20"/>
              </w:rPr>
            </w:pPr>
            <w:r w:rsidRPr="008519CE">
              <w:rPr>
                <w:rFonts w:ascii="Arial Narrow" w:hAnsi="Arial Narrow" w:cs="Calibri"/>
                <w:b/>
                <w:bCs/>
                <w:sz w:val="20"/>
                <w:szCs w:val="20"/>
              </w:rPr>
              <w:t> </w:t>
            </w:r>
          </w:p>
        </w:tc>
      </w:tr>
      <w:tr w:rsidR="00E360E5" w:rsidRPr="008519CE" w14:paraId="12ED0520" w14:textId="77777777" w:rsidTr="00183330">
        <w:trPr>
          <w:trHeight w:hRule="exac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54B09" w14:textId="2593AECD" w:rsidR="00E360E5" w:rsidRPr="008519CE" w:rsidRDefault="00E360E5" w:rsidP="007E4255">
            <w:pPr>
              <w:spacing w:before="40" w:line="240" w:lineRule="auto"/>
              <w:jc w:val="center"/>
              <w:rPr>
                <w:rFonts w:ascii="Arial Narrow" w:hAnsi="Arial Narrow" w:cs="Calibri"/>
                <w:sz w:val="20"/>
                <w:szCs w:val="20"/>
              </w:rPr>
            </w:pPr>
            <w:r w:rsidRPr="008519CE">
              <w:rPr>
                <w:rFonts w:ascii="Arial Narrow" w:hAnsi="Arial Narrow" w:cs="Calibri"/>
                <w:sz w:val="20"/>
                <w:szCs w:val="20"/>
              </w:rPr>
              <w:t>No difference in post-treatment patient management assumed.  </w:t>
            </w:r>
          </w:p>
          <w:p w14:paraId="673C649F" w14:textId="77777777" w:rsidR="00E360E5" w:rsidRPr="008519CE" w:rsidRDefault="00E360E5" w:rsidP="009E682D">
            <w:pPr>
              <w:spacing w:before="40" w:line="240" w:lineRule="auto"/>
              <w:jc w:val="center"/>
              <w:rPr>
                <w:rFonts w:ascii="Arial Narrow" w:hAnsi="Arial Narrow" w:cs="Calibri"/>
                <w:sz w:val="20"/>
                <w:szCs w:val="20"/>
              </w:rPr>
            </w:pPr>
            <w:r w:rsidRPr="008519CE">
              <w:rPr>
                <w:rFonts w:ascii="Arial Narrow" w:hAnsi="Arial Narrow" w:cs="Calibri"/>
                <w:sz w:val="20"/>
                <w:szCs w:val="20"/>
              </w:rPr>
              <w:t> </w:t>
            </w:r>
          </w:p>
        </w:tc>
      </w:tr>
    </w:tbl>
    <w:p w14:paraId="29EA5C8A" w14:textId="7B35F2C4" w:rsidR="00E360E5" w:rsidRDefault="00E360E5" w:rsidP="009D6338">
      <w:pPr>
        <w:pStyle w:val="Tablenotes0"/>
        <w:jc w:val="left"/>
      </w:pPr>
      <w:r>
        <w:t>Abbreviations: AR-DRG=Australian Refined Diagnosis Related Groups, CBCT-IGRT=cone beam computer tomography image-guided radiation therapy, DPMQ=Dispensed Price Maximum Quantity, IMRT=intensity-modulated radiation therapy, MBS=Medical Benefits Schedule, MR-IGRT=magnetic resonance image-guided radiation therapy, NEP=National Efficient Price, PBS=Pharmaceutical Benefits Schedule, PLAC=Prosthesis List Advisory Committee,TSH=</w:t>
      </w:r>
      <w:r w:rsidRPr="00377358">
        <w:t>Thyroid Stimulating Hormone</w:t>
      </w:r>
    </w:p>
    <w:p w14:paraId="02FF4D24" w14:textId="77777777" w:rsidR="00E360E5" w:rsidRDefault="00E360E5" w:rsidP="00E360E5">
      <w:pPr>
        <w:pStyle w:val="Heading3"/>
      </w:pPr>
      <w:bookmarkStart w:id="673" w:name="_Toc59018816"/>
      <w:bookmarkStart w:id="674" w:name="_Toc59020360"/>
      <w:bookmarkStart w:id="675" w:name="_Toc59439582"/>
      <w:bookmarkStart w:id="676" w:name="_Toc89857854"/>
      <w:r>
        <w:t>Cost of MR-IGRT</w:t>
      </w:r>
      <w:bookmarkStart w:id="677" w:name="_Toc379118300"/>
      <w:bookmarkStart w:id="678" w:name="_Toc381796483"/>
      <w:bookmarkStart w:id="679" w:name="_Toc379118089"/>
      <w:bookmarkEnd w:id="673"/>
      <w:bookmarkEnd w:id="674"/>
      <w:bookmarkEnd w:id="675"/>
      <w:bookmarkEnd w:id="676"/>
    </w:p>
    <w:p w14:paraId="173F1DC5" w14:textId="093E4D30" w:rsidR="00E360E5" w:rsidRDefault="00596C8D" w:rsidP="00E360E5">
      <w:pPr>
        <w:jc w:val="both"/>
      </w:pPr>
      <w:r>
        <w:t>The analysis of the financial implications of listing MR-IGRT on the MBS considers the potential financial impact</w:t>
      </w:r>
      <w:r w:rsidR="00E166EC">
        <w:t xml:space="preserve"> given assumptions about the market for MR-IGRT</w:t>
      </w:r>
      <w:r w:rsidR="000A0C2E">
        <w:t xml:space="preserve"> and treatment settings</w:t>
      </w:r>
      <w:r w:rsidR="00E166EC">
        <w:t>.</w:t>
      </w:r>
      <w:r w:rsidR="00314CAC">
        <w:t xml:space="preserve">  Most of these assumptions are subject to uncertainty and </w:t>
      </w:r>
      <w:r w:rsidR="00031C95">
        <w:t xml:space="preserve">are considered </w:t>
      </w:r>
      <w:r w:rsidR="00314CAC">
        <w:t xml:space="preserve">in sensitivity analysis in Section </w:t>
      </w:r>
      <w:r w:rsidR="00314CAC">
        <w:fldChar w:fldCharType="begin"/>
      </w:r>
      <w:r w:rsidR="00314CAC">
        <w:instrText xml:space="preserve"> REF _Ref59014063 \r \h </w:instrText>
      </w:r>
      <w:r w:rsidR="00314CAC">
        <w:fldChar w:fldCharType="separate"/>
      </w:r>
      <w:r w:rsidR="00451350">
        <w:t>E.6</w:t>
      </w:r>
      <w:r w:rsidR="00314CAC">
        <w:fldChar w:fldCharType="end"/>
      </w:r>
      <w:r w:rsidR="00314CAC">
        <w:t>.</w:t>
      </w:r>
      <w:r>
        <w:t xml:space="preserve"> </w:t>
      </w:r>
      <w:r w:rsidR="00E360E5">
        <w:t xml:space="preserve">The MBS financial implications analysis for MR-IGRT </w:t>
      </w:r>
      <w:r w:rsidR="00314CAC">
        <w:t>assumes</w:t>
      </w:r>
      <w:r w:rsidR="00E360E5">
        <w:t>:</w:t>
      </w:r>
    </w:p>
    <w:p w14:paraId="6B65D12D" w14:textId="49001965" w:rsidR="00E360E5" w:rsidRDefault="00E360E5" w:rsidP="00E360E5">
      <w:pPr>
        <w:pStyle w:val="ListParagraph"/>
        <w:numPr>
          <w:ilvl w:val="0"/>
          <w:numId w:val="31"/>
        </w:numPr>
        <w:jc w:val="both"/>
      </w:pPr>
      <w:r>
        <w:t>Substitution of CBCT-IGRT for MR-IGRT only.  The Applicant and clinical advice stated MR-IGRT may potentially see patients who would otherwise use alternative treatment modalities be using, or be able to use, radiation therapy as a result of the improved tumour targeting.  However, consistent with the Ratified PICO (p.7), which expects MR-IGRT to be used as a replacement for CBCT-IGRT, analysis assumes only those who would otherwise already use CBCT-IGRT are part of the potentially eligible population.</w:t>
      </w:r>
    </w:p>
    <w:p w14:paraId="3C16AE8C" w14:textId="565F5DB8" w:rsidR="00E360E5" w:rsidRDefault="00E360E5" w:rsidP="00E360E5">
      <w:pPr>
        <w:pStyle w:val="ListParagraph"/>
        <w:numPr>
          <w:ilvl w:val="0"/>
          <w:numId w:val="31"/>
        </w:numPr>
        <w:jc w:val="both"/>
      </w:pPr>
      <w:r>
        <w:t xml:space="preserve">Based on Applicant advice, MRI-linac capacity in Australia </w:t>
      </w:r>
      <w:r w:rsidR="00AE174E">
        <w:t xml:space="preserve">is </w:t>
      </w:r>
      <w:r>
        <w:t>increasing from three centres in year one, to ten by year three.  Analysis assumes it remains at that level thereafter.</w:t>
      </w:r>
    </w:p>
    <w:p w14:paraId="4D330CCC" w14:textId="77777777" w:rsidR="00E360E5" w:rsidRDefault="00E360E5" w:rsidP="00E360E5">
      <w:pPr>
        <w:pStyle w:val="ListParagraph"/>
        <w:numPr>
          <w:ilvl w:val="0"/>
          <w:numId w:val="31"/>
        </w:numPr>
        <w:jc w:val="both"/>
      </w:pPr>
      <w:r>
        <w:t>The locations of MR-linacs deployed in Australia provides for CBCT-IGRT and MR-IGRT to be equally feasible patient treatment options.</w:t>
      </w:r>
    </w:p>
    <w:p w14:paraId="3A7EC314" w14:textId="0A431C25" w:rsidR="00E360E5" w:rsidRDefault="00E360E5" w:rsidP="00E360E5">
      <w:pPr>
        <w:pStyle w:val="ListParagraph"/>
        <w:numPr>
          <w:ilvl w:val="0"/>
          <w:numId w:val="31"/>
        </w:numPr>
        <w:jc w:val="both"/>
      </w:pPr>
      <w:r>
        <w:t xml:space="preserve">While the Applicant has requested </w:t>
      </w:r>
      <w:r w:rsidR="008F1974">
        <w:t xml:space="preserve"> listing </w:t>
      </w:r>
      <w:r>
        <w:t>for both inpatient and outpatient settings, MRI-linacs in Australia to date have been in outpatient settings.  Analysis assumes this to be the case, meaning an 85</w:t>
      </w:r>
      <w:r w:rsidR="00BE211D">
        <w:t>%</w:t>
      </w:r>
      <w:r>
        <w:t xml:space="preserve"> MBS item rebate.</w:t>
      </w:r>
    </w:p>
    <w:p w14:paraId="2C0EAF5B" w14:textId="77777777" w:rsidR="00E360E5" w:rsidRDefault="00E360E5" w:rsidP="00E360E5">
      <w:pPr>
        <w:pStyle w:val="ListParagraph"/>
        <w:numPr>
          <w:ilvl w:val="0"/>
          <w:numId w:val="31"/>
        </w:numPr>
        <w:jc w:val="both"/>
      </w:pPr>
      <w:r>
        <w:lastRenderedPageBreak/>
        <w:t>MR-linac facilities operating or operational for nine hours per day as per Applicant-provided information.</w:t>
      </w:r>
    </w:p>
    <w:p w14:paraId="4A6A0EC6" w14:textId="77777777" w:rsidR="00E360E5" w:rsidRDefault="00E360E5" w:rsidP="00E360E5">
      <w:pPr>
        <w:pStyle w:val="ListParagraph"/>
        <w:numPr>
          <w:ilvl w:val="0"/>
          <w:numId w:val="31"/>
        </w:numPr>
        <w:jc w:val="both"/>
      </w:pPr>
      <w:r>
        <w:t>Initially, Applicant projections of current MR-linac average fractions per treatment course (five fractions) and duration of treatment fraction (45 minutes), meaning the potential to provide 1,656 courses of treatment across Australia in year.  From year three and thereafter, a</w:t>
      </w:r>
      <w:r>
        <w:rPr>
          <w:rFonts w:asciiTheme="minorHAnsi" w:hAnsiTheme="minorHAnsi" w:cstheme="minorHAnsi"/>
        </w:rPr>
        <w:t>nalysis assumes average treatment courses per year of approximately 1,000 per MR-linac, reflecting</w:t>
      </w:r>
      <w:r>
        <w:t xml:space="preserve"> treatment fraction duration reaching a consistent 25-minutes by year three.  In contrast, CBCT-linac throughput rates are assumed stable.</w:t>
      </w:r>
    </w:p>
    <w:p w14:paraId="61C59E2A" w14:textId="24F14494" w:rsidR="00E360E5" w:rsidRDefault="00E360E5" w:rsidP="00E360E5">
      <w:pPr>
        <w:pStyle w:val="ListParagraph"/>
        <w:numPr>
          <w:ilvl w:val="0"/>
          <w:numId w:val="31"/>
        </w:numPr>
        <w:jc w:val="both"/>
      </w:pPr>
      <w:r>
        <w:t xml:space="preserve">Only patients from the current mix of cancer indications treated by MR-linac centres in Australia, as provided by the Applicant, are assumed to </w:t>
      </w:r>
      <w:r w:rsidR="00DE2F42">
        <w:t>be treated with</w:t>
      </w:r>
      <w:r>
        <w:t xml:space="preserve"> MR-IGRT</w:t>
      </w:r>
      <w:r w:rsidRPr="009E5DE2">
        <w:t xml:space="preserve">, including prostate and breast cancers.  Information provided by the Applicant and </w:t>
      </w:r>
      <w:r w:rsidR="00DA3AA9">
        <w:t xml:space="preserve">clinical </w:t>
      </w:r>
      <w:r w:rsidRPr="009E5DE2">
        <w:t xml:space="preserve">advice indicates </w:t>
      </w:r>
      <w:r>
        <w:t>these patients have the</w:t>
      </w:r>
      <w:r w:rsidRPr="009E5DE2">
        <w:t xml:space="preserve"> possibility to achieve low average fraction rates per treatment course for a significant proportion of patients.</w:t>
      </w:r>
      <w:r>
        <w:t xml:space="preserve">  This concords with information publicly released by St. Vincent’s Health Australia in June 2020 (St. Vincent’s Health Australia, 2020).</w:t>
      </w:r>
    </w:p>
    <w:p w14:paraId="7551A219" w14:textId="56E0ACEB" w:rsidR="00E360E5" w:rsidRDefault="00E360E5" w:rsidP="00E360E5">
      <w:pPr>
        <w:pStyle w:val="ListParagraph"/>
        <w:numPr>
          <w:ilvl w:val="0"/>
          <w:numId w:val="31"/>
        </w:numPr>
        <w:jc w:val="both"/>
      </w:pPr>
      <w:r>
        <w:t>Estimated fractions per CBCT treatment course reflect Applicant, clinical advice, and historical MBS utilisation data to date.</w:t>
      </w:r>
    </w:p>
    <w:p w14:paraId="57C4880D" w14:textId="36736CCB" w:rsidR="00E360E5" w:rsidRDefault="00E360E5" w:rsidP="00E360E5">
      <w:pPr>
        <w:jc w:val="both"/>
      </w:pPr>
    </w:p>
    <w:p w14:paraId="3B83000C" w14:textId="4DE341C6" w:rsidR="003248A0" w:rsidRDefault="00E360E5" w:rsidP="00E360E5">
      <w:pPr>
        <w:jc w:val="both"/>
      </w:pPr>
      <w:r>
        <w:t xml:space="preserve">The cost to the MBS of MR-IGRT adverse events is considered separately in Section </w:t>
      </w:r>
      <w:r w:rsidR="002B7DE7">
        <w:fldChar w:fldCharType="begin"/>
      </w:r>
      <w:r w:rsidR="002B7DE7">
        <w:instrText xml:space="preserve"> REF _Ref59014023 \r \h </w:instrText>
      </w:r>
      <w:r w:rsidR="002B7DE7">
        <w:fldChar w:fldCharType="separate"/>
      </w:r>
      <w:r w:rsidR="00451350">
        <w:t>E.2</w:t>
      </w:r>
      <w:r w:rsidR="002B7DE7">
        <w:fldChar w:fldCharType="end"/>
      </w:r>
      <w:r>
        <w:t xml:space="preserve">.  </w:t>
      </w:r>
      <w:r>
        <w:fldChar w:fldCharType="begin"/>
      </w:r>
      <w:r>
        <w:instrText xml:space="preserve"> REF _Ref58935104 \h </w:instrText>
      </w:r>
      <w:r>
        <w:fldChar w:fldCharType="separate"/>
      </w:r>
      <w:r w:rsidR="00451350">
        <w:t xml:space="preserve">Table </w:t>
      </w:r>
      <w:r w:rsidR="00451350">
        <w:rPr>
          <w:noProof/>
        </w:rPr>
        <w:t>70</w:t>
      </w:r>
      <w:r>
        <w:fldChar w:fldCharType="end"/>
      </w:r>
      <w:r>
        <w:t xml:space="preserve"> summarises the estimated final impact of listing MR-IGRT on the MBS.  Annual costs to the MBS as a result of MR-IGRT increase by $7,920,151 in year one rising to $48,400,924 by year three and remaining at that level thereafter.</w:t>
      </w:r>
    </w:p>
    <w:p w14:paraId="29A43503" w14:textId="34B4C909" w:rsidR="00E360E5" w:rsidRDefault="00A609D8" w:rsidP="00E360E5">
      <w:pPr>
        <w:jc w:val="both"/>
      </w:pPr>
      <w:r>
        <w:t>It should be noted the results presented may not necessarily reflect</w:t>
      </w:r>
      <w:r w:rsidR="006040E7">
        <w:t xml:space="preserve"> the</w:t>
      </w:r>
      <w:r>
        <w:t xml:space="preserve"> financial implications</w:t>
      </w:r>
      <w:r w:rsidR="00BB36E8">
        <w:t xml:space="preserve"> to the MBS</w:t>
      </w:r>
      <w:r>
        <w:t xml:space="preserve"> under different</w:t>
      </w:r>
      <w:r w:rsidR="00BB36E8">
        <w:t xml:space="preserve"> subsequent</w:t>
      </w:r>
      <w:r>
        <w:t xml:space="preserve"> MR-IGRT market</w:t>
      </w:r>
      <w:r w:rsidR="00031C95">
        <w:t xml:space="preserve"> and treatment</w:t>
      </w:r>
      <w:r>
        <w:t xml:space="preserve"> settings.  </w:t>
      </w:r>
      <w:r w:rsidR="00D91DBF">
        <w:t xml:space="preserve">Different ultimate market and treatment settings upon any MBS listing may see different financial impacts.  In particular, </w:t>
      </w:r>
      <w:r w:rsidR="007E4255">
        <w:t>financial impacts are sensitive to assumptions about per treatment course fraction reductions achieved.</w:t>
      </w:r>
      <w:r w:rsidR="00031C95">
        <w:t xml:space="preserve">  These assumptions are tested in sensitivity analysis in Section </w:t>
      </w:r>
      <w:r w:rsidR="00031C95">
        <w:fldChar w:fldCharType="begin"/>
      </w:r>
      <w:r w:rsidR="00031C95">
        <w:instrText xml:space="preserve"> REF _Ref59013088 \r \h </w:instrText>
      </w:r>
      <w:r w:rsidR="00031C95">
        <w:fldChar w:fldCharType="separate"/>
      </w:r>
      <w:r w:rsidR="00451350">
        <w:t>E.6</w:t>
      </w:r>
      <w:r w:rsidR="00031C95">
        <w:fldChar w:fldCharType="end"/>
      </w:r>
      <w:r w:rsidR="00031C95">
        <w:t>.</w:t>
      </w:r>
    </w:p>
    <w:p w14:paraId="1B928936" w14:textId="6B52E718" w:rsidR="00E360E5" w:rsidRDefault="00E360E5" w:rsidP="00E360E5">
      <w:pPr>
        <w:pStyle w:val="Caption"/>
      </w:pPr>
      <w:bookmarkStart w:id="680" w:name="_Ref58935104"/>
      <w:bookmarkStart w:id="681" w:name="_Toc89857941"/>
      <w:r>
        <w:t xml:space="preserve">Table </w:t>
      </w:r>
      <w:r w:rsidR="00211285">
        <w:fldChar w:fldCharType="begin"/>
      </w:r>
      <w:r w:rsidR="00211285">
        <w:instrText xml:space="preserve"> SEQ Table </w:instrText>
      </w:r>
      <w:r w:rsidR="00211285">
        <w:instrText xml:space="preserve">\* ARABIC </w:instrText>
      </w:r>
      <w:r w:rsidR="00211285">
        <w:fldChar w:fldCharType="separate"/>
      </w:r>
      <w:r w:rsidR="00451350">
        <w:rPr>
          <w:noProof/>
        </w:rPr>
        <w:t>70</w:t>
      </w:r>
      <w:r w:rsidR="00211285">
        <w:rPr>
          <w:noProof/>
        </w:rPr>
        <w:fldChar w:fldCharType="end"/>
      </w:r>
      <w:bookmarkEnd w:id="680"/>
      <w:r>
        <w:tab/>
        <w:t>Estimated financial impact of listing MR-IGRT on the MBS, 2021 to 2025</w:t>
      </w:r>
      <w:bookmarkEnd w:id="681"/>
    </w:p>
    <w:tbl>
      <w:tblPr>
        <w:tblStyle w:val="TableGrid1"/>
        <w:tblW w:w="5000" w:type="pct"/>
        <w:tblLook w:val="04A0" w:firstRow="1" w:lastRow="0" w:firstColumn="1" w:lastColumn="0" w:noHBand="0" w:noVBand="1"/>
      </w:tblPr>
      <w:tblGrid>
        <w:gridCol w:w="2840"/>
        <w:gridCol w:w="1210"/>
        <w:gridCol w:w="1334"/>
        <w:gridCol w:w="1210"/>
        <w:gridCol w:w="1210"/>
        <w:gridCol w:w="1212"/>
      </w:tblGrid>
      <w:tr w:rsidR="00E360E5" w:rsidRPr="0031617E" w14:paraId="72E995A4" w14:textId="77777777" w:rsidTr="000213A9">
        <w:trPr>
          <w:cnfStyle w:val="100000000000" w:firstRow="1" w:lastRow="0" w:firstColumn="0" w:lastColumn="0" w:oddVBand="0" w:evenVBand="0" w:oddHBand="0" w:evenHBand="0" w:firstRowFirstColumn="0" w:firstRowLastColumn="0" w:lastRowFirstColumn="0" w:lastRowLastColumn="0"/>
          <w:cantSplit/>
          <w:trHeight w:val="290"/>
          <w:tblHeader/>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69D47" w14:textId="77777777" w:rsidR="00E360E5" w:rsidRPr="0031617E" w:rsidRDefault="00E360E5" w:rsidP="009E682D">
            <w:pPr>
              <w:spacing w:before="40" w:line="240" w:lineRule="auto"/>
              <w:rPr>
                <w:rFonts w:ascii="Arial Narrow" w:hAnsi="Arial Narrow" w:cs="Calibri"/>
                <w:b/>
                <w:bCs/>
                <w:color w:val="000000"/>
                <w:sz w:val="20"/>
                <w:szCs w:val="20"/>
              </w:rPr>
            </w:pPr>
            <w:r w:rsidRPr="0031617E">
              <w:rPr>
                <w:rFonts w:ascii="Arial Narrow" w:hAnsi="Arial Narrow" w:cs="Calibri"/>
                <w:b/>
                <w:bCs/>
                <w:color w:val="000000"/>
                <w:sz w:val="20"/>
                <w:szCs w:val="20"/>
              </w:rPr>
              <w:t>Item</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15ECA3A2"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2021</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324E347A"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2022</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7D3FEFC1"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2023</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18DDAB3D"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2024</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0AFEFAD6"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2025</w:t>
            </w:r>
          </w:p>
        </w:tc>
      </w:tr>
      <w:tr w:rsidR="00E360E5" w:rsidRPr="0031617E" w14:paraId="10E0F086" w14:textId="77777777" w:rsidTr="009E682D">
        <w:trPr>
          <w:trHeight w:val="290"/>
        </w:trPr>
        <w:tc>
          <w:tcPr>
            <w:tcW w:w="1575" w:type="pct"/>
            <w:tcBorders>
              <w:top w:val="single" w:sz="4" w:space="0" w:color="auto"/>
              <w:left w:val="single" w:sz="4" w:space="0" w:color="auto"/>
              <w:bottom w:val="single" w:sz="4" w:space="0" w:color="auto"/>
              <w:right w:val="nil"/>
            </w:tcBorders>
            <w:shd w:val="clear" w:color="auto" w:fill="auto"/>
            <w:noWrap/>
            <w:vAlign w:val="center"/>
            <w:hideMark/>
          </w:tcPr>
          <w:p w14:paraId="061EB3BC" w14:textId="77777777" w:rsidR="00E360E5" w:rsidRPr="0031617E" w:rsidRDefault="00E360E5" w:rsidP="009E682D">
            <w:pPr>
              <w:spacing w:before="40" w:line="240" w:lineRule="auto"/>
              <w:rPr>
                <w:rFonts w:ascii="Arial Narrow" w:hAnsi="Arial Narrow" w:cs="Calibri"/>
                <w:b/>
                <w:bCs/>
                <w:color w:val="000000"/>
                <w:sz w:val="20"/>
                <w:szCs w:val="20"/>
              </w:rPr>
            </w:pPr>
            <w:r w:rsidRPr="0031617E">
              <w:rPr>
                <w:rFonts w:ascii="Arial Narrow" w:hAnsi="Arial Narrow" w:cs="Calibri"/>
                <w:b/>
                <w:bCs/>
                <w:color w:val="000000"/>
                <w:sz w:val="20"/>
                <w:szCs w:val="20"/>
              </w:rPr>
              <w:t>Estimated utilisation impact</w:t>
            </w:r>
          </w:p>
        </w:tc>
        <w:tc>
          <w:tcPr>
            <w:tcW w:w="671" w:type="pct"/>
            <w:tcBorders>
              <w:top w:val="single" w:sz="4" w:space="0" w:color="auto"/>
              <w:left w:val="nil"/>
              <w:bottom w:val="single" w:sz="4" w:space="0" w:color="auto"/>
              <w:right w:val="nil"/>
            </w:tcBorders>
            <w:shd w:val="clear" w:color="auto" w:fill="auto"/>
            <w:noWrap/>
            <w:vAlign w:val="center"/>
            <w:hideMark/>
          </w:tcPr>
          <w:p w14:paraId="62E1F036"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c>
          <w:tcPr>
            <w:tcW w:w="740" w:type="pct"/>
            <w:tcBorders>
              <w:top w:val="single" w:sz="4" w:space="0" w:color="auto"/>
              <w:left w:val="nil"/>
              <w:bottom w:val="single" w:sz="4" w:space="0" w:color="auto"/>
              <w:right w:val="nil"/>
            </w:tcBorders>
            <w:shd w:val="clear" w:color="auto" w:fill="auto"/>
            <w:vAlign w:val="center"/>
            <w:hideMark/>
          </w:tcPr>
          <w:p w14:paraId="10C93B4F"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c>
          <w:tcPr>
            <w:tcW w:w="671" w:type="pct"/>
            <w:tcBorders>
              <w:top w:val="single" w:sz="4" w:space="0" w:color="auto"/>
              <w:left w:val="nil"/>
              <w:bottom w:val="single" w:sz="4" w:space="0" w:color="auto"/>
              <w:right w:val="nil"/>
            </w:tcBorders>
            <w:shd w:val="clear" w:color="auto" w:fill="auto"/>
            <w:vAlign w:val="center"/>
            <w:hideMark/>
          </w:tcPr>
          <w:p w14:paraId="12F50A90"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c>
          <w:tcPr>
            <w:tcW w:w="671" w:type="pct"/>
            <w:tcBorders>
              <w:top w:val="single" w:sz="4" w:space="0" w:color="auto"/>
              <w:left w:val="nil"/>
              <w:bottom w:val="single" w:sz="4" w:space="0" w:color="auto"/>
              <w:right w:val="nil"/>
            </w:tcBorders>
            <w:shd w:val="clear" w:color="auto" w:fill="auto"/>
            <w:vAlign w:val="center"/>
            <w:hideMark/>
          </w:tcPr>
          <w:p w14:paraId="5DA2E704"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4D8560D7" w14:textId="77777777" w:rsidR="00E360E5" w:rsidRPr="0031617E" w:rsidRDefault="00E360E5"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r>
      <w:tr w:rsidR="00E360E5" w:rsidRPr="0031617E" w14:paraId="4FE3DEB8" w14:textId="77777777" w:rsidTr="009E682D">
        <w:trPr>
          <w:trHeight w:val="290"/>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8050C" w14:textId="77777777" w:rsidR="00E360E5" w:rsidRPr="0031617E" w:rsidRDefault="00E360E5" w:rsidP="009E682D">
            <w:pPr>
              <w:spacing w:before="40" w:line="240" w:lineRule="auto"/>
              <w:rPr>
                <w:rFonts w:ascii="Arial Narrow" w:hAnsi="Arial Narrow" w:cs="Calibri"/>
                <w:color w:val="000000"/>
                <w:sz w:val="20"/>
                <w:szCs w:val="20"/>
              </w:rPr>
            </w:pPr>
            <w:r w:rsidRPr="0031617E">
              <w:rPr>
                <w:rFonts w:ascii="Arial Narrow" w:hAnsi="Arial Narrow" w:cs="Calibri"/>
                <w:color w:val="000000"/>
                <w:sz w:val="20"/>
                <w:szCs w:val="20"/>
              </w:rPr>
              <w:t>MR-IGRT</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376651F6"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1,656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6B631179"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3,312</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52A23742"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342EB2D3"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7E8F05F1"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r>
      <w:tr w:rsidR="00E360E5" w:rsidRPr="0031617E" w14:paraId="205758A2" w14:textId="77777777" w:rsidTr="009E682D">
        <w:trPr>
          <w:trHeight w:val="290"/>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40F88" w14:textId="77777777" w:rsidR="00E360E5" w:rsidRPr="0031617E" w:rsidRDefault="00E360E5" w:rsidP="009E682D">
            <w:pPr>
              <w:spacing w:before="40" w:line="240" w:lineRule="auto"/>
              <w:rPr>
                <w:rFonts w:ascii="Arial Narrow" w:hAnsi="Arial Narrow" w:cs="Calibri"/>
                <w:color w:val="000000"/>
                <w:sz w:val="20"/>
                <w:szCs w:val="20"/>
              </w:rPr>
            </w:pPr>
            <w:r w:rsidRPr="0031617E">
              <w:rPr>
                <w:rFonts w:ascii="Arial Narrow" w:hAnsi="Arial Narrow" w:cs="Calibri"/>
                <w:color w:val="000000"/>
                <w:sz w:val="20"/>
                <w:szCs w:val="20"/>
              </w:rPr>
              <w:t>MBS item 15565</w:t>
            </w:r>
            <w:r>
              <w:rPr>
                <w:rFonts w:ascii="Arial Narrow" w:hAnsi="Arial Narrow" w:cs="Calibri"/>
                <w:color w:val="000000"/>
                <w:sz w:val="20"/>
                <w:szCs w:val="20"/>
              </w:rPr>
              <w:t xml:space="preserve"> (planning)</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0F34DAAE"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1,656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79B60BDD"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3,312</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57F22880"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0008A33A"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666A8AAF"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r>
      <w:tr w:rsidR="00E360E5" w:rsidRPr="0031617E" w14:paraId="1026A4A3" w14:textId="77777777" w:rsidTr="009E682D">
        <w:trPr>
          <w:trHeight w:val="290"/>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00608" w14:textId="77777777" w:rsidR="00E360E5" w:rsidRPr="0031617E" w:rsidRDefault="00E360E5" w:rsidP="009E682D">
            <w:pPr>
              <w:spacing w:before="40" w:line="240" w:lineRule="auto"/>
              <w:rPr>
                <w:rFonts w:ascii="Arial Narrow" w:hAnsi="Arial Narrow" w:cs="Calibri"/>
                <w:color w:val="000000"/>
                <w:sz w:val="20"/>
                <w:szCs w:val="20"/>
              </w:rPr>
            </w:pPr>
            <w:r w:rsidRPr="0031617E">
              <w:rPr>
                <w:rFonts w:ascii="Arial Narrow" w:hAnsi="Arial Narrow" w:cs="Calibri"/>
                <w:color w:val="000000"/>
                <w:sz w:val="20"/>
                <w:szCs w:val="20"/>
              </w:rPr>
              <w:t>MBS item 15555 (simulation)</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0024502E"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1,656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0C249E13"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3,312</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73D0FC91"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337641B3"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5AC34478"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r>
      <w:tr w:rsidR="00E360E5" w:rsidRPr="0031617E" w14:paraId="7F3CE798" w14:textId="77777777" w:rsidTr="009E682D">
        <w:trPr>
          <w:trHeight w:val="290"/>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6AA0D" w14:textId="77777777" w:rsidR="00E360E5" w:rsidRPr="0031617E" w:rsidRDefault="00E360E5" w:rsidP="009E682D">
            <w:pPr>
              <w:spacing w:before="40" w:line="240" w:lineRule="auto"/>
              <w:rPr>
                <w:rFonts w:ascii="Arial Narrow" w:hAnsi="Arial Narrow" w:cs="Calibri"/>
                <w:color w:val="000000"/>
                <w:sz w:val="20"/>
                <w:szCs w:val="20"/>
              </w:rPr>
            </w:pPr>
            <w:r w:rsidRPr="0031617E">
              <w:rPr>
                <w:rFonts w:ascii="Arial Narrow" w:hAnsi="Arial Narrow" w:cs="Calibri"/>
                <w:color w:val="000000"/>
                <w:sz w:val="20"/>
                <w:szCs w:val="20"/>
              </w:rPr>
              <w:t>MBS item 15275 (fraction)</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0A368E57"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8,280</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69FF5C5F"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16,560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04878E45"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50,600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5F6993CE"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50,600</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70581C27" w14:textId="77777777" w:rsidR="00E360E5" w:rsidRPr="0031617E"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50,600</w:t>
            </w:r>
          </w:p>
        </w:tc>
      </w:tr>
      <w:tr w:rsidR="00E360E5" w:rsidRPr="0031617E" w14:paraId="375B1B32" w14:textId="77777777" w:rsidTr="009E682D">
        <w:trPr>
          <w:trHeight w:val="290"/>
        </w:trPr>
        <w:tc>
          <w:tcPr>
            <w:tcW w:w="1575" w:type="pct"/>
            <w:tcBorders>
              <w:top w:val="single" w:sz="4" w:space="0" w:color="auto"/>
              <w:left w:val="single" w:sz="4" w:space="0" w:color="auto"/>
              <w:bottom w:val="single" w:sz="4" w:space="0" w:color="auto"/>
              <w:right w:val="nil"/>
            </w:tcBorders>
            <w:shd w:val="clear" w:color="auto" w:fill="auto"/>
            <w:vAlign w:val="center"/>
            <w:hideMark/>
          </w:tcPr>
          <w:p w14:paraId="5E8DB3EB" w14:textId="77777777" w:rsidR="00E360E5" w:rsidRPr="0031617E" w:rsidRDefault="00E360E5" w:rsidP="000213A9">
            <w:pPr>
              <w:keepNext/>
              <w:keepLines/>
              <w:spacing w:before="40" w:line="240" w:lineRule="auto"/>
              <w:rPr>
                <w:rFonts w:ascii="Arial Narrow" w:hAnsi="Arial Narrow" w:cs="Calibri"/>
                <w:color w:val="000000"/>
                <w:sz w:val="20"/>
                <w:szCs w:val="20"/>
              </w:rPr>
            </w:pPr>
            <w:r w:rsidRPr="0031617E">
              <w:rPr>
                <w:rFonts w:ascii="Arial Narrow" w:hAnsi="Arial Narrow" w:cs="Calibri"/>
                <w:color w:val="000000"/>
                <w:sz w:val="20"/>
                <w:szCs w:val="20"/>
              </w:rPr>
              <w:t>Estimated financial impact</w:t>
            </w:r>
          </w:p>
        </w:tc>
        <w:tc>
          <w:tcPr>
            <w:tcW w:w="671" w:type="pct"/>
            <w:tcBorders>
              <w:top w:val="single" w:sz="4" w:space="0" w:color="auto"/>
              <w:left w:val="nil"/>
              <w:bottom w:val="single" w:sz="4" w:space="0" w:color="auto"/>
              <w:right w:val="nil"/>
            </w:tcBorders>
            <w:shd w:val="clear" w:color="auto" w:fill="auto"/>
            <w:vAlign w:val="center"/>
            <w:hideMark/>
          </w:tcPr>
          <w:p w14:paraId="7D3C2864"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sidRPr="003554FC">
              <w:rPr>
                <w:rFonts w:ascii="Arial Narrow" w:hAnsi="Arial Narrow" w:cs="Calibri"/>
                <w:color w:val="000000"/>
                <w:sz w:val="20"/>
                <w:szCs w:val="20"/>
              </w:rPr>
              <w:t> </w:t>
            </w:r>
          </w:p>
        </w:tc>
        <w:tc>
          <w:tcPr>
            <w:tcW w:w="740" w:type="pct"/>
            <w:tcBorders>
              <w:top w:val="single" w:sz="4" w:space="0" w:color="auto"/>
              <w:left w:val="nil"/>
              <w:bottom w:val="single" w:sz="4" w:space="0" w:color="auto"/>
              <w:right w:val="nil"/>
            </w:tcBorders>
            <w:shd w:val="clear" w:color="auto" w:fill="auto"/>
            <w:vAlign w:val="center"/>
            <w:hideMark/>
          </w:tcPr>
          <w:p w14:paraId="07E6855C"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sidRPr="003554FC">
              <w:rPr>
                <w:rFonts w:ascii="Arial Narrow" w:hAnsi="Arial Narrow" w:cs="Calibri"/>
                <w:color w:val="000000"/>
                <w:sz w:val="20"/>
                <w:szCs w:val="20"/>
              </w:rPr>
              <w:t> </w:t>
            </w:r>
          </w:p>
        </w:tc>
        <w:tc>
          <w:tcPr>
            <w:tcW w:w="671" w:type="pct"/>
            <w:tcBorders>
              <w:top w:val="single" w:sz="4" w:space="0" w:color="auto"/>
              <w:left w:val="nil"/>
              <w:bottom w:val="single" w:sz="4" w:space="0" w:color="auto"/>
              <w:right w:val="nil"/>
            </w:tcBorders>
            <w:shd w:val="clear" w:color="auto" w:fill="auto"/>
            <w:vAlign w:val="center"/>
            <w:hideMark/>
          </w:tcPr>
          <w:p w14:paraId="3196C5CE"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sidRPr="003554FC">
              <w:rPr>
                <w:rFonts w:ascii="Arial Narrow" w:hAnsi="Arial Narrow" w:cs="Calibri"/>
                <w:color w:val="000000"/>
                <w:sz w:val="20"/>
                <w:szCs w:val="20"/>
              </w:rPr>
              <w:t> </w:t>
            </w:r>
          </w:p>
        </w:tc>
        <w:tc>
          <w:tcPr>
            <w:tcW w:w="671" w:type="pct"/>
            <w:tcBorders>
              <w:top w:val="single" w:sz="4" w:space="0" w:color="auto"/>
              <w:left w:val="nil"/>
              <w:bottom w:val="single" w:sz="4" w:space="0" w:color="auto"/>
              <w:right w:val="nil"/>
            </w:tcBorders>
            <w:shd w:val="clear" w:color="auto" w:fill="auto"/>
            <w:vAlign w:val="center"/>
            <w:hideMark/>
          </w:tcPr>
          <w:p w14:paraId="002F5033"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sidRPr="003554FC">
              <w:rPr>
                <w:rFonts w:ascii="Arial Narrow" w:hAnsi="Arial Narrow" w:cs="Calibri"/>
                <w:color w:val="000000"/>
                <w:sz w:val="20"/>
                <w:szCs w:val="20"/>
              </w:rPr>
              <w:t> </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32245845"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sidRPr="003554FC">
              <w:rPr>
                <w:rFonts w:ascii="Arial Narrow" w:hAnsi="Arial Narrow" w:cs="Calibri"/>
                <w:color w:val="000000"/>
                <w:sz w:val="20"/>
                <w:szCs w:val="20"/>
              </w:rPr>
              <w:t> </w:t>
            </w:r>
          </w:p>
        </w:tc>
      </w:tr>
      <w:tr w:rsidR="00E360E5" w:rsidRPr="0031617E" w14:paraId="4965A151" w14:textId="77777777" w:rsidTr="00A21A7F">
        <w:trPr>
          <w:trHeight w:val="290"/>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F2402" w14:textId="77777777" w:rsidR="00E360E5" w:rsidRPr="0031617E" w:rsidRDefault="00E360E5" w:rsidP="000213A9">
            <w:pPr>
              <w:keepNext/>
              <w:keepLines/>
              <w:spacing w:before="40" w:line="240" w:lineRule="auto"/>
              <w:rPr>
                <w:rFonts w:ascii="Arial Narrow" w:hAnsi="Arial Narrow" w:cs="Calibri"/>
                <w:color w:val="000000"/>
                <w:sz w:val="20"/>
                <w:szCs w:val="20"/>
              </w:rPr>
            </w:pPr>
            <w:r w:rsidRPr="0031617E">
              <w:rPr>
                <w:rFonts w:ascii="Arial Narrow" w:hAnsi="Arial Narrow" w:cs="Calibri"/>
                <w:color w:val="000000"/>
                <w:sz w:val="20"/>
                <w:szCs w:val="20"/>
              </w:rPr>
              <w:lastRenderedPageBreak/>
              <w:t>MBS item 15565</w:t>
            </w:r>
            <w:r>
              <w:rPr>
                <w:rFonts w:ascii="Arial Narrow" w:hAnsi="Arial Narrow" w:cs="Calibri"/>
                <w:color w:val="000000"/>
                <w:sz w:val="20"/>
                <w:szCs w:val="20"/>
              </w:rPr>
              <w:t xml:space="preserve"> (planning)</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4852835"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$5,518,868</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13645E09"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$11,037,737</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0C783E83"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$33,726,418</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7C02E6C0"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$33,726,418</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165B58AD" w14:textId="77777777" w:rsidR="00E360E5" w:rsidRPr="003554FC" w:rsidRDefault="00E360E5" w:rsidP="000213A9">
            <w:pPr>
              <w:keepNext/>
              <w:keepLines/>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$33,726,418</w:t>
            </w:r>
          </w:p>
        </w:tc>
      </w:tr>
      <w:tr w:rsidR="00E360E5" w:rsidRPr="0031617E" w14:paraId="5D20580F" w14:textId="77777777" w:rsidTr="00A21A7F">
        <w:trPr>
          <w:trHeight w:val="290"/>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A6A4E" w14:textId="77777777" w:rsidR="00E360E5" w:rsidRPr="0031617E" w:rsidRDefault="00E360E5" w:rsidP="009E682D">
            <w:pPr>
              <w:spacing w:before="40" w:line="240" w:lineRule="auto"/>
              <w:rPr>
                <w:rFonts w:ascii="Arial Narrow" w:hAnsi="Arial Narrow" w:cs="Calibri"/>
                <w:color w:val="000000"/>
                <w:sz w:val="20"/>
                <w:szCs w:val="20"/>
              </w:rPr>
            </w:pPr>
            <w:r w:rsidRPr="0031617E">
              <w:rPr>
                <w:rFonts w:ascii="Arial Narrow" w:hAnsi="Arial Narrow" w:cs="Calibri"/>
                <w:color w:val="000000"/>
                <w:sz w:val="20"/>
                <w:szCs w:val="20"/>
              </w:rPr>
              <w:t>MBS item 15555 (simulation)</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6DFD0FEB"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$1,073,171</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058A58E"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$2,146,342</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03D403BE"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$6,558,266</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77A04A9D"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$6,558,266</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5B5B6AE2"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$6,558,266</w:t>
            </w:r>
          </w:p>
        </w:tc>
      </w:tr>
      <w:tr w:rsidR="00E360E5" w:rsidRPr="0031617E" w14:paraId="5F93D843" w14:textId="77777777" w:rsidTr="00A21A7F">
        <w:trPr>
          <w:trHeight w:val="290"/>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F303C" w14:textId="77777777" w:rsidR="00E360E5" w:rsidRPr="0031617E" w:rsidRDefault="00E360E5" w:rsidP="009E682D">
            <w:pPr>
              <w:spacing w:before="40" w:line="240" w:lineRule="auto"/>
              <w:rPr>
                <w:rFonts w:ascii="Arial Narrow" w:hAnsi="Arial Narrow" w:cs="Calibri"/>
                <w:color w:val="000000"/>
                <w:sz w:val="20"/>
                <w:szCs w:val="20"/>
              </w:rPr>
            </w:pPr>
            <w:r w:rsidRPr="0031617E">
              <w:rPr>
                <w:rFonts w:ascii="Arial Narrow" w:hAnsi="Arial Narrow" w:cs="Calibri"/>
                <w:color w:val="000000"/>
                <w:sz w:val="20"/>
                <w:szCs w:val="20"/>
              </w:rPr>
              <w:t>MBS item 15275 (fraction)</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94A4024"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$1,328,112</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108B96D3"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$2,656,224</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625C5C9"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$8,116,240</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0221A583"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$8,116,240</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5FD73EDF" w14:textId="77777777" w:rsidR="00E360E5" w:rsidRPr="003554FC" w:rsidRDefault="00E360E5"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$8,116,240</w:t>
            </w:r>
          </w:p>
        </w:tc>
      </w:tr>
      <w:tr w:rsidR="00E360E5" w:rsidRPr="0031617E" w14:paraId="39816FF1" w14:textId="77777777" w:rsidTr="009E682D">
        <w:trPr>
          <w:trHeight w:val="290"/>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C7EB9" w14:textId="77777777" w:rsidR="00E360E5" w:rsidRPr="0031617E" w:rsidRDefault="00E360E5" w:rsidP="009E682D">
            <w:pPr>
              <w:spacing w:before="40" w:line="240" w:lineRule="auto"/>
              <w:rPr>
                <w:rFonts w:ascii="Arial Narrow" w:hAnsi="Arial Narrow" w:cs="Calibri"/>
                <w:b/>
                <w:bCs/>
                <w:color w:val="000000"/>
                <w:sz w:val="20"/>
                <w:szCs w:val="20"/>
              </w:rPr>
            </w:pPr>
            <w:r w:rsidRPr="0031617E">
              <w:rPr>
                <w:rFonts w:ascii="Arial Narrow" w:hAnsi="Arial Narrow" w:cs="Calibri"/>
                <w:b/>
                <w:bCs/>
                <w:color w:val="000000"/>
                <w:sz w:val="20"/>
                <w:szCs w:val="20"/>
              </w:rPr>
              <w:t>Total cost of MR-IGRT to the MBS</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36F646C4" w14:textId="77777777" w:rsidR="00E360E5" w:rsidRPr="003554FC"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$7,920,151</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1059297" w14:textId="77777777" w:rsidR="00E360E5" w:rsidRPr="003554FC"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$15,840,302</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6DD565F9" w14:textId="77777777" w:rsidR="00E360E5" w:rsidRPr="003554FC"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$48,400,924</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2EB5E75C" w14:textId="77777777" w:rsidR="00E360E5" w:rsidRPr="003554FC"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$48,400,924</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13798F76" w14:textId="77777777" w:rsidR="00E360E5" w:rsidRPr="003554FC" w:rsidRDefault="00E360E5" w:rsidP="009E682D">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$48,400,924</w:t>
            </w:r>
          </w:p>
        </w:tc>
      </w:tr>
    </w:tbl>
    <w:p w14:paraId="35B054BB" w14:textId="10EAB74A" w:rsidR="00E360E5" w:rsidRDefault="00E360E5" w:rsidP="009D6338">
      <w:pPr>
        <w:pStyle w:val="Tablenotes0"/>
      </w:pPr>
      <w:r>
        <w:t>Abbreviations: MBS=Medical Benefits Schedule, MR-IGRT=magnetic resonance image-guided radiation therapy</w:t>
      </w:r>
    </w:p>
    <w:p w14:paraId="6A4766F9" w14:textId="77777777" w:rsidR="003C431B" w:rsidRDefault="00991ED7">
      <w:pPr>
        <w:pStyle w:val="Heading2"/>
        <w:numPr>
          <w:ilvl w:val="4"/>
          <w:numId w:val="10"/>
        </w:numPr>
      </w:pPr>
      <w:bookmarkStart w:id="682" w:name="_Toc379118301"/>
      <w:bookmarkStart w:id="683" w:name="_Toc381796484"/>
      <w:bookmarkStart w:id="684" w:name="_Ref59013136"/>
      <w:bookmarkStart w:id="685" w:name="_Ref59014238"/>
      <w:bookmarkStart w:id="686" w:name="_Ref59014251"/>
      <w:bookmarkStart w:id="687" w:name="_Toc59018817"/>
      <w:bookmarkStart w:id="688" w:name="_Toc59020361"/>
      <w:bookmarkStart w:id="689" w:name="_Toc59439583"/>
      <w:bookmarkStart w:id="690" w:name="_Toc89857855"/>
      <w:bookmarkEnd w:id="677"/>
      <w:bookmarkEnd w:id="678"/>
      <w:r>
        <w:t>Changes in Use and C</w:t>
      </w:r>
      <w:r w:rsidR="003C431B" w:rsidRPr="00183E4D">
        <w:t>ost of</w:t>
      </w:r>
      <w:bookmarkEnd w:id="682"/>
      <w:bookmarkEnd w:id="683"/>
      <w:r>
        <w:t xml:space="preserve"> Other Medical Services</w:t>
      </w:r>
      <w:bookmarkEnd w:id="684"/>
      <w:bookmarkEnd w:id="685"/>
      <w:bookmarkEnd w:id="686"/>
      <w:bookmarkEnd w:id="687"/>
      <w:bookmarkEnd w:id="688"/>
      <w:bookmarkEnd w:id="689"/>
      <w:bookmarkEnd w:id="690"/>
      <w:r>
        <w:t xml:space="preserve"> </w:t>
      </w:r>
    </w:p>
    <w:p w14:paraId="5D31471A" w14:textId="5AB82C23" w:rsidR="00AA1636" w:rsidRDefault="00AA1636" w:rsidP="00AA1636">
      <w:pPr>
        <w:jc w:val="both"/>
      </w:pPr>
      <w:bookmarkStart w:id="691" w:name="_Hlk58999362"/>
      <w:bookmarkStart w:id="692" w:name="_Hlk58999247"/>
      <w:r>
        <w:t>Both the Applicant and clinical advice indicated m</w:t>
      </w:r>
      <w:r w:rsidRPr="00A73939">
        <w:t xml:space="preserve">ultidisciplinary </w:t>
      </w:r>
      <w:r>
        <w:t>t</w:t>
      </w:r>
      <w:r w:rsidRPr="00A73939">
        <w:t xml:space="preserve">eam meetings covering </w:t>
      </w:r>
      <w:r w:rsidR="00B66622">
        <w:t>potential eligible</w:t>
      </w:r>
      <w:r w:rsidRPr="00A73939">
        <w:t xml:space="preserve"> clinical cases are expected to be a channel for identification and referral of these patients</w:t>
      </w:r>
      <w:r>
        <w:t xml:space="preserve">.  However, the exact nature of this, including resourcing and costs, was not indicated by the Applicant or clinical advice. As per Section </w:t>
      </w:r>
      <w:r w:rsidR="00914631">
        <w:fldChar w:fldCharType="begin"/>
      </w:r>
      <w:r w:rsidR="00914631">
        <w:instrText xml:space="preserve"> REF _Ref59014091 \r \h </w:instrText>
      </w:r>
      <w:r w:rsidR="00914631">
        <w:fldChar w:fldCharType="separate"/>
      </w:r>
      <w:r w:rsidR="00451350">
        <w:t>A.6</w:t>
      </w:r>
      <w:r w:rsidR="00914631">
        <w:fldChar w:fldCharType="end"/>
      </w:r>
      <w:r>
        <w:t>, patients are assumed to proceed through the same clinical management algorithm as other radiation therapy patients, MR-IGRT a proposed additional treatment option.  However, as processes and procedures for potential MR-IGRT patients evolve, clinical advice suggests such MDT workflows will become more clearly defined.</w:t>
      </w:r>
    </w:p>
    <w:bookmarkStart w:id="693" w:name="_Hlk58999401"/>
    <w:bookmarkEnd w:id="691"/>
    <w:p w14:paraId="2D80683B" w14:textId="6C8ABD6C" w:rsidR="00AA1636" w:rsidRDefault="00AA1636" w:rsidP="00AA1636">
      <w:pPr>
        <w:jc w:val="both"/>
      </w:pPr>
      <w:r>
        <w:fldChar w:fldCharType="begin"/>
      </w:r>
      <w:r>
        <w:instrText xml:space="preserve"> REF _Ref58940637 \h </w:instrText>
      </w:r>
      <w:r>
        <w:fldChar w:fldCharType="separate"/>
      </w:r>
      <w:r w:rsidR="00451350">
        <w:t xml:space="preserve">Table </w:t>
      </w:r>
      <w:r w:rsidR="00451350">
        <w:rPr>
          <w:noProof/>
        </w:rPr>
        <w:t>71</w:t>
      </w:r>
      <w:r>
        <w:fldChar w:fldCharType="end"/>
      </w:r>
      <w:r>
        <w:t xml:space="preserve"> summarises the change in MBS item utilisation and costs over the five-year analysis period.  Assuming an approximate 13 fraction reduction in treatment course duration and no fiducial market costs, substitution of CBCT-IGRT for MR-IGRT is estimated to save the MBS $</w:t>
      </w:r>
      <w:r w:rsidR="00D71ED3">
        <w:t>11,999,624</w:t>
      </w:r>
      <w:r>
        <w:t xml:space="preserve"> in year one, with annual savings of $</w:t>
      </w:r>
      <w:r w:rsidR="00D71ED3">
        <w:t>73,331,038</w:t>
      </w:r>
      <w:r>
        <w:t xml:space="preserve"> in </w:t>
      </w:r>
      <w:r w:rsidR="00D71ED3">
        <w:t>year three and every year thereafter</w:t>
      </w:r>
      <w:r>
        <w:t>.</w:t>
      </w:r>
    </w:p>
    <w:p w14:paraId="322B59CE" w14:textId="03B488B8" w:rsidR="00AA1636" w:rsidRDefault="00AA1636" w:rsidP="006D66DC">
      <w:pPr>
        <w:pStyle w:val="Caption"/>
        <w:keepNext/>
      </w:pPr>
      <w:bookmarkStart w:id="694" w:name="_Ref58940637"/>
      <w:bookmarkStart w:id="695" w:name="_Toc89857942"/>
      <w:r>
        <w:t xml:space="preserve">Table </w:t>
      </w:r>
      <w:r w:rsidR="00211285">
        <w:fldChar w:fldCharType="begin"/>
      </w:r>
      <w:r w:rsidR="00211285">
        <w:instrText xml:space="preserve"> SEQ Table \* ARABIC </w:instrText>
      </w:r>
      <w:r w:rsidR="00211285">
        <w:fldChar w:fldCharType="separate"/>
      </w:r>
      <w:r w:rsidR="00451350">
        <w:rPr>
          <w:noProof/>
        </w:rPr>
        <w:t>71</w:t>
      </w:r>
      <w:r w:rsidR="00211285">
        <w:rPr>
          <w:noProof/>
        </w:rPr>
        <w:fldChar w:fldCharType="end"/>
      </w:r>
      <w:bookmarkEnd w:id="694"/>
      <w:r>
        <w:tab/>
        <w:t xml:space="preserve">Financial impact of </w:t>
      </w:r>
      <w:r w:rsidR="00B66622">
        <w:t>decreased</w:t>
      </w:r>
      <w:r>
        <w:t xml:space="preserve"> use of other medical services on the MBS, 2021 to 2025</w:t>
      </w:r>
      <w:bookmarkEnd w:id="695"/>
    </w:p>
    <w:tbl>
      <w:tblPr>
        <w:tblStyle w:val="TableGrid1"/>
        <w:tblW w:w="5003" w:type="pct"/>
        <w:tblLook w:val="04A0" w:firstRow="1" w:lastRow="0" w:firstColumn="1" w:lastColumn="0" w:noHBand="0" w:noVBand="1"/>
      </w:tblPr>
      <w:tblGrid>
        <w:gridCol w:w="2832"/>
        <w:gridCol w:w="1203"/>
        <w:gridCol w:w="1326"/>
        <w:gridCol w:w="1220"/>
        <w:gridCol w:w="1220"/>
        <w:gridCol w:w="1220"/>
      </w:tblGrid>
      <w:tr w:rsidR="00AA1636" w:rsidRPr="004C2C35" w14:paraId="15360673" w14:textId="77777777" w:rsidTr="00A21A7F">
        <w:trPr>
          <w:cnfStyle w:val="100000000000" w:firstRow="1" w:lastRow="0" w:firstColumn="0" w:lastColumn="0" w:oddVBand="0" w:evenVBand="0" w:oddHBand="0" w:evenHBand="0" w:firstRowFirstColumn="0" w:firstRowLastColumn="0" w:lastRowFirstColumn="0" w:lastRowLastColumn="0"/>
          <w:trHeight w:val="290"/>
          <w:tblHeader/>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0FA6B" w14:textId="77777777" w:rsidR="00AA1636" w:rsidRPr="004C2C35" w:rsidRDefault="00AA1636" w:rsidP="006D66DC">
            <w:pPr>
              <w:keepNext/>
              <w:spacing w:before="40" w:line="240" w:lineRule="auto"/>
              <w:rPr>
                <w:rFonts w:ascii="Arial Narrow" w:hAnsi="Arial Narrow" w:cs="Calibri"/>
                <w:b/>
                <w:bCs/>
                <w:color w:val="000000"/>
                <w:sz w:val="20"/>
                <w:szCs w:val="20"/>
              </w:rPr>
            </w:pPr>
            <w:r w:rsidRPr="004C2C35">
              <w:rPr>
                <w:rFonts w:ascii="Arial Narrow" w:hAnsi="Arial Narrow" w:cs="Calibri"/>
                <w:b/>
                <w:bCs/>
                <w:color w:val="000000"/>
                <w:sz w:val="20"/>
                <w:szCs w:val="20"/>
              </w:rPr>
              <w:t>Item</w:t>
            </w:r>
          </w:p>
        </w:tc>
        <w:tc>
          <w:tcPr>
            <w:tcW w:w="667" w:type="pct"/>
            <w:tcBorders>
              <w:top w:val="single" w:sz="4" w:space="0" w:color="auto"/>
              <w:left w:val="nil"/>
              <w:bottom w:val="single" w:sz="4" w:space="0" w:color="auto"/>
              <w:right w:val="single" w:sz="4" w:space="0" w:color="auto"/>
            </w:tcBorders>
            <w:shd w:val="clear" w:color="auto" w:fill="auto"/>
            <w:vAlign w:val="bottom"/>
            <w:hideMark/>
          </w:tcPr>
          <w:p w14:paraId="4033B8C2"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2021</w:t>
            </w:r>
          </w:p>
        </w:tc>
        <w:tc>
          <w:tcPr>
            <w:tcW w:w="735" w:type="pct"/>
            <w:tcBorders>
              <w:top w:val="single" w:sz="4" w:space="0" w:color="auto"/>
              <w:left w:val="nil"/>
              <w:bottom w:val="single" w:sz="4" w:space="0" w:color="auto"/>
              <w:right w:val="single" w:sz="4" w:space="0" w:color="auto"/>
            </w:tcBorders>
            <w:shd w:val="clear" w:color="auto" w:fill="auto"/>
            <w:vAlign w:val="bottom"/>
            <w:hideMark/>
          </w:tcPr>
          <w:p w14:paraId="1B43B4CF"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2022</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0F7C23DF"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2023</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2878DE1B"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2024</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3FED7F36"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2025</w:t>
            </w:r>
          </w:p>
        </w:tc>
      </w:tr>
      <w:tr w:rsidR="00AA1636" w:rsidRPr="004C2C35" w14:paraId="6ABCA588" w14:textId="77777777" w:rsidTr="00A21A7F">
        <w:trPr>
          <w:trHeight w:val="290"/>
        </w:trPr>
        <w:tc>
          <w:tcPr>
            <w:tcW w:w="1570" w:type="pct"/>
            <w:tcBorders>
              <w:top w:val="single" w:sz="4" w:space="0" w:color="auto"/>
              <w:left w:val="single" w:sz="4" w:space="0" w:color="auto"/>
              <w:bottom w:val="single" w:sz="4" w:space="0" w:color="auto"/>
              <w:right w:val="nil"/>
            </w:tcBorders>
            <w:shd w:val="clear" w:color="auto" w:fill="auto"/>
            <w:noWrap/>
            <w:vAlign w:val="center"/>
          </w:tcPr>
          <w:p w14:paraId="54A2165C" w14:textId="77777777" w:rsidR="00AA1636" w:rsidRPr="004C2C35" w:rsidRDefault="00AA1636" w:rsidP="006D66DC">
            <w:pPr>
              <w:keepNext/>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CBCT-IGRT: Treatment</w:t>
            </w:r>
          </w:p>
        </w:tc>
        <w:tc>
          <w:tcPr>
            <w:tcW w:w="667" w:type="pct"/>
            <w:tcBorders>
              <w:top w:val="single" w:sz="4" w:space="0" w:color="auto"/>
              <w:left w:val="nil"/>
              <w:bottom w:val="single" w:sz="4" w:space="0" w:color="auto"/>
              <w:right w:val="nil"/>
            </w:tcBorders>
            <w:shd w:val="clear" w:color="auto" w:fill="auto"/>
            <w:noWrap/>
            <w:vAlign w:val="bottom"/>
          </w:tcPr>
          <w:p w14:paraId="6940A42E"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p>
        </w:tc>
        <w:tc>
          <w:tcPr>
            <w:tcW w:w="735" w:type="pct"/>
            <w:tcBorders>
              <w:top w:val="single" w:sz="4" w:space="0" w:color="auto"/>
              <w:left w:val="nil"/>
              <w:bottom w:val="single" w:sz="4" w:space="0" w:color="auto"/>
              <w:right w:val="nil"/>
            </w:tcBorders>
            <w:shd w:val="clear" w:color="auto" w:fill="auto"/>
            <w:vAlign w:val="bottom"/>
          </w:tcPr>
          <w:p w14:paraId="6FE773F7"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p>
        </w:tc>
        <w:tc>
          <w:tcPr>
            <w:tcW w:w="676" w:type="pct"/>
            <w:tcBorders>
              <w:top w:val="single" w:sz="4" w:space="0" w:color="auto"/>
              <w:left w:val="nil"/>
              <w:bottom w:val="single" w:sz="4" w:space="0" w:color="auto"/>
              <w:right w:val="nil"/>
            </w:tcBorders>
            <w:shd w:val="clear" w:color="auto" w:fill="auto"/>
            <w:vAlign w:val="bottom"/>
          </w:tcPr>
          <w:p w14:paraId="1D58C338"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p>
        </w:tc>
        <w:tc>
          <w:tcPr>
            <w:tcW w:w="676" w:type="pct"/>
            <w:tcBorders>
              <w:top w:val="single" w:sz="4" w:space="0" w:color="auto"/>
              <w:left w:val="nil"/>
              <w:bottom w:val="single" w:sz="4" w:space="0" w:color="auto"/>
              <w:right w:val="nil"/>
            </w:tcBorders>
            <w:shd w:val="clear" w:color="auto" w:fill="auto"/>
            <w:vAlign w:val="bottom"/>
          </w:tcPr>
          <w:p w14:paraId="7145F1D0"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p>
        </w:tc>
        <w:tc>
          <w:tcPr>
            <w:tcW w:w="676" w:type="pct"/>
            <w:tcBorders>
              <w:top w:val="single" w:sz="4" w:space="0" w:color="auto"/>
              <w:left w:val="nil"/>
              <w:bottom w:val="single" w:sz="4" w:space="0" w:color="auto"/>
              <w:right w:val="single" w:sz="4" w:space="0" w:color="auto"/>
            </w:tcBorders>
            <w:shd w:val="clear" w:color="auto" w:fill="auto"/>
            <w:vAlign w:val="bottom"/>
          </w:tcPr>
          <w:p w14:paraId="235ABACA"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p>
        </w:tc>
      </w:tr>
      <w:tr w:rsidR="00AA1636" w:rsidRPr="004C2C35" w14:paraId="560DEE14" w14:textId="77777777" w:rsidTr="00A21A7F">
        <w:trPr>
          <w:trHeight w:val="290"/>
        </w:trPr>
        <w:tc>
          <w:tcPr>
            <w:tcW w:w="1570" w:type="pct"/>
            <w:tcBorders>
              <w:top w:val="single" w:sz="4" w:space="0" w:color="auto"/>
              <w:left w:val="single" w:sz="4" w:space="0" w:color="auto"/>
              <w:bottom w:val="single" w:sz="4" w:space="0" w:color="auto"/>
              <w:right w:val="nil"/>
            </w:tcBorders>
            <w:shd w:val="clear" w:color="auto" w:fill="auto"/>
            <w:noWrap/>
            <w:vAlign w:val="center"/>
            <w:hideMark/>
          </w:tcPr>
          <w:p w14:paraId="62273D8D" w14:textId="77777777" w:rsidR="00AA1636" w:rsidRPr="00B91D48" w:rsidRDefault="00AA1636" w:rsidP="006D66DC">
            <w:pPr>
              <w:keepNext/>
              <w:spacing w:before="40" w:line="240" w:lineRule="auto"/>
              <w:rPr>
                <w:rFonts w:ascii="Arial Narrow" w:hAnsi="Arial Narrow" w:cs="Calibri"/>
                <w:color w:val="000000"/>
                <w:sz w:val="20"/>
                <w:szCs w:val="20"/>
              </w:rPr>
            </w:pPr>
            <w:r w:rsidRPr="00B91D48">
              <w:rPr>
                <w:rFonts w:ascii="Arial Narrow" w:hAnsi="Arial Narrow" w:cs="Calibri"/>
                <w:color w:val="000000"/>
                <w:sz w:val="20"/>
                <w:szCs w:val="20"/>
              </w:rPr>
              <w:t>Estimated utilisation impact</w:t>
            </w:r>
          </w:p>
        </w:tc>
        <w:tc>
          <w:tcPr>
            <w:tcW w:w="667" w:type="pct"/>
            <w:tcBorders>
              <w:top w:val="single" w:sz="4" w:space="0" w:color="auto"/>
              <w:left w:val="nil"/>
              <w:bottom w:val="single" w:sz="4" w:space="0" w:color="auto"/>
              <w:right w:val="nil"/>
            </w:tcBorders>
            <w:shd w:val="clear" w:color="auto" w:fill="auto"/>
            <w:noWrap/>
            <w:vAlign w:val="bottom"/>
            <w:hideMark/>
          </w:tcPr>
          <w:p w14:paraId="167140B0"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 </w:t>
            </w:r>
          </w:p>
        </w:tc>
        <w:tc>
          <w:tcPr>
            <w:tcW w:w="735" w:type="pct"/>
            <w:tcBorders>
              <w:top w:val="single" w:sz="4" w:space="0" w:color="auto"/>
              <w:left w:val="nil"/>
              <w:bottom w:val="single" w:sz="4" w:space="0" w:color="auto"/>
              <w:right w:val="nil"/>
            </w:tcBorders>
            <w:shd w:val="clear" w:color="auto" w:fill="auto"/>
            <w:vAlign w:val="bottom"/>
            <w:hideMark/>
          </w:tcPr>
          <w:p w14:paraId="11CB5A16"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 </w:t>
            </w:r>
          </w:p>
        </w:tc>
        <w:tc>
          <w:tcPr>
            <w:tcW w:w="676" w:type="pct"/>
            <w:tcBorders>
              <w:top w:val="single" w:sz="4" w:space="0" w:color="auto"/>
              <w:left w:val="nil"/>
              <w:bottom w:val="single" w:sz="4" w:space="0" w:color="auto"/>
              <w:right w:val="nil"/>
            </w:tcBorders>
            <w:shd w:val="clear" w:color="auto" w:fill="auto"/>
            <w:vAlign w:val="bottom"/>
            <w:hideMark/>
          </w:tcPr>
          <w:p w14:paraId="414BAFAB"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 </w:t>
            </w:r>
          </w:p>
        </w:tc>
        <w:tc>
          <w:tcPr>
            <w:tcW w:w="676" w:type="pct"/>
            <w:tcBorders>
              <w:top w:val="single" w:sz="4" w:space="0" w:color="auto"/>
              <w:left w:val="nil"/>
              <w:bottom w:val="single" w:sz="4" w:space="0" w:color="auto"/>
              <w:right w:val="nil"/>
            </w:tcBorders>
            <w:shd w:val="clear" w:color="auto" w:fill="auto"/>
            <w:vAlign w:val="bottom"/>
            <w:hideMark/>
          </w:tcPr>
          <w:p w14:paraId="0F9F1D5F"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 </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66368EB7"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sidRPr="004C2C35">
              <w:rPr>
                <w:rFonts w:ascii="Arial Narrow" w:hAnsi="Arial Narrow" w:cs="Calibri"/>
                <w:b/>
                <w:bCs/>
                <w:color w:val="000000"/>
                <w:sz w:val="20"/>
                <w:szCs w:val="20"/>
              </w:rPr>
              <w:t> </w:t>
            </w:r>
          </w:p>
        </w:tc>
      </w:tr>
      <w:tr w:rsidR="00AA1636" w:rsidRPr="004C2C35" w14:paraId="05D83385"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348CF" w14:textId="77777777" w:rsidR="00AA1636" w:rsidRPr="007A5C01" w:rsidRDefault="00AA1636" w:rsidP="006D66DC">
            <w:pPr>
              <w:keepNext/>
              <w:spacing w:before="40" w:line="240" w:lineRule="auto"/>
              <w:rPr>
                <w:rFonts w:ascii="Arial Narrow" w:hAnsi="Arial Narrow" w:cs="Calibri"/>
                <w:color w:val="000000"/>
                <w:sz w:val="20"/>
                <w:szCs w:val="20"/>
              </w:rPr>
            </w:pPr>
            <w:r>
              <w:rPr>
                <w:rFonts w:ascii="Arial Narrow" w:hAnsi="Arial Narrow" w:cs="Calibri"/>
                <w:color w:val="000000"/>
                <w:sz w:val="20"/>
                <w:szCs w:val="20"/>
              </w:rPr>
              <w:t>Fiducial marker placement</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D1B58"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Pr>
                <w:rFonts w:ascii="Arial Narrow" w:hAnsi="Arial Narrow" w:cs="Calibri"/>
                <w:color w:val="000000"/>
                <w:sz w:val="20"/>
                <w:szCs w:val="20"/>
              </w:rPr>
              <w:t>1,656</w:t>
            </w:r>
          </w:p>
        </w:tc>
        <w:tc>
          <w:tcPr>
            <w:tcW w:w="735" w:type="pct"/>
            <w:tcBorders>
              <w:top w:val="single" w:sz="4" w:space="0" w:color="auto"/>
              <w:left w:val="single" w:sz="4" w:space="0" w:color="auto"/>
              <w:bottom w:val="single" w:sz="4" w:space="0" w:color="auto"/>
              <w:right w:val="single" w:sz="4" w:space="0" w:color="auto"/>
            </w:tcBorders>
            <w:shd w:val="clear" w:color="auto" w:fill="auto"/>
            <w:vAlign w:val="bottom"/>
          </w:tcPr>
          <w:p w14:paraId="55CED968"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Pr>
                <w:rFonts w:ascii="Arial Narrow" w:hAnsi="Arial Narrow" w:cs="Calibri"/>
                <w:color w:val="000000"/>
                <w:sz w:val="20"/>
                <w:szCs w:val="20"/>
              </w:rPr>
              <w:t>3,312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bottom"/>
          </w:tcPr>
          <w:p w14:paraId="7B774DD5"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Pr>
                <w:rFonts w:ascii="Arial Narrow" w:hAnsi="Arial Narrow" w:cs="Calibri"/>
                <w:color w:val="000000"/>
                <w:sz w:val="20"/>
                <w:szCs w:val="20"/>
              </w:rPr>
              <w:t>10,120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bottom"/>
          </w:tcPr>
          <w:p w14:paraId="2AF1E987"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Pr>
                <w:rFonts w:ascii="Arial Narrow" w:hAnsi="Arial Narrow" w:cs="Calibri"/>
                <w:color w:val="000000"/>
                <w:sz w:val="20"/>
                <w:szCs w:val="20"/>
              </w:rPr>
              <w:t>10,120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bottom"/>
          </w:tcPr>
          <w:p w14:paraId="1D98B158" w14:textId="77777777" w:rsidR="00AA1636" w:rsidRPr="004C2C35" w:rsidRDefault="00AA1636" w:rsidP="006D66DC">
            <w:pPr>
              <w:keepNext/>
              <w:spacing w:before="40" w:line="240" w:lineRule="auto"/>
              <w:jc w:val="center"/>
              <w:rPr>
                <w:rFonts w:ascii="Arial Narrow" w:hAnsi="Arial Narrow" w:cs="Calibri"/>
                <w:b/>
                <w:bCs/>
                <w:color w:val="000000"/>
                <w:sz w:val="20"/>
                <w:szCs w:val="20"/>
              </w:rPr>
            </w:pPr>
            <w:r>
              <w:rPr>
                <w:rFonts w:ascii="Arial Narrow" w:hAnsi="Arial Narrow" w:cs="Calibri"/>
                <w:color w:val="000000"/>
                <w:sz w:val="20"/>
                <w:szCs w:val="20"/>
              </w:rPr>
              <w:t>10,120</w:t>
            </w:r>
          </w:p>
        </w:tc>
      </w:tr>
      <w:tr w:rsidR="00AA1636" w:rsidRPr="004C2C35" w14:paraId="0C22069C"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D31C8" w14:textId="77777777" w:rsidR="00AA1636" w:rsidRPr="004C2C35" w:rsidRDefault="00AA1636"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MBS item 15565 (planning)</w:t>
            </w:r>
          </w:p>
        </w:tc>
        <w:tc>
          <w:tcPr>
            <w:tcW w:w="667" w:type="pct"/>
            <w:tcBorders>
              <w:top w:val="single" w:sz="4" w:space="0" w:color="auto"/>
              <w:left w:val="nil"/>
              <w:bottom w:val="single" w:sz="4" w:space="0" w:color="auto"/>
              <w:right w:val="single" w:sz="4" w:space="0" w:color="auto"/>
            </w:tcBorders>
            <w:shd w:val="clear" w:color="auto" w:fill="auto"/>
            <w:vAlign w:val="bottom"/>
            <w:hideMark/>
          </w:tcPr>
          <w:p w14:paraId="10ABB5E7"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1,656</w:t>
            </w:r>
          </w:p>
        </w:tc>
        <w:tc>
          <w:tcPr>
            <w:tcW w:w="735" w:type="pct"/>
            <w:tcBorders>
              <w:top w:val="single" w:sz="4" w:space="0" w:color="auto"/>
              <w:left w:val="nil"/>
              <w:bottom w:val="single" w:sz="4" w:space="0" w:color="auto"/>
              <w:right w:val="single" w:sz="4" w:space="0" w:color="auto"/>
            </w:tcBorders>
            <w:shd w:val="clear" w:color="auto" w:fill="auto"/>
            <w:vAlign w:val="bottom"/>
            <w:hideMark/>
          </w:tcPr>
          <w:p w14:paraId="266E1624"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3,312</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685437E5"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01F13DB6"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1ED929B7"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r>
      <w:tr w:rsidR="00AA1636" w:rsidRPr="004C2C35" w14:paraId="2049CC6F"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450D6" w14:textId="77777777" w:rsidR="00AA1636" w:rsidRPr="004C2C35" w:rsidRDefault="00AA1636"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MBS item 15555 (simulation)</w:t>
            </w:r>
          </w:p>
        </w:tc>
        <w:tc>
          <w:tcPr>
            <w:tcW w:w="667" w:type="pct"/>
            <w:tcBorders>
              <w:top w:val="single" w:sz="4" w:space="0" w:color="auto"/>
              <w:left w:val="nil"/>
              <w:bottom w:val="single" w:sz="4" w:space="0" w:color="auto"/>
              <w:right w:val="single" w:sz="4" w:space="0" w:color="auto"/>
            </w:tcBorders>
            <w:shd w:val="clear" w:color="auto" w:fill="auto"/>
            <w:vAlign w:val="bottom"/>
            <w:hideMark/>
          </w:tcPr>
          <w:p w14:paraId="737DE420"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1,656</w:t>
            </w:r>
          </w:p>
        </w:tc>
        <w:tc>
          <w:tcPr>
            <w:tcW w:w="735" w:type="pct"/>
            <w:tcBorders>
              <w:top w:val="single" w:sz="4" w:space="0" w:color="auto"/>
              <w:left w:val="nil"/>
              <w:bottom w:val="single" w:sz="4" w:space="0" w:color="auto"/>
              <w:right w:val="single" w:sz="4" w:space="0" w:color="auto"/>
            </w:tcBorders>
            <w:shd w:val="clear" w:color="auto" w:fill="auto"/>
            <w:vAlign w:val="bottom"/>
            <w:hideMark/>
          </w:tcPr>
          <w:p w14:paraId="3FA59D48"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3,312</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4F8F9E29"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53B35DEA"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2326BDBD"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10,120</w:t>
            </w:r>
          </w:p>
        </w:tc>
      </w:tr>
      <w:tr w:rsidR="00AA1636" w:rsidRPr="004C2C35" w14:paraId="0E7B5516"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490D2" w14:textId="77777777" w:rsidR="00AA1636" w:rsidRPr="004C2C35" w:rsidRDefault="00AA1636"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MBS item 15275 (fraction)</w:t>
            </w:r>
          </w:p>
        </w:tc>
        <w:tc>
          <w:tcPr>
            <w:tcW w:w="667" w:type="pct"/>
            <w:tcBorders>
              <w:top w:val="single" w:sz="4" w:space="0" w:color="auto"/>
              <w:left w:val="nil"/>
              <w:bottom w:val="single" w:sz="4" w:space="0" w:color="auto"/>
              <w:right w:val="single" w:sz="4" w:space="0" w:color="auto"/>
            </w:tcBorders>
            <w:shd w:val="clear" w:color="auto" w:fill="auto"/>
            <w:vAlign w:val="bottom"/>
            <w:hideMark/>
          </w:tcPr>
          <w:p w14:paraId="5DA4A19A"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29,808</w:t>
            </w:r>
          </w:p>
        </w:tc>
        <w:tc>
          <w:tcPr>
            <w:tcW w:w="735" w:type="pct"/>
            <w:tcBorders>
              <w:top w:val="single" w:sz="4" w:space="0" w:color="auto"/>
              <w:left w:val="nil"/>
              <w:bottom w:val="single" w:sz="4" w:space="0" w:color="auto"/>
              <w:right w:val="single" w:sz="4" w:space="0" w:color="auto"/>
            </w:tcBorders>
            <w:shd w:val="clear" w:color="auto" w:fill="auto"/>
            <w:vAlign w:val="bottom"/>
            <w:hideMark/>
          </w:tcPr>
          <w:p w14:paraId="0FD87E92"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59,616</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7F7C508C"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182,160</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5F2AFCD3"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182,160</w:t>
            </w:r>
          </w:p>
        </w:tc>
        <w:tc>
          <w:tcPr>
            <w:tcW w:w="676" w:type="pct"/>
            <w:tcBorders>
              <w:top w:val="single" w:sz="4" w:space="0" w:color="auto"/>
              <w:left w:val="nil"/>
              <w:bottom w:val="single" w:sz="4" w:space="0" w:color="auto"/>
              <w:right w:val="single" w:sz="4" w:space="0" w:color="auto"/>
            </w:tcBorders>
            <w:shd w:val="clear" w:color="auto" w:fill="auto"/>
            <w:vAlign w:val="bottom"/>
            <w:hideMark/>
          </w:tcPr>
          <w:p w14:paraId="0F320F22"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182,160</w:t>
            </w:r>
          </w:p>
        </w:tc>
      </w:tr>
      <w:tr w:rsidR="00AA1636" w:rsidRPr="0031617E" w14:paraId="059F5EF6" w14:textId="77777777" w:rsidTr="00A21A7F">
        <w:trPr>
          <w:trHeight w:val="290"/>
        </w:trPr>
        <w:tc>
          <w:tcPr>
            <w:tcW w:w="1570" w:type="pct"/>
            <w:tcBorders>
              <w:top w:val="single" w:sz="4" w:space="0" w:color="auto"/>
              <w:left w:val="single" w:sz="4" w:space="0" w:color="auto"/>
              <w:bottom w:val="single" w:sz="4" w:space="0" w:color="auto"/>
            </w:tcBorders>
            <w:shd w:val="clear" w:color="auto" w:fill="auto"/>
            <w:vAlign w:val="center"/>
            <w:hideMark/>
          </w:tcPr>
          <w:p w14:paraId="2C7BD647" w14:textId="77777777" w:rsidR="00AA1636" w:rsidRPr="00B91D48" w:rsidRDefault="00AA1636" w:rsidP="009E682D">
            <w:pPr>
              <w:spacing w:before="40" w:line="240" w:lineRule="auto"/>
              <w:rPr>
                <w:rFonts w:ascii="Arial Narrow" w:hAnsi="Arial Narrow" w:cs="Calibri"/>
                <w:color w:val="000000"/>
                <w:sz w:val="20"/>
                <w:szCs w:val="20"/>
              </w:rPr>
            </w:pPr>
            <w:r w:rsidRPr="00B91D48">
              <w:rPr>
                <w:rFonts w:ascii="Arial Narrow" w:hAnsi="Arial Narrow" w:cs="Calibri"/>
                <w:color w:val="000000"/>
                <w:sz w:val="20"/>
                <w:szCs w:val="20"/>
              </w:rPr>
              <w:t>Estimated financial impact</w:t>
            </w:r>
          </w:p>
        </w:tc>
        <w:tc>
          <w:tcPr>
            <w:tcW w:w="667" w:type="pct"/>
            <w:tcBorders>
              <w:top w:val="single" w:sz="4" w:space="0" w:color="auto"/>
              <w:bottom w:val="single" w:sz="4" w:space="0" w:color="auto"/>
            </w:tcBorders>
            <w:shd w:val="clear" w:color="auto" w:fill="auto"/>
            <w:vAlign w:val="bottom"/>
            <w:hideMark/>
          </w:tcPr>
          <w:p w14:paraId="25D83EDB" w14:textId="77777777" w:rsidR="00AA1636" w:rsidRPr="004C2C35" w:rsidRDefault="00AA1636"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c>
          <w:tcPr>
            <w:tcW w:w="735" w:type="pct"/>
            <w:tcBorders>
              <w:top w:val="single" w:sz="4" w:space="0" w:color="auto"/>
              <w:bottom w:val="single" w:sz="4" w:space="0" w:color="auto"/>
            </w:tcBorders>
            <w:shd w:val="clear" w:color="auto" w:fill="auto"/>
            <w:vAlign w:val="bottom"/>
            <w:hideMark/>
          </w:tcPr>
          <w:p w14:paraId="73F021F6" w14:textId="77777777" w:rsidR="00AA1636" w:rsidRPr="004C2C35" w:rsidRDefault="00AA1636"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c>
          <w:tcPr>
            <w:tcW w:w="676" w:type="pct"/>
            <w:tcBorders>
              <w:top w:val="single" w:sz="4" w:space="0" w:color="auto"/>
              <w:bottom w:val="single" w:sz="4" w:space="0" w:color="auto"/>
            </w:tcBorders>
            <w:shd w:val="clear" w:color="auto" w:fill="auto"/>
            <w:vAlign w:val="bottom"/>
            <w:hideMark/>
          </w:tcPr>
          <w:p w14:paraId="5E53C25E" w14:textId="77777777" w:rsidR="00AA1636" w:rsidRPr="004C2C35" w:rsidRDefault="00AA1636"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c>
          <w:tcPr>
            <w:tcW w:w="676" w:type="pct"/>
            <w:tcBorders>
              <w:top w:val="single" w:sz="4" w:space="0" w:color="auto"/>
              <w:bottom w:val="single" w:sz="4" w:space="0" w:color="auto"/>
            </w:tcBorders>
            <w:shd w:val="clear" w:color="auto" w:fill="auto"/>
            <w:vAlign w:val="bottom"/>
            <w:hideMark/>
          </w:tcPr>
          <w:p w14:paraId="4E546E7C" w14:textId="77777777" w:rsidR="00AA1636" w:rsidRPr="004C2C35" w:rsidRDefault="00AA1636"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c>
          <w:tcPr>
            <w:tcW w:w="676" w:type="pct"/>
            <w:tcBorders>
              <w:top w:val="single" w:sz="4" w:space="0" w:color="auto"/>
              <w:bottom w:val="single" w:sz="4" w:space="0" w:color="auto"/>
              <w:right w:val="single" w:sz="4" w:space="0" w:color="auto"/>
            </w:tcBorders>
            <w:shd w:val="clear" w:color="auto" w:fill="auto"/>
            <w:vAlign w:val="bottom"/>
            <w:hideMark/>
          </w:tcPr>
          <w:p w14:paraId="181F58D3" w14:textId="77777777" w:rsidR="00AA1636" w:rsidRPr="004C2C35" w:rsidRDefault="00AA1636" w:rsidP="009E682D">
            <w:pPr>
              <w:spacing w:before="40" w:line="240" w:lineRule="auto"/>
              <w:jc w:val="center"/>
              <w:rPr>
                <w:rFonts w:ascii="Arial Narrow" w:hAnsi="Arial Narrow" w:cs="Calibri"/>
                <w:b/>
                <w:bCs/>
                <w:color w:val="000000"/>
                <w:sz w:val="20"/>
                <w:szCs w:val="20"/>
              </w:rPr>
            </w:pPr>
            <w:r w:rsidRPr="0031617E">
              <w:rPr>
                <w:rFonts w:ascii="Arial Narrow" w:hAnsi="Arial Narrow" w:cs="Calibri"/>
                <w:b/>
                <w:bCs/>
                <w:color w:val="000000"/>
                <w:sz w:val="20"/>
                <w:szCs w:val="20"/>
              </w:rPr>
              <w:t> </w:t>
            </w:r>
          </w:p>
        </w:tc>
      </w:tr>
      <w:tr w:rsidR="00AA1636" w:rsidRPr="004C2C35" w14:paraId="546739CF"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4E0AC1B5" w14:textId="77777777" w:rsidR="00AA1636" w:rsidRDefault="00AA1636"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Fiducial marker placement</w:t>
            </w:r>
          </w:p>
        </w:tc>
        <w:tc>
          <w:tcPr>
            <w:tcW w:w="667" w:type="pct"/>
            <w:tcBorders>
              <w:top w:val="single" w:sz="4" w:space="0" w:color="auto"/>
              <w:left w:val="single" w:sz="4" w:space="0" w:color="auto"/>
              <w:bottom w:val="single" w:sz="4" w:space="0" w:color="auto"/>
              <w:right w:val="single" w:sz="4" w:space="0" w:color="auto"/>
            </w:tcBorders>
            <w:shd w:val="clear" w:color="auto" w:fill="auto"/>
            <w:vAlign w:val="bottom"/>
          </w:tcPr>
          <w:p w14:paraId="0DB61B64" w14:textId="0C1046BD" w:rsidR="00AA1636" w:rsidRPr="007A5C01" w:rsidRDefault="00B66622"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$626,382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bottom"/>
          </w:tcPr>
          <w:p w14:paraId="1E458E9E" w14:textId="460D377E" w:rsidR="00AA1636" w:rsidRPr="007A5C01" w:rsidRDefault="00B66622"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$1,252,764</w:t>
            </w:r>
          </w:p>
        </w:tc>
        <w:tc>
          <w:tcPr>
            <w:tcW w:w="676" w:type="pct"/>
            <w:tcBorders>
              <w:top w:val="single" w:sz="4" w:space="0" w:color="auto"/>
              <w:left w:val="single" w:sz="4" w:space="0" w:color="auto"/>
              <w:bottom w:val="single" w:sz="4" w:space="0" w:color="auto"/>
              <w:right w:val="single" w:sz="4" w:space="0" w:color="auto"/>
            </w:tcBorders>
            <w:shd w:val="clear" w:color="auto" w:fill="auto"/>
            <w:vAlign w:val="bottom"/>
          </w:tcPr>
          <w:p w14:paraId="6D7CFB38" w14:textId="73EA536A" w:rsidR="00AA1636" w:rsidRPr="007A5C01" w:rsidRDefault="00B66622"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$3,827,890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bottom"/>
          </w:tcPr>
          <w:p w14:paraId="6EBE798B" w14:textId="2C82E7BB" w:rsidR="00AA1636" w:rsidRPr="007A5C01" w:rsidRDefault="00B66622"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$3,827,890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bottom"/>
          </w:tcPr>
          <w:p w14:paraId="1C49C069" w14:textId="75CF94E1" w:rsidR="00AA1636" w:rsidRPr="007A5C01" w:rsidRDefault="00B66622"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$3,827,890</w:t>
            </w:r>
          </w:p>
        </w:tc>
      </w:tr>
      <w:tr w:rsidR="00AA1636" w:rsidRPr="004C2C35" w14:paraId="64241245"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1A6D9" w14:textId="77777777" w:rsidR="00AA1636" w:rsidRPr="004C2C35" w:rsidRDefault="00AA1636" w:rsidP="009E682D">
            <w:pPr>
              <w:spacing w:before="40" w:line="240" w:lineRule="auto"/>
              <w:rPr>
                <w:rFonts w:ascii="Arial Narrow" w:hAnsi="Arial Narrow" w:cs="Calibri"/>
                <w:b/>
                <w:bCs/>
                <w:color w:val="000000"/>
                <w:sz w:val="20"/>
                <w:szCs w:val="20"/>
              </w:rPr>
            </w:pPr>
            <w:r>
              <w:rPr>
                <w:rFonts w:ascii="Arial Narrow" w:hAnsi="Arial Narrow" w:cs="Calibri"/>
                <w:color w:val="000000"/>
                <w:sz w:val="20"/>
                <w:szCs w:val="20"/>
              </w:rPr>
              <w:t>MBS item 15565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A94D9"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$5,518,868</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CFD49"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$11,037,737</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D92B1"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$33,726,418</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165FA"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$33,726,418</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22FE5"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$33,726,418</w:t>
            </w:r>
          </w:p>
        </w:tc>
      </w:tr>
      <w:tr w:rsidR="00AA1636" w:rsidRPr="004C2C35" w14:paraId="504B40F8"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DD61A" w14:textId="77777777" w:rsidR="00AA1636" w:rsidRPr="004C2C35" w:rsidRDefault="00AA1636"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MBS item 15555 (simulation)</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14:paraId="176B9903"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$1,073,171</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15D9BB58"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$2,146,342</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5CF4DBBC"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$6,558,266</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389EA10D"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$6,558,266</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38953CD3"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$6,558,266</w:t>
            </w:r>
          </w:p>
        </w:tc>
      </w:tr>
      <w:tr w:rsidR="00AA1636" w:rsidRPr="004C2C35" w14:paraId="392D70E0"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84D85" w14:textId="77777777" w:rsidR="00AA1636" w:rsidRPr="004C2C35" w:rsidRDefault="00AA1636" w:rsidP="009E682D">
            <w:pPr>
              <w:spacing w:before="40" w:line="240" w:lineRule="auto"/>
              <w:rPr>
                <w:rFonts w:ascii="Arial Narrow" w:hAnsi="Arial Narrow" w:cs="Calibri"/>
                <w:color w:val="000000"/>
                <w:sz w:val="20"/>
                <w:szCs w:val="20"/>
              </w:rPr>
            </w:pPr>
            <w:r>
              <w:rPr>
                <w:rFonts w:ascii="Arial Narrow" w:hAnsi="Arial Narrow" w:cs="Calibri"/>
                <w:color w:val="000000"/>
                <w:sz w:val="20"/>
                <w:szCs w:val="20"/>
              </w:rPr>
              <w:t>MBS item 15275 (fraction)</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14:paraId="4392E8F1"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$4,781,203</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75FF48AE"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$9,562,406</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5D9420F6"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$29,218,464</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16C170FC"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$29,218,464</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16183171" w14:textId="77777777" w:rsidR="00AA1636" w:rsidRPr="004C2C35" w:rsidRDefault="00AA1636" w:rsidP="009E682D">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$29,218,464</w:t>
            </w:r>
          </w:p>
        </w:tc>
      </w:tr>
      <w:tr w:rsidR="00AA1636" w:rsidRPr="004C2C35" w14:paraId="27F58EFD" w14:textId="77777777" w:rsidTr="00A21A7F">
        <w:trPr>
          <w:trHeight w:val="290"/>
        </w:trPr>
        <w:tc>
          <w:tcPr>
            <w:tcW w:w="15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501D64" w14:textId="77777777" w:rsidR="00AA1636" w:rsidRPr="004C2C35" w:rsidRDefault="00AA1636" w:rsidP="009E682D">
            <w:pPr>
              <w:spacing w:before="40" w:line="240" w:lineRule="auto"/>
              <w:rPr>
                <w:rFonts w:ascii="Arial Narrow" w:hAnsi="Arial Narrow" w:cs="Calibri"/>
                <w:color w:val="000000"/>
                <w:sz w:val="20"/>
                <w:szCs w:val="20"/>
              </w:rPr>
            </w:pPr>
            <w:r>
              <w:rPr>
                <w:rFonts w:ascii="Arial Narrow" w:hAnsi="Arial Narrow" w:cs="Calibri"/>
                <w:b/>
                <w:bCs/>
                <w:color w:val="000000"/>
                <w:sz w:val="20"/>
                <w:szCs w:val="20"/>
              </w:rPr>
              <w:t>Total cost of CBCT-IGRT to the MBS</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14:paraId="5F843AE6" w14:textId="5E748CF3" w:rsidR="00AA1636" w:rsidRPr="004C2C35" w:rsidRDefault="00D71ED3" w:rsidP="009E682D">
            <w:pPr>
              <w:spacing w:before="40" w:line="240" w:lineRule="auto"/>
              <w:jc w:val="center"/>
              <w:rPr>
                <w:rFonts w:ascii="Arial Narrow" w:hAnsi="Arial Narrow" w:cs="Calibri"/>
                <w:color w:val="000000"/>
                <w:sz w:val="20"/>
                <w:szCs w:val="20"/>
              </w:rPr>
            </w:pPr>
            <w:r>
              <w:rPr>
                <w:rFonts w:ascii="Arial Narrow" w:hAnsi="Arial Narrow" w:cs="Calibri"/>
                <w:b/>
                <w:bCs/>
                <w:color w:val="000000"/>
                <w:sz w:val="20"/>
                <w:szCs w:val="20"/>
              </w:rPr>
              <w:t>$11,999,624</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ED484E2" w14:textId="753D6CF2" w:rsidR="00AA1636" w:rsidRPr="004C2C35" w:rsidRDefault="00D71ED3" w:rsidP="009E682D">
            <w:pPr>
              <w:spacing w:before="40" w:line="240" w:lineRule="auto"/>
              <w:jc w:val="center"/>
              <w:rPr>
                <w:rFonts w:ascii="Arial Narrow" w:hAnsi="Arial Narrow" w:cs="Calibri"/>
                <w:color w:val="000000"/>
                <w:sz w:val="20"/>
                <w:szCs w:val="20"/>
              </w:rPr>
            </w:pPr>
            <w:r>
              <w:rPr>
                <w:rFonts w:ascii="Arial Narrow" w:hAnsi="Arial Narrow" w:cs="Calibri"/>
                <w:b/>
                <w:bCs/>
                <w:color w:val="000000"/>
                <w:sz w:val="20"/>
                <w:szCs w:val="20"/>
              </w:rPr>
              <w:t>$23,999,249</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69FAD18D" w14:textId="45E811F0" w:rsidR="00AA1636" w:rsidRPr="004C2C35" w:rsidRDefault="00D71ED3" w:rsidP="009E682D">
            <w:pPr>
              <w:spacing w:before="40" w:line="240" w:lineRule="auto"/>
              <w:jc w:val="center"/>
              <w:rPr>
                <w:rFonts w:ascii="Arial Narrow" w:hAnsi="Arial Narrow" w:cs="Calibri"/>
                <w:color w:val="000000"/>
                <w:sz w:val="20"/>
                <w:szCs w:val="20"/>
              </w:rPr>
            </w:pPr>
            <w:r>
              <w:rPr>
                <w:rFonts w:ascii="Arial Narrow" w:hAnsi="Arial Narrow" w:cs="Calibri"/>
                <w:b/>
                <w:bCs/>
                <w:color w:val="000000"/>
                <w:sz w:val="20"/>
                <w:szCs w:val="20"/>
              </w:rPr>
              <w:t>$73,331,038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56460D60" w14:textId="22F9740D" w:rsidR="00AA1636" w:rsidRPr="004C2C35" w:rsidRDefault="00D71ED3" w:rsidP="009E682D">
            <w:pPr>
              <w:spacing w:before="40" w:line="240" w:lineRule="auto"/>
              <w:jc w:val="center"/>
              <w:rPr>
                <w:rFonts w:ascii="Arial Narrow" w:hAnsi="Arial Narrow" w:cs="Calibri"/>
                <w:color w:val="000000"/>
                <w:sz w:val="20"/>
                <w:szCs w:val="20"/>
              </w:rPr>
            </w:pPr>
            <w:r>
              <w:rPr>
                <w:rFonts w:ascii="Arial Narrow" w:hAnsi="Arial Narrow" w:cs="Calibri"/>
                <w:b/>
                <w:bCs/>
                <w:color w:val="000000"/>
                <w:sz w:val="20"/>
                <w:szCs w:val="20"/>
              </w:rPr>
              <w:t>$73,331,038</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587BFF14" w14:textId="4BC6B2F4" w:rsidR="00AA1636" w:rsidRPr="004C2C35" w:rsidRDefault="00D71ED3" w:rsidP="009E682D">
            <w:pPr>
              <w:spacing w:before="40" w:line="240" w:lineRule="auto"/>
              <w:jc w:val="center"/>
              <w:rPr>
                <w:rFonts w:ascii="Arial Narrow" w:hAnsi="Arial Narrow" w:cs="Calibri"/>
                <w:color w:val="000000"/>
                <w:sz w:val="20"/>
                <w:szCs w:val="20"/>
              </w:rPr>
            </w:pPr>
            <w:r>
              <w:rPr>
                <w:rFonts w:ascii="Arial Narrow" w:hAnsi="Arial Narrow" w:cs="Calibri"/>
                <w:b/>
                <w:bCs/>
                <w:color w:val="000000"/>
                <w:sz w:val="20"/>
                <w:szCs w:val="20"/>
              </w:rPr>
              <w:t>$73,331,038</w:t>
            </w:r>
          </w:p>
        </w:tc>
      </w:tr>
    </w:tbl>
    <w:p w14:paraId="47131949" w14:textId="22D49AAF" w:rsidR="00CA1AB2" w:rsidRDefault="00AA1636" w:rsidP="009D6338">
      <w:pPr>
        <w:pStyle w:val="Tablenotes0"/>
      </w:pPr>
      <w:r w:rsidRPr="00AA1636">
        <w:t>Abbreviations: CBCT-IGRT=cone beam computer tomography image-guided radiation therapy, MBS=Medical Benefits Schedule, MR-IGRT=magnetic resonance image-guided radiation therapy</w:t>
      </w:r>
      <w:bookmarkEnd w:id="693"/>
    </w:p>
    <w:p w14:paraId="610F4FCA" w14:textId="6F5D7E25" w:rsidR="00493ED0" w:rsidRDefault="00493ED0" w:rsidP="00493ED0">
      <w:pPr>
        <w:jc w:val="both"/>
      </w:pPr>
      <w:r>
        <w:t xml:space="preserve">Differences in per patient adverse event costs for prostate cancer treatment were considered in Section </w:t>
      </w:r>
      <w:r>
        <w:fldChar w:fldCharType="begin"/>
      </w:r>
      <w:r>
        <w:instrText xml:space="preserve"> REF _Ref59441103 \r \h </w:instrText>
      </w:r>
      <w:r>
        <w:fldChar w:fldCharType="separate"/>
      </w:r>
      <w:r w:rsidR="00451350">
        <w:t>D.5</w:t>
      </w:r>
      <w:r>
        <w:fldChar w:fldCharType="end"/>
      </w:r>
      <w:r>
        <w:t>. This analysis assumes five fraction treatment courses for both the intervention and the comparator, and therefore the applicability to broader patient groups and current CBCT-IGRT treatment practice is unclear.  These costs are therefore considered indicative, however</w:t>
      </w:r>
      <w:r w:rsidRPr="00F83874">
        <w:t xml:space="preserve"> </w:t>
      </w:r>
      <w:r>
        <w:t xml:space="preserve">they serve as a useful estimate of potential initial adverse-event related costs for MR-IGRT, given prostate cancer </w:t>
      </w:r>
      <w:r>
        <w:lastRenderedPageBreak/>
        <w:t>treatment is expected by the Applicant to reflect a significant portion of initial utilisation upon any MBS listing.</w:t>
      </w:r>
    </w:p>
    <w:p w14:paraId="2DB47CFC" w14:textId="02B1943C" w:rsidR="005717E0" w:rsidRDefault="005717E0" w:rsidP="005717E0">
      <w:pPr>
        <w:jc w:val="both"/>
      </w:pPr>
      <w:r>
        <w:t>Per patient MBS-specific acute toxicity costs are summarised in</w:t>
      </w:r>
      <w:r w:rsidR="000213A9">
        <w:t xml:space="preserve"> </w:t>
      </w:r>
      <w:r w:rsidR="000213A9">
        <w:fldChar w:fldCharType="begin"/>
      </w:r>
      <w:r w:rsidR="000213A9">
        <w:instrText xml:space="preserve"> REF _Ref89857034 \h </w:instrText>
      </w:r>
      <w:r w:rsidR="000213A9">
        <w:fldChar w:fldCharType="separate"/>
      </w:r>
      <w:r w:rsidR="00451350">
        <w:t xml:space="preserve">Table </w:t>
      </w:r>
      <w:r w:rsidR="00451350">
        <w:rPr>
          <w:noProof/>
        </w:rPr>
        <w:t>72</w:t>
      </w:r>
      <w:r w:rsidR="000213A9">
        <w:fldChar w:fldCharType="end"/>
      </w:r>
      <w:r>
        <w:t>, with MR-IGRT patients estimated to save $222 relative to CBCT-IGRT patients.</w:t>
      </w:r>
    </w:p>
    <w:p w14:paraId="09C4175F" w14:textId="0812F58F" w:rsidR="00CA1AB2" w:rsidRDefault="00CA1AB2" w:rsidP="00CA1AB2">
      <w:pPr>
        <w:pStyle w:val="Caption"/>
        <w:ind w:left="1130" w:hanging="1130"/>
      </w:pPr>
      <w:bookmarkStart w:id="696" w:name="_Ref89857034"/>
      <w:bookmarkStart w:id="697" w:name="_Toc89857943"/>
      <w:r>
        <w:t xml:space="preserve">Table </w:t>
      </w:r>
      <w:r w:rsidR="00211285">
        <w:fldChar w:fldCharType="begin"/>
      </w:r>
      <w:r w:rsidR="00211285">
        <w:instrText xml:space="preserve"> SEQ Table \* ARABIC </w:instrText>
      </w:r>
      <w:r w:rsidR="00211285">
        <w:fldChar w:fldCharType="separate"/>
      </w:r>
      <w:r w:rsidR="00451350">
        <w:rPr>
          <w:noProof/>
        </w:rPr>
        <w:t>72</w:t>
      </w:r>
      <w:r w:rsidR="00211285">
        <w:rPr>
          <w:noProof/>
        </w:rPr>
        <w:fldChar w:fldCharType="end"/>
      </w:r>
      <w:bookmarkEnd w:id="696"/>
      <w:r>
        <w:tab/>
        <w:t>Estimated financial impact of treatment-related adverse events on the MBS: per patient acute toxicity costs, prostate cancer only</w:t>
      </w:r>
      <w:bookmarkEnd w:id="697"/>
    </w:p>
    <w:tbl>
      <w:tblPr>
        <w:tblStyle w:val="TableGrid1"/>
        <w:tblW w:w="5000" w:type="pct"/>
        <w:tblLook w:val="04A0" w:firstRow="1" w:lastRow="0" w:firstColumn="1" w:lastColumn="0" w:noHBand="0" w:noVBand="1"/>
      </w:tblPr>
      <w:tblGrid>
        <w:gridCol w:w="4674"/>
        <w:gridCol w:w="4342"/>
      </w:tblGrid>
      <w:tr w:rsidR="00CA1AB2" w14:paraId="14616BFF" w14:textId="77777777" w:rsidTr="00415D01">
        <w:trPr>
          <w:cnfStyle w:val="100000000000" w:firstRow="1" w:lastRow="0" w:firstColumn="0" w:lastColumn="0" w:oddVBand="0" w:evenVBand="0" w:oddHBand="0" w:evenHBand="0" w:firstRowFirstColumn="0" w:firstRowLastColumn="0" w:lastRowFirstColumn="0" w:lastRowLastColumn="0"/>
          <w:trHeight w:val="290"/>
        </w:trPr>
        <w:tc>
          <w:tcPr>
            <w:tcW w:w="2592" w:type="pct"/>
            <w:tcBorders>
              <w:bottom w:val="single" w:sz="4" w:space="0" w:color="auto"/>
            </w:tcBorders>
            <w:shd w:val="clear" w:color="auto" w:fill="auto"/>
            <w:vAlign w:val="bottom"/>
          </w:tcPr>
          <w:p w14:paraId="42C15A6C" w14:textId="77777777" w:rsidR="00CA1AB2" w:rsidRDefault="00CA1AB2" w:rsidP="00415D01">
            <w:pPr>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Item</w:t>
            </w:r>
          </w:p>
        </w:tc>
        <w:tc>
          <w:tcPr>
            <w:tcW w:w="2408" w:type="pct"/>
            <w:tcBorders>
              <w:bottom w:val="single" w:sz="4" w:space="0" w:color="auto"/>
            </w:tcBorders>
            <w:shd w:val="clear" w:color="auto" w:fill="auto"/>
            <w:noWrap/>
            <w:vAlign w:val="center"/>
          </w:tcPr>
          <w:p w14:paraId="0EB6C2F2" w14:textId="77777777" w:rsidR="00CA1AB2" w:rsidRDefault="00CA1AB2" w:rsidP="00415D01">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Total acute toxicity costs per patient</w:t>
            </w:r>
          </w:p>
        </w:tc>
      </w:tr>
      <w:tr w:rsidR="00CA1AB2" w14:paraId="14A00408" w14:textId="77777777" w:rsidTr="00415D01">
        <w:trPr>
          <w:trHeight w:val="290"/>
        </w:trPr>
        <w:tc>
          <w:tcPr>
            <w:tcW w:w="2592" w:type="pct"/>
            <w:tcBorders>
              <w:top w:val="single" w:sz="4" w:space="0" w:color="auto"/>
            </w:tcBorders>
            <w:shd w:val="clear" w:color="auto" w:fill="auto"/>
            <w:vAlign w:val="bottom"/>
          </w:tcPr>
          <w:p w14:paraId="7878E44F" w14:textId="77777777" w:rsidR="00CA1AB2" w:rsidRPr="00E60765" w:rsidRDefault="00CA1AB2" w:rsidP="00415D01">
            <w:pPr>
              <w:spacing w:before="40" w:line="240" w:lineRule="auto"/>
              <w:rPr>
                <w:rFonts w:ascii="Arial Narrow" w:hAnsi="Arial Narrow" w:cs="Calibri"/>
                <w:color w:val="000000"/>
                <w:sz w:val="20"/>
                <w:szCs w:val="20"/>
              </w:rPr>
            </w:pPr>
            <w:r w:rsidRPr="00E60765">
              <w:rPr>
                <w:rFonts w:ascii="Arial Narrow" w:hAnsi="Arial Narrow" w:cs="Calibri"/>
                <w:color w:val="000000"/>
                <w:sz w:val="20"/>
                <w:szCs w:val="20"/>
              </w:rPr>
              <w:t>CBCT-IGRT</w:t>
            </w:r>
          </w:p>
        </w:tc>
        <w:tc>
          <w:tcPr>
            <w:tcW w:w="2408" w:type="pct"/>
            <w:tcBorders>
              <w:top w:val="single" w:sz="4" w:space="0" w:color="auto"/>
            </w:tcBorders>
            <w:shd w:val="clear" w:color="auto" w:fill="auto"/>
            <w:noWrap/>
            <w:vAlign w:val="center"/>
          </w:tcPr>
          <w:p w14:paraId="50DBA043" w14:textId="77777777" w:rsidR="00CA1AB2" w:rsidRPr="00E60765" w:rsidRDefault="00CA1AB2" w:rsidP="00415D01">
            <w:pPr>
              <w:spacing w:before="40" w:line="240" w:lineRule="auto"/>
              <w:jc w:val="center"/>
              <w:rPr>
                <w:rFonts w:ascii="Arial Narrow" w:hAnsi="Arial Narrow" w:cs="Calibri"/>
                <w:color w:val="000000"/>
                <w:sz w:val="20"/>
                <w:szCs w:val="20"/>
              </w:rPr>
            </w:pPr>
            <w:r w:rsidRPr="00E60765">
              <w:rPr>
                <w:rFonts w:ascii="Arial Narrow" w:hAnsi="Arial Narrow" w:cs="Calibri"/>
                <w:color w:val="000000"/>
                <w:sz w:val="20"/>
                <w:szCs w:val="20"/>
              </w:rPr>
              <w:t>$313.62</w:t>
            </w:r>
          </w:p>
        </w:tc>
      </w:tr>
      <w:tr w:rsidR="00CA1AB2" w14:paraId="53E2A018" w14:textId="77777777" w:rsidTr="00415D01">
        <w:trPr>
          <w:trHeight w:val="290"/>
        </w:trPr>
        <w:tc>
          <w:tcPr>
            <w:tcW w:w="2592" w:type="pct"/>
            <w:shd w:val="clear" w:color="auto" w:fill="auto"/>
            <w:vAlign w:val="bottom"/>
          </w:tcPr>
          <w:p w14:paraId="59C76AA4" w14:textId="77777777" w:rsidR="00CA1AB2" w:rsidRPr="00E60765" w:rsidRDefault="00CA1AB2" w:rsidP="00415D01">
            <w:pPr>
              <w:spacing w:before="40" w:line="240" w:lineRule="auto"/>
              <w:rPr>
                <w:rFonts w:ascii="Arial Narrow" w:hAnsi="Arial Narrow" w:cs="Calibri"/>
                <w:color w:val="000000"/>
                <w:sz w:val="20"/>
                <w:szCs w:val="20"/>
              </w:rPr>
            </w:pPr>
            <w:r w:rsidRPr="00E60765">
              <w:rPr>
                <w:rFonts w:ascii="Arial Narrow" w:hAnsi="Arial Narrow" w:cs="Calibri"/>
                <w:color w:val="000000"/>
                <w:sz w:val="20"/>
                <w:szCs w:val="20"/>
              </w:rPr>
              <w:t>MR-IGRT</w:t>
            </w:r>
          </w:p>
        </w:tc>
        <w:tc>
          <w:tcPr>
            <w:tcW w:w="2408" w:type="pct"/>
            <w:shd w:val="clear" w:color="auto" w:fill="auto"/>
            <w:noWrap/>
            <w:vAlign w:val="center"/>
          </w:tcPr>
          <w:p w14:paraId="5252F735" w14:textId="77777777" w:rsidR="00CA1AB2" w:rsidRPr="00E60765" w:rsidRDefault="00CA1AB2" w:rsidP="00415D01">
            <w:pPr>
              <w:spacing w:before="40" w:line="240" w:lineRule="auto"/>
              <w:jc w:val="center"/>
              <w:rPr>
                <w:rFonts w:ascii="Arial Narrow" w:hAnsi="Arial Narrow" w:cs="Calibri"/>
                <w:color w:val="000000"/>
                <w:sz w:val="20"/>
                <w:szCs w:val="20"/>
              </w:rPr>
            </w:pPr>
            <w:r w:rsidRPr="00E60765">
              <w:rPr>
                <w:rFonts w:ascii="Arial Narrow" w:hAnsi="Arial Narrow" w:cs="Calibri"/>
                <w:color w:val="000000"/>
                <w:sz w:val="20"/>
                <w:szCs w:val="20"/>
              </w:rPr>
              <w:t>$91.99</w:t>
            </w:r>
          </w:p>
        </w:tc>
      </w:tr>
      <w:tr w:rsidR="00CA1AB2" w14:paraId="1095506F" w14:textId="77777777" w:rsidTr="00415D01">
        <w:trPr>
          <w:trHeight w:val="290"/>
        </w:trPr>
        <w:tc>
          <w:tcPr>
            <w:tcW w:w="2592" w:type="pct"/>
            <w:shd w:val="clear" w:color="auto" w:fill="auto"/>
            <w:vAlign w:val="bottom"/>
          </w:tcPr>
          <w:p w14:paraId="38248B84" w14:textId="77777777" w:rsidR="00CA1AB2" w:rsidRDefault="00CA1AB2" w:rsidP="00415D01">
            <w:pPr>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Net difference</w:t>
            </w:r>
          </w:p>
        </w:tc>
        <w:tc>
          <w:tcPr>
            <w:tcW w:w="2408" w:type="pct"/>
            <w:shd w:val="clear" w:color="auto" w:fill="auto"/>
            <w:noWrap/>
            <w:vAlign w:val="center"/>
          </w:tcPr>
          <w:p w14:paraId="6D0915C6" w14:textId="77777777" w:rsidR="00CA1AB2" w:rsidRDefault="00CA1AB2" w:rsidP="00415D01">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 xml:space="preserve">$221.63 </w:t>
            </w:r>
          </w:p>
        </w:tc>
      </w:tr>
    </w:tbl>
    <w:p w14:paraId="4B3B5D68" w14:textId="115F2FA7" w:rsidR="00CA1AB2" w:rsidRPr="00AA1636" w:rsidRDefault="00CA1AB2" w:rsidP="009D6338">
      <w:pPr>
        <w:pStyle w:val="Tablenotes0"/>
      </w:pPr>
      <w:r w:rsidRPr="00AA1636">
        <w:t>Abbreviations: CBCT-IGRT=cone beam computer tomography image-guided radiation therapy, MR-IGRT=magnetic resonance image-guided radiation therapy</w:t>
      </w:r>
    </w:p>
    <w:p w14:paraId="0FCA04E8" w14:textId="1A1D5304" w:rsidR="00513FB8" w:rsidRDefault="00513FB8" w:rsidP="00183330">
      <w:pPr>
        <w:pStyle w:val="Caption"/>
        <w:spacing w:after="240" w:line="312" w:lineRule="auto"/>
        <w:rPr>
          <w:rFonts w:asciiTheme="minorHAnsi" w:hAnsiTheme="minorHAnsi" w:cstheme="minorHAnsi"/>
          <w:b w:val="0"/>
          <w:bCs w:val="0"/>
          <w:sz w:val="22"/>
        </w:rPr>
      </w:pPr>
      <w:r w:rsidRPr="00513FB8">
        <w:rPr>
          <w:rFonts w:asciiTheme="minorHAnsi" w:hAnsiTheme="minorHAnsi" w:cstheme="minorHAnsi"/>
          <w:b w:val="0"/>
          <w:bCs w:val="0"/>
          <w:sz w:val="22"/>
        </w:rPr>
        <w:t>Similarly, Table 72 summarises late toxicity costs, with MR-IGRT patients estimated to save $</w:t>
      </w:r>
      <w:r w:rsidR="00592BA9">
        <w:rPr>
          <w:rFonts w:asciiTheme="minorHAnsi" w:hAnsiTheme="minorHAnsi" w:cstheme="minorHAnsi"/>
          <w:b w:val="0"/>
          <w:bCs w:val="0"/>
          <w:sz w:val="22"/>
        </w:rPr>
        <w:t>566</w:t>
      </w:r>
      <w:r>
        <w:rPr>
          <w:rFonts w:asciiTheme="minorHAnsi" w:hAnsiTheme="minorHAnsi" w:cstheme="minorHAnsi"/>
          <w:b w:val="0"/>
          <w:bCs w:val="0"/>
          <w:sz w:val="22"/>
        </w:rPr>
        <w:t xml:space="preserve"> </w:t>
      </w:r>
      <w:r w:rsidRPr="00513FB8">
        <w:rPr>
          <w:rFonts w:asciiTheme="minorHAnsi" w:hAnsiTheme="minorHAnsi" w:cstheme="minorHAnsi"/>
          <w:b w:val="0"/>
          <w:bCs w:val="0"/>
          <w:sz w:val="22"/>
        </w:rPr>
        <w:t>relative to CBCT-IGRT patients.  In contrast to CBCT-IGRT, MR-IGRT is considered to have no ‘late’ (i.e., post-acute) toxicity costs.</w:t>
      </w:r>
    </w:p>
    <w:p w14:paraId="77C48013" w14:textId="5FA4922E" w:rsidR="00CA1AB2" w:rsidRDefault="00CA1AB2" w:rsidP="00183330">
      <w:pPr>
        <w:pStyle w:val="Caption"/>
        <w:keepNext/>
        <w:ind w:left="1130" w:hanging="1130"/>
      </w:pPr>
      <w:bookmarkStart w:id="698" w:name="_Toc89857944"/>
      <w:r>
        <w:t xml:space="preserve">Table </w:t>
      </w:r>
      <w:r w:rsidR="00211285">
        <w:fldChar w:fldCharType="begin"/>
      </w:r>
      <w:r w:rsidR="00211285">
        <w:instrText xml:space="preserve"> SEQ Table \* ARABIC </w:instrText>
      </w:r>
      <w:r w:rsidR="00211285">
        <w:fldChar w:fldCharType="separate"/>
      </w:r>
      <w:r w:rsidR="00451350">
        <w:rPr>
          <w:noProof/>
        </w:rPr>
        <w:t>73</w:t>
      </w:r>
      <w:r w:rsidR="00211285">
        <w:rPr>
          <w:noProof/>
        </w:rPr>
        <w:fldChar w:fldCharType="end"/>
      </w:r>
      <w:r>
        <w:tab/>
        <w:t>Estimated financial impact of treatment-related adverse events on the MBS: per patient late toxicity costs, prostate cancer only</w:t>
      </w:r>
      <w:bookmarkEnd w:id="698"/>
    </w:p>
    <w:tbl>
      <w:tblPr>
        <w:tblStyle w:val="TableGrid1"/>
        <w:tblW w:w="5000" w:type="pct"/>
        <w:tblLook w:val="04A0" w:firstRow="1" w:lastRow="0" w:firstColumn="1" w:lastColumn="0" w:noHBand="0" w:noVBand="1"/>
      </w:tblPr>
      <w:tblGrid>
        <w:gridCol w:w="4674"/>
        <w:gridCol w:w="4342"/>
      </w:tblGrid>
      <w:tr w:rsidR="00CA1AB2" w14:paraId="33B47A45" w14:textId="77777777" w:rsidTr="00415D01">
        <w:trPr>
          <w:cnfStyle w:val="100000000000" w:firstRow="1" w:lastRow="0" w:firstColumn="0" w:lastColumn="0" w:oddVBand="0" w:evenVBand="0" w:oddHBand="0" w:evenHBand="0" w:firstRowFirstColumn="0" w:firstRowLastColumn="0" w:lastRowFirstColumn="0" w:lastRowLastColumn="0"/>
          <w:trHeight w:val="290"/>
        </w:trPr>
        <w:tc>
          <w:tcPr>
            <w:tcW w:w="2592" w:type="pct"/>
            <w:tcBorders>
              <w:bottom w:val="single" w:sz="4" w:space="0" w:color="auto"/>
            </w:tcBorders>
            <w:shd w:val="clear" w:color="auto" w:fill="auto"/>
            <w:vAlign w:val="bottom"/>
          </w:tcPr>
          <w:p w14:paraId="487249E5" w14:textId="77777777" w:rsidR="00CA1AB2" w:rsidRDefault="00CA1AB2" w:rsidP="00183330">
            <w:pPr>
              <w:keepNext/>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Item</w:t>
            </w:r>
          </w:p>
        </w:tc>
        <w:tc>
          <w:tcPr>
            <w:tcW w:w="2408" w:type="pct"/>
            <w:tcBorders>
              <w:bottom w:val="single" w:sz="4" w:space="0" w:color="auto"/>
            </w:tcBorders>
            <w:shd w:val="clear" w:color="auto" w:fill="auto"/>
            <w:noWrap/>
            <w:vAlign w:val="center"/>
          </w:tcPr>
          <w:p w14:paraId="6389ACBB" w14:textId="77777777" w:rsidR="00CA1AB2" w:rsidRDefault="00CA1AB2" w:rsidP="00183330">
            <w:pPr>
              <w:keepNext/>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Total late costs per patient</w:t>
            </w:r>
          </w:p>
        </w:tc>
      </w:tr>
      <w:tr w:rsidR="00CA1AB2" w14:paraId="6AEB38FE" w14:textId="77777777" w:rsidTr="00415D01">
        <w:trPr>
          <w:trHeight w:val="290"/>
        </w:trPr>
        <w:tc>
          <w:tcPr>
            <w:tcW w:w="2592" w:type="pct"/>
            <w:tcBorders>
              <w:top w:val="single" w:sz="4" w:space="0" w:color="auto"/>
            </w:tcBorders>
            <w:shd w:val="clear" w:color="auto" w:fill="auto"/>
            <w:vAlign w:val="bottom"/>
          </w:tcPr>
          <w:p w14:paraId="2DC377F8" w14:textId="77777777" w:rsidR="00CA1AB2" w:rsidRPr="00E60765" w:rsidRDefault="00CA1AB2" w:rsidP="00183330">
            <w:pPr>
              <w:keepNext/>
              <w:spacing w:before="40" w:line="240" w:lineRule="auto"/>
              <w:rPr>
                <w:rFonts w:ascii="Arial Narrow" w:hAnsi="Arial Narrow" w:cs="Calibri"/>
                <w:color w:val="000000"/>
                <w:sz w:val="20"/>
                <w:szCs w:val="20"/>
              </w:rPr>
            </w:pPr>
            <w:r w:rsidRPr="00E60765">
              <w:rPr>
                <w:rFonts w:ascii="Arial Narrow" w:hAnsi="Arial Narrow" w:cs="Calibri"/>
                <w:color w:val="000000"/>
                <w:sz w:val="20"/>
                <w:szCs w:val="20"/>
              </w:rPr>
              <w:t>CBCT-IGRT</w:t>
            </w:r>
          </w:p>
        </w:tc>
        <w:tc>
          <w:tcPr>
            <w:tcW w:w="2408" w:type="pct"/>
            <w:tcBorders>
              <w:top w:val="single" w:sz="4" w:space="0" w:color="auto"/>
            </w:tcBorders>
            <w:shd w:val="clear" w:color="auto" w:fill="auto"/>
            <w:noWrap/>
            <w:vAlign w:val="center"/>
          </w:tcPr>
          <w:p w14:paraId="3EDE22D6" w14:textId="66AB502B" w:rsidR="00CA1AB2" w:rsidRPr="00E60765" w:rsidRDefault="00CA1AB2" w:rsidP="00183330">
            <w:pPr>
              <w:keepNext/>
              <w:spacing w:before="40" w:line="240" w:lineRule="auto"/>
              <w:jc w:val="center"/>
              <w:rPr>
                <w:rFonts w:ascii="Arial Narrow" w:hAnsi="Arial Narrow" w:cs="Calibri"/>
                <w:color w:val="000000"/>
                <w:sz w:val="20"/>
                <w:szCs w:val="20"/>
              </w:rPr>
            </w:pPr>
            <w:r w:rsidRPr="00E60765">
              <w:rPr>
                <w:rFonts w:ascii="Arial Narrow" w:hAnsi="Arial Narrow" w:cs="Calibri"/>
                <w:color w:val="000000"/>
                <w:sz w:val="20"/>
                <w:szCs w:val="20"/>
              </w:rPr>
              <w:t>$</w:t>
            </w:r>
            <w:r w:rsidR="000D5D5F">
              <w:rPr>
                <w:rFonts w:ascii="Arial Narrow" w:hAnsi="Arial Narrow" w:cs="Calibri"/>
                <w:color w:val="000000"/>
                <w:sz w:val="20"/>
                <w:szCs w:val="20"/>
              </w:rPr>
              <w:t>565.75</w:t>
            </w:r>
          </w:p>
        </w:tc>
      </w:tr>
      <w:tr w:rsidR="00CA1AB2" w14:paraId="66E21D2F" w14:textId="77777777" w:rsidTr="00415D01">
        <w:trPr>
          <w:trHeight w:val="290"/>
        </w:trPr>
        <w:tc>
          <w:tcPr>
            <w:tcW w:w="2592" w:type="pct"/>
            <w:shd w:val="clear" w:color="auto" w:fill="auto"/>
            <w:vAlign w:val="bottom"/>
          </w:tcPr>
          <w:p w14:paraId="5CF64C87" w14:textId="77777777" w:rsidR="00CA1AB2" w:rsidRPr="00E60765" w:rsidRDefault="00CA1AB2" w:rsidP="00415D01">
            <w:pPr>
              <w:spacing w:before="40" w:line="240" w:lineRule="auto"/>
              <w:rPr>
                <w:rFonts w:ascii="Arial Narrow" w:hAnsi="Arial Narrow" w:cs="Calibri"/>
                <w:color w:val="000000"/>
                <w:sz w:val="20"/>
                <w:szCs w:val="20"/>
              </w:rPr>
            </w:pPr>
            <w:r w:rsidRPr="00E60765">
              <w:rPr>
                <w:rFonts w:ascii="Arial Narrow" w:hAnsi="Arial Narrow" w:cs="Calibri"/>
                <w:color w:val="000000"/>
                <w:sz w:val="20"/>
                <w:szCs w:val="20"/>
              </w:rPr>
              <w:t>MR-IGRT</w:t>
            </w:r>
          </w:p>
        </w:tc>
        <w:tc>
          <w:tcPr>
            <w:tcW w:w="2408" w:type="pct"/>
            <w:shd w:val="clear" w:color="auto" w:fill="auto"/>
            <w:noWrap/>
            <w:vAlign w:val="center"/>
          </w:tcPr>
          <w:p w14:paraId="6FE2B261" w14:textId="77777777" w:rsidR="00CA1AB2" w:rsidRPr="00E60765" w:rsidRDefault="00CA1AB2" w:rsidP="00415D01">
            <w:pPr>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$0.00</w:t>
            </w:r>
          </w:p>
        </w:tc>
      </w:tr>
      <w:tr w:rsidR="00CA1AB2" w14:paraId="4BEF4C5E" w14:textId="77777777" w:rsidTr="00415D01">
        <w:trPr>
          <w:trHeight w:val="290"/>
        </w:trPr>
        <w:tc>
          <w:tcPr>
            <w:tcW w:w="2592" w:type="pct"/>
            <w:shd w:val="clear" w:color="auto" w:fill="auto"/>
            <w:vAlign w:val="bottom"/>
          </w:tcPr>
          <w:p w14:paraId="0B868E49" w14:textId="77777777" w:rsidR="00CA1AB2" w:rsidRDefault="00CA1AB2" w:rsidP="00415D01">
            <w:pPr>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Net difference</w:t>
            </w:r>
          </w:p>
        </w:tc>
        <w:tc>
          <w:tcPr>
            <w:tcW w:w="2408" w:type="pct"/>
            <w:shd w:val="clear" w:color="auto" w:fill="auto"/>
            <w:noWrap/>
            <w:vAlign w:val="center"/>
          </w:tcPr>
          <w:p w14:paraId="440D43D0" w14:textId="227BA8AC" w:rsidR="00CA1AB2" w:rsidRDefault="00CA1AB2" w:rsidP="00415D01">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w:t>
            </w:r>
            <w:r w:rsidR="00092982">
              <w:rPr>
                <w:rFonts w:ascii="Arial Narrow" w:hAnsi="Arial Narrow" w:cs="Calibri"/>
                <w:b/>
                <w:bCs/>
                <w:color w:val="000000"/>
                <w:sz w:val="20"/>
                <w:szCs w:val="20"/>
              </w:rPr>
              <w:t>565.75</w:t>
            </w:r>
            <w:r>
              <w:rPr>
                <w:rFonts w:ascii="Arial Narrow" w:hAnsi="Arial Narrow" w:cs="Calibri"/>
                <w:b/>
                <w:bCs/>
                <w:color w:val="000000"/>
                <w:sz w:val="20"/>
                <w:szCs w:val="20"/>
              </w:rPr>
              <w:t xml:space="preserve"> </w:t>
            </w:r>
          </w:p>
        </w:tc>
      </w:tr>
    </w:tbl>
    <w:p w14:paraId="365188C4" w14:textId="488AEBD4" w:rsidR="00CA1AB2" w:rsidRPr="00AA1636" w:rsidRDefault="00CA1AB2" w:rsidP="009D6338">
      <w:pPr>
        <w:pStyle w:val="Tablenotes0"/>
      </w:pPr>
      <w:r w:rsidRPr="00AA1636">
        <w:t>Abbreviations: CBCT-IGRT=cone beam computer tomography image-guided radiation therapy, MR-IGRT=magnetic resonance image-guided radiation therapy</w:t>
      </w:r>
    </w:p>
    <w:p w14:paraId="6038F01D" w14:textId="77777777" w:rsidR="00CA1AB2" w:rsidRPr="00AA1636" w:rsidRDefault="00CA1AB2" w:rsidP="00DD691F">
      <w:pPr>
        <w:widowControl w:val="0"/>
        <w:spacing w:before="0" w:after="0" w:line="240" w:lineRule="auto"/>
        <w:jc w:val="both"/>
        <w:rPr>
          <w:rFonts w:ascii="Arial Narrow" w:hAnsi="Arial Narrow"/>
          <w:sz w:val="16"/>
          <w:szCs w:val="16"/>
        </w:rPr>
      </w:pPr>
    </w:p>
    <w:p w14:paraId="2C2F03B4" w14:textId="77777777" w:rsidR="003C431B" w:rsidRPr="00183E4D" w:rsidRDefault="00C550C1" w:rsidP="006D66DC">
      <w:pPr>
        <w:pStyle w:val="Heading2"/>
        <w:numPr>
          <w:ilvl w:val="4"/>
          <w:numId w:val="10"/>
        </w:numPr>
      </w:pPr>
      <w:bookmarkStart w:id="699" w:name="_Toc379118302"/>
      <w:bookmarkStart w:id="700" w:name="_Toc381796485"/>
      <w:bookmarkStart w:id="701" w:name="_Toc59018818"/>
      <w:bookmarkStart w:id="702" w:name="_Toc59020362"/>
      <w:bookmarkStart w:id="703" w:name="_Toc59439584"/>
      <w:bookmarkStart w:id="704" w:name="_Toc89857856"/>
      <w:bookmarkEnd w:id="692"/>
      <w:r>
        <w:t>Financial I</w:t>
      </w:r>
      <w:r w:rsidR="003C431B" w:rsidRPr="00183E4D">
        <w:t>mplications</w:t>
      </w:r>
      <w:r w:rsidR="00991ED7">
        <w:t xml:space="preserve"> for</w:t>
      </w:r>
      <w:r w:rsidR="003C431B" w:rsidRPr="00183E4D">
        <w:t xml:space="preserve"> the MBS</w:t>
      </w:r>
      <w:bookmarkEnd w:id="699"/>
      <w:bookmarkEnd w:id="700"/>
      <w:bookmarkEnd w:id="701"/>
      <w:bookmarkEnd w:id="702"/>
      <w:bookmarkEnd w:id="703"/>
      <w:bookmarkEnd w:id="704"/>
      <w:r w:rsidR="003C431B" w:rsidRPr="00183E4D">
        <w:t xml:space="preserve"> </w:t>
      </w:r>
    </w:p>
    <w:p w14:paraId="28558067" w14:textId="72BE3E14" w:rsidR="003718C8" w:rsidRDefault="003718C8" w:rsidP="003718C8">
      <w:pPr>
        <w:jc w:val="both"/>
      </w:pPr>
      <w:bookmarkStart w:id="705" w:name="_Hlk58999419"/>
      <w:r w:rsidRPr="000915CA">
        <w:t xml:space="preserve">The financial implications to the MBS resulting from the proposed listing of </w:t>
      </w:r>
      <w:r>
        <w:t>MR-IGRT</w:t>
      </w:r>
      <w:r w:rsidRPr="000915CA">
        <w:t xml:space="preserve"> are summarised in </w:t>
      </w:r>
      <w:r>
        <w:rPr>
          <w:highlight w:val="cyan"/>
        </w:rPr>
        <w:fldChar w:fldCharType="begin"/>
      </w:r>
      <w:r>
        <w:instrText xml:space="preserve"> REF _Ref58943705 \h </w:instrText>
      </w:r>
      <w:r>
        <w:rPr>
          <w:highlight w:val="cyan"/>
        </w:rPr>
      </w:r>
      <w:r>
        <w:rPr>
          <w:highlight w:val="cyan"/>
        </w:rPr>
        <w:fldChar w:fldCharType="separate"/>
      </w:r>
      <w:r w:rsidR="00451350">
        <w:t xml:space="preserve">Table </w:t>
      </w:r>
      <w:r w:rsidR="00451350">
        <w:rPr>
          <w:noProof/>
        </w:rPr>
        <w:t>74</w:t>
      </w:r>
      <w:r>
        <w:fldChar w:fldCharType="end"/>
      </w:r>
      <w:r>
        <w:t>.  It is estimated that assuming MR-IGRT five fraction treatment course duration and a current estimated average CBCT-IGRT treatment course duration of 18 fractions, annual cost savings to the MBS will be $4,</w:t>
      </w:r>
      <w:r w:rsidR="00D71ED3">
        <w:t>079,473</w:t>
      </w:r>
      <w:r>
        <w:t xml:space="preserve"> in year one, increasing to $</w:t>
      </w:r>
      <w:r w:rsidR="00D71ED3">
        <w:t>24,930,114</w:t>
      </w:r>
      <w:r>
        <w:t xml:space="preserve"> by year three and remaining at that level thereafter. </w:t>
      </w:r>
      <w:r w:rsidR="00711A96">
        <w:t xml:space="preserve"> It should be noted that no additional courses of treatment are assumed, but that there is substitution of CBCT-IGRT treatment for MR-IGRT treatment.</w:t>
      </w:r>
    </w:p>
    <w:p w14:paraId="732BC2E3" w14:textId="60D8637A" w:rsidR="003718C8" w:rsidRDefault="003718C8" w:rsidP="000213A9">
      <w:pPr>
        <w:pStyle w:val="Caption"/>
        <w:keepNext/>
        <w:rPr>
          <w:noProof/>
        </w:rPr>
      </w:pPr>
      <w:bookmarkStart w:id="706" w:name="_Ref58943705"/>
      <w:bookmarkStart w:id="707" w:name="_Toc89857945"/>
      <w:r>
        <w:t xml:space="preserve">Table </w:t>
      </w:r>
      <w:r w:rsidR="00211285">
        <w:fldChar w:fldCharType="begin"/>
      </w:r>
      <w:r w:rsidR="00211285">
        <w:instrText xml:space="preserve"> SEQ Table \* ARABIC </w:instrText>
      </w:r>
      <w:r w:rsidR="00211285">
        <w:fldChar w:fldCharType="separate"/>
      </w:r>
      <w:r w:rsidR="00451350">
        <w:rPr>
          <w:noProof/>
        </w:rPr>
        <w:t>74</w:t>
      </w:r>
      <w:r w:rsidR="00211285">
        <w:rPr>
          <w:noProof/>
        </w:rPr>
        <w:fldChar w:fldCharType="end"/>
      </w:r>
      <w:bookmarkEnd w:id="706"/>
      <w:r>
        <w:tab/>
      </w:r>
      <w:r>
        <w:rPr>
          <w:noProof/>
        </w:rPr>
        <w:t>Net MBS financial impact of MR-IGRT listing</w:t>
      </w:r>
      <w:bookmarkEnd w:id="707"/>
    </w:p>
    <w:tbl>
      <w:tblPr>
        <w:tblStyle w:val="TableGrid1"/>
        <w:tblW w:w="5000" w:type="pct"/>
        <w:tblLook w:val="04A0" w:firstRow="1" w:lastRow="0" w:firstColumn="1" w:lastColumn="0" w:noHBand="0" w:noVBand="1"/>
        <w:tblCaption w:val="Table 6 Net MBS financial impact of MR-IGRT listing"/>
        <w:tblDescription w:val="This table describes the net MBS financial impact of MR-IGRT listing."/>
      </w:tblPr>
      <w:tblGrid>
        <w:gridCol w:w="2760"/>
        <w:gridCol w:w="1125"/>
        <w:gridCol w:w="1250"/>
        <w:gridCol w:w="1183"/>
        <w:gridCol w:w="1183"/>
        <w:gridCol w:w="1515"/>
      </w:tblGrid>
      <w:tr w:rsidR="00A9013B" w:rsidRPr="004C2C35" w14:paraId="2E49B077" w14:textId="77777777" w:rsidTr="00415D01">
        <w:trPr>
          <w:cnfStyle w:val="100000000000" w:firstRow="1" w:lastRow="0" w:firstColumn="0" w:lastColumn="0" w:oddVBand="0" w:evenVBand="0" w:oddHBand="0" w:evenHBand="0" w:firstRowFirstColumn="0" w:firstRowLastColumn="0" w:lastRowFirstColumn="0" w:lastRowLastColumn="0"/>
          <w:trHeight w:val="290"/>
          <w:tblHeader/>
        </w:trPr>
        <w:tc>
          <w:tcPr>
            <w:tcW w:w="1531" w:type="pct"/>
            <w:tcBorders>
              <w:bottom w:val="single" w:sz="4" w:space="0" w:color="auto"/>
            </w:tcBorders>
            <w:shd w:val="clear" w:color="auto" w:fill="auto"/>
            <w:vAlign w:val="center"/>
            <w:hideMark/>
          </w:tcPr>
          <w:p w14:paraId="3AA4F08D" w14:textId="77777777" w:rsidR="00A9013B" w:rsidRPr="00EB75E1" w:rsidRDefault="00A9013B" w:rsidP="000213A9">
            <w:pPr>
              <w:pStyle w:val="Tabletext1"/>
              <w:keepNext/>
              <w:rPr>
                <w:b/>
                <w:bCs/>
              </w:rPr>
            </w:pPr>
            <w:r w:rsidRPr="00EB75E1">
              <w:rPr>
                <w:b/>
                <w:bCs/>
              </w:rPr>
              <w:t>Item</w:t>
            </w:r>
          </w:p>
        </w:tc>
        <w:tc>
          <w:tcPr>
            <w:tcW w:w="624" w:type="pct"/>
            <w:tcBorders>
              <w:bottom w:val="single" w:sz="4" w:space="0" w:color="auto"/>
            </w:tcBorders>
            <w:shd w:val="clear" w:color="auto" w:fill="auto"/>
            <w:vAlign w:val="center"/>
            <w:hideMark/>
          </w:tcPr>
          <w:p w14:paraId="64AD1B53" w14:textId="77777777" w:rsidR="00A9013B" w:rsidRPr="00EB75E1" w:rsidRDefault="00A9013B" w:rsidP="000213A9">
            <w:pPr>
              <w:pStyle w:val="Tabletext1"/>
              <w:keepNext/>
              <w:jc w:val="center"/>
              <w:rPr>
                <w:b/>
                <w:bCs/>
              </w:rPr>
            </w:pPr>
            <w:r w:rsidRPr="00EB75E1">
              <w:rPr>
                <w:b/>
                <w:bCs/>
              </w:rPr>
              <w:t>2021</w:t>
            </w:r>
          </w:p>
        </w:tc>
        <w:tc>
          <w:tcPr>
            <w:tcW w:w="693" w:type="pct"/>
            <w:tcBorders>
              <w:bottom w:val="single" w:sz="4" w:space="0" w:color="auto"/>
            </w:tcBorders>
            <w:shd w:val="clear" w:color="auto" w:fill="auto"/>
            <w:vAlign w:val="center"/>
            <w:hideMark/>
          </w:tcPr>
          <w:p w14:paraId="5FFE31A4" w14:textId="77777777" w:rsidR="00A9013B" w:rsidRPr="00EB75E1" w:rsidRDefault="00A9013B" w:rsidP="000213A9">
            <w:pPr>
              <w:pStyle w:val="Tabletext1"/>
              <w:keepNext/>
              <w:jc w:val="center"/>
              <w:rPr>
                <w:b/>
                <w:bCs/>
              </w:rPr>
            </w:pPr>
            <w:r w:rsidRPr="00EB75E1">
              <w:rPr>
                <w:b/>
                <w:bCs/>
              </w:rPr>
              <w:t>2022</w:t>
            </w:r>
          </w:p>
        </w:tc>
        <w:tc>
          <w:tcPr>
            <w:tcW w:w="656" w:type="pct"/>
            <w:tcBorders>
              <w:bottom w:val="single" w:sz="4" w:space="0" w:color="auto"/>
            </w:tcBorders>
            <w:shd w:val="clear" w:color="auto" w:fill="auto"/>
            <w:vAlign w:val="center"/>
            <w:hideMark/>
          </w:tcPr>
          <w:p w14:paraId="35C34F66" w14:textId="77777777" w:rsidR="00A9013B" w:rsidRPr="00EB75E1" w:rsidRDefault="00A9013B" w:rsidP="000213A9">
            <w:pPr>
              <w:pStyle w:val="Tabletext1"/>
              <w:keepNext/>
              <w:jc w:val="center"/>
              <w:rPr>
                <w:b/>
                <w:bCs/>
              </w:rPr>
            </w:pPr>
            <w:r w:rsidRPr="00EB75E1">
              <w:rPr>
                <w:b/>
                <w:bCs/>
              </w:rPr>
              <w:t>2023</w:t>
            </w:r>
          </w:p>
        </w:tc>
        <w:tc>
          <w:tcPr>
            <w:tcW w:w="656" w:type="pct"/>
            <w:tcBorders>
              <w:bottom w:val="single" w:sz="4" w:space="0" w:color="auto"/>
            </w:tcBorders>
            <w:shd w:val="clear" w:color="auto" w:fill="auto"/>
            <w:vAlign w:val="center"/>
            <w:hideMark/>
          </w:tcPr>
          <w:p w14:paraId="20C9C855" w14:textId="77777777" w:rsidR="00A9013B" w:rsidRPr="00EB75E1" w:rsidRDefault="00A9013B" w:rsidP="000213A9">
            <w:pPr>
              <w:pStyle w:val="Tabletext1"/>
              <w:keepNext/>
              <w:jc w:val="center"/>
              <w:rPr>
                <w:b/>
                <w:bCs/>
              </w:rPr>
            </w:pPr>
            <w:r w:rsidRPr="00EB75E1">
              <w:rPr>
                <w:b/>
                <w:bCs/>
              </w:rPr>
              <w:t>2024</w:t>
            </w:r>
          </w:p>
        </w:tc>
        <w:tc>
          <w:tcPr>
            <w:tcW w:w="840" w:type="pct"/>
            <w:tcBorders>
              <w:bottom w:val="single" w:sz="4" w:space="0" w:color="auto"/>
            </w:tcBorders>
            <w:shd w:val="clear" w:color="auto" w:fill="auto"/>
            <w:vAlign w:val="center"/>
            <w:hideMark/>
          </w:tcPr>
          <w:p w14:paraId="78173B45" w14:textId="77777777" w:rsidR="00A9013B" w:rsidRPr="00EB75E1" w:rsidRDefault="00A9013B" w:rsidP="000213A9">
            <w:pPr>
              <w:pStyle w:val="Tabletext1"/>
              <w:keepNext/>
              <w:jc w:val="center"/>
              <w:rPr>
                <w:b/>
                <w:bCs/>
              </w:rPr>
            </w:pPr>
            <w:r w:rsidRPr="00EB75E1">
              <w:rPr>
                <w:b/>
                <w:bCs/>
              </w:rPr>
              <w:t>2025</w:t>
            </w:r>
          </w:p>
        </w:tc>
      </w:tr>
      <w:tr w:rsidR="00A9013B" w:rsidRPr="004C2C35" w14:paraId="46DE0B50" w14:textId="77777777" w:rsidTr="00415D01">
        <w:trPr>
          <w:trHeight w:val="290"/>
        </w:trPr>
        <w:tc>
          <w:tcPr>
            <w:tcW w:w="1531" w:type="pct"/>
            <w:tcBorders>
              <w:top w:val="single" w:sz="4" w:space="0" w:color="auto"/>
              <w:left w:val="single" w:sz="4" w:space="0" w:color="auto"/>
              <w:bottom w:val="single" w:sz="4" w:space="0" w:color="auto"/>
              <w:right w:val="nil"/>
            </w:tcBorders>
            <w:shd w:val="clear" w:color="auto" w:fill="auto"/>
            <w:noWrap/>
            <w:vAlign w:val="center"/>
            <w:hideMark/>
          </w:tcPr>
          <w:p w14:paraId="5C039C5F" w14:textId="77777777" w:rsidR="00A9013B" w:rsidRPr="004C2C35" w:rsidRDefault="00A9013B" w:rsidP="000213A9">
            <w:pPr>
              <w:pStyle w:val="Tabletext1"/>
              <w:keepNext/>
            </w:pPr>
            <w:r w:rsidRPr="004C2C35">
              <w:t>Estimated utilisation impact</w:t>
            </w:r>
          </w:p>
        </w:tc>
        <w:tc>
          <w:tcPr>
            <w:tcW w:w="624" w:type="pct"/>
            <w:tcBorders>
              <w:top w:val="single" w:sz="4" w:space="0" w:color="auto"/>
              <w:left w:val="nil"/>
              <w:bottom w:val="single" w:sz="4" w:space="0" w:color="auto"/>
              <w:right w:val="nil"/>
            </w:tcBorders>
            <w:shd w:val="clear" w:color="auto" w:fill="auto"/>
            <w:noWrap/>
            <w:vAlign w:val="center"/>
            <w:hideMark/>
          </w:tcPr>
          <w:p w14:paraId="1192CBDF" w14:textId="77777777" w:rsidR="00A9013B" w:rsidRPr="004C2C35" w:rsidRDefault="00A9013B" w:rsidP="000213A9">
            <w:pPr>
              <w:pStyle w:val="Tabletext1"/>
              <w:keepNext/>
              <w:jc w:val="center"/>
            </w:pPr>
          </w:p>
        </w:tc>
        <w:tc>
          <w:tcPr>
            <w:tcW w:w="693" w:type="pct"/>
            <w:tcBorders>
              <w:top w:val="single" w:sz="4" w:space="0" w:color="auto"/>
              <w:left w:val="nil"/>
              <w:bottom w:val="single" w:sz="4" w:space="0" w:color="auto"/>
              <w:right w:val="nil"/>
            </w:tcBorders>
            <w:shd w:val="clear" w:color="auto" w:fill="auto"/>
            <w:vAlign w:val="center"/>
            <w:hideMark/>
          </w:tcPr>
          <w:p w14:paraId="47A3D7F1" w14:textId="77777777" w:rsidR="00A9013B" w:rsidRPr="004C2C35" w:rsidRDefault="00A9013B" w:rsidP="000213A9">
            <w:pPr>
              <w:pStyle w:val="Tabletext1"/>
              <w:keepNext/>
              <w:jc w:val="center"/>
            </w:pPr>
          </w:p>
        </w:tc>
        <w:tc>
          <w:tcPr>
            <w:tcW w:w="656" w:type="pct"/>
            <w:tcBorders>
              <w:top w:val="single" w:sz="4" w:space="0" w:color="auto"/>
              <w:left w:val="nil"/>
              <w:bottom w:val="single" w:sz="4" w:space="0" w:color="auto"/>
              <w:right w:val="nil"/>
            </w:tcBorders>
            <w:shd w:val="clear" w:color="auto" w:fill="auto"/>
            <w:vAlign w:val="center"/>
            <w:hideMark/>
          </w:tcPr>
          <w:p w14:paraId="73A01FA6" w14:textId="77777777" w:rsidR="00A9013B" w:rsidRPr="004C2C35" w:rsidRDefault="00A9013B" w:rsidP="000213A9">
            <w:pPr>
              <w:pStyle w:val="Tabletext1"/>
              <w:keepNext/>
              <w:jc w:val="center"/>
            </w:pPr>
          </w:p>
        </w:tc>
        <w:tc>
          <w:tcPr>
            <w:tcW w:w="656" w:type="pct"/>
            <w:tcBorders>
              <w:top w:val="single" w:sz="4" w:space="0" w:color="auto"/>
              <w:left w:val="nil"/>
              <w:bottom w:val="single" w:sz="4" w:space="0" w:color="auto"/>
              <w:right w:val="nil"/>
            </w:tcBorders>
            <w:shd w:val="clear" w:color="auto" w:fill="auto"/>
            <w:vAlign w:val="center"/>
            <w:hideMark/>
          </w:tcPr>
          <w:p w14:paraId="60EB211C" w14:textId="77777777" w:rsidR="00A9013B" w:rsidRPr="004C2C35" w:rsidRDefault="00A9013B" w:rsidP="000213A9">
            <w:pPr>
              <w:pStyle w:val="Tabletext1"/>
              <w:keepNext/>
              <w:jc w:val="center"/>
            </w:pP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3762081D" w14:textId="77777777" w:rsidR="00A9013B" w:rsidRPr="004C2C35" w:rsidRDefault="00A9013B" w:rsidP="000213A9">
            <w:pPr>
              <w:pStyle w:val="Tabletext1"/>
              <w:keepNext/>
              <w:jc w:val="center"/>
            </w:pPr>
          </w:p>
        </w:tc>
      </w:tr>
      <w:tr w:rsidR="00A9013B" w:rsidRPr="004C2C35" w14:paraId="584981F0" w14:textId="77777777" w:rsidTr="00415D01">
        <w:trPr>
          <w:trHeight w:val="290"/>
        </w:trPr>
        <w:tc>
          <w:tcPr>
            <w:tcW w:w="1531" w:type="pct"/>
            <w:tcBorders>
              <w:top w:val="single" w:sz="4" w:space="0" w:color="auto"/>
            </w:tcBorders>
            <w:shd w:val="clear" w:color="auto" w:fill="auto"/>
            <w:vAlign w:val="center"/>
            <w:hideMark/>
          </w:tcPr>
          <w:p w14:paraId="4F64E08A" w14:textId="77777777" w:rsidR="00A9013B" w:rsidRPr="001561B3" w:rsidRDefault="00A9013B" w:rsidP="000213A9">
            <w:pPr>
              <w:pStyle w:val="Tabletext1"/>
              <w:keepNext/>
              <w:rPr>
                <w:vertAlign w:val="superscript"/>
              </w:rPr>
            </w:pPr>
            <w:r>
              <w:t>Incremental n</w:t>
            </w:r>
            <w:r w:rsidRPr="00183E4D">
              <w:t>umber of services</w:t>
            </w:r>
            <w:r>
              <w:t xml:space="preserve"> (courses of therapy)</w:t>
            </w:r>
            <w:r>
              <w:rPr>
                <w:vertAlign w:val="superscript"/>
              </w:rPr>
              <w:t>1</w:t>
            </w:r>
          </w:p>
        </w:tc>
        <w:tc>
          <w:tcPr>
            <w:tcW w:w="624" w:type="pct"/>
            <w:tcBorders>
              <w:top w:val="single" w:sz="4" w:space="0" w:color="auto"/>
            </w:tcBorders>
            <w:shd w:val="clear" w:color="auto" w:fill="auto"/>
            <w:vAlign w:val="center"/>
            <w:hideMark/>
          </w:tcPr>
          <w:p w14:paraId="6C06FE39" w14:textId="77777777" w:rsidR="00A9013B" w:rsidRPr="004C2C35" w:rsidRDefault="00A9013B" w:rsidP="000213A9">
            <w:pPr>
              <w:pStyle w:val="Tabletext1"/>
              <w:keepNext/>
              <w:jc w:val="center"/>
            </w:pPr>
            <w:r>
              <w:t>0</w:t>
            </w:r>
          </w:p>
        </w:tc>
        <w:tc>
          <w:tcPr>
            <w:tcW w:w="693" w:type="pct"/>
            <w:tcBorders>
              <w:top w:val="single" w:sz="4" w:space="0" w:color="auto"/>
            </w:tcBorders>
            <w:shd w:val="clear" w:color="auto" w:fill="auto"/>
            <w:vAlign w:val="center"/>
            <w:hideMark/>
          </w:tcPr>
          <w:p w14:paraId="6353C6B8" w14:textId="77777777" w:rsidR="00A9013B" w:rsidRPr="004C2C35" w:rsidRDefault="00A9013B" w:rsidP="000213A9">
            <w:pPr>
              <w:pStyle w:val="Tabletext1"/>
              <w:keepNext/>
              <w:jc w:val="center"/>
            </w:pPr>
            <w:r>
              <w:t>0</w:t>
            </w:r>
          </w:p>
        </w:tc>
        <w:tc>
          <w:tcPr>
            <w:tcW w:w="656" w:type="pct"/>
            <w:tcBorders>
              <w:top w:val="single" w:sz="4" w:space="0" w:color="auto"/>
            </w:tcBorders>
            <w:shd w:val="clear" w:color="auto" w:fill="auto"/>
            <w:vAlign w:val="center"/>
            <w:hideMark/>
          </w:tcPr>
          <w:p w14:paraId="1FFB5DFB" w14:textId="77777777" w:rsidR="00A9013B" w:rsidRPr="004C2C35" w:rsidRDefault="00A9013B" w:rsidP="000213A9">
            <w:pPr>
              <w:pStyle w:val="Tabletext1"/>
              <w:keepNext/>
              <w:jc w:val="center"/>
            </w:pPr>
            <w:r>
              <w:t>0</w:t>
            </w:r>
          </w:p>
        </w:tc>
        <w:tc>
          <w:tcPr>
            <w:tcW w:w="656" w:type="pct"/>
            <w:tcBorders>
              <w:top w:val="single" w:sz="4" w:space="0" w:color="auto"/>
            </w:tcBorders>
            <w:shd w:val="clear" w:color="auto" w:fill="auto"/>
            <w:vAlign w:val="center"/>
            <w:hideMark/>
          </w:tcPr>
          <w:p w14:paraId="0951378F" w14:textId="77777777" w:rsidR="00A9013B" w:rsidRPr="004C2C35" w:rsidRDefault="00A9013B" w:rsidP="000213A9">
            <w:pPr>
              <w:pStyle w:val="Tabletext1"/>
              <w:keepNext/>
              <w:jc w:val="center"/>
            </w:pPr>
            <w:r>
              <w:t>0</w:t>
            </w:r>
          </w:p>
        </w:tc>
        <w:tc>
          <w:tcPr>
            <w:tcW w:w="840" w:type="pct"/>
            <w:tcBorders>
              <w:top w:val="single" w:sz="4" w:space="0" w:color="auto"/>
            </w:tcBorders>
            <w:shd w:val="clear" w:color="auto" w:fill="auto"/>
            <w:vAlign w:val="center"/>
            <w:hideMark/>
          </w:tcPr>
          <w:p w14:paraId="0BCD2678" w14:textId="77777777" w:rsidR="00A9013B" w:rsidRPr="004C2C35" w:rsidRDefault="00A9013B" w:rsidP="000213A9">
            <w:pPr>
              <w:pStyle w:val="Tabletext1"/>
              <w:keepNext/>
              <w:jc w:val="center"/>
            </w:pPr>
            <w:r>
              <w:t>0</w:t>
            </w:r>
          </w:p>
        </w:tc>
      </w:tr>
      <w:tr w:rsidR="00A9013B" w:rsidRPr="004C2C35" w14:paraId="3F8AE5E2" w14:textId="77777777" w:rsidTr="00415D01">
        <w:trPr>
          <w:trHeight w:val="290"/>
        </w:trPr>
        <w:tc>
          <w:tcPr>
            <w:tcW w:w="1531" w:type="pct"/>
            <w:shd w:val="clear" w:color="auto" w:fill="auto"/>
            <w:vAlign w:val="center"/>
          </w:tcPr>
          <w:p w14:paraId="170AC4CF" w14:textId="02DC87BA" w:rsidR="00A9013B" w:rsidRPr="001561B3" w:rsidRDefault="00A9013B" w:rsidP="00415D01">
            <w:pPr>
              <w:pStyle w:val="Tabletext1"/>
              <w:rPr>
                <w:vertAlign w:val="superscript"/>
              </w:rPr>
            </w:pPr>
            <w:r>
              <w:t>Number of services</w:t>
            </w:r>
            <w:r w:rsidR="00711A96">
              <w:t xml:space="preserve"> substituted</w:t>
            </w:r>
            <w:r>
              <w:t xml:space="preserve"> (courses of therapy)</w:t>
            </w:r>
            <w:r>
              <w:rPr>
                <w:vertAlign w:val="superscript"/>
              </w:rPr>
              <w:t>1</w:t>
            </w:r>
          </w:p>
        </w:tc>
        <w:tc>
          <w:tcPr>
            <w:tcW w:w="624" w:type="pct"/>
            <w:shd w:val="clear" w:color="auto" w:fill="auto"/>
            <w:vAlign w:val="center"/>
          </w:tcPr>
          <w:p w14:paraId="132CECE7" w14:textId="77777777" w:rsidR="00A9013B" w:rsidRDefault="00A9013B" w:rsidP="00415D01">
            <w:pPr>
              <w:pStyle w:val="Tabletext1"/>
              <w:jc w:val="center"/>
            </w:pPr>
            <w:r>
              <w:rPr>
                <w:rFonts w:cs="Calibri"/>
                <w:color w:val="000000"/>
              </w:rPr>
              <w:t>1,656</w:t>
            </w:r>
          </w:p>
        </w:tc>
        <w:tc>
          <w:tcPr>
            <w:tcW w:w="693" w:type="pct"/>
            <w:shd w:val="clear" w:color="auto" w:fill="auto"/>
            <w:vAlign w:val="center"/>
          </w:tcPr>
          <w:p w14:paraId="3D891A22" w14:textId="77777777" w:rsidR="00A9013B" w:rsidRDefault="00A9013B" w:rsidP="00415D01">
            <w:pPr>
              <w:pStyle w:val="Tabletext1"/>
              <w:jc w:val="center"/>
            </w:pPr>
            <w:r>
              <w:rPr>
                <w:rFonts w:cs="Calibri"/>
                <w:color w:val="000000"/>
              </w:rPr>
              <w:t>3,312</w:t>
            </w:r>
          </w:p>
        </w:tc>
        <w:tc>
          <w:tcPr>
            <w:tcW w:w="656" w:type="pct"/>
            <w:shd w:val="clear" w:color="auto" w:fill="auto"/>
            <w:vAlign w:val="center"/>
          </w:tcPr>
          <w:p w14:paraId="4FBC5761" w14:textId="77777777" w:rsidR="00A9013B" w:rsidRDefault="00A9013B" w:rsidP="00415D01">
            <w:pPr>
              <w:pStyle w:val="Tabletext1"/>
              <w:jc w:val="center"/>
            </w:pPr>
            <w:r>
              <w:rPr>
                <w:rFonts w:cs="Calibri"/>
                <w:color w:val="000000"/>
              </w:rPr>
              <w:t>10,120</w:t>
            </w:r>
          </w:p>
        </w:tc>
        <w:tc>
          <w:tcPr>
            <w:tcW w:w="656" w:type="pct"/>
            <w:shd w:val="clear" w:color="auto" w:fill="auto"/>
            <w:vAlign w:val="center"/>
          </w:tcPr>
          <w:p w14:paraId="0770F397" w14:textId="77777777" w:rsidR="00A9013B" w:rsidRDefault="00A9013B" w:rsidP="00415D01">
            <w:pPr>
              <w:pStyle w:val="Tabletext1"/>
              <w:jc w:val="center"/>
            </w:pPr>
            <w:r>
              <w:rPr>
                <w:rFonts w:cs="Calibri"/>
                <w:color w:val="000000"/>
              </w:rPr>
              <w:t>10,120</w:t>
            </w:r>
          </w:p>
        </w:tc>
        <w:tc>
          <w:tcPr>
            <w:tcW w:w="840" w:type="pct"/>
            <w:shd w:val="clear" w:color="auto" w:fill="auto"/>
            <w:vAlign w:val="center"/>
          </w:tcPr>
          <w:p w14:paraId="133DA90C" w14:textId="77777777" w:rsidR="00A9013B" w:rsidRDefault="00A9013B" w:rsidP="00415D01">
            <w:pPr>
              <w:pStyle w:val="Tabletext1"/>
              <w:jc w:val="center"/>
            </w:pPr>
            <w:r>
              <w:rPr>
                <w:rFonts w:cs="Calibri"/>
                <w:color w:val="000000"/>
              </w:rPr>
              <w:t>10,120</w:t>
            </w:r>
          </w:p>
        </w:tc>
      </w:tr>
      <w:tr w:rsidR="00A9013B" w:rsidRPr="004C2C35" w14:paraId="38CE71E2" w14:textId="77777777" w:rsidTr="00415D01">
        <w:trPr>
          <w:trHeight w:val="290"/>
        </w:trPr>
        <w:tc>
          <w:tcPr>
            <w:tcW w:w="1531" w:type="pct"/>
            <w:shd w:val="clear" w:color="auto" w:fill="auto"/>
            <w:vAlign w:val="center"/>
            <w:hideMark/>
          </w:tcPr>
          <w:p w14:paraId="4EA1F59A" w14:textId="77777777" w:rsidR="00A9013B" w:rsidRPr="001561B3" w:rsidRDefault="00A9013B" w:rsidP="00415D01">
            <w:pPr>
              <w:pStyle w:val="Tabletext1"/>
              <w:rPr>
                <w:vertAlign w:val="superscript"/>
              </w:rPr>
            </w:pPr>
            <w:r w:rsidRPr="004C2C35">
              <w:lastRenderedPageBreak/>
              <w:t>MBS item 15565</w:t>
            </w:r>
            <w:r>
              <w:t xml:space="preserve"> (planning)</w:t>
            </w:r>
            <w:r>
              <w:rPr>
                <w:vertAlign w:val="superscript"/>
              </w:rPr>
              <w:t>1</w:t>
            </w:r>
          </w:p>
        </w:tc>
        <w:tc>
          <w:tcPr>
            <w:tcW w:w="624" w:type="pct"/>
            <w:shd w:val="clear" w:color="auto" w:fill="auto"/>
            <w:vAlign w:val="center"/>
            <w:hideMark/>
          </w:tcPr>
          <w:p w14:paraId="3658015E" w14:textId="77777777" w:rsidR="00A9013B" w:rsidRPr="004C2C35" w:rsidRDefault="00A9013B" w:rsidP="00415D01">
            <w:pPr>
              <w:pStyle w:val="Tabletext1"/>
              <w:jc w:val="center"/>
            </w:pPr>
            <w:r>
              <w:t>0</w:t>
            </w:r>
          </w:p>
        </w:tc>
        <w:tc>
          <w:tcPr>
            <w:tcW w:w="693" w:type="pct"/>
            <w:shd w:val="clear" w:color="auto" w:fill="auto"/>
            <w:vAlign w:val="center"/>
            <w:hideMark/>
          </w:tcPr>
          <w:p w14:paraId="6939469E" w14:textId="77777777" w:rsidR="00A9013B" w:rsidRPr="004C2C35" w:rsidRDefault="00A9013B" w:rsidP="00415D01">
            <w:pPr>
              <w:pStyle w:val="Tabletext1"/>
              <w:jc w:val="center"/>
            </w:pPr>
            <w:r>
              <w:t>0</w:t>
            </w:r>
          </w:p>
        </w:tc>
        <w:tc>
          <w:tcPr>
            <w:tcW w:w="656" w:type="pct"/>
            <w:shd w:val="clear" w:color="auto" w:fill="auto"/>
            <w:vAlign w:val="center"/>
            <w:hideMark/>
          </w:tcPr>
          <w:p w14:paraId="55570293" w14:textId="77777777" w:rsidR="00A9013B" w:rsidRPr="004C2C35" w:rsidRDefault="00A9013B" w:rsidP="00415D01">
            <w:pPr>
              <w:pStyle w:val="Tabletext1"/>
              <w:jc w:val="center"/>
            </w:pPr>
            <w:r>
              <w:t>0</w:t>
            </w:r>
          </w:p>
        </w:tc>
        <w:tc>
          <w:tcPr>
            <w:tcW w:w="656" w:type="pct"/>
            <w:shd w:val="clear" w:color="auto" w:fill="auto"/>
            <w:vAlign w:val="center"/>
            <w:hideMark/>
          </w:tcPr>
          <w:p w14:paraId="060A9FD1" w14:textId="77777777" w:rsidR="00A9013B" w:rsidRPr="004C2C35" w:rsidRDefault="00A9013B" w:rsidP="00415D01">
            <w:pPr>
              <w:pStyle w:val="Tabletext1"/>
              <w:jc w:val="center"/>
            </w:pPr>
            <w:r>
              <w:t>0</w:t>
            </w:r>
          </w:p>
        </w:tc>
        <w:tc>
          <w:tcPr>
            <w:tcW w:w="840" w:type="pct"/>
            <w:shd w:val="clear" w:color="auto" w:fill="auto"/>
            <w:vAlign w:val="center"/>
            <w:hideMark/>
          </w:tcPr>
          <w:p w14:paraId="60A1C34E" w14:textId="77777777" w:rsidR="00A9013B" w:rsidRPr="004C2C35" w:rsidRDefault="00A9013B" w:rsidP="00415D01">
            <w:pPr>
              <w:pStyle w:val="Tabletext1"/>
              <w:jc w:val="center"/>
            </w:pPr>
            <w:r>
              <w:t>0</w:t>
            </w:r>
          </w:p>
        </w:tc>
      </w:tr>
      <w:tr w:rsidR="00A9013B" w:rsidRPr="004C2C35" w14:paraId="6102AAF3" w14:textId="77777777" w:rsidTr="00415D01">
        <w:trPr>
          <w:trHeight w:val="290"/>
        </w:trPr>
        <w:tc>
          <w:tcPr>
            <w:tcW w:w="1531" w:type="pct"/>
            <w:shd w:val="clear" w:color="auto" w:fill="auto"/>
            <w:vAlign w:val="center"/>
            <w:hideMark/>
          </w:tcPr>
          <w:p w14:paraId="62F3D02E" w14:textId="77777777" w:rsidR="00A9013B" w:rsidRPr="001561B3" w:rsidRDefault="00A9013B" w:rsidP="00415D01">
            <w:pPr>
              <w:pStyle w:val="Tabletext1"/>
              <w:rPr>
                <w:vertAlign w:val="superscript"/>
              </w:rPr>
            </w:pPr>
            <w:r w:rsidRPr="004C2C35">
              <w:t>MBS item 15555 (simulation)</w:t>
            </w:r>
            <w:r>
              <w:rPr>
                <w:vertAlign w:val="superscript"/>
              </w:rPr>
              <w:t>1</w:t>
            </w:r>
          </w:p>
        </w:tc>
        <w:tc>
          <w:tcPr>
            <w:tcW w:w="624" w:type="pct"/>
            <w:shd w:val="clear" w:color="auto" w:fill="auto"/>
            <w:vAlign w:val="center"/>
            <w:hideMark/>
          </w:tcPr>
          <w:p w14:paraId="3E864FD3" w14:textId="77777777" w:rsidR="00A9013B" w:rsidRPr="004C2C35" w:rsidRDefault="00A9013B" w:rsidP="00415D01">
            <w:pPr>
              <w:pStyle w:val="Tabletext1"/>
              <w:jc w:val="center"/>
            </w:pPr>
            <w:r>
              <w:t>0</w:t>
            </w:r>
          </w:p>
        </w:tc>
        <w:tc>
          <w:tcPr>
            <w:tcW w:w="693" w:type="pct"/>
            <w:shd w:val="clear" w:color="auto" w:fill="auto"/>
            <w:vAlign w:val="center"/>
            <w:hideMark/>
          </w:tcPr>
          <w:p w14:paraId="41B126B2" w14:textId="77777777" w:rsidR="00A9013B" w:rsidRPr="004C2C35" w:rsidRDefault="00A9013B" w:rsidP="00415D01">
            <w:pPr>
              <w:pStyle w:val="Tabletext1"/>
              <w:jc w:val="center"/>
            </w:pPr>
            <w:r>
              <w:t>0</w:t>
            </w:r>
          </w:p>
        </w:tc>
        <w:tc>
          <w:tcPr>
            <w:tcW w:w="656" w:type="pct"/>
            <w:shd w:val="clear" w:color="auto" w:fill="auto"/>
            <w:vAlign w:val="center"/>
            <w:hideMark/>
          </w:tcPr>
          <w:p w14:paraId="44265AB9" w14:textId="77777777" w:rsidR="00A9013B" w:rsidRPr="004C2C35" w:rsidRDefault="00A9013B" w:rsidP="00415D01">
            <w:pPr>
              <w:pStyle w:val="Tabletext1"/>
              <w:jc w:val="center"/>
            </w:pPr>
            <w:r>
              <w:t>0</w:t>
            </w:r>
          </w:p>
        </w:tc>
        <w:tc>
          <w:tcPr>
            <w:tcW w:w="656" w:type="pct"/>
            <w:shd w:val="clear" w:color="auto" w:fill="auto"/>
            <w:vAlign w:val="center"/>
            <w:hideMark/>
          </w:tcPr>
          <w:p w14:paraId="0E733FCE" w14:textId="77777777" w:rsidR="00A9013B" w:rsidRPr="004C2C35" w:rsidRDefault="00A9013B" w:rsidP="00415D01">
            <w:pPr>
              <w:pStyle w:val="Tabletext1"/>
              <w:jc w:val="center"/>
            </w:pPr>
            <w:r>
              <w:t>0</w:t>
            </w:r>
          </w:p>
        </w:tc>
        <w:tc>
          <w:tcPr>
            <w:tcW w:w="840" w:type="pct"/>
            <w:shd w:val="clear" w:color="auto" w:fill="auto"/>
            <w:vAlign w:val="center"/>
            <w:hideMark/>
          </w:tcPr>
          <w:p w14:paraId="76637815" w14:textId="77777777" w:rsidR="00A9013B" w:rsidRPr="004C2C35" w:rsidRDefault="00A9013B" w:rsidP="00415D01">
            <w:pPr>
              <w:pStyle w:val="Tabletext1"/>
              <w:jc w:val="center"/>
            </w:pPr>
            <w:r>
              <w:t>0</w:t>
            </w:r>
          </w:p>
        </w:tc>
      </w:tr>
      <w:tr w:rsidR="00A9013B" w:rsidRPr="004C2C35" w14:paraId="489E3E8F" w14:textId="77777777" w:rsidTr="00415D01">
        <w:trPr>
          <w:trHeight w:val="290"/>
        </w:trPr>
        <w:tc>
          <w:tcPr>
            <w:tcW w:w="1531" w:type="pct"/>
            <w:tcBorders>
              <w:bottom w:val="single" w:sz="4" w:space="0" w:color="auto"/>
            </w:tcBorders>
            <w:shd w:val="clear" w:color="auto" w:fill="auto"/>
            <w:vAlign w:val="center"/>
            <w:hideMark/>
          </w:tcPr>
          <w:p w14:paraId="3E6506B7" w14:textId="77777777" w:rsidR="00A9013B" w:rsidRPr="001561B3" w:rsidRDefault="00A9013B" w:rsidP="00415D01">
            <w:pPr>
              <w:pStyle w:val="Tabletext1"/>
              <w:rPr>
                <w:vertAlign w:val="superscript"/>
              </w:rPr>
            </w:pPr>
            <w:r w:rsidRPr="004C2C35">
              <w:t>MBS item 15275 (fraction)</w:t>
            </w:r>
            <w:r>
              <w:rPr>
                <w:vertAlign w:val="superscript"/>
              </w:rPr>
              <w:t>2</w:t>
            </w:r>
          </w:p>
        </w:tc>
        <w:tc>
          <w:tcPr>
            <w:tcW w:w="624" w:type="pct"/>
            <w:tcBorders>
              <w:bottom w:val="single" w:sz="4" w:space="0" w:color="auto"/>
            </w:tcBorders>
            <w:shd w:val="clear" w:color="auto" w:fill="auto"/>
            <w:vAlign w:val="center"/>
            <w:hideMark/>
          </w:tcPr>
          <w:p w14:paraId="44BF7D89" w14:textId="77777777" w:rsidR="00A9013B" w:rsidRPr="004C2C35" w:rsidRDefault="00A9013B" w:rsidP="00415D01">
            <w:pPr>
              <w:pStyle w:val="Tabletext1"/>
              <w:jc w:val="center"/>
            </w:pPr>
            <w:r>
              <w:t>-21,528</w:t>
            </w:r>
          </w:p>
        </w:tc>
        <w:tc>
          <w:tcPr>
            <w:tcW w:w="693" w:type="pct"/>
            <w:tcBorders>
              <w:bottom w:val="single" w:sz="4" w:space="0" w:color="auto"/>
            </w:tcBorders>
            <w:shd w:val="clear" w:color="auto" w:fill="auto"/>
            <w:vAlign w:val="center"/>
            <w:hideMark/>
          </w:tcPr>
          <w:p w14:paraId="013FCF8F" w14:textId="77777777" w:rsidR="00A9013B" w:rsidRPr="004C2C35" w:rsidRDefault="00A9013B" w:rsidP="00415D01">
            <w:pPr>
              <w:pStyle w:val="Tabletext1"/>
              <w:jc w:val="center"/>
            </w:pPr>
            <w:r>
              <w:t>-43,056</w:t>
            </w:r>
          </w:p>
        </w:tc>
        <w:tc>
          <w:tcPr>
            <w:tcW w:w="656" w:type="pct"/>
            <w:tcBorders>
              <w:bottom w:val="single" w:sz="4" w:space="0" w:color="auto"/>
            </w:tcBorders>
            <w:shd w:val="clear" w:color="auto" w:fill="auto"/>
            <w:vAlign w:val="center"/>
            <w:hideMark/>
          </w:tcPr>
          <w:p w14:paraId="080A4BD0" w14:textId="77777777" w:rsidR="00A9013B" w:rsidRPr="004C2C35" w:rsidRDefault="00A9013B" w:rsidP="00415D01">
            <w:pPr>
              <w:pStyle w:val="Tabletext1"/>
              <w:jc w:val="center"/>
            </w:pPr>
            <w:r>
              <w:t>-131,560</w:t>
            </w:r>
          </w:p>
        </w:tc>
        <w:tc>
          <w:tcPr>
            <w:tcW w:w="656" w:type="pct"/>
            <w:tcBorders>
              <w:bottom w:val="single" w:sz="4" w:space="0" w:color="auto"/>
            </w:tcBorders>
            <w:shd w:val="clear" w:color="auto" w:fill="auto"/>
            <w:vAlign w:val="center"/>
            <w:hideMark/>
          </w:tcPr>
          <w:p w14:paraId="0E0B1A26" w14:textId="77777777" w:rsidR="00A9013B" w:rsidRPr="004C2C35" w:rsidRDefault="00A9013B" w:rsidP="00415D01">
            <w:pPr>
              <w:pStyle w:val="Tabletext1"/>
              <w:jc w:val="center"/>
            </w:pPr>
            <w:r>
              <w:t>-131,560</w:t>
            </w:r>
          </w:p>
        </w:tc>
        <w:tc>
          <w:tcPr>
            <w:tcW w:w="840" w:type="pct"/>
            <w:tcBorders>
              <w:bottom w:val="single" w:sz="4" w:space="0" w:color="auto"/>
            </w:tcBorders>
            <w:shd w:val="clear" w:color="auto" w:fill="auto"/>
            <w:vAlign w:val="center"/>
            <w:hideMark/>
          </w:tcPr>
          <w:p w14:paraId="5AF6C988" w14:textId="77777777" w:rsidR="00A9013B" w:rsidRPr="004C2C35" w:rsidRDefault="00A9013B" w:rsidP="00415D01">
            <w:pPr>
              <w:pStyle w:val="Tabletext1"/>
              <w:jc w:val="center"/>
            </w:pPr>
            <w:r>
              <w:t>-131,560</w:t>
            </w:r>
          </w:p>
        </w:tc>
      </w:tr>
      <w:tr w:rsidR="00A9013B" w:rsidRPr="004C2C35" w14:paraId="46896840" w14:textId="77777777" w:rsidTr="00415D01">
        <w:trPr>
          <w:trHeight w:val="290"/>
        </w:trPr>
        <w:tc>
          <w:tcPr>
            <w:tcW w:w="1531" w:type="pct"/>
            <w:tcBorders>
              <w:top w:val="single" w:sz="4" w:space="0" w:color="auto"/>
              <w:left w:val="single" w:sz="4" w:space="0" w:color="auto"/>
              <w:bottom w:val="single" w:sz="4" w:space="0" w:color="auto"/>
              <w:right w:val="nil"/>
            </w:tcBorders>
            <w:shd w:val="clear" w:color="auto" w:fill="auto"/>
            <w:vAlign w:val="center"/>
            <w:hideMark/>
          </w:tcPr>
          <w:p w14:paraId="79D2D581" w14:textId="77777777" w:rsidR="00A9013B" w:rsidRPr="004C2C35" w:rsidRDefault="00A9013B" w:rsidP="00415D01">
            <w:pPr>
              <w:pStyle w:val="Tabletext1"/>
            </w:pPr>
            <w:r w:rsidRPr="004C2C35">
              <w:t>Estimated financial impact</w:t>
            </w:r>
          </w:p>
        </w:tc>
        <w:tc>
          <w:tcPr>
            <w:tcW w:w="624" w:type="pct"/>
            <w:tcBorders>
              <w:top w:val="single" w:sz="4" w:space="0" w:color="auto"/>
              <w:left w:val="nil"/>
              <w:bottom w:val="single" w:sz="4" w:space="0" w:color="auto"/>
              <w:right w:val="nil"/>
            </w:tcBorders>
            <w:shd w:val="clear" w:color="auto" w:fill="auto"/>
            <w:vAlign w:val="center"/>
            <w:hideMark/>
          </w:tcPr>
          <w:p w14:paraId="2855A2BC" w14:textId="77777777" w:rsidR="00A9013B" w:rsidRPr="004C2C35" w:rsidRDefault="00A9013B" w:rsidP="00415D01">
            <w:pPr>
              <w:pStyle w:val="Tabletext1"/>
              <w:jc w:val="center"/>
            </w:pPr>
          </w:p>
        </w:tc>
        <w:tc>
          <w:tcPr>
            <w:tcW w:w="693" w:type="pct"/>
            <w:tcBorders>
              <w:top w:val="single" w:sz="4" w:space="0" w:color="auto"/>
              <w:left w:val="nil"/>
              <w:bottom w:val="single" w:sz="4" w:space="0" w:color="auto"/>
              <w:right w:val="nil"/>
            </w:tcBorders>
            <w:shd w:val="clear" w:color="auto" w:fill="auto"/>
            <w:vAlign w:val="center"/>
            <w:hideMark/>
          </w:tcPr>
          <w:p w14:paraId="7850DD49" w14:textId="77777777" w:rsidR="00A9013B" w:rsidRPr="004C2C35" w:rsidRDefault="00A9013B" w:rsidP="00415D01">
            <w:pPr>
              <w:pStyle w:val="Tabletext1"/>
              <w:jc w:val="center"/>
            </w:pPr>
          </w:p>
        </w:tc>
        <w:tc>
          <w:tcPr>
            <w:tcW w:w="656" w:type="pct"/>
            <w:tcBorders>
              <w:top w:val="single" w:sz="4" w:space="0" w:color="auto"/>
              <w:left w:val="nil"/>
              <w:bottom w:val="single" w:sz="4" w:space="0" w:color="auto"/>
              <w:right w:val="nil"/>
            </w:tcBorders>
            <w:shd w:val="clear" w:color="auto" w:fill="auto"/>
            <w:vAlign w:val="center"/>
            <w:hideMark/>
          </w:tcPr>
          <w:p w14:paraId="5146354D" w14:textId="77777777" w:rsidR="00A9013B" w:rsidRPr="004C2C35" w:rsidRDefault="00A9013B" w:rsidP="00415D01">
            <w:pPr>
              <w:pStyle w:val="Tabletext1"/>
              <w:jc w:val="center"/>
            </w:pPr>
          </w:p>
        </w:tc>
        <w:tc>
          <w:tcPr>
            <w:tcW w:w="656" w:type="pct"/>
            <w:tcBorders>
              <w:top w:val="single" w:sz="4" w:space="0" w:color="auto"/>
              <w:left w:val="nil"/>
              <w:bottom w:val="single" w:sz="4" w:space="0" w:color="auto"/>
              <w:right w:val="nil"/>
            </w:tcBorders>
            <w:shd w:val="clear" w:color="auto" w:fill="auto"/>
            <w:vAlign w:val="center"/>
            <w:hideMark/>
          </w:tcPr>
          <w:p w14:paraId="0D77A783" w14:textId="77777777" w:rsidR="00A9013B" w:rsidRPr="004C2C35" w:rsidRDefault="00A9013B" w:rsidP="00415D01">
            <w:pPr>
              <w:pStyle w:val="Tabletext1"/>
              <w:jc w:val="center"/>
            </w:pPr>
          </w:p>
        </w:tc>
        <w:tc>
          <w:tcPr>
            <w:tcW w:w="840" w:type="pct"/>
            <w:tcBorders>
              <w:top w:val="single" w:sz="4" w:space="0" w:color="auto"/>
              <w:left w:val="nil"/>
              <w:bottom w:val="single" w:sz="4" w:space="0" w:color="auto"/>
              <w:right w:val="single" w:sz="4" w:space="0" w:color="auto"/>
            </w:tcBorders>
            <w:shd w:val="clear" w:color="auto" w:fill="auto"/>
            <w:vAlign w:val="center"/>
            <w:hideMark/>
          </w:tcPr>
          <w:p w14:paraId="42620C94" w14:textId="77777777" w:rsidR="00A9013B" w:rsidRPr="004C2C35" w:rsidRDefault="00A9013B" w:rsidP="00415D01">
            <w:pPr>
              <w:pStyle w:val="Tabletext1"/>
              <w:jc w:val="center"/>
            </w:pPr>
          </w:p>
        </w:tc>
      </w:tr>
      <w:tr w:rsidR="00A9013B" w:rsidRPr="004C2C35" w14:paraId="573E0F5A" w14:textId="77777777" w:rsidTr="00415D01">
        <w:trPr>
          <w:trHeight w:val="290"/>
        </w:trPr>
        <w:tc>
          <w:tcPr>
            <w:tcW w:w="1531" w:type="pct"/>
            <w:tcBorders>
              <w:top w:val="single" w:sz="4" w:space="0" w:color="auto"/>
            </w:tcBorders>
            <w:shd w:val="clear" w:color="auto" w:fill="auto"/>
            <w:vAlign w:val="center"/>
          </w:tcPr>
          <w:p w14:paraId="20713AF7" w14:textId="77777777" w:rsidR="00A9013B" w:rsidRPr="004C2C35" w:rsidRDefault="00A9013B" w:rsidP="00415D01">
            <w:pPr>
              <w:pStyle w:val="Tabletext1"/>
            </w:pPr>
            <w:r>
              <w:t>Fiducial marker placement</w:t>
            </w:r>
          </w:p>
        </w:tc>
        <w:tc>
          <w:tcPr>
            <w:tcW w:w="624" w:type="pct"/>
            <w:tcBorders>
              <w:top w:val="single" w:sz="4" w:space="0" w:color="auto"/>
            </w:tcBorders>
            <w:shd w:val="clear" w:color="auto" w:fill="auto"/>
            <w:noWrap/>
            <w:vAlign w:val="center"/>
          </w:tcPr>
          <w:p w14:paraId="32EFD5CC" w14:textId="77777777" w:rsidR="00A9013B" w:rsidRPr="002A5030" w:rsidRDefault="00A9013B" w:rsidP="00415D01">
            <w:pPr>
              <w:pStyle w:val="Tabletext1"/>
              <w:jc w:val="center"/>
            </w:pPr>
            <w:r>
              <w:rPr>
                <w:rFonts w:cs="Calibri"/>
                <w:color w:val="000000"/>
              </w:rPr>
              <w:t>-$626,382</w:t>
            </w:r>
          </w:p>
        </w:tc>
        <w:tc>
          <w:tcPr>
            <w:tcW w:w="693" w:type="pct"/>
            <w:tcBorders>
              <w:top w:val="single" w:sz="4" w:space="0" w:color="auto"/>
            </w:tcBorders>
            <w:shd w:val="clear" w:color="auto" w:fill="auto"/>
            <w:noWrap/>
            <w:vAlign w:val="center"/>
          </w:tcPr>
          <w:p w14:paraId="35E9B233" w14:textId="77777777" w:rsidR="00A9013B" w:rsidRPr="002A5030" w:rsidRDefault="00A9013B" w:rsidP="00415D01">
            <w:pPr>
              <w:pStyle w:val="Tabletext1"/>
              <w:jc w:val="center"/>
            </w:pPr>
            <w:r>
              <w:rPr>
                <w:rFonts w:cs="Calibri"/>
                <w:color w:val="000000"/>
              </w:rPr>
              <w:t>-$1,252,764</w:t>
            </w:r>
          </w:p>
        </w:tc>
        <w:tc>
          <w:tcPr>
            <w:tcW w:w="656" w:type="pct"/>
            <w:tcBorders>
              <w:top w:val="single" w:sz="4" w:space="0" w:color="auto"/>
            </w:tcBorders>
            <w:shd w:val="clear" w:color="auto" w:fill="auto"/>
            <w:noWrap/>
            <w:vAlign w:val="center"/>
          </w:tcPr>
          <w:p w14:paraId="6166261E" w14:textId="77777777" w:rsidR="00A9013B" w:rsidRPr="002A5030" w:rsidRDefault="00A9013B" w:rsidP="00415D01">
            <w:pPr>
              <w:pStyle w:val="Tabletext1"/>
              <w:jc w:val="center"/>
            </w:pPr>
            <w:r>
              <w:rPr>
                <w:rFonts w:cs="Calibri"/>
                <w:color w:val="000000"/>
              </w:rPr>
              <w:t>-$3,827,890</w:t>
            </w:r>
          </w:p>
        </w:tc>
        <w:tc>
          <w:tcPr>
            <w:tcW w:w="656" w:type="pct"/>
            <w:tcBorders>
              <w:top w:val="single" w:sz="4" w:space="0" w:color="auto"/>
            </w:tcBorders>
            <w:shd w:val="clear" w:color="auto" w:fill="auto"/>
            <w:noWrap/>
            <w:vAlign w:val="center"/>
          </w:tcPr>
          <w:p w14:paraId="26D133B4" w14:textId="77777777" w:rsidR="00A9013B" w:rsidRPr="002A5030" w:rsidRDefault="00A9013B" w:rsidP="00415D01">
            <w:pPr>
              <w:pStyle w:val="Tabletext1"/>
              <w:jc w:val="center"/>
            </w:pPr>
            <w:r>
              <w:rPr>
                <w:rFonts w:cs="Calibri"/>
                <w:color w:val="000000"/>
              </w:rPr>
              <w:t>-$3,827,890</w:t>
            </w:r>
          </w:p>
        </w:tc>
        <w:tc>
          <w:tcPr>
            <w:tcW w:w="840" w:type="pct"/>
            <w:tcBorders>
              <w:top w:val="single" w:sz="4" w:space="0" w:color="auto"/>
            </w:tcBorders>
            <w:shd w:val="clear" w:color="auto" w:fill="auto"/>
            <w:noWrap/>
            <w:vAlign w:val="center"/>
          </w:tcPr>
          <w:p w14:paraId="42B93BF5" w14:textId="77777777" w:rsidR="00A9013B" w:rsidRPr="002A5030" w:rsidRDefault="00A9013B" w:rsidP="00415D01">
            <w:pPr>
              <w:pStyle w:val="Tabletext1"/>
              <w:jc w:val="center"/>
            </w:pPr>
            <w:r>
              <w:rPr>
                <w:rFonts w:cs="Calibri"/>
                <w:color w:val="000000"/>
              </w:rPr>
              <w:t>-$3,827,890</w:t>
            </w:r>
          </w:p>
        </w:tc>
      </w:tr>
      <w:tr w:rsidR="00A9013B" w:rsidRPr="004C2C35" w14:paraId="4E2AD388" w14:textId="77777777" w:rsidTr="00415D01">
        <w:trPr>
          <w:trHeight w:val="290"/>
        </w:trPr>
        <w:tc>
          <w:tcPr>
            <w:tcW w:w="1531" w:type="pct"/>
            <w:shd w:val="clear" w:color="auto" w:fill="auto"/>
            <w:vAlign w:val="center"/>
            <w:hideMark/>
          </w:tcPr>
          <w:p w14:paraId="02DFD860" w14:textId="77777777" w:rsidR="00A9013B" w:rsidRPr="001561B3" w:rsidRDefault="00A9013B" w:rsidP="00415D01">
            <w:pPr>
              <w:pStyle w:val="Tabletext1"/>
              <w:rPr>
                <w:vertAlign w:val="superscript"/>
              </w:rPr>
            </w:pPr>
            <w:r w:rsidRPr="004C2C35">
              <w:t>MBS item 15565</w:t>
            </w:r>
            <w:r>
              <w:t xml:space="preserve"> (planning)</w:t>
            </w:r>
            <w:r>
              <w:rPr>
                <w:vertAlign w:val="superscript"/>
              </w:rPr>
              <w:t>1</w:t>
            </w:r>
          </w:p>
        </w:tc>
        <w:tc>
          <w:tcPr>
            <w:tcW w:w="624" w:type="pct"/>
            <w:shd w:val="clear" w:color="auto" w:fill="auto"/>
            <w:noWrap/>
            <w:vAlign w:val="center"/>
            <w:hideMark/>
          </w:tcPr>
          <w:p w14:paraId="607C84D5" w14:textId="77777777" w:rsidR="00A9013B" w:rsidRPr="002A5030" w:rsidRDefault="00A9013B" w:rsidP="00415D01">
            <w:pPr>
              <w:pStyle w:val="Tabletext1"/>
              <w:jc w:val="center"/>
            </w:pPr>
            <w:r>
              <w:rPr>
                <w:rFonts w:cs="Calibri"/>
                <w:color w:val="000000"/>
              </w:rPr>
              <w:t>$0</w:t>
            </w:r>
          </w:p>
        </w:tc>
        <w:tc>
          <w:tcPr>
            <w:tcW w:w="693" w:type="pct"/>
            <w:shd w:val="clear" w:color="auto" w:fill="auto"/>
            <w:noWrap/>
            <w:vAlign w:val="center"/>
            <w:hideMark/>
          </w:tcPr>
          <w:p w14:paraId="2400D4CC" w14:textId="77777777" w:rsidR="00A9013B" w:rsidRPr="002A5030" w:rsidRDefault="00A9013B" w:rsidP="00415D01">
            <w:pPr>
              <w:pStyle w:val="Tabletext1"/>
              <w:jc w:val="center"/>
            </w:pPr>
            <w:r>
              <w:rPr>
                <w:rFonts w:cs="Calibri"/>
                <w:color w:val="000000"/>
              </w:rPr>
              <w:t>$0</w:t>
            </w:r>
          </w:p>
        </w:tc>
        <w:tc>
          <w:tcPr>
            <w:tcW w:w="656" w:type="pct"/>
            <w:shd w:val="clear" w:color="auto" w:fill="auto"/>
            <w:noWrap/>
            <w:vAlign w:val="center"/>
            <w:hideMark/>
          </w:tcPr>
          <w:p w14:paraId="4EF0526D" w14:textId="77777777" w:rsidR="00A9013B" w:rsidRPr="002A5030" w:rsidRDefault="00A9013B" w:rsidP="00415D01">
            <w:pPr>
              <w:pStyle w:val="Tabletext1"/>
              <w:jc w:val="center"/>
            </w:pPr>
            <w:r>
              <w:rPr>
                <w:rFonts w:cs="Calibri"/>
                <w:color w:val="000000"/>
              </w:rPr>
              <w:t>$0</w:t>
            </w:r>
          </w:p>
        </w:tc>
        <w:tc>
          <w:tcPr>
            <w:tcW w:w="656" w:type="pct"/>
            <w:shd w:val="clear" w:color="auto" w:fill="auto"/>
            <w:noWrap/>
            <w:vAlign w:val="center"/>
            <w:hideMark/>
          </w:tcPr>
          <w:p w14:paraId="749701E7" w14:textId="77777777" w:rsidR="00A9013B" w:rsidRPr="002A5030" w:rsidRDefault="00A9013B" w:rsidP="00415D01">
            <w:pPr>
              <w:pStyle w:val="Tabletext1"/>
              <w:jc w:val="center"/>
            </w:pPr>
            <w:r>
              <w:rPr>
                <w:rFonts w:cs="Calibri"/>
                <w:color w:val="000000"/>
              </w:rPr>
              <w:t>$0</w:t>
            </w:r>
          </w:p>
        </w:tc>
        <w:tc>
          <w:tcPr>
            <w:tcW w:w="840" w:type="pct"/>
            <w:shd w:val="clear" w:color="auto" w:fill="auto"/>
            <w:noWrap/>
            <w:vAlign w:val="center"/>
            <w:hideMark/>
          </w:tcPr>
          <w:p w14:paraId="6030E0BE" w14:textId="77777777" w:rsidR="00A9013B" w:rsidRPr="002A5030" w:rsidRDefault="00A9013B" w:rsidP="00415D01">
            <w:pPr>
              <w:pStyle w:val="Tabletext1"/>
              <w:jc w:val="center"/>
            </w:pPr>
            <w:r>
              <w:rPr>
                <w:rFonts w:cs="Calibri"/>
                <w:color w:val="000000"/>
              </w:rPr>
              <w:t>$0</w:t>
            </w:r>
          </w:p>
        </w:tc>
      </w:tr>
      <w:tr w:rsidR="00A9013B" w:rsidRPr="004C2C35" w14:paraId="1ADB4EC0" w14:textId="77777777" w:rsidTr="00415D01">
        <w:trPr>
          <w:trHeight w:val="290"/>
        </w:trPr>
        <w:tc>
          <w:tcPr>
            <w:tcW w:w="1531" w:type="pct"/>
            <w:shd w:val="clear" w:color="auto" w:fill="auto"/>
            <w:vAlign w:val="center"/>
            <w:hideMark/>
          </w:tcPr>
          <w:p w14:paraId="5C01E192" w14:textId="77777777" w:rsidR="00A9013B" w:rsidRPr="001561B3" w:rsidRDefault="00A9013B" w:rsidP="00415D01">
            <w:pPr>
              <w:pStyle w:val="Tabletext1"/>
              <w:rPr>
                <w:vertAlign w:val="superscript"/>
              </w:rPr>
            </w:pPr>
            <w:r w:rsidRPr="004C2C35">
              <w:t>MBS item 15555 (simulation)</w:t>
            </w:r>
            <w:r>
              <w:rPr>
                <w:vertAlign w:val="superscript"/>
              </w:rPr>
              <w:t>1</w:t>
            </w:r>
          </w:p>
        </w:tc>
        <w:tc>
          <w:tcPr>
            <w:tcW w:w="624" w:type="pct"/>
            <w:shd w:val="clear" w:color="auto" w:fill="auto"/>
            <w:noWrap/>
            <w:vAlign w:val="center"/>
            <w:hideMark/>
          </w:tcPr>
          <w:p w14:paraId="4F377DB9" w14:textId="77777777" w:rsidR="00A9013B" w:rsidRPr="00497D69" w:rsidRDefault="00A9013B" w:rsidP="00415D01">
            <w:pPr>
              <w:pStyle w:val="Tabletext1"/>
              <w:jc w:val="center"/>
            </w:pPr>
            <w:r>
              <w:rPr>
                <w:rFonts w:cs="Calibri"/>
                <w:color w:val="000000"/>
              </w:rPr>
              <w:t>$0</w:t>
            </w:r>
          </w:p>
        </w:tc>
        <w:tc>
          <w:tcPr>
            <w:tcW w:w="693" w:type="pct"/>
            <w:shd w:val="clear" w:color="auto" w:fill="auto"/>
            <w:noWrap/>
            <w:vAlign w:val="center"/>
            <w:hideMark/>
          </w:tcPr>
          <w:p w14:paraId="1EDEFA53" w14:textId="77777777" w:rsidR="00A9013B" w:rsidRPr="00497D69" w:rsidRDefault="00A9013B" w:rsidP="00415D01">
            <w:pPr>
              <w:pStyle w:val="Tabletext1"/>
              <w:jc w:val="center"/>
            </w:pPr>
            <w:r>
              <w:rPr>
                <w:rFonts w:cs="Calibri"/>
                <w:color w:val="000000"/>
              </w:rPr>
              <w:t>$0</w:t>
            </w:r>
          </w:p>
        </w:tc>
        <w:tc>
          <w:tcPr>
            <w:tcW w:w="656" w:type="pct"/>
            <w:shd w:val="clear" w:color="auto" w:fill="auto"/>
            <w:noWrap/>
            <w:vAlign w:val="center"/>
            <w:hideMark/>
          </w:tcPr>
          <w:p w14:paraId="6B360D01" w14:textId="77777777" w:rsidR="00A9013B" w:rsidRPr="00497D69" w:rsidRDefault="00A9013B" w:rsidP="00415D01">
            <w:pPr>
              <w:pStyle w:val="Tabletext1"/>
              <w:jc w:val="center"/>
            </w:pPr>
            <w:r>
              <w:rPr>
                <w:rFonts w:cs="Calibri"/>
                <w:color w:val="000000"/>
              </w:rPr>
              <w:t>$0</w:t>
            </w:r>
          </w:p>
        </w:tc>
        <w:tc>
          <w:tcPr>
            <w:tcW w:w="656" w:type="pct"/>
            <w:shd w:val="clear" w:color="auto" w:fill="auto"/>
            <w:noWrap/>
            <w:vAlign w:val="center"/>
            <w:hideMark/>
          </w:tcPr>
          <w:p w14:paraId="139DCAD0" w14:textId="77777777" w:rsidR="00A9013B" w:rsidRPr="00497D69" w:rsidRDefault="00A9013B" w:rsidP="00415D01">
            <w:pPr>
              <w:pStyle w:val="Tabletext1"/>
              <w:jc w:val="center"/>
            </w:pPr>
            <w:r>
              <w:rPr>
                <w:rFonts w:cs="Calibri"/>
                <w:color w:val="000000"/>
              </w:rPr>
              <w:t>$0</w:t>
            </w:r>
          </w:p>
        </w:tc>
        <w:tc>
          <w:tcPr>
            <w:tcW w:w="840" w:type="pct"/>
            <w:shd w:val="clear" w:color="auto" w:fill="auto"/>
            <w:noWrap/>
            <w:vAlign w:val="center"/>
            <w:hideMark/>
          </w:tcPr>
          <w:p w14:paraId="277A5353" w14:textId="77777777" w:rsidR="00A9013B" w:rsidRPr="00497D69" w:rsidRDefault="00A9013B" w:rsidP="00415D01">
            <w:pPr>
              <w:pStyle w:val="Tabletext1"/>
              <w:jc w:val="center"/>
            </w:pPr>
            <w:r>
              <w:rPr>
                <w:rFonts w:cs="Calibri"/>
                <w:color w:val="000000"/>
              </w:rPr>
              <w:t>$0</w:t>
            </w:r>
          </w:p>
        </w:tc>
      </w:tr>
      <w:tr w:rsidR="00A9013B" w:rsidRPr="004C2C35" w14:paraId="5062D61C" w14:textId="77777777" w:rsidTr="00415D01">
        <w:trPr>
          <w:trHeight w:val="290"/>
        </w:trPr>
        <w:tc>
          <w:tcPr>
            <w:tcW w:w="1531" w:type="pct"/>
            <w:shd w:val="clear" w:color="auto" w:fill="auto"/>
            <w:vAlign w:val="center"/>
            <w:hideMark/>
          </w:tcPr>
          <w:p w14:paraId="6A68ED0C" w14:textId="77777777" w:rsidR="00A9013B" w:rsidRPr="001561B3" w:rsidRDefault="00A9013B" w:rsidP="00415D01">
            <w:pPr>
              <w:pStyle w:val="Tabletext1"/>
              <w:rPr>
                <w:vertAlign w:val="superscript"/>
              </w:rPr>
            </w:pPr>
            <w:r w:rsidRPr="004C2C35">
              <w:t>MBS item 15275 (fraction)</w:t>
            </w:r>
            <w:r>
              <w:rPr>
                <w:vertAlign w:val="superscript"/>
              </w:rPr>
              <w:t>2</w:t>
            </w:r>
          </w:p>
        </w:tc>
        <w:tc>
          <w:tcPr>
            <w:tcW w:w="624" w:type="pct"/>
            <w:shd w:val="clear" w:color="auto" w:fill="auto"/>
            <w:noWrap/>
            <w:vAlign w:val="center"/>
            <w:hideMark/>
          </w:tcPr>
          <w:p w14:paraId="565AC245" w14:textId="77777777" w:rsidR="00A9013B" w:rsidRPr="00497D69" w:rsidRDefault="00A9013B" w:rsidP="00415D01">
            <w:pPr>
              <w:pStyle w:val="Tabletext1"/>
              <w:jc w:val="center"/>
            </w:pPr>
            <w:r>
              <w:rPr>
                <w:rFonts w:cs="Calibri"/>
                <w:color w:val="000000"/>
              </w:rPr>
              <w:t>-$3,453,091</w:t>
            </w:r>
          </w:p>
        </w:tc>
        <w:tc>
          <w:tcPr>
            <w:tcW w:w="693" w:type="pct"/>
            <w:shd w:val="clear" w:color="auto" w:fill="auto"/>
            <w:noWrap/>
            <w:vAlign w:val="center"/>
            <w:hideMark/>
          </w:tcPr>
          <w:p w14:paraId="72DBB3E5" w14:textId="77777777" w:rsidR="00A9013B" w:rsidRPr="00497D69" w:rsidRDefault="00A9013B" w:rsidP="00415D01">
            <w:pPr>
              <w:pStyle w:val="Tabletext1"/>
              <w:jc w:val="center"/>
            </w:pPr>
            <w:r>
              <w:rPr>
                <w:rFonts w:cs="Calibri"/>
                <w:color w:val="000000"/>
              </w:rPr>
              <w:t>-$6,906,182</w:t>
            </w:r>
          </w:p>
        </w:tc>
        <w:tc>
          <w:tcPr>
            <w:tcW w:w="656" w:type="pct"/>
            <w:shd w:val="clear" w:color="auto" w:fill="auto"/>
            <w:noWrap/>
            <w:vAlign w:val="center"/>
            <w:hideMark/>
          </w:tcPr>
          <w:p w14:paraId="7191486E" w14:textId="77777777" w:rsidR="00A9013B" w:rsidRPr="00497D69" w:rsidRDefault="00A9013B" w:rsidP="00415D01">
            <w:pPr>
              <w:pStyle w:val="Tabletext1"/>
              <w:jc w:val="center"/>
            </w:pPr>
            <w:r>
              <w:rPr>
                <w:rFonts w:cs="Calibri"/>
                <w:color w:val="000000"/>
              </w:rPr>
              <w:t>-$21,102,224</w:t>
            </w:r>
          </w:p>
        </w:tc>
        <w:tc>
          <w:tcPr>
            <w:tcW w:w="656" w:type="pct"/>
            <w:shd w:val="clear" w:color="auto" w:fill="auto"/>
            <w:noWrap/>
            <w:vAlign w:val="center"/>
            <w:hideMark/>
          </w:tcPr>
          <w:p w14:paraId="6D94A80F" w14:textId="77777777" w:rsidR="00A9013B" w:rsidRPr="00497D69" w:rsidRDefault="00A9013B" w:rsidP="00415D01">
            <w:pPr>
              <w:pStyle w:val="Tabletext1"/>
              <w:jc w:val="center"/>
            </w:pPr>
            <w:r>
              <w:rPr>
                <w:rFonts w:cs="Calibri"/>
                <w:color w:val="000000"/>
              </w:rPr>
              <w:t>-$21,102,224</w:t>
            </w:r>
          </w:p>
        </w:tc>
        <w:tc>
          <w:tcPr>
            <w:tcW w:w="840" w:type="pct"/>
            <w:shd w:val="clear" w:color="auto" w:fill="auto"/>
            <w:noWrap/>
            <w:vAlign w:val="center"/>
            <w:hideMark/>
          </w:tcPr>
          <w:p w14:paraId="7B002A47" w14:textId="77777777" w:rsidR="00A9013B" w:rsidRPr="00497D69" w:rsidRDefault="00A9013B" w:rsidP="00415D01">
            <w:pPr>
              <w:pStyle w:val="Tabletext1"/>
              <w:jc w:val="center"/>
            </w:pPr>
            <w:r>
              <w:rPr>
                <w:rFonts w:cs="Calibri"/>
                <w:color w:val="000000"/>
              </w:rPr>
              <w:t>-$21,102,224</w:t>
            </w:r>
          </w:p>
        </w:tc>
      </w:tr>
      <w:tr w:rsidR="00A9013B" w:rsidRPr="004C2C35" w14:paraId="2CE1F785" w14:textId="77777777" w:rsidTr="00415D01">
        <w:trPr>
          <w:trHeight w:val="290"/>
        </w:trPr>
        <w:tc>
          <w:tcPr>
            <w:tcW w:w="1531" w:type="pct"/>
            <w:shd w:val="clear" w:color="auto" w:fill="auto"/>
            <w:noWrap/>
            <w:vAlign w:val="center"/>
            <w:hideMark/>
          </w:tcPr>
          <w:p w14:paraId="7ABCD4CC" w14:textId="77777777" w:rsidR="00A9013B" w:rsidRPr="004C2C35" w:rsidRDefault="00A9013B" w:rsidP="00415D01">
            <w:pPr>
              <w:pStyle w:val="Tabletext1"/>
            </w:pPr>
            <w:r w:rsidRPr="004C2C35">
              <w:t>Total cost of MR-IGRT to the MBS</w:t>
            </w:r>
          </w:p>
        </w:tc>
        <w:tc>
          <w:tcPr>
            <w:tcW w:w="624" w:type="pct"/>
            <w:shd w:val="clear" w:color="auto" w:fill="auto"/>
            <w:noWrap/>
            <w:vAlign w:val="center"/>
            <w:hideMark/>
          </w:tcPr>
          <w:p w14:paraId="393C9424" w14:textId="77777777" w:rsidR="00A9013B" w:rsidRPr="007546A9" w:rsidRDefault="00A9013B" w:rsidP="00415D01">
            <w:pPr>
              <w:pStyle w:val="Tabletext1"/>
              <w:jc w:val="center"/>
            </w:pPr>
            <w:r>
              <w:rPr>
                <w:rFonts w:cs="Calibri"/>
                <w:b/>
                <w:color w:val="000000"/>
              </w:rPr>
              <w:t>-$4,</w:t>
            </w:r>
            <w:r>
              <w:rPr>
                <w:rFonts w:cs="Calibri"/>
                <w:b/>
                <w:bCs/>
                <w:color w:val="000000"/>
              </w:rPr>
              <w:t>079,473</w:t>
            </w:r>
          </w:p>
        </w:tc>
        <w:tc>
          <w:tcPr>
            <w:tcW w:w="693" w:type="pct"/>
            <w:shd w:val="clear" w:color="auto" w:fill="auto"/>
            <w:noWrap/>
            <w:vAlign w:val="center"/>
            <w:hideMark/>
          </w:tcPr>
          <w:p w14:paraId="640BF0A2" w14:textId="77777777" w:rsidR="00A9013B" w:rsidRPr="007546A9" w:rsidRDefault="00A9013B" w:rsidP="00415D01">
            <w:pPr>
              <w:pStyle w:val="Tabletext1"/>
              <w:jc w:val="center"/>
            </w:pPr>
            <w:r>
              <w:rPr>
                <w:rFonts w:cs="Calibri"/>
                <w:b/>
                <w:color w:val="000000"/>
              </w:rPr>
              <w:t>-$8,</w:t>
            </w:r>
            <w:r>
              <w:rPr>
                <w:rFonts w:cs="Calibri"/>
                <w:b/>
                <w:bCs/>
                <w:color w:val="000000"/>
              </w:rPr>
              <w:t>158,946</w:t>
            </w:r>
          </w:p>
        </w:tc>
        <w:tc>
          <w:tcPr>
            <w:tcW w:w="656" w:type="pct"/>
            <w:shd w:val="clear" w:color="auto" w:fill="auto"/>
            <w:noWrap/>
            <w:vAlign w:val="center"/>
            <w:hideMark/>
          </w:tcPr>
          <w:p w14:paraId="391B6299" w14:textId="77777777" w:rsidR="00A9013B" w:rsidRPr="007546A9" w:rsidRDefault="00A9013B" w:rsidP="00415D01">
            <w:pPr>
              <w:pStyle w:val="Tabletext1"/>
              <w:jc w:val="center"/>
            </w:pPr>
            <w:r>
              <w:rPr>
                <w:rFonts w:cs="Calibri"/>
                <w:b/>
                <w:bCs/>
                <w:color w:val="000000"/>
              </w:rPr>
              <w:t>-$24,930,114</w:t>
            </w:r>
          </w:p>
        </w:tc>
        <w:tc>
          <w:tcPr>
            <w:tcW w:w="656" w:type="pct"/>
            <w:shd w:val="clear" w:color="auto" w:fill="auto"/>
            <w:noWrap/>
            <w:vAlign w:val="center"/>
            <w:hideMark/>
          </w:tcPr>
          <w:p w14:paraId="6AA26910" w14:textId="77777777" w:rsidR="00A9013B" w:rsidRPr="007546A9" w:rsidRDefault="00A9013B" w:rsidP="00415D01">
            <w:pPr>
              <w:pStyle w:val="Tabletext1"/>
              <w:jc w:val="center"/>
            </w:pPr>
            <w:r>
              <w:rPr>
                <w:rFonts w:cs="Calibri"/>
                <w:b/>
                <w:bCs/>
                <w:color w:val="000000"/>
              </w:rPr>
              <w:t>-$24,930,114</w:t>
            </w:r>
          </w:p>
        </w:tc>
        <w:tc>
          <w:tcPr>
            <w:tcW w:w="840" w:type="pct"/>
            <w:shd w:val="clear" w:color="auto" w:fill="auto"/>
            <w:noWrap/>
            <w:vAlign w:val="center"/>
            <w:hideMark/>
          </w:tcPr>
          <w:p w14:paraId="73A570B6" w14:textId="77777777" w:rsidR="00A9013B" w:rsidRPr="007546A9" w:rsidRDefault="00A9013B" w:rsidP="00415D01">
            <w:pPr>
              <w:pStyle w:val="Tabletext1"/>
              <w:jc w:val="center"/>
            </w:pPr>
            <w:r>
              <w:rPr>
                <w:rFonts w:cs="Calibri"/>
                <w:b/>
                <w:bCs/>
                <w:color w:val="000000"/>
              </w:rPr>
              <w:t>-$24,930,114</w:t>
            </w:r>
          </w:p>
        </w:tc>
      </w:tr>
    </w:tbl>
    <w:p w14:paraId="55911711" w14:textId="23C41A11" w:rsidR="00A9013B" w:rsidRPr="009D6338" w:rsidRDefault="00A9013B" w:rsidP="009D6338">
      <w:pPr>
        <w:pStyle w:val="Tablenotes0"/>
        <w:jc w:val="left"/>
      </w:pPr>
      <w:r w:rsidRPr="009D6338">
        <w:t>Abbreviations: MBS=Medical Benefits Schedule, MR-IGRT=magnetic resonance image-guide radiation therapy</w:t>
      </w:r>
      <w:r w:rsidRPr="009D6338">
        <w:br/>
        <w:t xml:space="preserve">Note: </w:t>
      </w:r>
      <w:r w:rsidR="00B91E33" w:rsidRPr="009D6338">
        <w:t xml:space="preserve">No </w:t>
      </w:r>
      <w:r w:rsidRPr="009D6338">
        <w:t>changes to course numbers, planning episodes or simulation would be anticipated assuming patient substitution of CBCT-IGRT for MR-IGRT, as analysis assumes substitution of CBCT-IGRT for MR-IGRT only and planning episodes and simulation are assumed to occur only once per patient treatment course,  regardless of radiation therapy technology used.</w:t>
      </w:r>
      <w:r w:rsidR="009D6338">
        <w:br/>
      </w:r>
      <w:r w:rsidRPr="009D6338">
        <w:t>Financial implications analysis is based on assumptions regarding potential achievable fraction reductions per treatment course specifically for the prostate and breast cancer indications.  Based on Applicant and clinical advice, analysis assumes an average of five treatment fractions per course for MR-IGRT versus an average of 18 treatment fraction per course for CBCT-IGRT.</w:t>
      </w:r>
    </w:p>
    <w:p w14:paraId="49EB2C09" w14:textId="77777777" w:rsidR="003718C8" w:rsidRPr="009E5DE2" w:rsidRDefault="003718C8" w:rsidP="006D66DC">
      <w:pPr>
        <w:keepNext/>
        <w:keepLines/>
        <w:widowControl w:val="0"/>
        <w:jc w:val="both"/>
        <w:rPr>
          <w:rFonts w:asciiTheme="minorHAnsi" w:hAnsiTheme="minorHAnsi" w:cstheme="minorHAnsi"/>
          <w:szCs w:val="28"/>
          <w:lang w:eastAsia="en-US"/>
        </w:rPr>
      </w:pPr>
      <w:r>
        <w:rPr>
          <w:rFonts w:asciiTheme="minorHAnsi" w:hAnsiTheme="minorHAnsi" w:cstheme="minorHAnsi"/>
          <w:szCs w:val="28"/>
          <w:lang w:eastAsia="en-US"/>
        </w:rPr>
        <w:t>These financial implications rest primarily on the assumption of reduced treatment course duration as a result of reduced fractions per patient.  However, they are considered uncertain given the uncertainties previously identified including MR-linac deployment, treatment uptake, the patient population receiving treatment, the rate of technology improvement and capacity.  It should be noted that these estimates do not necessarily reflect potential financial implications for MR-IGRT under other different MR-IGRT treatment scenarios.  Sensitivity analysis in Section E.6 test the impact of variations in key assumptions on financial implications</w:t>
      </w:r>
      <w:bookmarkEnd w:id="705"/>
      <w:r>
        <w:rPr>
          <w:rFonts w:asciiTheme="minorHAnsi" w:hAnsiTheme="minorHAnsi" w:cstheme="minorHAnsi"/>
          <w:szCs w:val="28"/>
          <w:lang w:eastAsia="en-US"/>
        </w:rPr>
        <w:t>.</w:t>
      </w:r>
    </w:p>
    <w:p w14:paraId="417BF9D6" w14:textId="77777777" w:rsidR="00C550C1" w:rsidRDefault="00C550C1" w:rsidP="006D66DC">
      <w:pPr>
        <w:pStyle w:val="Heading2"/>
        <w:numPr>
          <w:ilvl w:val="4"/>
          <w:numId w:val="10"/>
        </w:numPr>
      </w:pPr>
      <w:bookmarkStart w:id="708" w:name="_Toc59018819"/>
      <w:bookmarkStart w:id="709" w:name="_Toc59020363"/>
      <w:bookmarkStart w:id="710" w:name="_Toc59439585"/>
      <w:bookmarkStart w:id="711" w:name="_Toc89857857"/>
      <w:r>
        <w:t>Financial I</w:t>
      </w:r>
      <w:r w:rsidRPr="00183E4D">
        <w:t>mplications</w:t>
      </w:r>
      <w:r>
        <w:t xml:space="preserve"> for</w:t>
      </w:r>
      <w:r w:rsidRPr="00183E4D">
        <w:t xml:space="preserve"> </w:t>
      </w:r>
      <w:r>
        <w:t>Government Health Budgets</w:t>
      </w:r>
      <w:bookmarkEnd w:id="708"/>
      <w:bookmarkEnd w:id="709"/>
      <w:bookmarkEnd w:id="710"/>
      <w:bookmarkEnd w:id="711"/>
      <w:r w:rsidRPr="00183E4D">
        <w:t xml:space="preserve"> </w:t>
      </w:r>
    </w:p>
    <w:p w14:paraId="5F36F224" w14:textId="77777777" w:rsidR="00D02214" w:rsidRDefault="00DE1599" w:rsidP="00D02214">
      <w:pPr>
        <w:pStyle w:val="Heading3"/>
      </w:pPr>
      <w:bookmarkStart w:id="712" w:name="_Toc59018820"/>
      <w:bookmarkStart w:id="713" w:name="_Toc59020364"/>
      <w:bookmarkStart w:id="714" w:name="_Toc59439586"/>
      <w:bookmarkStart w:id="715" w:name="_Toc89857858"/>
      <w:r>
        <w:t>The Broader Impact on the MBS</w:t>
      </w:r>
      <w:bookmarkEnd w:id="712"/>
      <w:bookmarkEnd w:id="713"/>
      <w:bookmarkEnd w:id="714"/>
      <w:bookmarkEnd w:id="715"/>
    </w:p>
    <w:p w14:paraId="1EBF98F6" w14:textId="13EBF0AE" w:rsidR="00B81EFF" w:rsidRDefault="003F7F84" w:rsidP="00006E62">
      <w:pPr>
        <w:jc w:val="both"/>
      </w:pPr>
      <w:bookmarkStart w:id="716" w:name="_Hlk58999492"/>
      <w:r>
        <w:t>The</w:t>
      </w:r>
      <w:r w:rsidR="00445E6A">
        <w:t xml:space="preserve"> Applicant has not considered any broader impacts on the MBS, including </w:t>
      </w:r>
      <w:r w:rsidR="00356054" w:rsidRPr="00356054">
        <w:t>Extended Medicare Safety Net costs</w:t>
      </w:r>
      <w:r w:rsidR="00356054">
        <w:t xml:space="preserve">.  </w:t>
      </w:r>
      <w:r w:rsidR="00B81EFF" w:rsidRPr="00B81EFF">
        <w:t>PASC queried if there would be Extended Medicare Safety Net costs</w:t>
      </w:r>
      <w:r w:rsidR="00514228">
        <w:t xml:space="preserve"> (Ratified PICO, </w:t>
      </w:r>
      <w:r w:rsidR="00FD6B5B">
        <w:t>p.12)</w:t>
      </w:r>
      <w:r w:rsidR="005A69F8">
        <w:t>.</w:t>
      </w:r>
    </w:p>
    <w:p w14:paraId="6CE747C1" w14:textId="77777777" w:rsidR="003F7F84" w:rsidRDefault="003F7F84" w:rsidP="003F7F84">
      <w:pPr>
        <w:pStyle w:val="Heading3"/>
      </w:pPr>
      <w:bookmarkStart w:id="717" w:name="_Toc56010249"/>
      <w:bookmarkStart w:id="718" w:name="_Toc59018821"/>
      <w:bookmarkStart w:id="719" w:name="_Toc59020365"/>
      <w:bookmarkStart w:id="720" w:name="_Toc59439587"/>
      <w:bookmarkStart w:id="721" w:name="_Toc89857859"/>
      <w:bookmarkEnd w:id="716"/>
      <w:r>
        <w:t>Other Government Impacts</w:t>
      </w:r>
      <w:bookmarkEnd w:id="717"/>
      <w:bookmarkEnd w:id="718"/>
      <w:bookmarkEnd w:id="719"/>
      <w:bookmarkEnd w:id="720"/>
      <w:bookmarkEnd w:id="721"/>
    </w:p>
    <w:p w14:paraId="7FB8A661" w14:textId="77777777" w:rsidR="003F7F84" w:rsidRDefault="003F7F84" w:rsidP="003F7F84">
      <w:pPr>
        <w:jc w:val="both"/>
      </w:pPr>
      <w:bookmarkStart w:id="722" w:name="_Hlk58999514"/>
      <w:r>
        <w:t>Consistent with Applicant-provided information, no PBS costs while taking radiation therapy treatment courses are assumed.</w:t>
      </w:r>
    </w:p>
    <w:p w14:paraId="362D952B" w14:textId="1B662FEE" w:rsidR="005A69F8" w:rsidRDefault="00A07931" w:rsidP="005A69F8">
      <w:pPr>
        <w:jc w:val="both"/>
      </w:pPr>
      <w:r>
        <w:t xml:space="preserve">Reduced use of CBCT-IGRT would mean reduced use of </w:t>
      </w:r>
      <w:r w:rsidR="009D13AE">
        <w:t>fiducial</w:t>
      </w:r>
      <w:r>
        <w:t xml:space="preserve"> marking procedures.  The procedure requires use of both MBS and PBS items.  MBS items have been previously considered in Section </w:t>
      </w:r>
      <w:r>
        <w:fldChar w:fldCharType="begin"/>
      </w:r>
      <w:r>
        <w:instrText xml:space="preserve"> REF _Ref59013136 \r \h </w:instrText>
      </w:r>
      <w:r w:rsidR="008D78A5">
        <w:instrText xml:space="preserve"> \* MERGEFORMAT </w:instrText>
      </w:r>
      <w:r>
        <w:fldChar w:fldCharType="separate"/>
      </w:r>
      <w:r w:rsidR="00451350">
        <w:t>E.3</w:t>
      </w:r>
      <w:r>
        <w:fldChar w:fldCharType="end"/>
      </w:r>
      <w:r>
        <w:t>.</w:t>
      </w:r>
    </w:p>
    <w:p w14:paraId="242358A3" w14:textId="20ECAB8E" w:rsidR="005A69F8" w:rsidRDefault="005A69F8" w:rsidP="008D78A5">
      <w:pPr>
        <w:jc w:val="both"/>
      </w:pPr>
      <w:r>
        <w:t>PBS costs are estimated at $18.28 per procedure for antibiotics (PBS item 1209P)</w:t>
      </w:r>
      <w:r w:rsidR="008D78A5">
        <w:t>.</w:t>
      </w:r>
      <w:r w:rsidR="00DD334E">
        <w:t xml:space="preserve">  </w:t>
      </w:r>
      <w:r w:rsidR="00031EE6">
        <w:t>Cost savings increase from $30,272 in year one to $184,994 in year three and thereafter</w:t>
      </w:r>
      <w:r w:rsidR="006278BA">
        <w:t xml:space="preserve"> (</w:t>
      </w:r>
      <w:r w:rsidR="006278BA">
        <w:fldChar w:fldCharType="begin"/>
      </w:r>
      <w:r w:rsidR="006278BA">
        <w:instrText xml:space="preserve"> REF _Ref59023309 \h </w:instrText>
      </w:r>
      <w:r w:rsidR="006278BA">
        <w:fldChar w:fldCharType="separate"/>
      </w:r>
      <w:r w:rsidR="00451350">
        <w:t xml:space="preserve">Table </w:t>
      </w:r>
      <w:r w:rsidR="00451350">
        <w:rPr>
          <w:noProof/>
        </w:rPr>
        <w:t>75</w:t>
      </w:r>
      <w:r w:rsidR="006278BA">
        <w:fldChar w:fldCharType="end"/>
      </w:r>
      <w:r w:rsidR="006278BA">
        <w:t>).</w:t>
      </w:r>
    </w:p>
    <w:p w14:paraId="13B8C81D" w14:textId="5398F131" w:rsidR="005A69F8" w:rsidRDefault="00D83350" w:rsidP="00D83350">
      <w:pPr>
        <w:pStyle w:val="Caption"/>
      </w:pPr>
      <w:bookmarkStart w:id="723" w:name="_Ref59023309"/>
      <w:bookmarkStart w:id="724" w:name="_Toc89857946"/>
      <w:r>
        <w:lastRenderedPageBreak/>
        <w:t xml:space="preserve">Table </w:t>
      </w:r>
      <w:r w:rsidR="00211285">
        <w:fldChar w:fldCharType="begin"/>
      </w:r>
      <w:r w:rsidR="00211285">
        <w:instrText xml:space="preserve"> SEQ Table \* ARABIC </w:instrText>
      </w:r>
      <w:r w:rsidR="00211285">
        <w:fldChar w:fldCharType="separate"/>
      </w:r>
      <w:r w:rsidR="00451350">
        <w:rPr>
          <w:noProof/>
        </w:rPr>
        <w:t>75</w:t>
      </w:r>
      <w:r w:rsidR="00211285">
        <w:rPr>
          <w:noProof/>
        </w:rPr>
        <w:fldChar w:fldCharType="end"/>
      </w:r>
      <w:bookmarkEnd w:id="723"/>
      <w:r>
        <w:tab/>
        <w:t xml:space="preserve">PBS cost offsets associated with reduced </w:t>
      </w:r>
      <w:r w:rsidR="009D13AE">
        <w:t>fiducial</w:t>
      </w:r>
      <w:r>
        <w:t xml:space="preserve"> marking procedures, 2021 to 2025</w:t>
      </w:r>
      <w:bookmarkEnd w:id="724"/>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405B60" w14:paraId="371A01E5" w14:textId="77777777" w:rsidTr="00DD334E">
        <w:trPr>
          <w:jc w:val="center"/>
        </w:trPr>
        <w:tc>
          <w:tcPr>
            <w:tcW w:w="1502" w:type="dxa"/>
          </w:tcPr>
          <w:p w14:paraId="77B1A637" w14:textId="1CAE4B4A" w:rsidR="00405B60" w:rsidRPr="00DD334E" w:rsidRDefault="00405B60" w:rsidP="00681B8C">
            <w:pPr>
              <w:spacing w:before="40" w:line="240" w:lineRule="auto"/>
              <w:ind w:left="0"/>
              <w:rPr>
                <w:rFonts w:ascii="Arial Narrow" w:hAnsi="Arial Narrow"/>
                <w:b/>
                <w:sz w:val="20"/>
                <w:szCs w:val="20"/>
              </w:rPr>
            </w:pPr>
            <w:r w:rsidRPr="00DD334E">
              <w:rPr>
                <w:rFonts w:ascii="Arial Narrow" w:hAnsi="Arial Narrow"/>
                <w:b/>
                <w:sz w:val="20"/>
                <w:szCs w:val="20"/>
              </w:rPr>
              <w:t>Item</w:t>
            </w:r>
          </w:p>
        </w:tc>
        <w:tc>
          <w:tcPr>
            <w:tcW w:w="1502" w:type="dxa"/>
          </w:tcPr>
          <w:p w14:paraId="7542940C" w14:textId="5C1B394E" w:rsidR="00405B60" w:rsidRPr="00DD334E" w:rsidRDefault="00405B60" w:rsidP="00681B8C">
            <w:pPr>
              <w:spacing w:before="40" w:line="240" w:lineRule="auto"/>
              <w:ind w:left="0"/>
              <w:jc w:val="center"/>
              <w:rPr>
                <w:rFonts w:ascii="Arial Narrow" w:hAnsi="Arial Narrow"/>
                <w:b/>
                <w:sz w:val="20"/>
                <w:szCs w:val="20"/>
              </w:rPr>
            </w:pPr>
            <w:r w:rsidRPr="00DD334E">
              <w:rPr>
                <w:rFonts w:ascii="Arial Narrow" w:hAnsi="Arial Narrow"/>
                <w:b/>
                <w:sz w:val="20"/>
                <w:szCs w:val="20"/>
              </w:rPr>
              <w:t>2021</w:t>
            </w:r>
          </w:p>
        </w:tc>
        <w:tc>
          <w:tcPr>
            <w:tcW w:w="1503" w:type="dxa"/>
          </w:tcPr>
          <w:p w14:paraId="16368B2B" w14:textId="34049D3B" w:rsidR="00405B60" w:rsidRPr="00DD334E" w:rsidRDefault="00405B60" w:rsidP="00681B8C">
            <w:pPr>
              <w:spacing w:before="40" w:line="240" w:lineRule="auto"/>
              <w:ind w:left="0"/>
              <w:jc w:val="center"/>
              <w:rPr>
                <w:rFonts w:ascii="Arial Narrow" w:hAnsi="Arial Narrow"/>
                <w:b/>
                <w:sz w:val="20"/>
                <w:szCs w:val="20"/>
              </w:rPr>
            </w:pPr>
            <w:r w:rsidRPr="00DD334E">
              <w:rPr>
                <w:rFonts w:ascii="Arial Narrow" w:hAnsi="Arial Narrow"/>
                <w:b/>
                <w:sz w:val="20"/>
                <w:szCs w:val="20"/>
              </w:rPr>
              <w:t>2022</w:t>
            </w:r>
          </w:p>
        </w:tc>
        <w:tc>
          <w:tcPr>
            <w:tcW w:w="1503" w:type="dxa"/>
          </w:tcPr>
          <w:p w14:paraId="4585BF5F" w14:textId="4C3A681C" w:rsidR="00405B60" w:rsidRPr="00DD334E" w:rsidRDefault="00405B60" w:rsidP="00681B8C">
            <w:pPr>
              <w:spacing w:before="40" w:line="240" w:lineRule="auto"/>
              <w:ind w:left="0"/>
              <w:jc w:val="center"/>
              <w:rPr>
                <w:rFonts w:ascii="Arial Narrow" w:hAnsi="Arial Narrow"/>
                <w:b/>
                <w:sz w:val="20"/>
                <w:szCs w:val="20"/>
              </w:rPr>
            </w:pPr>
            <w:r w:rsidRPr="00DD334E">
              <w:rPr>
                <w:rFonts w:ascii="Arial Narrow" w:hAnsi="Arial Narrow"/>
                <w:b/>
                <w:sz w:val="20"/>
                <w:szCs w:val="20"/>
              </w:rPr>
              <w:t>2023</w:t>
            </w:r>
          </w:p>
        </w:tc>
        <w:tc>
          <w:tcPr>
            <w:tcW w:w="1503" w:type="dxa"/>
          </w:tcPr>
          <w:p w14:paraId="370B75AE" w14:textId="0742F066" w:rsidR="00405B60" w:rsidRPr="00DD334E" w:rsidRDefault="00405B60" w:rsidP="00681B8C">
            <w:pPr>
              <w:spacing w:before="40" w:line="240" w:lineRule="auto"/>
              <w:ind w:left="0"/>
              <w:jc w:val="center"/>
              <w:rPr>
                <w:rFonts w:ascii="Arial Narrow" w:hAnsi="Arial Narrow"/>
                <w:b/>
                <w:sz w:val="20"/>
                <w:szCs w:val="20"/>
              </w:rPr>
            </w:pPr>
            <w:r w:rsidRPr="00DD334E">
              <w:rPr>
                <w:rFonts w:ascii="Arial Narrow" w:hAnsi="Arial Narrow"/>
                <w:b/>
                <w:sz w:val="20"/>
                <w:szCs w:val="20"/>
              </w:rPr>
              <w:t>2024</w:t>
            </w:r>
          </w:p>
        </w:tc>
        <w:tc>
          <w:tcPr>
            <w:tcW w:w="1503" w:type="dxa"/>
          </w:tcPr>
          <w:p w14:paraId="4DAE69B4" w14:textId="777EE744" w:rsidR="00405B60" w:rsidRPr="00DD334E" w:rsidRDefault="00405B60" w:rsidP="00681B8C">
            <w:pPr>
              <w:spacing w:before="40" w:line="240" w:lineRule="auto"/>
              <w:ind w:left="0"/>
              <w:jc w:val="center"/>
              <w:rPr>
                <w:rFonts w:ascii="Arial Narrow" w:hAnsi="Arial Narrow"/>
                <w:b/>
                <w:sz w:val="20"/>
                <w:szCs w:val="20"/>
              </w:rPr>
            </w:pPr>
            <w:r w:rsidRPr="00DD334E">
              <w:rPr>
                <w:rFonts w:ascii="Arial Narrow" w:hAnsi="Arial Narrow"/>
                <w:b/>
                <w:sz w:val="20"/>
                <w:szCs w:val="20"/>
              </w:rPr>
              <w:t>2025</w:t>
            </w:r>
          </w:p>
        </w:tc>
      </w:tr>
      <w:tr w:rsidR="00D71ED3" w14:paraId="72126FD6" w14:textId="77777777" w:rsidTr="00031EE6">
        <w:trPr>
          <w:jc w:val="center"/>
        </w:trPr>
        <w:tc>
          <w:tcPr>
            <w:tcW w:w="1502" w:type="dxa"/>
            <w:vAlign w:val="center"/>
          </w:tcPr>
          <w:p w14:paraId="5112F782" w14:textId="03E0F566" w:rsidR="00D71ED3" w:rsidRPr="00DD334E" w:rsidRDefault="00681B8C" w:rsidP="00681B8C">
            <w:pPr>
              <w:spacing w:before="40" w:line="240" w:lineRule="auto"/>
              <w:ind w:left="0"/>
              <w:rPr>
                <w:rFonts w:ascii="Arial Narrow" w:hAnsi="Arial Narrow"/>
                <w:sz w:val="20"/>
                <w:szCs w:val="20"/>
              </w:rPr>
            </w:pPr>
            <w:r>
              <w:rPr>
                <w:rFonts w:ascii="Arial Narrow" w:hAnsi="Arial Narrow"/>
                <w:sz w:val="20"/>
                <w:szCs w:val="20"/>
              </w:rPr>
              <w:t>PBS item 1209P</w:t>
            </w:r>
          </w:p>
        </w:tc>
        <w:tc>
          <w:tcPr>
            <w:tcW w:w="1502" w:type="dxa"/>
            <w:vAlign w:val="center"/>
          </w:tcPr>
          <w:p w14:paraId="5FAE299D" w14:textId="5747DD94" w:rsidR="00D71ED3" w:rsidRPr="00DD334E" w:rsidRDefault="00681B8C" w:rsidP="00681B8C">
            <w:pPr>
              <w:spacing w:before="40" w:line="240" w:lineRule="auto"/>
              <w:ind w:left="0"/>
              <w:jc w:val="center"/>
              <w:rPr>
                <w:rFonts w:ascii="Arial Narrow" w:hAnsi="Arial Narrow" w:cs="Calibri"/>
                <w:color w:val="000000"/>
                <w:sz w:val="20"/>
                <w:szCs w:val="20"/>
              </w:rPr>
            </w:pPr>
            <w:r>
              <w:rPr>
                <w:rFonts w:ascii="Arial Narrow" w:hAnsi="Arial Narrow" w:cs="Calibri"/>
                <w:color w:val="000000"/>
                <w:sz w:val="20"/>
                <w:szCs w:val="20"/>
              </w:rPr>
              <w:t>1,656</w:t>
            </w:r>
          </w:p>
        </w:tc>
        <w:tc>
          <w:tcPr>
            <w:tcW w:w="1503" w:type="dxa"/>
            <w:vAlign w:val="center"/>
          </w:tcPr>
          <w:p w14:paraId="377F61C0" w14:textId="7B0C6043" w:rsidR="00D71ED3" w:rsidRPr="00DD334E" w:rsidRDefault="00681B8C" w:rsidP="00681B8C">
            <w:pPr>
              <w:spacing w:before="40" w:line="240" w:lineRule="auto"/>
              <w:ind w:left="0"/>
              <w:jc w:val="center"/>
              <w:rPr>
                <w:rFonts w:ascii="Arial Narrow" w:hAnsi="Arial Narrow" w:cs="Calibri"/>
                <w:color w:val="000000"/>
                <w:sz w:val="20"/>
                <w:szCs w:val="20"/>
              </w:rPr>
            </w:pPr>
            <w:r>
              <w:rPr>
                <w:rFonts w:ascii="Arial Narrow" w:hAnsi="Arial Narrow" w:cs="Calibri"/>
                <w:color w:val="000000"/>
                <w:sz w:val="20"/>
                <w:szCs w:val="20"/>
              </w:rPr>
              <w:t>3,312</w:t>
            </w:r>
          </w:p>
        </w:tc>
        <w:tc>
          <w:tcPr>
            <w:tcW w:w="1503" w:type="dxa"/>
            <w:vAlign w:val="center"/>
          </w:tcPr>
          <w:p w14:paraId="2CD5C3F0" w14:textId="24D5E0F4" w:rsidR="00D71ED3" w:rsidRPr="00DD334E" w:rsidRDefault="00681B8C" w:rsidP="00681B8C">
            <w:pPr>
              <w:spacing w:before="40" w:line="240" w:lineRule="auto"/>
              <w:ind w:left="0"/>
              <w:jc w:val="center"/>
              <w:rPr>
                <w:rFonts w:ascii="Arial Narrow" w:hAnsi="Arial Narrow" w:cs="Calibri"/>
                <w:color w:val="000000"/>
                <w:sz w:val="20"/>
                <w:szCs w:val="20"/>
              </w:rPr>
            </w:pPr>
            <w:r>
              <w:rPr>
                <w:rFonts w:ascii="Arial Narrow" w:hAnsi="Arial Narrow" w:cs="Calibri"/>
                <w:color w:val="000000"/>
                <w:sz w:val="20"/>
                <w:szCs w:val="20"/>
              </w:rPr>
              <w:t>10,120</w:t>
            </w:r>
          </w:p>
        </w:tc>
        <w:tc>
          <w:tcPr>
            <w:tcW w:w="1503" w:type="dxa"/>
            <w:vAlign w:val="center"/>
          </w:tcPr>
          <w:p w14:paraId="1FCAA914" w14:textId="3C23B8CC" w:rsidR="00D71ED3" w:rsidRPr="00DD334E" w:rsidRDefault="00681B8C" w:rsidP="00681B8C">
            <w:pPr>
              <w:spacing w:before="40" w:line="240" w:lineRule="auto"/>
              <w:ind w:left="0"/>
              <w:jc w:val="center"/>
              <w:rPr>
                <w:rFonts w:ascii="Arial Narrow" w:hAnsi="Arial Narrow" w:cs="Calibri"/>
                <w:color w:val="000000"/>
                <w:sz w:val="20"/>
                <w:szCs w:val="20"/>
              </w:rPr>
            </w:pPr>
            <w:r>
              <w:rPr>
                <w:rFonts w:ascii="Arial Narrow" w:hAnsi="Arial Narrow" w:cs="Calibri"/>
                <w:color w:val="000000"/>
                <w:sz w:val="20"/>
                <w:szCs w:val="20"/>
              </w:rPr>
              <w:t>10,120</w:t>
            </w:r>
          </w:p>
        </w:tc>
        <w:tc>
          <w:tcPr>
            <w:tcW w:w="1503" w:type="dxa"/>
            <w:vAlign w:val="center"/>
          </w:tcPr>
          <w:p w14:paraId="3CC52468" w14:textId="417540E0" w:rsidR="00D71ED3" w:rsidRPr="00DD334E" w:rsidRDefault="00681B8C" w:rsidP="00681B8C">
            <w:pPr>
              <w:spacing w:before="40" w:line="240" w:lineRule="auto"/>
              <w:ind w:left="0"/>
              <w:jc w:val="center"/>
              <w:rPr>
                <w:rFonts w:ascii="Arial Narrow" w:hAnsi="Arial Narrow" w:cs="Calibri"/>
                <w:color w:val="000000"/>
                <w:sz w:val="20"/>
                <w:szCs w:val="20"/>
              </w:rPr>
            </w:pPr>
            <w:r>
              <w:rPr>
                <w:rFonts w:ascii="Arial Narrow" w:hAnsi="Arial Narrow" w:cs="Calibri"/>
                <w:color w:val="000000"/>
                <w:sz w:val="20"/>
                <w:szCs w:val="20"/>
              </w:rPr>
              <w:t>10,120</w:t>
            </w:r>
          </w:p>
        </w:tc>
      </w:tr>
      <w:tr w:rsidR="00405B60" w14:paraId="53539110" w14:textId="77777777" w:rsidTr="00031EE6">
        <w:trPr>
          <w:jc w:val="center"/>
        </w:trPr>
        <w:tc>
          <w:tcPr>
            <w:tcW w:w="1502" w:type="dxa"/>
            <w:vAlign w:val="center"/>
          </w:tcPr>
          <w:p w14:paraId="7BC7906B" w14:textId="5C493B6A" w:rsidR="00405B60" w:rsidRPr="00DD334E" w:rsidRDefault="00405B60" w:rsidP="00681B8C">
            <w:pPr>
              <w:spacing w:before="40" w:line="240" w:lineRule="auto"/>
              <w:ind w:left="0"/>
              <w:rPr>
                <w:rFonts w:ascii="Arial Narrow" w:hAnsi="Arial Narrow"/>
                <w:sz w:val="20"/>
                <w:szCs w:val="20"/>
              </w:rPr>
            </w:pPr>
            <w:r w:rsidRPr="00DD334E">
              <w:rPr>
                <w:rFonts w:ascii="Arial Narrow" w:hAnsi="Arial Narrow"/>
                <w:sz w:val="20"/>
                <w:szCs w:val="20"/>
              </w:rPr>
              <w:t>Fiducial Marker Placement</w:t>
            </w:r>
          </w:p>
        </w:tc>
        <w:tc>
          <w:tcPr>
            <w:tcW w:w="1502" w:type="dxa"/>
            <w:vAlign w:val="center"/>
          </w:tcPr>
          <w:p w14:paraId="31FC5E18" w14:textId="05AE86A3" w:rsidR="00405B60" w:rsidRPr="00DD334E" w:rsidRDefault="00DD334E" w:rsidP="00681B8C">
            <w:pPr>
              <w:spacing w:before="40" w:line="240" w:lineRule="auto"/>
              <w:ind w:left="0"/>
              <w:jc w:val="center"/>
              <w:rPr>
                <w:rFonts w:ascii="Arial Narrow" w:hAnsi="Arial Narrow"/>
                <w:sz w:val="20"/>
                <w:szCs w:val="20"/>
              </w:rPr>
            </w:pPr>
            <w:r w:rsidRPr="00DD334E">
              <w:rPr>
                <w:rFonts w:ascii="Arial Narrow" w:hAnsi="Arial Narrow" w:cs="Calibri"/>
                <w:color w:val="000000"/>
                <w:sz w:val="20"/>
                <w:szCs w:val="20"/>
              </w:rPr>
              <w:t>$30,272</w:t>
            </w:r>
          </w:p>
        </w:tc>
        <w:tc>
          <w:tcPr>
            <w:tcW w:w="1503" w:type="dxa"/>
            <w:vAlign w:val="center"/>
          </w:tcPr>
          <w:p w14:paraId="39B2970F" w14:textId="136FD656" w:rsidR="00405B60" w:rsidRPr="00DD334E" w:rsidRDefault="00DD334E" w:rsidP="00681B8C">
            <w:pPr>
              <w:spacing w:before="40" w:line="240" w:lineRule="auto"/>
              <w:ind w:left="0"/>
              <w:jc w:val="center"/>
              <w:rPr>
                <w:rFonts w:ascii="Arial Narrow" w:hAnsi="Arial Narrow"/>
                <w:sz w:val="20"/>
                <w:szCs w:val="20"/>
              </w:rPr>
            </w:pPr>
            <w:r w:rsidRPr="00DD334E">
              <w:rPr>
                <w:rFonts w:ascii="Arial Narrow" w:hAnsi="Arial Narrow" w:cs="Calibri"/>
                <w:color w:val="000000"/>
                <w:sz w:val="20"/>
                <w:szCs w:val="20"/>
              </w:rPr>
              <w:t>$60,543</w:t>
            </w:r>
          </w:p>
        </w:tc>
        <w:tc>
          <w:tcPr>
            <w:tcW w:w="1503" w:type="dxa"/>
            <w:vAlign w:val="center"/>
          </w:tcPr>
          <w:p w14:paraId="1359FA36" w14:textId="447E60C8" w:rsidR="00405B60" w:rsidRPr="00DD334E" w:rsidRDefault="00DD334E" w:rsidP="00681B8C">
            <w:pPr>
              <w:spacing w:before="40" w:line="240" w:lineRule="auto"/>
              <w:ind w:left="0"/>
              <w:jc w:val="center"/>
              <w:rPr>
                <w:rFonts w:ascii="Arial Narrow" w:hAnsi="Arial Narrow"/>
                <w:sz w:val="20"/>
                <w:szCs w:val="20"/>
              </w:rPr>
            </w:pPr>
            <w:r w:rsidRPr="00DD334E">
              <w:rPr>
                <w:rFonts w:ascii="Arial Narrow" w:hAnsi="Arial Narrow" w:cs="Calibri"/>
                <w:color w:val="000000"/>
                <w:sz w:val="20"/>
                <w:szCs w:val="20"/>
              </w:rPr>
              <w:t>$184,994</w:t>
            </w:r>
          </w:p>
        </w:tc>
        <w:tc>
          <w:tcPr>
            <w:tcW w:w="1503" w:type="dxa"/>
            <w:vAlign w:val="center"/>
          </w:tcPr>
          <w:p w14:paraId="7DE0A256" w14:textId="3F53B3B2" w:rsidR="00405B60" w:rsidRPr="00DD334E" w:rsidRDefault="00DD334E" w:rsidP="00681B8C">
            <w:pPr>
              <w:spacing w:before="40" w:line="240" w:lineRule="auto"/>
              <w:ind w:left="0"/>
              <w:jc w:val="center"/>
              <w:rPr>
                <w:rFonts w:ascii="Arial Narrow" w:hAnsi="Arial Narrow"/>
                <w:sz w:val="20"/>
                <w:szCs w:val="20"/>
              </w:rPr>
            </w:pPr>
            <w:r w:rsidRPr="00DD334E">
              <w:rPr>
                <w:rFonts w:ascii="Arial Narrow" w:hAnsi="Arial Narrow" w:cs="Calibri"/>
                <w:color w:val="000000"/>
                <w:sz w:val="20"/>
                <w:szCs w:val="20"/>
              </w:rPr>
              <w:t>$184,994</w:t>
            </w:r>
          </w:p>
        </w:tc>
        <w:tc>
          <w:tcPr>
            <w:tcW w:w="1503" w:type="dxa"/>
            <w:vAlign w:val="center"/>
          </w:tcPr>
          <w:p w14:paraId="2DC0AA57" w14:textId="092181BE" w:rsidR="00405B60" w:rsidRPr="00DD334E" w:rsidRDefault="00DD334E" w:rsidP="00681B8C">
            <w:pPr>
              <w:spacing w:before="40" w:line="240" w:lineRule="auto"/>
              <w:ind w:left="0"/>
              <w:jc w:val="center"/>
              <w:rPr>
                <w:rFonts w:ascii="Arial Narrow" w:hAnsi="Arial Narrow"/>
                <w:sz w:val="20"/>
                <w:szCs w:val="20"/>
              </w:rPr>
            </w:pPr>
            <w:r w:rsidRPr="00DD334E">
              <w:rPr>
                <w:rFonts w:ascii="Arial Narrow" w:hAnsi="Arial Narrow" w:cs="Calibri"/>
                <w:color w:val="000000"/>
                <w:sz w:val="20"/>
                <w:szCs w:val="20"/>
              </w:rPr>
              <w:t>$184,994</w:t>
            </w:r>
          </w:p>
        </w:tc>
      </w:tr>
    </w:tbl>
    <w:p w14:paraId="675144AE" w14:textId="1C5C2084" w:rsidR="00D83350" w:rsidRPr="00135F1E" w:rsidRDefault="00135F1E" w:rsidP="009D6338">
      <w:pPr>
        <w:pStyle w:val="Tablenotes0"/>
      </w:pPr>
      <w:r>
        <w:t>Abbreviations: PBS=Pharmaceutical Benefits Schedule</w:t>
      </w:r>
    </w:p>
    <w:p w14:paraId="2CCE1D22" w14:textId="2CA073A1" w:rsidR="008D78A5" w:rsidRDefault="008D78A5" w:rsidP="008D78A5">
      <w:pPr>
        <w:jc w:val="both"/>
      </w:pPr>
      <w:r>
        <w:t xml:space="preserve">Both the Applicant and clinical advice do not anticipate any difference in post-treatment patient management or monitoring aside from adverse events. </w:t>
      </w:r>
      <w:r w:rsidR="009D13AE">
        <w:t>An indicative analysis of a</w:t>
      </w:r>
      <w:r w:rsidR="00D83350">
        <w:t xml:space="preserve">dverse events costs as a function of CBCT-IGRT and MR-IGRT were also considered in Section </w:t>
      </w:r>
      <w:r w:rsidR="00D83350">
        <w:fldChar w:fldCharType="begin"/>
      </w:r>
      <w:r w:rsidR="00D83350">
        <w:instrText xml:space="preserve"> REF _Ref59021831 \r \h </w:instrText>
      </w:r>
      <w:r w:rsidR="00D83350">
        <w:fldChar w:fldCharType="separate"/>
      </w:r>
      <w:r w:rsidR="00451350">
        <w:t>D.4</w:t>
      </w:r>
      <w:r w:rsidR="00D83350">
        <w:fldChar w:fldCharType="end"/>
      </w:r>
      <w:r w:rsidR="00D83350">
        <w:t>.</w:t>
      </w:r>
    </w:p>
    <w:p w14:paraId="7D7BAD20" w14:textId="49A00101" w:rsidR="003F7F84" w:rsidRDefault="003F7F84" w:rsidP="003F7F84">
      <w:pPr>
        <w:jc w:val="both"/>
      </w:pPr>
      <w:r>
        <w:t xml:space="preserve">Per patient MBS-specific cost offsets were considered in Section </w:t>
      </w:r>
      <w:r w:rsidR="00554808">
        <w:fldChar w:fldCharType="begin"/>
      </w:r>
      <w:r w:rsidR="00554808">
        <w:instrText xml:space="preserve"> REF _Ref59014238 \r \h </w:instrText>
      </w:r>
      <w:r w:rsidR="00554808">
        <w:fldChar w:fldCharType="separate"/>
      </w:r>
      <w:r w:rsidR="00451350">
        <w:t>E.3</w:t>
      </w:r>
      <w:r w:rsidR="00554808">
        <w:fldChar w:fldCharType="end"/>
      </w:r>
      <w:r w:rsidR="00554808">
        <w:t xml:space="preserve">.  </w:t>
      </w:r>
      <w:r>
        <w:t xml:space="preserve">Per patient PBS-specific cost offsets are presented in this section.  As per Section </w:t>
      </w:r>
      <w:r w:rsidR="00554808">
        <w:fldChar w:fldCharType="begin"/>
      </w:r>
      <w:r w:rsidR="00554808">
        <w:instrText xml:space="preserve"> REF _Ref59014251 \r \h </w:instrText>
      </w:r>
      <w:r w:rsidR="00554808">
        <w:fldChar w:fldCharType="separate"/>
      </w:r>
      <w:r w:rsidR="00451350">
        <w:t>E.3</w:t>
      </w:r>
      <w:r w:rsidR="00554808">
        <w:fldChar w:fldCharType="end"/>
      </w:r>
      <w:r>
        <w:t>, they are not to be considered</w:t>
      </w:r>
      <w:r w:rsidR="00147BA7">
        <w:t xml:space="preserve"> necessarily</w:t>
      </w:r>
      <w:r>
        <w:t xml:space="preserve"> reflective of all cancer indications for which MR-IGRT may be used</w:t>
      </w:r>
      <w:r w:rsidR="00FB2721">
        <w:t xml:space="preserve"> or current CBCT-IGRT treatment practice</w:t>
      </w:r>
      <w:r>
        <w:t>.  However, they serve as useful estimates of adverse-event related costs, given the prostate cancer indication has been one for which MR-IGRT has been most commonly studied and used and is expected by the Applicant to reflect a significant portion of initial utilisation upon any MBS listing.</w:t>
      </w:r>
    </w:p>
    <w:p w14:paraId="0CAD941F" w14:textId="40DCD515" w:rsidR="003F7F84" w:rsidRDefault="003F7F84" w:rsidP="003F7F84">
      <w:pPr>
        <w:jc w:val="both"/>
      </w:pPr>
      <w:bookmarkStart w:id="725" w:name="_Toc56010250"/>
      <w:r>
        <w:t xml:space="preserve">PBS-specific acute toxicity costs are summarised in </w:t>
      </w:r>
      <w:r>
        <w:fldChar w:fldCharType="begin"/>
      </w:r>
      <w:r>
        <w:instrText xml:space="preserve"> REF _Ref58947182 \h </w:instrText>
      </w:r>
      <w:r>
        <w:fldChar w:fldCharType="separate"/>
      </w:r>
      <w:r w:rsidR="00451350">
        <w:t xml:space="preserve">Table </w:t>
      </w:r>
      <w:r w:rsidR="00451350">
        <w:rPr>
          <w:noProof/>
        </w:rPr>
        <w:t>76</w:t>
      </w:r>
      <w:r>
        <w:fldChar w:fldCharType="end"/>
      </w:r>
      <w:r>
        <w:t>.  The MR-IGRT is estimated to save $372 per patient in acute toxicity costs.</w:t>
      </w:r>
    </w:p>
    <w:p w14:paraId="7A182786" w14:textId="1BF48AD6" w:rsidR="003F7F84" w:rsidRDefault="003F7F84" w:rsidP="003F7F84">
      <w:pPr>
        <w:pStyle w:val="Caption"/>
      </w:pPr>
      <w:bookmarkStart w:id="726" w:name="_Ref58947182"/>
      <w:bookmarkStart w:id="727" w:name="_Toc89857947"/>
      <w:r>
        <w:t xml:space="preserve">Table </w:t>
      </w:r>
      <w:r w:rsidR="00211285">
        <w:fldChar w:fldCharType="begin"/>
      </w:r>
      <w:r w:rsidR="00211285">
        <w:instrText xml:space="preserve"> SEQ Table \* ARABIC </w:instrText>
      </w:r>
      <w:r w:rsidR="00211285">
        <w:fldChar w:fldCharType="separate"/>
      </w:r>
      <w:r w:rsidR="00451350">
        <w:rPr>
          <w:noProof/>
        </w:rPr>
        <w:t>76</w:t>
      </w:r>
      <w:r w:rsidR="00211285">
        <w:rPr>
          <w:noProof/>
        </w:rPr>
        <w:fldChar w:fldCharType="end"/>
      </w:r>
      <w:bookmarkEnd w:id="726"/>
      <w:r>
        <w:tab/>
        <w:t>Financial impact of treatment-related adverse events: acute toxicity costs, prostate cancer only</w:t>
      </w:r>
      <w:bookmarkEnd w:id="727"/>
    </w:p>
    <w:tbl>
      <w:tblPr>
        <w:tblStyle w:val="TableGrid1"/>
        <w:tblW w:w="5000" w:type="pct"/>
        <w:tblLook w:val="04A0" w:firstRow="1" w:lastRow="0" w:firstColumn="1" w:lastColumn="0" w:noHBand="0" w:noVBand="1"/>
      </w:tblPr>
      <w:tblGrid>
        <w:gridCol w:w="4674"/>
        <w:gridCol w:w="4342"/>
      </w:tblGrid>
      <w:tr w:rsidR="003F7F84" w14:paraId="75D3503A" w14:textId="77777777" w:rsidTr="00A21A7F">
        <w:trPr>
          <w:cnfStyle w:val="100000000000" w:firstRow="1" w:lastRow="0" w:firstColumn="0" w:lastColumn="0" w:oddVBand="0" w:evenVBand="0" w:oddHBand="0" w:evenHBand="0" w:firstRowFirstColumn="0" w:firstRowLastColumn="0" w:lastRowFirstColumn="0" w:lastRowLastColumn="0"/>
          <w:trHeight w:val="290"/>
        </w:trPr>
        <w:tc>
          <w:tcPr>
            <w:tcW w:w="2592" w:type="pct"/>
            <w:tcBorders>
              <w:bottom w:val="single" w:sz="4" w:space="0" w:color="auto"/>
            </w:tcBorders>
            <w:shd w:val="clear" w:color="auto" w:fill="auto"/>
            <w:vAlign w:val="bottom"/>
          </w:tcPr>
          <w:p w14:paraId="0BB13DB6" w14:textId="77777777" w:rsidR="003F7F84" w:rsidRDefault="003F7F84" w:rsidP="00681B8C">
            <w:pPr>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Item</w:t>
            </w:r>
          </w:p>
        </w:tc>
        <w:tc>
          <w:tcPr>
            <w:tcW w:w="2408" w:type="pct"/>
            <w:tcBorders>
              <w:bottom w:val="single" w:sz="4" w:space="0" w:color="auto"/>
            </w:tcBorders>
            <w:shd w:val="clear" w:color="auto" w:fill="auto"/>
            <w:noWrap/>
            <w:vAlign w:val="center"/>
          </w:tcPr>
          <w:p w14:paraId="299936AD" w14:textId="77777777" w:rsidR="003F7F84" w:rsidRDefault="003F7F84" w:rsidP="00681B8C">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Total acute toxicity costs per patient</w:t>
            </w:r>
          </w:p>
        </w:tc>
      </w:tr>
      <w:tr w:rsidR="003F7F84" w14:paraId="02A90B8F" w14:textId="77777777" w:rsidTr="00A21A7F">
        <w:trPr>
          <w:trHeight w:val="290"/>
        </w:trPr>
        <w:tc>
          <w:tcPr>
            <w:tcW w:w="2592" w:type="pct"/>
            <w:tcBorders>
              <w:top w:val="single" w:sz="4" w:space="0" w:color="auto"/>
            </w:tcBorders>
            <w:shd w:val="clear" w:color="auto" w:fill="auto"/>
            <w:vAlign w:val="bottom"/>
          </w:tcPr>
          <w:p w14:paraId="46B9C8EA" w14:textId="77777777" w:rsidR="003F7F84" w:rsidRPr="00E60765" w:rsidRDefault="003F7F84" w:rsidP="00681B8C">
            <w:pPr>
              <w:spacing w:before="40" w:line="240" w:lineRule="auto"/>
              <w:rPr>
                <w:rFonts w:ascii="Arial Narrow" w:hAnsi="Arial Narrow" w:cs="Calibri"/>
                <w:color w:val="000000"/>
                <w:sz w:val="20"/>
                <w:szCs w:val="20"/>
              </w:rPr>
            </w:pPr>
            <w:r w:rsidRPr="00E60765">
              <w:rPr>
                <w:rFonts w:ascii="Arial Narrow" w:hAnsi="Arial Narrow" w:cs="Calibri"/>
                <w:color w:val="000000"/>
                <w:sz w:val="20"/>
                <w:szCs w:val="20"/>
              </w:rPr>
              <w:t>CBCT-IGRT</w:t>
            </w:r>
          </w:p>
        </w:tc>
        <w:tc>
          <w:tcPr>
            <w:tcW w:w="2408" w:type="pct"/>
            <w:tcBorders>
              <w:top w:val="single" w:sz="4" w:space="0" w:color="auto"/>
            </w:tcBorders>
            <w:shd w:val="clear" w:color="auto" w:fill="auto"/>
            <w:noWrap/>
            <w:vAlign w:val="center"/>
          </w:tcPr>
          <w:p w14:paraId="605D9EFC" w14:textId="77777777" w:rsidR="003F7F84" w:rsidRPr="00E60765" w:rsidRDefault="003F7F84" w:rsidP="00681B8C">
            <w:pPr>
              <w:spacing w:before="40" w:line="240" w:lineRule="auto"/>
              <w:jc w:val="center"/>
              <w:rPr>
                <w:rFonts w:ascii="Arial Narrow" w:hAnsi="Arial Narrow" w:cs="Calibri"/>
                <w:color w:val="000000"/>
                <w:sz w:val="20"/>
                <w:szCs w:val="20"/>
              </w:rPr>
            </w:pPr>
            <w:r w:rsidRPr="00E60765">
              <w:rPr>
                <w:rFonts w:ascii="Arial Narrow" w:hAnsi="Arial Narrow" w:cs="Calibri"/>
                <w:color w:val="000000"/>
                <w:sz w:val="20"/>
                <w:szCs w:val="20"/>
              </w:rPr>
              <w:t>$</w:t>
            </w:r>
            <w:r>
              <w:rPr>
                <w:rFonts w:ascii="Arial Narrow" w:hAnsi="Arial Narrow" w:cs="Calibri"/>
                <w:color w:val="000000"/>
                <w:sz w:val="20"/>
                <w:szCs w:val="20"/>
              </w:rPr>
              <w:t>430.72</w:t>
            </w:r>
          </w:p>
        </w:tc>
      </w:tr>
      <w:tr w:rsidR="003F7F84" w14:paraId="4436E1A3" w14:textId="77777777" w:rsidTr="00A21A7F">
        <w:trPr>
          <w:trHeight w:val="290"/>
        </w:trPr>
        <w:tc>
          <w:tcPr>
            <w:tcW w:w="2592" w:type="pct"/>
            <w:shd w:val="clear" w:color="auto" w:fill="auto"/>
            <w:vAlign w:val="bottom"/>
          </w:tcPr>
          <w:p w14:paraId="2A2D108B" w14:textId="77777777" w:rsidR="003F7F84" w:rsidRPr="00E60765" w:rsidRDefault="003F7F84" w:rsidP="00681B8C">
            <w:pPr>
              <w:spacing w:before="40" w:line="240" w:lineRule="auto"/>
              <w:rPr>
                <w:rFonts w:ascii="Arial Narrow" w:hAnsi="Arial Narrow" w:cs="Calibri"/>
                <w:color w:val="000000"/>
                <w:sz w:val="20"/>
                <w:szCs w:val="20"/>
              </w:rPr>
            </w:pPr>
            <w:r w:rsidRPr="00E60765">
              <w:rPr>
                <w:rFonts w:ascii="Arial Narrow" w:hAnsi="Arial Narrow" w:cs="Calibri"/>
                <w:color w:val="000000"/>
                <w:sz w:val="20"/>
                <w:szCs w:val="20"/>
              </w:rPr>
              <w:t>MR-IGRT</w:t>
            </w:r>
          </w:p>
        </w:tc>
        <w:tc>
          <w:tcPr>
            <w:tcW w:w="2408" w:type="pct"/>
            <w:shd w:val="clear" w:color="auto" w:fill="auto"/>
            <w:noWrap/>
            <w:vAlign w:val="center"/>
          </w:tcPr>
          <w:p w14:paraId="1DE062B1" w14:textId="77777777" w:rsidR="003F7F84" w:rsidRPr="00E60765" w:rsidRDefault="003F7F84" w:rsidP="00681B8C">
            <w:pPr>
              <w:spacing w:before="40" w:line="240" w:lineRule="auto"/>
              <w:jc w:val="center"/>
              <w:rPr>
                <w:rFonts w:ascii="Arial Narrow" w:hAnsi="Arial Narrow" w:cs="Calibri"/>
                <w:color w:val="000000"/>
                <w:sz w:val="20"/>
                <w:szCs w:val="20"/>
              </w:rPr>
            </w:pPr>
            <w:r w:rsidRPr="00E60765">
              <w:rPr>
                <w:rFonts w:ascii="Arial Narrow" w:hAnsi="Arial Narrow" w:cs="Calibri"/>
                <w:color w:val="000000"/>
                <w:sz w:val="20"/>
                <w:szCs w:val="20"/>
              </w:rPr>
              <w:t>$</w:t>
            </w:r>
            <w:r>
              <w:rPr>
                <w:rFonts w:ascii="Arial Narrow" w:hAnsi="Arial Narrow" w:cs="Calibri"/>
                <w:color w:val="000000"/>
                <w:sz w:val="20"/>
                <w:szCs w:val="20"/>
              </w:rPr>
              <w:t>58.64</w:t>
            </w:r>
          </w:p>
        </w:tc>
      </w:tr>
      <w:tr w:rsidR="003F7F84" w14:paraId="43DDCC00" w14:textId="77777777" w:rsidTr="00A21A7F">
        <w:trPr>
          <w:trHeight w:val="290"/>
        </w:trPr>
        <w:tc>
          <w:tcPr>
            <w:tcW w:w="2592" w:type="pct"/>
            <w:shd w:val="clear" w:color="auto" w:fill="auto"/>
            <w:vAlign w:val="bottom"/>
          </w:tcPr>
          <w:p w14:paraId="087B130B" w14:textId="77777777" w:rsidR="003F7F84" w:rsidRDefault="003F7F84" w:rsidP="00681B8C">
            <w:pPr>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Net difference</w:t>
            </w:r>
          </w:p>
        </w:tc>
        <w:tc>
          <w:tcPr>
            <w:tcW w:w="2408" w:type="pct"/>
            <w:shd w:val="clear" w:color="auto" w:fill="auto"/>
            <w:noWrap/>
            <w:vAlign w:val="center"/>
          </w:tcPr>
          <w:p w14:paraId="749644E4" w14:textId="77777777" w:rsidR="003F7F84" w:rsidRDefault="003F7F84" w:rsidP="00681B8C">
            <w:pPr>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 xml:space="preserve">$372.08 </w:t>
            </w:r>
          </w:p>
        </w:tc>
      </w:tr>
    </w:tbl>
    <w:p w14:paraId="2EE7E881" w14:textId="1DD4A0AE" w:rsidR="003F7F84" w:rsidRDefault="003F7F84" w:rsidP="009D6338">
      <w:pPr>
        <w:pStyle w:val="Tablenotes0"/>
      </w:pPr>
      <w:r>
        <w:t>Abbreviations: CBCT-IGRT=cone beam computer tomography image-guided radiation therapy, MR-IGRT=magnetic resonance image-guided radiation therapy</w:t>
      </w:r>
    </w:p>
    <w:p w14:paraId="11CF61CD" w14:textId="43B65FCD" w:rsidR="003F7F84" w:rsidRDefault="003F7F84" w:rsidP="003F7F84">
      <w:pPr>
        <w:jc w:val="both"/>
        <w:rPr>
          <w:rFonts w:asciiTheme="minorHAnsi" w:hAnsiTheme="minorHAnsi" w:cstheme="minorHAnsi"/>
        </w:rPr>
      </w:pPr>
      <w:r>
        <w:rPr>
          <w:rFonts w:asciiTheme="minorHAnsi" w:hAnsiTheme="minorHAnsi" w:cstheme="minorHAnsi"/>
        </w:rPr>
        <w:t>Similarly,</w:t>
      </w:r>
      <w:r w:rsidR="000213A9">
        <w:rPr>
          <w:rFonts w:asciiTheme="minorHAnsi" w:hAnsiTheme="minorHAnsi" w:cstheme="minorHAnsi"/>
        </w:rPr>
        <w:t xml:space="preserve"> </w:t>
      </w:r>
      <w:r w:rsidR="000213A9">
        <w:rPr>
          <w:rFonts w:asciiTheme="minorHAnsi" w:hAnsiTheme="minorHAnsi" w:cstheme="minorHAnsi"/>
        </w:rPr>
        <w:fldChar w:fldCharType="begin"/>
      </w:r>
      <w:r w:rsidR="000213A9">
        <w:rPr>
          <w:rFonts w:asciiTheme="minorHAnsi" w:hAnsiTheme="minorHAnsi" w:cstheme="minorHAnsi"/>
        </w:rPr>
        <w:instrText xml:space="preserve"> REF _Ref89856960 \h </w:instrText>
      </w:r>
      <w:r w:rsidR="000213A9">
        <w:rPr>
          <w:rFonts w:asciiTheme="minorHAnsi" w:hAnsiTheme="minorHAnsi" w:cstheme="minorHAnsi"/>
        </w:rPr>
      </w:r>
      <w:r w:rsidR="000213A9">
        <w:rPr>
          <w:rFonts w:asciiTheme="minorHAnsi" w:hAnsiTheme="minorHAnsi" w:cstheme="minorHAnsi"/>
        </w:rPr>
        <w:fldChar w:fldCharType="separate"/>
      </w:r>
      <w:r w:rsidR="00451350">
        <w:t xml:space="preserve">Table </w:t>
      </w:r>
      <w:r w:rsidR="00451350">
        <w:rPr>
          <w:noProof/>
        </w:rPr>
        <w:t>77</w:t>
      </w:r>
      <w:r w:rsidR="000213A9">
        <w:rPr>
          <w:rFonts w:asciiTheme="minorHAnsi" w:hAnsiTheme="minorHAnsi" w:cstheme="minorHAnsi"/>
        </w:rPr>
        <w:fldChar w:fldCharType="end"/>
      </w:r>
      <w:r>
        <w:rPr>
          <w:rFonts w:asciiTheme="minorHAnsi" w:hAnsiTheme="minorHAnsi" w:cstheme="minorHAnsi"/>
        </w:rPr>
        <w:t xml:space="preserve"> summarises late toxicity costs.  In contrast to CBCT-IGRT, based on analysis in Section </w:t>
      </w:r>
      <w:r w:rsidR="006D3346">
        <w:rPr>
          <w:rFonts w:asciiTheme="minorHAnsi" w:hAnsiTheme="minorHAnsi" w:cstheme="minorHAnsi"/>
        </w:rPr>
        <w:fldChar w:fldCharType="begin"/>
      </w:r>
      <w:r w:rsidR="006D3346">
        <w:rPr>
          <w:rFonts w:asciiTheme="minorHAnsi" w:hAnsiTheme="minorHAnsi" w:cstheme="minorHAnsi"/>
        </w:rPr>
        <w:instrText xml:space="preserve"> REF _Ref59014267 \r \h </w:instrText>
      </w:r>
      <w:r w:rsidR="006D3346">
        <w:rPr>
          <w:rFonts w:asciiTheme="minorHAnsi" w:hAnsiTheme="minorHAnsi" w:cstheme="minorHAnsi"/>
        </w:rPr>
      </w:r>
      <w:r w:rsidR="006D3346">
        <w:rPr>
          <w:rFonts w:asciiTheme="minorHAnsi" w:hAnsiTheme="minorHAnsi" w:cstheme="minorHAnsi"/>
        </w:rPr>
        <w:fldChar w:fldCharType="separate"/>
      </w:r>
      <w:r w:rsidR="00451350">
        <w:rPr>
          <w:rFonts w:asciiTheme="minorHAnsi" w:hAnsiTheme="minorHAnsi" w:cstheme="minorHAnsi"/>
        </w:rPr>
        <w:t>D.4</w:t>
      </w:r>
      <w:r w:rsidR="006D3346">
        <w:rPr>
          <w:rFonts w:asciiTheme="minorHAnsi" w:hAnsiTheme="minorHAnsi" w:cstheme="minorHAnsi"/>
        </w:rPr>
        <w:fldChar w:fldCharType="end"/>
      </w:r>
      <w:r>
        <w:rPr>
          <w:rFonts w:asciiTheme="minorHAnsi" w:hAnsiTheme="minorHAnsi" w:cstheme="minorHAnsi"/>
        </w:rPr>
        <w:t xml:space="preserve">, MR-IGRT is considered to have no ‘late’ (i.e., post-acute) toxicity costs.  </w:t>
      </w:r>
      <w:r>
        <w:t>The MR-IGRT is estimated to save $</w:t>
      </w:r>
      <w:r w:rsidR="00F242F9">
        <w:t xml:space="preserve">269 </w:t>
      </w:r>
      <w:r>
        <w:t>per patient in late toxicity costs.</w:t>
      </w:r>
    </w:p>
    <w:p w14:paraId="5BE7AD25" w14:textId="0A0CA65A" w:rsidR="003F7F84" w:rsidRDefault="003F7F84" w:rsidP="000213A9">
      <w:pPr>
        <w:pStyle w:val="Caption"/>
        <w:keepNext/>
        <w:keepLines/>
      </w:pPr>
      <w:bookmarkStart w:id="728" w:name="_Ref89856960"/>
      <w:bookmarkStart w:id="729" w:name="_Toc89857948"/>
      <w:r>
        <w:t xml:space="preserve">Table </w:t>
      </w:r>
      <w:r w:rsidR="00211285">
        <w:fldChar w:fldCharType="begin"/>
      </w:r>
      <w:r w:rsidR="00211285">
        <w:instrText xml:space="preserve"> SEQ Table \* ARABIC </w:instrText>
      </w:r>
      <w:r w:rsidR="00211285">
        <w:fldChar w:fldCharType="separate"/>
      </w:r>
      <w:r w:rsidR="00451350">
        <w:rPr>
          <w:noProof/>
        </w:rPr>
        <w:t>77</w:t>
      </w:r>
      <w:r w:rsidR="00211285">
        <w:rPr>
          <w:noProof/>
        </w:rPr>
        <w:fldChar w:fldCharType="end"/>
      </w:r>
      <w:bookmarkEnd w:id="728"/>
      <w:r>
        <w:tab/>
      </w:r>
      <w:bookmarkStart w:id="730" w:name="_Ref89856953"/>
      <w:r>
        <w:t>Financial impact of treatment-related adverse events: late toxicity costs, prostate cancer only</w:t>
      </w:r>
      <w:bookmarkEnd w:id="730"/>
      <w:bookmarkEnd w:id="729"/>
    </w:p>
    <w:tbl>
      <w:tblPr>
        <w:tblStyle w:val="TableGrid1"/>
        <w:tblW w:w="5000" w:type="pct"/>
        <w:tblLook w:val="04A0" w:firstRow="1" w:lastRow="0" w:firstColumn="1" w:lastColumn="0" w:noHBand="0" w:noVBand="1"/>
      </w:tblPr>
      <w:tblGrid>
        <w:gridCol w:w="4674"/>
        <w:gridCol w:w="4342"/>
      </w:tblGrid>
      <w:tr w:rsidR="003F7F84" w14:paraId="7AABEBB3" w14:textId="77777777" w:rsidTr="000213A9">
        <w:trPr>
          <w:cnfStyle w:val="100000000000" w:firstRow="1" w:lastRow="0" w:firstColumn="0" w:lastColumn="0" w:oddVBand="0" w:evenVBand="0" w:oddHBand="0" w:evenHBand="0" w:firstRowFirstColumn="0" w:firstRowLastColumn="0" w:lastRowFirstColumn="0" w:lastRowLastColumn="0"/>
          <w:cantSplit/>
          <w:trHeight w:val="290"/>
        </w:trPr>
        <w:tc>
          <w:tcPr>
            <w:tcW w:w="2592" w:type="pct"/>
            <w:tcBorders>
              <w:bottom w:val="single" w:sz="4" w:space="0" w:color="auto"/>
            </w:tcBorders>
            <w:shd w:val="clear" w:color="auto" w:fill="auto"/>
            <w:vAlign w:val="center"/>
          </w:tcPr>
          <w:p w14:paraId="61EA3CB5" w14:textId="77777777" w:rsidR="003F7F84" w:rsidRDefault="003F7F84" w:rsidP="000213A9">
            <w:pPr>
              <w:keepNext/>
              <w:keepLines/>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Item</w:t>
            </w:r>
          </w:p>
        </w:tc>
        <w:tc>
          <w:tcPr>
            <w:tcW w:w="2408" w:type="pct"/>
            <w:tcBorders>
              <w:bottom w:val="single" w:sz="4" w:space="0" w:color="auto"/>
            </w:tcBorders>
            <w:shd w:val="clear" w:color="auto" w:fill="auto"/>
            <w:noWrap/>
            <w:vAlign w:val="center"/>
          </w:tcPr>
          <w:p w14:paraId="7227C48B" w14:textId="77777777" w:rsidR="003F7F84" w:rsidRDefault="003F7F84" w:rsidP="000213A9">
            <w:pPr>
              <w:keepNext/>
              <w:keepLines/>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Total late costs per patient</w:t>
            </w:r>
          </w:p>
        </w:tc>
      </w:tr>
      <w:tr w:rsidR="003F7F84" w14:paraId="3583E07F" w14:textId="77777777" w:rsidTr="00681B8C">
        <w:trPr>
          <w:trHeight w:val="290"/>
        </w:trPr>
        <w:tc>
          <w:tcPr>
            <w:tcW w:w="2592" w:type="pct"/>
            <w:tcBorders>
              <w:top w:val="single" w:sz="4" w:space="0" w:color="auto"/>
            </w:tcBorders>
            <w:shd w:val="clear" w:color="auto" w:fill="auto"/>
            <w:vAlign w:val="center"/>
          </w:tcPr>
          <w:p w14:paraId="307E1EC0" w14:textId="77777777" w:rsidR="003F7F84" w:rsidRPr="00E60765" w:rsidRDefault="003F7F84" w:rsidP="000213A9">
            <w:pPr>
              <w:keepNext/>
              <w:keepLines/>
              <w:spacing w:before="40" w:line="240" w:lineRule="auto"/>
              <w:rPr>
                <w:rFonts w:ascii="Arial Narrow" w:hAnsi="Arial Narrow" w:cs="Calibri"/>
                <w:color w:val="000000"/>
                <w:sz w:val="20"/>
                <w:szCs w:val="20"/>
              </w:rPr>
            </w:pPr>
            <w:r w:rsidRPr="00E60765">
              <w:rPr>
                <w:rFonts w:ascii="Arial Narrow" w:hAnsi="Arial Narrow" w:cs="Calibri"/>
                <w:color w:val="000000"/>
                <w:sz w:val="20"/>
                <w:szCs w:val="20"/>
              </w:rPr>
              <w:t>CBCT-IGRT</w:t>
            </w:r>
          </w:p>
        </w:tc>
        <w:tc>
          <w:tcPr>
            <w:tcW w:w="2408" w:type="pct"/>
            <w:tcBorders>
              <w:top w:val="single" w:sz="4" w:space="0" w:color="auto"/>
            </w:tcBorders>
            <w:shd w:val="clear" w:color="auto" w:fill="auto"/>
            <w:noWrap/>
            <w:vAlign w:val="center"/>
          </w:tcPr>
          <w:p w14:paraId="716E74CD" w14:textId="6E0D63FD" w:rsidR="003F7F84" w:rsidRPr="00E60765" w:rsidRDefault="003F7F84" w:rsidP="000213A9">
            <w:pPr>
              <w:keepNext/>
              <w:keepLines/>
              <w:spacing w:before="40" w:line="240" w:lineRule="auto"/>
              <w:jc w:val="center"/>
              <w:rPr>
                <w:rFonts w:ascii="Arial Narrow" w:hAnsi="Arial Narrow" w:cs="Calibri"/>
                <w:color w:val="000000"/>
                <w:sz w:val="20"/>
                <w:szCs w:val="20"/>
              </w:rPr>
            </w:pPr>
            <w:r w:rsidRPr="00E60765">
              <w:rPr>
                <w:rFonts w:ascii="Arial Narrow" w:hAnsi="Arial Narrow" w:cs="Calibri"/>
                <w:color w:val="000000"/>
                <w:sz w:val="20"/>
                <w:szCs w:val="20"/>
              </w:rPr>
              <w:t>$</w:t>
            </w:r>
            <w:r w:rsidR="00F242F9">
              <w:rPr>
                <w:rFonts w:ascii="Arial Narrow" w:hAnsi="Arial Narrow" w:cs="Calibri"/>
                <w:color w:val="000000"/>
                <w:sz w:val="20"/>
                <w:szCs w:val="20"/>
              </w:rPr>
              <w:t>269.06</w:t>
            </w:r>
          </w:p>
        </w:tc>
      </w:tr>
      <w:tr w:rsidR="003F7F84" w14:paraId="697F8119" w14:textId="77777777" w:rsidTr="00681B8C">
        <w:trPr>
          <w:trHeight w:val="290"/>
        </w:trPr>
        <w:tc>
          <w:tcPr>
            <w:tcW w:w="2592" w:type="pct"/>
            <w:shd w:val="clear" w:color="auto" w:fill="auto"/>
            <w:vAlign w:val="center"/>
          </w:tcPr>
          <w:p w14:paraId="1F484413" w14:textId="77777777" w:rsidR="003F7F84" w:rsidRPr="00E60765" w:rsidRDefault="003F7F84" w:rsidP="000213A9">
            <w:pPr>
              <w:keepNext/>
              <w:keepLines/>
              <w:spacing w:before="40" w:line="240" w:lineRule="auto"/>
              <w:rPr>
                <w:rFonts w:ascii="Arial Narrow" w:hAnsi="Arial Narrow" w:cs="Calibri"/>
                <w:color w:val="000000"/>
                <w:sz w:val="20"/>
                <w:szCs w:val="20"/>
              </w:rPr>
            </w:pPr>
            <w:r w:rsidRPr="00E60765">
              <w:rPr>
                <w:rFonts w:ascii="Arial Narrow" w:hAnsi="Arial Narrow" w:cs="Calibri"/>
                <w:color w:val="000000"/>
                <w:sz w:val="20"/>
                <w:szCs w:val="20"/>
              </w:rPr>
              <w:t>MR-IGRT</w:t>
            </w:r>
          </w:p>
        </w:tc>
        <w:tc>
          <w:tcPr>
            <w:tcW w:w="2408" w:type="pct"/>
            <w:shd w:val="clear" w:color="auto" w:fill="auto"/>
            <w:noWrap/>
            <w:vAlign w:val="center"/>
          </w:tcPr>
          <w:p w14:paraId="326861DF" w14:textId="77777777" w:rsidR="003F7F84" w:rsidRPr="00E60765" w:rsidRDefault="003F7F84" w:rsidP="000213A9">
            <w:pPr>
              <w:keepNext/>
              <w:keepLines/>
              <w:spacing w:before="40" w:line="240" w:lineRule="auto"/>
              <w:jc w:val="center"/>
              <w:rPr>
                <w:rFonts w:ascii="Arial Narrow" w:hAnsi="Arial Narrow" w:cs="Calibri"/>
                <w:color w:val="000000"/>
                <w:sz w:val="20"/>
                <w:szCs w:val="20"/>
              </w:rPr>
            </w:pPr>
            <w:r>
              <w:rPr>
                <w:rFonts w:ascii="Arial Narrow" w:hAnsi="Arial Narrow" w:cs="Calibri"/>
                <w:color w:val="000000"/>
                <w:sz w:val="20"/>
                <w:szCs w:val="20"/>
              </w:rPr>
              <w:t>$0.00</w:t>
            </w:r>
          </w:p>
        </w:tc>
      </w:tr>
      <w:tr w:rsidR="003F7F84" w14:paraId="20CFF2D5" w14:textId="77777777" w:rsidTr="00681B8C">
        <w:trPr>
          <w:trHeight w:val="290"/>
        </w:trPr>
        <w:tc>
          <w:tcPr>
            <w:tcW w:w="2592" w:type="pct"/>
            <w:shd w:val="clear" w:color="auto" w:fill="auto"/>
            <w:vAlign w:val="center"/>
          </w:tcPr>
          <w:p w14:paraId="5B889B29" w14:textId="77777777" w:rsidR="003F7F84" w:rsidRDefault="003F7F84" w:rsidP="000213A9">
            <w:pPr>
              <w:keepNext/>
              <w:keepLines/>
              <w:spacing w:before="40" w:line="240" w:lineRule="auto"/>
              <w:rPr>
                <w:rFonts w:ascii="Arial Narrow" w:hAnsi="Arial Narrow" w:cs="Calibri"/>
                <w:b/>
                <w:bCs/>
                <w:color w:val="000000"/>
                <w:sz w:val="20"/>
                <w:szCs w:val="20"/>
              </w:rPr>
            </w:pPr>
            <w:r>
              <w:rPr>
                <w:rFonts w:ascii="Arial Narrow" w:hAnsi="Arial Narrow" w:cs="Calibri"/>
                <w:b/>
                <w:bCs/>
                <w:color w:val="000000"/>
                <w:sz w:val="20"/>
                <w:szCs w:val="20"/>
              </w:rPr>
              <w:t>Net difference</w:t>
            </w:r>
          </w:p>
        </w:tc>
        <w:tc>
          <w:tcPr>
            <w:tcW w:w="2408" w:type="pct"/>
            <w:shd w:val="clear" w:color="auto" w:fill="auto"/>
            <w:noWrap/>
            <w:vAlign w:val="center"/>
          </w:tcPr>
          <w:p w14:paraId="22B55022" w14:textId="77777777" w:rsidR="003F7F84" w:rsidRDefault="003F7F84" w:rsidP="000213A9">
            <w:pPr>
              <w:keepNext/>
              <w:keepLines/>
              <w:spacing w:before="4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t xml:space="preserve">$278.29 </w:t>
            </w:r>
          </w:p>
        </w:tc>
      </w:tr>
    </w:tbl>
    <w:p w14:paraId="64A39DFC" w14:textId="5846A421" w:rsidR="003F7F84" w:rsidRDefault="003F7F84" w:rsidP="000213A9">
      <w:pPr>
        <w:pStyle w:val="Tablenotes0"/>
        <w:keepNext/>
        <w:keepLines/>
      </w:pPr>
      <w:r>
        <w:t>Abbreviations: CBCT-IGRT=cone beam computer tomography image-guided radiation therapy, MR-IGRT=magnetic resonance image-guided radiation therapy</w:t>
      </w:r>
      <w:bookmarkEnd w:id="722"/>
    </w:p>
    <w:p w14:paraId="723A54FD" w14:textId="77777777" w:rsidR="003F7F84" w:rsidRPr="0067581F" w:rsidRDefault="003F7F84" w:rsidP="003F7F84">
      <w:pPr>
        <w:jc w:val="both"/>
        <w:rPr>
          <w:rFonts w:asciiTheme="minorHAnsi" w:hAnsiTheme="minorHAnsi" w:cstheme="minorHAnsi"/>
        </w:rPr>
      </w:pPr>
      <w:r w:rsidRPr="0067581F">
        <w:rPr>
          <w:rFonts w:asciiTheme="minorHAnsi" w:hAnsiTheme="minorHAnsi" w:cstheme="minorHAnsi"/>
        </w:rPr>
        <w:t xml:space="preserve">Given these analyses are intended to be indicative and not necessarily reflective of broader </w:t>
      </w:r>
      <w:r>
        <w:rPr>
          <w:rFonts w:asciiTheme="minorHAnsi" w:hAnsiTheme="minorHAnsi" w:cstheme="minorHAnsi"/>
        </w:rPr>
        <w:t xml:space="preserve">TRAE-related </w:t>
      </w:r>
      <w:r w:rsidRPr="0067581F">
        <w:rPr>
          <w:rFonts w:asciiTheme="minorHAnsi" w:hAnsiTheme="minorHAnsi" w:cstheme="minorHAnsi"/>
        </w:rPr>
        <w:t xml:space="preserve">implications for the PBS, impacts on </w:t>
      </w:r>
      <w:r>
        <w:rPr>
          <w:rFonts w:asciiTheme="minorHAnsi" w:hAnsiTheme="minorHAnsi" w:cstheme="minorHAnsi"/>
        </w:rPr>
        <w:t xml:space="preserve">overall </w:t>
      </w:r>
      <w:r w:rsidRPr="0067581F">
        <w:rPr>
          <w:rFonts w:asciiTheme="minorHAnsi" w:hAnsiTheme="minorHAnsi" w:cstheme="minorHAnsi"/>
        </w:rPr>
        <w:t xml:space="preserve">PBS script utilisation </w:t>
      </w:r>
      <w:r>
        <w:rPr>
          <w:rFonts w:asciiTheme="minorHAnsi" w:hAnsiTheme="minorHAnsi" w:cstheme="minorHAnsi"/>
        </w:rPr>
        <w:t>have</w:t>
      </w:r>
      <w:r w:rsidRPr="0067581F">
        <w:rPr>
          <w:rFonts w:asciiTheme="minorHAnsi" w:hAnsiTheme="minorHAnsi" w:cstheme="minorHAnsi"/>
        </w:rPr>
        <w:t xml:space="preserve"> not</w:t>
      </w:r>
      <w:r>
        <w:rPr>
          <w:rFonts w:asciiTheme="minorHAnsi" w:hAnsiTheme="minorHAnsi" w:cstheme="minorHAnsi"/>
        </w:rPr>
        <w:t xml:space="preserve"> been</w:t>
      </w:r>
      <w:r w:rsidRPr="0067581F">
        <w:rPr>
          <w:rFonts w:asciiTheme="minorHAnsi" w:hAnsiTheme="minorHAnsi" w:cstheme="minorHAnsi"/>
        </w:rPr>
        <w:t xml:space="preserve"> assessed</w:t>
      </w:r>
      <w:r>
        <w:rPr>
          <w:rFonts w:asciiTheme="minorHAnsi" w:hAnsiTheme="minorHAnsi" w:cstheme="minorHAnsi"/>
        </w:rPr>
        <w:t>.</w:t>
      </w:r>
    </w:p>
    <w:p w14:paraId="42DB5922" w14:textId="77777777" w:rsidR="003F7F84" w:rsidRDefault="003F7F84" w:rsidP="003F7F84">
      <w:pPr>
        <w:pStyle w:val="Heading3"/>
      </w:pPr>
      <w:bookmarkStart w:id="731" w:name="_Toc59018822"/>
      <w:bookmarkStart w:id="732" w:name="_Toc59020366"/>
      <w:bookmarkStart w:id="733" w:name="_Toc59439588"/>
      <w:bookmarkStart w:id="734" w:name="_Toc89857860"/>
      <w:r>
        <w:lastRenderedPageBreak/>
        <w:t>State and Territory Government Health Budgets</w:t>
      </w:r>
      <w:bookmarkEnd w:id="725"/>
      <w:bookmarkEnd w:id="731"/>
      <w:bookmarkEnd w:id="732"/>
      <w:bookmarkEnd w:id="733"/>
      <w:bookmarkEnd w:id="734"/>
    </w:p>
    <w:p w14:paraId="73F7447E" w14:textId="422FEAF2" w:rsidR="003F7F84" w:rsidRDefault="003F7F84" w:rsidP="003F7F84">
      <w:pPr>
        <w:jc w:val="both"/>
      </w:pPr>
      <w:r>
        <w:t>Although the Applicant has indicated that to achieve alignment with current radiation oncology services provided across multiple settings, the proposed settings for delivery include public and private inpatient and outpatient settings, analysis in this DCAR assumes an outpatient setting.  GenesisCare St Vincent’s Hospital, Darlinghurst,</w:t>
      </w:r>
      <w:r w:rsidRPr="00022B59">
        <w:t xml:space="preserve"> </w:t>
      </w:r>
      <w:r>
        <w:t xml:space="preserve">New South Wales currently </w:t>
      </w:r>
      <w:r w:rsidR="00B30DD6">
        <w:t>treats</w:t>
      </w:r>
      <w:r>
        <w:t xml:space="preserve"> patients in an outpatient setting.</w:t>
      </w:r>
    </w:p>
    <w:p w14:paraId="479C2D4B" w14:textId="1E460E42" w:rsidR="00C550C1" w:rsidRDefault="003F7F84" w:rsidP="00A21A7F">
      <w:pPr>
        <w:jc w:val="both"/>
      </w:pPr>
      <w:r>
        <w:t xml:space="preserve">As such no inpatient admissions or emergency department visits are included in this analysis.  Outpatient clinic patients would change as a function of the number of individual fractions of treatments received by patients.  Assuming a 13-fraction reduction per treatment course, analysis estimates a resulting decrease of 21,528 outpatient visits in year one, with the reduction increasing to </w:t>
      </w:r>
      <w:r w:rsidRPr="0089410C">
        <w:t>131,560</w:t>
      </w:r>
      <w:r>
        <w:t xml:space="preserve"> by year five.  The cost of individual fractions of treatment covered by MBS item 15275 h</w:t>
      </w:r>
      <w:r w:rsidR="001D18E6">
        <w:t>as</w:t>
      </w:r>
      <w:r>
        <w:t xml:space="preserve"> been previously considered in Section </w:t>
      </w:r>
      <w:r w:rsidR="006D3346">
        <w:fldChar w:fldCharType="begin"/>
      </w:r>
      <w:r w:rsidR="006D3346">
        <w:instrText xml:space="preserve"> REF _Ref59014023 \r \h </w:instrText>
      </w:r>
      <w:r w:rsidR="006D3346">
        <w:fldChar w:fldCharType="separate"/>
      </w:r>
      <w:r w:rsidR="00451350">
        <w:t>E.2</w:t>
      </w:r>
      <w:r w:rsidR="006D3346">
        <w:fldChar w:fldCharType="end"/>
      </w:r>
      <w:r>
        <w:t>.  As per previous sections, this is subject to assumptions about MR-linac facility roll-out, cancer indications targeted, health care system capacity and procedure technology developments.</w:t>
      </w:r>
    </w:p>
    <w:p w14:paraId="09FD5E22" w14:textId="3E08364F" w:rsidR="00647772" w:rsidRPr="00C550C1" w:rsidRDefault="00647772" w:rsidP="00647772">
      <w:pPr>
        <w:jc w:val="both"/>
      </w:pPr>
      <w:r>
        <w:t xml:space="preserve">As per Section </w:t>
      </w:r>
      <w:r>
        <w:fldChar w:fldCharType="begin"/>
      </w:r>
      <w:r>
        <w:instrText xml:space="preserve"> REF _Ref59441556 \r \h </w:instrText>
      </w:r>
      <w:r>
        <w:fldChar w:fldCharType="separate"/>
      </w:r>
      <w:r w:rsidR="00451350">
        <w:t>D.5</w:t>
      </w:r>
      <w:r>
        <w:fldChar w:fldCharType="end"/>
      </w:r>
      <w:r>
        <w:t>, patients with prostate cancer using MR-IGRT are estimated to have reduced TRAE-associated costs compared to those using CBCT-IGRT.  These costs include hospitalisation costs.  However, the analysis assumes five fraction treatment courses for both the intervention and the comparator, and therefore the applicability to broader patient groups and current CBCT-IGRT treatment practice is unclear.</w:t>
      </w:r>
    </w:p>
    <w:p w14:paraId="4D826B97" w14:textId="77777777" w:rsidR="00B5410C" w:rsidRDefault="00B5410C" w:rsidP="006D66DC">
      <w:pPr>
        <w:pStyle w:val="Heading2"/>
        <w:numPr>
          <w:ilvl w:val="4"/>
          <w:numId w:val="10"/>
        </w:numPr>
      </w:pPr>
      <w:bookmarkStart w:id="735" w:name="_Ref59013088"/>
      <w:bookmarkStart w:id="736" w:name="_Ref59013252"/>
      <w:bookmarkStart w:id="737" w:name="_Ref59013326"/>
      <w:bookmarkStart w:id="738" w:name="_Ref59013928"/>
      <w:bookmarkStart w:id="739" w:name="_Ref59014036"/>
      <w:bookmarkStart w:id="740" w:name="_Ref59014063"/>
      <w:bookmarkStart w:id="741" w:name="_Toc59018823"/>
      <w:bookmarkStart w:id="742" w:name="_Toc59020367"/>
      <w:bookmarkStart w:id="743" w:name="_Toc59439589"/>
      <w:bookmarkStart w:id="744" w:name="_Toc89857861"/>
      <w:r>
        <w:t>Identification, Estimation and Reduction of Uncertainty</w:t>
      </w:r>
      <w:bookmarkEnd w:id="735"/>
      <w:bookmarkEnd w:id="736"/>
      <w:bookmarkEnd w:id="737"/>
      <w:bookmarkEnd w:id="738"/>
      <w:bookmarkEnd w:id="739"/>
      <w:bookmarkEnd w:id="740"/>
      <w:bookmarkEnd w:id="741"/>
      <w:bookmarkEnd w:id="742"/>
      <w:bookmarkEnd w:id="743"/>
      <w:bookmarkEnd w:id="744"/>
    </w:p>
    <w:p w14:paraId="22862A35" w14:textId="77777777" w:rsidR="00030F2F" w:rsidRDefault="00030F2F" w:rsidP="00030F2F">
      <w:pPr>
        <w:jc w:val="both"/>
      </w:pPr>
      <w:bookmarkStart w:id="745" w:name="_Hlk58999847"/>
      <w:r>
        <w:t>The financial implications analysis is subject to uncertainty regarding several interdependent factors including:</w:t>
      </w:r>
    </w:p>
    <w:p w14:paraId="100DF56B" w14:textId="12C1D5CD" w:rsidR="00030F2F" w:rsidRDefault="00030F2F" w:rsidP="00030F2F">
      <w:pPr>
        <w:pStyle w:val="ListParagraph"/>
        <w:numPr>
          <w:ilvl w:val="0"/>
          <w:numId w:val="32"/>
        </w:numPr>
        <w:jc w:val="both"/>
      </w:pPr>
      <w:r>
        <w:t>Continued growth in the EBRT treatment market.  While overall growth in MBS-listed EBRT has averaged approximately 6.0</w:t>
      </w:r>
      <w:r w:rsidR="00BE211D">
        <w:t>%</w:t>
      </w:r>
      <w:r>
        <w:t xml:space="preserve"> in the most recent decade and overall EBRT growth has been higher in recent years, the future growth pathway is unclear, being dependent on the role of radiation therapy in the cancer patient treatment mix.  Cancer treatment is an evolving therapeutic space, so the proportion of patients with cancer treated with EBRT is uncertain.</w:t>
      </w:r>
    </w:p>
    <w:p w14:paraId="028CCC43" w14:textId="77777777" w:rsidR="00030F2F" w:rsidRDefault="00030F2F" w:rsidP="00030F2F">
      <w:pPr>
        <w:pStyle w:val="ListParagraph"/>
        <w:numPr>
          <w:ilvl w:val="0"/>
          <w:numId w:val="32"/>
        </w:numPr>
        <w:jc w:val="both"/>
      </w:pPr>
      <w:r>
        <w:t>The number of MR-linac facilities.  While the Applicant has stated intent to have 10 MR-linac facilities operational within three years, PASC expressed uncertainty regarding this given the significant initial capital costs per machine (Ratified PICO, p.6).</w:t>
      </w:r>
    </w:p>
    <w:p w14:paraId="6E84D744" w14:textId="77777777" w:rsidR="00030F2F" w:rsidRDefault="00030F2F" w:rsidP="00030F2F">
      <w:pPr>
        <w:pStyle w:val="ListParagraph"/>
        <w:numPr>
          <w:ilvl w:val="0"/>
          <w:numId w:val="32"/>
        </w:numPr>
        <w:jc w:val="both"/>
      </w:pPr>
      <w:r>
        <w:t>The MR-IGRT technology progression pathway is uncertain, including:</w:t>
      </w:r>
    </w:p>
    <w:p w14:paraId="79433CFE" w14:textId="3133DABD" w:rsidR="00030F2F" w:rsidRDefault="000C35CD" w:rsidP="00030F2F">
      <w:pPr>
        <w:pStyle w:val="ListParagraph"/>
        <w:numPr>
          <w:ilvl w:val="0"/>
          <w:numId w:val="33"/>
        </w:numPr>
        <w:jc w:val="both"/>
      </w:pPr>
      <w:r>
        <w:t xml:space="preserve">The </w:t>
      </w:r>
      <w:r w:rsidR="00030F2F">
        <w:t>fraction reductions achievable across cancer indications;</w:t>
      </w:r>
    </w:p>
    <w:p w14:paraId="2387E5C5" w14:textId="2D5B4028" w:rsidR="00030F2F" w:rsidRDefault="00DF0DDF" w:rsidP="00030F2F">
      <w:pPr>
        <w:pStyle w:val="ListParagraph"/>
        <w:numPr>
          <w:ilvl w:val="0"/>
          <w:numId w:val="33"/>
        </w:numPr>
        <w:jc w:val="both"/>
      </w:pPr>
      <w:r>
        <w:lastRenderedPageBreak/>
        <w:t xml:space="preserve">Cancer </w:t>
      </w:r>
      <w:r w:rsidR="00030F2F">
        <w:t>indications for which MR-IGRT would be used in the Australian market and timing of this</w:t>
      </w:r>
      <w:r w:rsidR="00F53EA4">
        <w:t xml:space="preserve"> use</w:t>
      </w:r>
      <w:r w:rsidR="00030F2F">
        <w:t>;</w:t>
      </w:r>
    </w:p>
    <w:p w14:paraId="2F867608" w14:textId="20B8FA8D" w:rsidR="00030F2F" w:rsidRDefault="002124D6" w:rsidP="00030F2F">
      <w:pPr>
        <w:pStyle w:val="ListParagraph"/>
        <w:numPr>
          <w:ilvl w:val="0"/>
          <w:numId w:val="33"/>
        </w:numPr>
        <w:jc w:val="both"/>
      </w:pPr>
      <w:r>
        <w:t xml:space="preserve">The </w:t>
      </w:r>
      <w:r w:rsidR="00030F2F">
        <w:t>expansion of cancer indications possible due to improved tumour targeting, and procedural process improvements achieved (i.e., time per treatment fraction); and</w:t>
      </w:r>
    </w:p>
    <w:p w14:paraId="546AE4FA" w14:textId="77777777" w:rsidR="00030F2F" w:rsidRDefault="00030F2F" w:rsidP="00183330">
      <w:pPr>
        <w:jc w:val="both"/>
      </w:pPr>
      <w:r>
        <w:t>This impacts the maximum achievable ‘throughput’ from the given mix of cancers being treated and subsequently patient uptake.</w:t>
      </w:r>
    </w:p>
    <w:p w14:paraId="4EFC7079" w14:textId="2165249A" w:rsidR="00671125" w:rsidRDefault="00030F2F" w:rsidP="00030F2F">
      <w:pPr>
        <w:jc w:val="both"/>
      </w:pPr>
      <w:r>
        <w:t xml:space="preserve">Several sensitivity analyses have been undertaken addressing these issues.  Their impacts on five-year financial implications for the MBS have been tested, with results in </w:t>
      </w:r>
      <w:r>
        <w:fldChar w:fldCharType="begin"/>
      </w:r>
      <w:r>
        <w:instrText xml:space="preserve"> REF _Ref58958388 \h </w:instrText>
      </w:r>
      <w:r>
        <w:fldChar w:fldCharType="separate"/>
      </w:r>
      <w:r w:rsidR="00451350">
        <w:t xml:space="preserve">Table </w:t>
      </w:r>
      <w:r w:rsidR="00451350">
        <w:rPr>
          <w:noProof/>
        </w:rPr>
        <w:t>78</w:t>
      </w:r>
      <w:r>
        <w:fldChar w:fldCharType="end"/>
      </w:r>
      <w:r>
        <w:t xml:space="preserve"> to </w:t>
      </w:r>
      <w:r>
        <w:fldChar w:fldCharType="begin"/>
      </w:r>
      <w:r>
        <w:instrText xml:space="preserve"> REF _Ref58958535 \h </w:instrText>
      </w:r>
      <w:r>
        <w:fldChar w:fldCharType="separate"/>
      </w:r>
      <w:r w:rsidR="00451350">
        <w:t xml:space="preserve">Table </w:t>
      </w:r>
      <w:r w:rsidR="00451350">
        <w:rPr>
          <w:noProof/>
        </w:rPr>
        <w:t>85</w:t>
      </w:r>
      <w:r>
        <w:fldChar w:fldCharType="end"/>
      </w:r>
      <w:r>
        <w:t>.  MBS financial implications are driven by interacting assumptions about MR-linac facility capacity, fraction reduction and time per fraction.  Analysis indicates that should these parameters and inputs progress as estimated by the Applicant, there would be potentially significant MBS cost savings.</w:t>
      </w:r>
    </w:p>
    <w:p w14:paraId="23DF1D05" w14:textId="7370B9A7" w:rsidR="00030F2F" w:rsidRDefault="00030F2F" w:rsidP="00030F2F">
      <w:pPr>
        <w:jc w:val="both"/>
      </w:pPr>
      <w:r>
        <w:t>No sensitivity analysis has been conducted on TRAE cost</w:t>
      </w:r>
      <w:r w:rsidR="0026735F">
        <w:t xml:space="preserve"> estimates</w:t>
      </w:r>
      <w:r>
        <w:t>, given original analysis was on a per patient basis and intended to be indicative in nature only</w:t>
      </w:r>
      <w:r w:rsidR="001B3709">
        <w:t xml:space="preserve"> </w:t>
      </w:r>
      <w:r w:rsidR="00387253">
        <w:t>as they</w:t>
      </w:r>
      <w:r w:rsidR="001B3709">
        <w:t xml:space="preserve"> may not necessarily be applicable to other cancer indications for which MR-IGRT may be used</w:t>
      </w:r>
      <w:r>
        <w:t>.</w:t>
      </w:r>
    </w:p>
    <w:p w14:paraId="7BA11DE1" w14:textId="0A2FE70B" w:rsidR="003B4F29" w:rsidRPr="00BE31AD" w:rsidRDefault="006E1D40" w:rsidP="003B4F29">
      <w:pPr>
        <w:autoSpaceDE w:val="0"/>
        <w:autoSpaceDN w:val="0"/>
        <w:adjustRightInd w:val="0"/>
        <w:spacing w:after="0"/>
        <w:jc w:val="both"/>
        <w:rPr>
          <w:i/>
          <w:iCs/>
        </w:rPr>
      </w:pPr>
      <w:r>
        <w:t xml:space="preserve">It should be noted </w:t>
      </w:r>
      <w:r w:rsidRPr="006E1D40">
        <w:rPr>
          <w:rFonts w:cs="Calibri"/>
        </w:rPr>
        <w:t xml:space="preserve">the </w:t>
      </w:r>
      <w:r>
        <w:rPr>
          <w:rFonts w:cs="Calibri"/>
        </w:rPr>
        <w:t>R</w:t>
      </w:r>
      <w:r w:rsidRPr="006E1D40">
        <w:rPr>
          <w:rFonts w:cs="Calibri"/>
        </w:rPr>
        <w:t xml:space="preserve">atified PICO </w:t>
      </w:r>
      <w:r w:rsidR="00F16EDF">
        <w:rPr>
          <w:rFonts w:cs="Calibri"/>
        </w:rPr>
        <w:t>states</w:t>
      </w:r>
      <w:r w:rsidRPr="006E1D40">
        <w:rPr>
          <w:rFonts w:cs="Calibri"/>
        </w:rPr>
        <w:t xml:space="preserve"> “</w:t>
      </w:r>
      <w:r w:rsidRPr="00937E9A">
        <w:rPr>
          <w:rFonts w:cs="Calibri"/>
          <w:i/>
          <w:iCs/>
        </w:rPr>
        <w:t xml:space="preserve">the </w:t>
      </w:r>
      <w:r w:rsidR="008F4472">
        <w:rPr>
          <w:rFonts w:cs="Calibri"/>
          <w:i/>
          <w:iCs/>
        </w:rPr>
        <w:t>Applicant</w:t>
      </w:r>
      <w:r w:rsidRPr="00937E9A">
        <w:rPr>
          <w:rFonts w:cs="Calibri"/>
          <w:i/>
          <w:iCs/>
        </w:rPr>
        <w:t xml:space="preserve"> considered there would be no net impact to out-of-pocket costs</w:t>
      </w:r>
      <w:r w:rsidRPr="006E1D40">
        <w:rPr>
          <w:rFonts w:cs="Calibri"/>
        </w:rPr>
        <w:t>” (p. 11).</w:t>
      </w:r>
      <w:r>
        <w:rPr>
          <w:rFonts w:cs="Calibri"/>
        </w:rPr>
        <w:t xml:space="preserve"> </w:t>
      </w:r>
      <w:r w:rsidR="00943936">
        <w:rPr>
          <w:rFonts w:cs="Calibri"/>
        </w:rPr>
        <w:t xml:space="preserve"> </w:t>
      </w:r>
      <w:r w:rsidR="004D4DA8">
        <w:rPr>
          <w:rFonts w:cs="Calibri"/>
        </w:rPr>
        <w:t>As per Section</w:t>
      </w:r>
      <w:r w:rsidR="00F16EDF">
        <w:rPr>
          <w:rFonts w:cs="Calibri"/>
        </w:rPr>
        <w:t xml:space="preserve"> </w:t>
      </w:r>
      <w:r w:rsidR="00F16EDF">
        <w:rPr>
          <w:rFonts w:cs="Calibri"/>
        </w:rPr>
        <w:fldChar w:fldCharType="begin"/>
      </w:r>
      <w:r w:rsidR="00F16EDF">
        <w:rPr>
          <w:rFonts w:cs="Calibri"/>
        </w:rPr>
        <w:instrText xml:space="preserve"> REF _Ref59016629 \r \h </w:instrText>
      </w:r>
      <w:r w:rsidR="00F16EDF">
        <w:rPr>
          <w:rFonts w:cs="Calibri"/>
        </w:rPr>
      </w:r>
      <w:r w:rsidR="00F16EDF">
        <w:rPr>
          <w:rFonts w:cs="Calibri"/>
        </w:rPr>
        <w:fldChar w:fldCharType="separate"/>
      </w:r>
      <w:r w:rsidR="00451350">
        <w:rPr>
          <w:rFonts w:cs="Calibri"/>
        </w:rPr>
        <w:t>D.5</w:t>
      </w:r>
      <w:r w:rsidR="00F16EDF">
        <w:rPr>
          <w:rFonts w:cs="Calibri"/>
        </w:rPr>
        <w:fldChar w:fldCharType="end"/>
      </w:r>
      <w:r w:rsidR="00937E9A">
        <w:rPr>
          <w:rFonts w:cs="Calibri"/>
        </w:rPr>
        <w:t>,</w:t>
      </w:r>
      <w:r w:rsidR="00142941">
        <w:rPr>
          <w:rFonts w:cs="Calibri"/>
        </w:rPr>
        <w:t xml:space="preserve"> it </w:t>
      </w:r>
      <w:r w:rsidR="0085165D">
        <w:t>appears the MR-IGRT technology is more expensive than the comparator (</w:t>
      </w:r>
      <w:r w:rsidR="00142941">
        <w:t>CBCT-IGRT</w:t>
      </w:r>
      <w:r w:rsidR="0085165D">
        <w:t xml:space="preserve">). </w:t>
      </w:r>
      <w:r w:rsidR="00142941">
        <w:t xml:space="preserve"> </w:t>
      </w:r>
      <w:r w:rsidR="0085165D">
        <w:t xml:space="preserve">However, the </w:t>
      </w:r>
      <w:r w:rsidR="00044373">
        <w:t>A</w:t>
      </w:r>
      <w:r w:rsidR="0085165D">
        <w:t>pplicant is not requesting a higher MBS fee.</w:t>
      </w:r>
      <w:r w:rsidR="00142941">
        <w:t xml:space="preserve">  </w:t>
      </w:r>
      <w:r w:rsidR="003B4F29">
        <w:t>As per the Ratified PICO (p.12), “</w:t>
      </w:r>
      <w:r w:rsidR="003B4F29" w:rsidRPr="00BE31AD">
        <w:rPr>
          <w:i/>
          <w:iCs/>
        </w:rPr>
        <w:t>The Applicant advised that the Application seeks equivalent reimbursement for MR-Linac systems</w:t>
      </w:r>
      <w:r w:rsidR="003B4F29">
        <w:rPr>
          <w:i/>
          <w:iCs/>
        </w:rPr>
        <w:t xml:space="preserve"> </w:t>
      </w:r>
      <w:r w:rsidR="003B4F29" w:rsidRPr="00BE31AD">
        <w:rPr>
          <w:i/>
          <w:iCs/>
        </w:rPr>
        <w:t xml:space="preserve">to existing Linacs and considered the current modelling for IGRT for Linacs would be appropriate analysis. </w:t>
      </w:r>
      <w:r w:rsidR="003B4F29">
        <w:rPr>
          <w:i/>
          <w:iCs/>
        </w:rPr>
        <w:t>The Applicant considered that n</w:t>
      </w:r>
      <w:r w:rsidR="003B4F29" w:rsidRPr="00BE31AD">
        <w:rPr>
          <w:i/>
          <w:iCs/>
        </w:rPr>
        <w:t>o net</w:t>
      </w:r>
      <w:r w:rsidR="003B4F29">
        <w:rPr>
          <w:i/>
          <w:iCs/>
        </w:rPr>
        <w:t xml:space="preserve"> </w:t>
      </w:r>
      <w:r w:rsidR="003B4F29" w:rsidRPr="00BE31AD">
        <w:rPr>
          <w:i/>
          <w:iCs/>
        </w:rPr>
        <w:t xml:space="preserve">impact to out-of-pocket costs </w:t>
      </w:r>
      <w:r w:rsidR="003B4F29">
        <w:rPr>
          <w:i/>
          <w:iCs/>
        </w:rPr>
        <w:t xml:space="preserve">would be </w:t>
      </w:r>
      <w:r w:rsidR="003B4F29" w:rsidRPr="00BE31AD">
        <w:rPr>
          <w:i/>
          <w:iCs/>
        </w:rPr>
        <w:t>expected and would be dependent on the individual provider, just as the situation currently is for all radiation therapy tr</w:t>
      </w:r>
      <w:r w:rsidR="003B4F29">
        <w:rPr>
          <w:i/>
          <w:iCs/>
        </w:rPr>
        <w:t xml:space="preserve">eatments. The Applicant noted that </w:t>
      </w:r>
      <w:r w:rsidR="003B4F29" w:rsidRPr="00BE31AD">
        <w:rPr>
          <w:i/>
          <w:iCs/>
        </w:rPr>
        <w:t xml:space="preserve">MR linacs </w:t>
      </w:r>
      <w:r w:rsidR="003B4F29">
        <w:rPr>
          <w:i/>
          <w:iCs/>
        </w:rPr>
        <w:t xml:space="preserve">are </w:t>
      </w:r>
      <w:r w:rsidR="003B4F29" w:rsidRPr="00BE31AD">
        <w:rPr>
          <w:i/>
          <w:iCs/>
        </w:rPr>
        <w:t>going in to both public and private sector sites in Australia.</w:t>
      </w:r>
      <w:r w:rsidR="004877D2">
        <w:rPr>
          <w:i/>
          <w:iCs/>
        </w:rPr>
        <w:t>”</w:t>
      </w:r>
    </w:p>
    <w:p w14:paraId="271F367B" w14:textId="179BDFF3" w:rsidR="006E1D40" w:rsidRPr="006E1D40" w:rsidRDefault="00D2723C" w:rsidP="00F16EDF">
      <w:pPr>
        <w:jc w:val="both"/>
        <w:rPr>
          <w:rFonts w:cs="Calibri"/>
        </w:rPr>
      </w:pPr>
      <w:r>
        <w:t>Analysis therefore assumes</w:t>
      </w:r>
      <w:r w:rsidR="00D30CF6">
        <w:t xml:space="preserve"> that any additional costs of MR-IGRT treatment </w:t>
      </w:r>
      <w:r w:rsidR="00F12779">
        <w:t>above the MBS fee would be required to be paid by the patient out-of-pocket.</w:t>
      </w:r>
      <w:r w:rsidR="003B4F29">
        <w:t xml:space="preserve">  However, </w:t>
      </w:r>
      <w:r w:rsidR="00AC66A6">
        <w:t>whether this would</w:t>
      </w:r>
      <w:r w:rsidR="00903DC1">
        <w:t xml:space="preserve"> happen </w:t>
      </w:r>
      <w:r w:rsidR="00A93104">
        <w:t xml:space="preserve">is </w:t>
      </w:r>
      <w:r w:rsidR="00AC66A6">
        <w:t>uncertain.</w:t>
      </w:r>
    </w:p>
    <w:p w14:paraId="41690642" w14:textId="31257C63" w:rsidR="00030F2F" w:rsidRDefault="00030F2F" w:rsidP="00030F2F">
      <w:pPr>
        <w:pStyle w:val="Caption"/>
        <w:ind w:left="1130" w:hanging="1130"/>
      </w:pPr>
      <w:bookmarkStart w:id="746" w:name="_Ref58958388"/>
      <w:bookmarkStart w:id="747" w:name="_Toc89857949"/>
      <w:r>
        <w:t xml:space="preserve">Table </w:t>
      </w:r>
      <w:r w:rsidR="00211285">
        <w:fldChar w:fldCharType="begin"/>
      </w:r>
      <w:r w:rsidR="00211285">
        <w:instrText xml:space="preserve"> SEQ Table \* ARABIC </w:instrText>
      </w:r>
      <w:r w:rsidR="00211285">
        <w:fldChar w:fldCharType="separate"/>
      </w:r>
      <w:r w:rsidR="00451350">
        <w:rPr>
          <w:noProof/>
        </w:rPr>
        <w:t>78</w:t>
      </w:r>
      <w:r w:rsidR="00211285">
        <w:rPr>
          <w:noProof/>
        </w:rPr>
        <w:fldChar w:fldCharType="end"/>
      </w:r>
      <w:bookmarkEnd w:id="746"/>
      <w:r>
        <w:tab/>
        <w:t xml:space="preserve">Sensitivity analysis: Financial implications for MBS – EBRT growth rate halves to </w:t>
      </w:r>
      <w:r w:rsidR="00BE211D">
        <w:t>3%</w:t>
      </w:r>
      <w:r>
        <w:t xml:space="preserve"> per annum</w:t>
      </w:r>
      <w:bookmarkEnd w:id="747"/>
    </w:p>
    <w:tbl>
      <w:tblPr>
        <w:tblStyle w:val="TableGrid1"/>
        <w:tblW w:w="5000" w:type="pct"/>
        <w:tblLook w:val="04A0" w:firstRow="1" w:lastRow="0" w:firstColumn="1" w:lastColumn="0" w:noHBand="0" w:noVBand="1"/>
      </w:tblPr>
      <w:tblGrid>
        <w:gridCol w:w="2765"/>
        <w:gridCol w:w="1344"/>
        <w:gridCol w:w="1287"/>
        <w:gridCol w:w="1152"/>
        <w:gridCol w:w="1253"/>
        <w:gridCol w:w="1215"/>
      </w:tblGrid>
      <w:tr w:rsidR="00030F2F" w:rsidRPr="00AA705B" w14:paraId="525169F0" w14:textId="77777777" w:rsidTr="00727A36">
        <w:trPr>
          <w:cnfStyle w:val="100000000000" w:firstRow="1" w:lastRow="0" w:firstColumn="0" w:lastColumn="0" w:oddVBand="0" w:evenVBand="0" w:oddHBand="0" w:evenHBand="0" w:firstRowFirstColumn="0" w:firstRowLastColumn="0" w:lastRowFirstColumn="0" w:lastRowLastColumn="0"/>
          <w:trHeight w:val="29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1E9B7" w14:textId="77777777" w:rsidR="00030F2F" w:rsidRPr="00AA705B" w:rsidRDefault="00030F2F" w:rsidP="00DD691F">
            <w:pPr>
              <w:spacing w:before="40" w:line="240" w:lineRule="auto"/>
              <w:rPr>
                <w:rFonts w:ascii="Arial Narrow" w:hAnsi="Arial Narrow" w:cs="Calibri"/>
                <w:b/>
                <w:bCs/>
                <w:color w:val="000000"/>
                <w:sz w:val="19"/>
                <w:szCs w:val="19"/>
              </w:rPr>
            </w:pPr>
            <w:r w:rsidRPr="00AA705B">
              <w:rPr>
                <w:rFonts w:ascii="Arial Narrow" w:hAnsi="Arial Narrow" w:cs="Calibri"/>
                <w:b/>
                <w:bCs/>
                <w:color w:val="000000"/>
                <w:sz w:val="19"/>
                <w:szCs w:val="19"/>
              </w:rPr>
              <w:t>Item</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31100638" w14:textId="77777777" w:rsidR="00030F2F" w:rsidRPr="00AA705B" w:rsidRDefault="00030F2F" w:rsidP="00DD691F">
            <w:pPr>
              <w:spacing w:before="40" w:line="240" w:lineRule="auto"/>
              <w:jc w:val="center"/>
              <w:rPr>
                <w:rFonts w:ascii="Arial Narrow" w:hAnsi="Arial Narrow" w:cs="Calibri"/>
                <w:b/>
                <w:bCs/>
                <w:color w:val="000000"/>
                <w:sz w:val="19"/>
                <w:szCs w:val="19"/>
              </w:rPr>
            </w:pPr>
            <w:r w:rsidRPr="00AA705B">
              <w:rPr>
                <w:rFonts w:ascii="Arial Narrow" w:hAnsi="Arial Narrow" w:cs="Calibri"/>
                <w:b/>
                <w:bCs/>
                <w:color w:val="000000"/>
                <w:sz w:val="19"/>
                <w:szCs w:val="19"/>
              </w:rPr>
              <w:t>2021</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4ECB6C2F" w14:textId="77777777" w:rsidR="00030F2F" w:rsidRPr="00AA705B" w:rsidRDefault="00030F2F" w:rsidP="00DD691F">
            <w:pPr>
              <w:spacing w:before="40" w:line="240" w:lineRule="auto"/>
              <w:jc w:val="center"/>
              <w:rPr>
                <w:rFonts w:ascii="Arial Narrow" w:hAnsi="Arial Narrow" w:cs="Calibri"/>
                <w:b/>
                <w:bCs/>
                <w:color w:val="000000"/>
                <w:sz w:val="19"/>
                <w:szCs w:val="19"/>
              </w:rPr>
            </w:pPr>
            <w:r w:rsidRPr="00AA705B">
              <w:rPr>
                <w:rFonts w:ascii="Arial Narrow" w:hAnsi="Arial Narrow" w:cs="Calibri"/>
                <w:b/>
                <w:bCs/>
                <w:color w:val="000000"/>
                <w:sz w:val="19"/>
                <w:szCs w:val="19"/>
              </w:rPr>
              <w:t>2022</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6D0218BE" w14:textId="77777777" w:rsidR="00030F2F" w:rsidRPr="00AA705B" w:rsidRDefault="00030F2F" w:rsidP="00DD691F">
            <w:pPr>
              <w:spacing w:before="40" w:line="240" w:lineRule="auto"/>
              <w:jc w:val="center"/>
              <w:rPr>
                <w:rFonts w:ascii="Arial Narrow" w:hAnsi="Arial Narrow" w:cs="Calibri"/>
                <w:b/>
                <w:bCs/>
                <w:color w:val="000000"/>
                <w:sz w:val="19"/>
                <w:szCs w:val="19"/>
              </w:rPr>
            </w:pPr>
            <w:r w:rsidRPr="00AA705B">
              <w:rPr>
                <w:rFonts w:ascii="Arial Narrow" w:hAnsi="Arial Narrow" w:cs="Calibri"/>
                <w:b/>
                <w:bCs/>
                <w:color w:val="000000"/>
                <w:sz w:val="19"/>
                <w:szCs w:val="19"/>
              </w:rPr>
              <w:t>2023</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047C30C8" w14:textId="77777777" w:rsidR="00030F2F" w:rsidRPr="00AA705B" w:rsidRDefault="00030F2F" w:rsidP="00DD691F">
            <w:pPr>
              <w:spacing w:before="40" w:line="240" w:lineRule="auto"/>
              <w:jc w:val="center"/>
              <w:rPr>
                <w:rFonts w:ascii="Arial Narrow" w:hAnsi="Arial Narrow" w:cs="Calibri"/>
                <w:b/>
                <w:bCs/>
                <w:color w:val="000000"/>
                <w:sz w:val="19"/>
                <w:szCs w:val="19"/>
              </w:rPr>
            </w:pPr>
            <w:r w:rsidRPr="00AA705B">
              <w:rPr>
                <w:rFonts w:ascii="Arial Narrow" w:hAnsi="Arial Narrow" w:cs="Calibri"/>
                <w:b/>
                <w:bCs/>
                <w:color w:val="000000"/>
                <w:sz w:val="19"/>
                <w:szCs w:val="19"/>
              </w:rPr>
              <w:t>2024</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2B681098" w14:textId="77777777" w:rsidR="00030F2F" w:rsidRPr="00AA705B" w:rsidRDefault="00030F2F" w:rsidP="00DD691F">
            <w:pPr>
              <w:spacing w:before="40" w:line="240" w:lineRule="auto"/>
              <w:jc w:val="center"/>
              <w:rPr>
                <w:rFonts w:ascii="Arial Narrow" w:hAnsi="Arial Narrow" w:cs="Calibri"/>
                <w:b/>
                <w:bCs/>
                <w:color w:val="000000"/>
                <w:sz w:val="19"/>
                <w:szCs w:val="19"/>
              </w:rPr>
            </w:pPr>
            <w:r w:rsidRPr="00AA705B">
              <w:rPr>
                <w:rFonts w:ascii="Arial Narrow" w:hAnsi="Arial Narrow" w:cs="Calibri"/>
                <w:b/>
                <w:bCs/>
                <w:color w:val="000000"/>
                <w:sz w:val="19"/>
                <w:szCs w:val="19"/>
              </w:rPr>
              <w:t>2025</w:t>
            </w:r>
          </w:p>
        </w:tc>
      </w:tr>
      <w:tr w:rsidR="00030F2F" w:rsidRPr="00AA705B" w14:paraId="5030E8F1" w14:textId="77777777" w:rsidTr="00727A36">
        <w:trPr>
          <w:trHeight w:val="290"/>
        </w:trPr>
        <w:tc>
          <w:tcPr>
            <w:tcW w:w="1533" w:type="pct"/>
            <w:tcBorders>
              <w:top w:val="nil"/>
              <w:left w:val="single" w:sz="4" w:space="0" w:color="auto"/>
              <w:bottom w:val="single" w:sz="4" w:space="0" w:color="auto"/>
              <w:right w:val="nil"/>
            </w:tcBorders>
            <w:shd w:val="clear" w:color="auto" w:fill="auto"/>
            <w:vAlign w:val="center"/>
            <w:hideMark/>
          </w:tcPr>
          <w:p w14:paraId="185A0A69" w14:textId="77777777" w:rsidR="00030F2F" w:rsidRPr="00AA705B" w:rsidRDefault="00030F2F" w:rsidP="00DD691F">
            <w:pPr>
              <w:spacing w:before="40" w:line="240" w:lineRule="auto"/>
              <w:rPr>
                <w:rFonts w:ascii="Arial Narrow" w:hAnsi="Arial Narrow" w:cs="Calibri"/>
                <w:color w:val="000000"/>
                <w:sz w:val="19"/>
                <w:szCs w:val="19"/>
              </w:rPr>
            </w:pPr>
            <w:r w:rsidRPr="00AA705B">
              <w:rPr>
                <w:rFonts w:ascii="Arial Narrow" w:hAnsi="Arial Narrow" w:cs="Calibri"/>
                <w:color w:val="000000"/>
                <w:sz w:val="19"/>
                <w:szCs w:val="19"/>
              </w:rPr>
              <w:t>Fiducial marker placement</w:t>
            </w:r>
          </w:p>
        </w:tc>
        <w:tc>
          <w:tcPr>
            <w:tcW w:w="745" w:type="pct"/>
            <w:tcBorders>
              <w:top w:val="nil"/>
              <w:left w:val="single" w:sz="4" w:space="0" w:color="auto"/>
              <w:bottom w:val="single" w:sz="4" w:space="0" w:color="auto"/>
              <w:right w:val="single" w:sz="4" w:space="0" w:color="auto"/>
            </w:tcBorders>
            <w:shd w:val="clear" w:color="auto" w:fill="auto"/>
            <w:vAlign w:val="bottom"/>
            <w:hideMark/>
          </w:tcPr>
          <w:p w14:paraId="514E190A" w14:textId="073A2AEF" w:rsidR="00030F2F" w:rsidRPr="00000CC1" w:rsidRDefault="00727A36" w:rsidP="00DD691F">
            <w:pPr>
              <w:spacing w:before="40" w:line="240" w:lineRule="auto"/>
              <w:jc w:val="center"/>
              <w:rPr>
                <w:rFonts w:ascii="Arial Narrow" w:hAnsi="Arial Narrow" w:cs="Calibri"/>
                <w:color w:val="000000"/>
                <w:sz w:val="18"/>
                <w:szCs w:val="18"/>
              </w:rPr>
            </w:pPr>
            <w:r w:rsidRPr="001900B2">
              <w:rPr>
                <w:rFonts w:ascii="Arial Narrow" w:hAnsi="Arial Narrow" w:cs="Calibri"/>
                <w:color w:val="000000"/>
                <w:sz w:val="18"/>
                <w:szCs w:val="18"/>
              </w:rPr>
              <w:t>-$626,382</w:t>
            </w:r>
          </w:p>
        </w:tc>
        <w:tc>
          <w:tcPr>
            <w:tcW w:w="714" w:type="pct"/>
            <w:tcBorders>
              <w:top w:val="nil"/>
              <w:left w:val="nil"/>
              <w:bottom w:val="single" w:sz="4" w:space="0" w:color="auto"/>
              <w:right w:val="single" w:sz="4" w:space="0" w:color="auto"/>
            </w:tcBorders>
            <w:shd w:val="clear" w:color="auto" w:fill="auto"/>
            <w:vAlign w:val="bottom"/>
            <w:hideMark/>
          </w:tcPr>
          <w:p w14:paraId="3C2365A1" w14:textId="24113D3B"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w:t>
            </w:r>
            <w:r w:rsidR="00727A36" w:rsidRPr="001900B2">
              <w:rPr>
                <w:rFonts w:ascii="Arial Narrow" w:hAnsi="Arial Narrow" w:cs="Calibri"/>
                <w:color w:val="000000"/>
                <w:sz w:val="18"/>
                <w:szCs w:val="18"/>
              </w:rPr>
              <w:t>252,764</w:t>
            </w:r>
          </w:p>
        </w:tc>
        <w:tc>
          <w:tcPr>
            <w:tcW w:w="639" w:type="pct"/>
            <w:tcBorders>
              <w:top w:val="nil"/>
              <w:left w:val="nil"/>
              <w:bottom w:val="single" w:sz="4" w:space="0" w:color="auto"/>
              <w:right w:val="single" w:sz="4" w:space="0" w:color="auto"/>
            </w:tcBorders>
            <w:shd w:val="clear" w:color="auto" w:fill="auto"/>
            <w:vAlign w:val="bottom"/>
            <w:hideMark/>
          </w:tcPr>
          <w:p w14:paraId="34FEB8E4" w14:textId="36F35692" w:rsidR="00030F2F" w:rsidRPr="00000CC1" w:rsidRDefault="00727A36" w:rsidP="00DD691F">
            <w:pPr>
              <w:spacing w:before="40" w:line="240" w:lineRule="auto"/>
              <w:jc w:val="center"/>
              <w:rPr>
                <w:rFonts w:ascii="Arial Narrow" w:hAnsi="Arial Narrow" w:cs="Calibri"/>
                <w:color w:val="000000"/>
                <w:sz w:val="18"/>
                <w:szCs w:val="18"/>
              </w:rPr>
            </w:pPr>
            <w:r w:rsidRPr="001900B2">
              <w:rPr>
                <w:rFonts w:ascii="Arial Narrow" w:hAnsi="Arial Narrow" w:cs="Calibri"/>
                <w:color w:val="000000"/>
                <w:sz w:val="18"/>
                <w:szCs w:val="18"/>
              </w:rPr>
              <w:t>-$3,827,890</w:t>
            </w:r>
          </w:p>
        </w:tc>
        <w:tc>
          <w:tcPr>
            <w:tcW w:w="695" w:type="pct"/>
            <w:tcBorders>
              <w:top w:val="nil"/>
              <w:left w:val="nil"/>
              <w:bottom w:val="single" w:sz="4" w:space="0" w:color="auto"/>
              <w:right w:val="single" w:sz="4" w:space="0" w:color="auto"/>
            </w:tcBorders>
            <w:shd w:val="clear" w:color="auto" w:fill="auto"/>
            <w:vAlign w:val="bottom"/>
            <w:hideMark/>
          </w:tcPr>
          <w:p w14:paraId="2B07CFC8" w14:textId="12EC2D50" w:rsidR="00030F2F" w:rsidRPr="00000CC1" w:rsidRDefault="00727A36" w:rsidP="00DD691F">
            <w:pPr>
              <w:spacing w:before="40" w:line="240" w:lineRule="auto"/>
              <w:jc w:val="center"/>
              <w:rPr>
                <w:rFonts w:ascii="Arial Narrow" w:hAnsi="Arial Narrow" w:cs="Calibri"/>
                <w:color w:val="000000"/>
                <w:sz w:val="18"/>
                <w:szCs w:val="18"/>
              </w:rPr>
            </w:pPr>
            <w:r w:rsidRPr="001900B2">
              <w:rPr>
                <w:rFonts w:ascii="Arial Narrow" w:hAnsi="Arial Narrow" w:cs="Calibri"/>
                <w:color w:val="000000"/>
                <w:sz w:val="18"/>
                <w:szCs w:val="18"/>
              </w:rPr>
              <w:t>-$3,827,890</w:t>
            </w:r>
          </w:p>
        </w:tc>
        <w:tc>
          <w:tcPr>
            <w:tcW w:w="675" w:type="pct"/>
            <w:tcBorders>
              <w:top w:val="nil"/>
              <w:left w:val="nil"/>
              <w:bottom w:val="single" w:sz="4" w:space="0" w:color="auto"/>
              <w:right w:val="single" w:sz="4" w:space="0" w:color="auto"/>
            </w:tcBorders>
            <w:shd w:val="clear" w:color="auto" w:fill="auto"/>
            <w:vAlign w:val="bottom"/>
            <w:hideMark/>
          </w:tcPr>
          <w:p w14:paraId="65BAF409" w14:textId="68240D57" w:rsidR="00030F2F" w:rsidRPr="00000CC1" w:rsidRDefault="00727A36" w:rsidP="00DD691F">
            <w:pPr>
              <w:spacing w:before="40" w:line="240" w:lineRule="auto"/>
              <w:jc w:val="center"/>
              <w:rPr>
                <w:rFonts w:ascii="Arial Narrow" w:hAnsi="Arial Narrow" w:cs="Calibri"/>
                <w:color w:val="000000"/>
                <w:sz w:val="18"/>
                <w:szCs w:val="18"/>
              </w:rPr>
            </w:pPr>
            <w:r w:rsidRPr="001900B2">
              <w:rPr>
                <w:rFonts w:ascii="Arial Narrow" w:hAnsi="Arial Narrow" w:cs="Calibri"/>
                <w:color w:val="000000"/>
                <w:sz w:val="18"/>
                <w:szCs w:val="18"/>
              </w:rPr>
              <w:t>-$3,827,890</w:t>
            </w:r>
          </w:p>
        </w:tc>
      </w:tr>
      <w:tr w:rsidR="00030F2F" w:rsidRPr="00AA705B" w14:paraId="5989F1A4" w14:textId="77777777" w:rsidTr="00727A36">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7F654010" w14:textId="77777777" w:rsidR="00030F2F" w:rsidRPr="00AA705B" w:rsidRDefault="00030F2F" w:rsidP="00DD691F">
            <w:pPr>
              <w:spacing w:before="40" w:line="240" w:lineRule="auto"/>
              <w:rPr>
                <w:rFonts w:ascii="Arial Narrow" w:hAnsi="Arial Narrow" w:cs="Calibri"/>
                <w:color w:val="000000"/>
                <w:sz w:val="19"/>
                <w:szCs w:val="19"/>
              </w:rPr>
            </w:pPr>
            <w:r w:rsidRPr="00AA705B">
              <w:rPr>
                <w:rFonts w:ascii="Arial Narrow" w:hAnsi="Arial Narrow" w:cs="Calibri"/>
                <w:color w:val="000000"/>
                <w:sz w:val="19"/>
                <w:szCs w:val="19"/>
              </w:rPr>
              <w:t>MBS item 15565 (planning)</w:t>
            </w:r>
          </w:p>
        </w:tc>
        <w:tc>
          <w:tcPr>
            <w:tcW w:w="745" w:type="pct"/>
            <w:tcBorders>
              <w:top w:val="nil"/>
              <w:left w:val="nil"/>
              <w:bottom w:val="single" w:sz="4" w:space="0" w:color="auto"/>
              <w:right w:val="single" w:sz="4" w:space="0" w:color="auto"/>
            </w:tcBorders>
            <w:shd w:val="clear" w:color="auto" w:fill="auto"/>
            <w:vAlign w:val="bottom"/>
            <w:hideMark/>
          </w:tcPr>
          <w:p w14:paraId="6A578FD5"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714" w:type="pct"/>
            <w:tcBorders>
              <w:top w:val="nil"/>
              <w:left w:val="nil"/>
              <w:bottom w:val="single" w:sz="4" w:space="0" w:color="auto"/>
              <w:right w:val="single" w:sz="4" w:space="0" w:color="auto"/>
            </w:tcBorders>
            <w:shd w:val="clear" w:color="auto" w:fill="auto"/>
            <w:vAlign w:val="bottom"/>
            <w:hideMark/>
          </w:tcPr>
          <w:p w14:paraId="3C35DF7B"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39" w:type="pct"/>
            <w:tcBorders>
              <w:top w:val="nil"/>
              <w:left w:val="nil"/>
              <w:bottom w:val="single" w:sz="4" w:space="0" w:color="auto"/>
              <w:right w:val="single" w:sz="4" w:space="0" w:color="auto"/>
            </w:tcBorders>
            <w:shd w:val="clear" w:color="auto" w:fill="auto"/>
            <w:vAlign w:val="bottom"/>
            <w:hideMark/>
          </w:tcPr>
          <w:p w14:paraId="79CB4A3F"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95" w:type="pct"/>
            <w:tcBorders>
              <w:top w:val="nil"/>
              <w:left w:val="nil"/>
              <w:bottom w:val="single" w:sz="4" w:space="0" w:color="auto"/>
              <w:right w:val="single" w:sz="4" w:space="0" w:color="auto"/>
            </w:tcBorders>
            <w:shd w:val="clear" w:color="auto" w:fill="auto"/>
            <w:vAlign w:val="bottom"/>
            <w:hideMark/>
          </w:tcPr>
          <w:p w14:paraId="06EC478E"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75" w:type="pct"/>
            <w:tcBorders>
              <w:top w:val="nil"/>
              <w:left w:val="nil"/>
              <w:bottom w:val="single" w:sz="4" w:space="0" w:color="auto"/>
              <w:right w:val="single" w:sz="4" w:space="0" w:color="auto"/>
            </w:tcBorders>
            <w:shd w:val="clear" w:color="auto" w:fill="auto"/>
            <w:vAlign w:val="bottom"/>
            <w:hideMark/>
          </w:tcPr>
          <w:p w14:paraId="3181BF05"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r>
      <w:tr w:rsidR="00030F2F" w:rsidRPr="00AA705B" w14:paraId="6C85C3B1" w14:textId="77777777" w:rsidTr="00727A36">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1C07FDB7" w14:textId="77777777" w:rsidR="00030F2F" w:rsidRPr="00AA705B" w:rsidRDefault="00030F2F" w:rsidP="00DD691F">
            <w:pPr>
              <w:spacing w:before="40" w:line="240" w:lineRule="auto"/>
              <w:rPr>
                <w:rFonts w:ascii="Arial Narrow" w:hAnsi="Arial Narrow" w:cs="Calibri"/>
                <w:color w:val="000000"/>
                <w:sz w:val="19"/>
                <w:szCs w:val="19"/>
              </w:rPr>
            </w:pPr>
            <w:r w:rsidRPr="00AA705B">
              <w:rPr>
                <w:rFonts w:ascii="Arial Narrow" w:hAnsi="Arial Narrow" w:cs="Calibri"/>
                <w:color w:val="000000"/>
                <w:sz w:val="19"/>
                <w:szCs w:val="19"/>
              </w:rPr>
              <w:t>MBS item 15555 (simulation)</w:t>
            </w:r>
          </w:p>
        </w:tc>
        <w:tc>
          <w:tcPr>
            <w:tcW w:w="745" w:type="pct"/>
            <w:tcBorders>
              <w:top w:val="nil"/>
              <w:left w:val="nil"/>
              <w:bottom w:val="single" w:sz="4" w:space="0" w:color="auto"/>
              <w:right w:val="single" w:sz="4" w:space="0" w:color="auto"/>
            </w:tcBorders>
            <w:shd w:val="clear" w:color="auto" w:fill="auto"/>
            <w:vAlign w:val="bottom"/>
            <w:hideMark/>
          </w:tcPr>
          <w:p w14:paraId="799D26D9"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714" w:type="pct"/>
            <w:tcBorders>
              <w:top w:val="nil"/>
              <w:left w:val="nil"/>
              <w:bottom w:val="single" w:sz="4" w:space="0" w:color="auto"/>
              <w:right w:val="single" w:sz="4" w:space="0" w:color="auto"/>
            </w:tcBorders>
            <w:shd w:val="clear" w:color="auto" w:fill="auto"/>
            <w:vAlign w:val="bottom"/>
            <w:hideMark/>
          </w:tcPr>
          <w:p w14:paraId="1CE85D14"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39" w:type="pct"/>
            <w:tcBorders>
              <w:top w:val="nil"/>
              <w:left w:val="nil"/>
              <w:bottom w:val="single" w:sz="4" w:space="0" w:color="auto"/>
              <w:right w:val="single" w:sz="4" w:space="0" w:color="auto"/>
            </w:tcBorders>
            <w:shd w:val="clear" w:color="auto" w:fill="auto"/>
            <w:vAlign w:val="bottom"/>
            <w:hideMark/>
          </w:tcPr>
          <w:p w14:paraId="194780B0"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95" w:type="pct"/>
            <w:tcBorders>
              <w:top w:val="nil"/>
              <w:left w:val="nil"/>
              <w:bottom w:val="single" w:sz="4" w:space="0" w:color="auto"/>
              <w:right w:val="single" w:sz="4" w:space="0" w:color="auto"/>
            </w:tcBorders>
            <w:shd w:val="clear" w:color="auto" w:fill="auto"/>
            <w:vAlign w:val="bottom"/>
            <w:hideMark/>
          </w:tcPr>
          <w:p w14:paraId="6720B128"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75" w:type="pct"/>
            <w:tcBorders>
              <w:top w:val="nil"/>
              <w:left w:val="nil"/>
              <w:bottom w:val="single" w:sz="4" w:space="0" w:color="auto"/>
              <w:right w:val="single" w:sz="4" w:space="0" w:color="auto"/>
            </w:tcBorders>
            <w:shd w:val="clear" w:color="auto" w:fill="auto"/>
            <w:vAlign w:val="bottom"/>
            <w:hideMark/>
          </w:tcPr>
          <w:p w14:paraId="6C3947D6"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r>
      <w:tr w:rsidR="00030F2F" w:rsidRPr="00AA705B" w14:paraId="3D7993AF" w14:textId="77777777" w:rsidTr="00727A36">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62B14D51" w14:textId="77777777" w:rsidR="00030F2F" w:rsidRPr="00AA705B" w:rsidRDefault="00030F2F" w:rsidP="00DD691F">
            <w:pPr>
              <w:spacing w:before="40" w:line="240" w:lineRule="auto"/>
              <w:rPr>
                <w:rFonts w:ascii="Arial Narrow" w:hAnsi="Arial Narrow" w:cs="Calibri"/>
                <w:color w:val="000000"/>
                <w:sz w:val="19"/>
                <w:szCs w:val="19"/>
              </w:rPr>
            </w:pPr>
            <w:r w:rsidRPr="00AA705B">
              <w:rPr>
                <w:rFonts w:ascii="Arial Narrow" w:hAnsi="Arial Narrow" w:cs="Calibri"/>
                <w:color w:val="000000"/>
                <w:sz w:val="19"/>
                <w:szCs w:val="19"/>
              </w:rPr>
              <w:t>MBS item 15275 (fraction)</w:t>
            </w:r>
          </w:p>
        </w:tc>
        <w:tc>
          <w:tcPr>
            <w:tcW w:w="745" w:type="pct"/>
            <w:tcBorders>
              <w:top w:val="nil"/>
              <w:left w:val="nil"/>
              <w:bottom w:val="single" w:sz="4" w:space="0" w:color="auto"/>
              <w:right w:val="single" w:sz="4" w:space="0" w:color="auto"/>
            </w:tcBorders>
            <w:shd w:val="clear" w:color="auto" w:fill="auto"/>
            <w:vAlign w:val="bottom"/>
            <w:hideMark/>
          </w:tcPr>
          <w:p w14:paraId="46F00B8B"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-$3,453,091</w:t>
            </w:r>
          </w:p>
        </w:tc>
        <w:tc>
          <w:tcPr>
            <w:tcW w:w="714" w:type="pct"/>
            <w:tcBorders>
              <w:top w:val="nil"/>
              <w:left w:val="nil"/>
              <w:bottom w:val="single" w:sz="4" w:space="0" w:color="auto"/>
              <w:right w:val="single" w:sz="4" w:space="0" w:color="auto"/>
            </w:tcBorders>
            <w:shd w:val="clear" w:color="auto" w:fill="auto"/>
            <w:vAlign w:val="bottom"/>
            <w:hideMark/>
          </w:tcPr>
          <w:p w14:paraId="01F7BBA7"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-$6,906,182</w:t>
            </w:r>
          </w:p>
        </w:tc>
        <w:tc>
          <w:tcPr>
            <w:tcW w:w="639" w:type="pct"/>
            <w:tcBorders>
              <w:top w:val="nil"/>
              <w:left w:val="nil"/>
              <w:bottom w:val="single" w:sz="4" w:space="0" w:color="auto"/>
              <w:right w:val="single" w:sz="4" w:space="0" w:color="auto"/>
            </w:tcBorders>
            <w:shd w:val="clear" w:color="auto" w:fill="auto"/>
            <w:vAlign w:val="bottom"/>
            <w:hideMark/>
          </w:tcPr>
          <w:p w14:paraId="17E69537"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-$21,102,224</w:t>
            </w:r>
          </w:p>
        </w:tc>
        <w:tc>
          <w:tcPr>
            <w:tcW w:w="695" w:type="pct"/>
            <w:tcBorders>
              <w:top w:val="nil"/>
              <w:left w:val="nil"/>
              <w:bottom w:val="single" w:sz="4" w:space="0" w:color="auto"/>
              <w:right w:val="single" w:sz="4" w:space="0" w:color="auto"/>
            </w:tcBorders>
            <w:shd w:val="clear" w:color="auto" w:fill="auto"/>
            <w:vAlign w:val="bottom"/>
            <w:hideMark/>
          </w:tcPr>
          <w:p w14:paraId="03F72485"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-$21,102,224</w:t>
            </w:r>
          </w:p>
        </w:tc>
        <w:tc>
          <w:tcPr>
            <w:tcW w:w="675" w:type="pct"/>
            <w:tcBorders>
              <w:top w:val="nil"/>
              <w:left w:val="nil"/>
              <w:bottom w:val="single" w:sz="4" w:space="0" w:color="auto"/>
              <w:right w:val="single" w:sz="4" w:space="0" w:color="auto"/>
            </w:tcBorders>
            <w:shd w:val="clear" w:color="auto" w:fill="auto"/>
            <w:vAlign w:val="bottom"/>
            <w:hideMark/>
          </w:tcPr>
          <w:p w14:paraId="3B40BC03"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-$21,102,224</w:t>
            </w:r>
          </w:p>
        </w:tc>
      </w:tr>
      <w:tr w:rsidR="00030F2F" w:rsidRPr="00AA705B" w14:paraId="03BF09E3" w14:textId="77777777" w:rsidTr="00727A36">
        <w:trPr>
          <w:trHeight w:val="290"/>
        </w:trPr>
        <w:tc>
          <w:tcPr>
            <w:tcW w:w="1533" w:type="pct"/>
            <w:tcBorders>
              <w:top w:val="nil"/>
              <w:left w:val="single" w:sz="4" w:space="0" w:color="auto"/>
              <w:bottom w:val="single" w:sz="4" w:space="0" w:color="auto"/>
              <w:right w:val="single" w:sz="4" w:space="0" w:color="auto"/>
            </w:tcBorders>
            <w:shd w:val="clear" w:color="auto" w:fill="auto"/>
            <w:noWrap/>
            <w:vAlign w:val="center"/>
            <w:hideMark/>
          </w:tcPr>
          <w:p w14:paraId="7C237D2F" w14:textId="77777777" w:rsidR="00030F2F" w:rsidRPr="00AA705B" w:rsidRDefault="00030F2F" w:rsidP="00DD691F">
            <w:pPr>
              <w:spacing w:before="40" w:line="240" w:lineRule="auto"/>
              <w:rPr>
                <w:rFonts w:ascii="Arial Narrow" w:hAnsi="Arial Narrow" w:cs="Calibri"/>
                <w:b/>
                <w:bCs/>
                <w:color w:val="000000"/>
                <w:sz w:val="19"/>
                <w:szCs w:val="19"/>
              </w:rPr>
            </w:pPr>
            <w:r w:rsidRPr="00AA705B">
              <w:rPr>
                <w:rFonts w:ascii="Arial Narrow" w:hAnsi="Arial Narrow" w:cs="Calibri"/>
                <w:b/>
                <w:bCs/>
                <w:color w:val="000000"/>
                <w:sz w:val="19"/>
                <w:szCs w:val="19"/>
              </w:rPr>
              <w:t>Financial Implications for the MBS</w:t>
            </w:r>
          </w:p>
        </w:tc>
        <w:tc>
          <w:tcPr>
            <w:tcW w:w="745" w:type="pct"/>
            <w:tcBorders>
              <w:top w:val="nil"/>
              <w:left w:val="nil"/>
              <w:bottom w:val="single" w:sz="4" w:space="0" w:color="auto"/>
              <w:right w:val="single" w:sz="4" w:space="0" w:color="auto"/>
            </w:tcBorders>
            <w:shd w:val="clear" w:color="auto" w:fill="auto"/>
            <w:vAlign w:val="bottom"/>
            <w:hideMark/>
          </w:tcPr>
          <w:p w14:paraId="78866164" w14:textId="780E42F4"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-$4,</w:t>
            </w:r>
            <w:r w:rsidR="00727A36" w:rsidRPr="001900B2">
              <w:rPr>
                <w:rFonts w:ascii="Arial Narrow" w:hAnsi="Arial Narrow" w:cs="Calibri"/>
                <w:b/>
                <w:bCs/>
                <w:color w:val="000000"/>
                <w:sz w:val="18"/>
                <w:szCs w:val="18"/>
              </w:rPr>
              <w:t>079,473</w:t>
            </w:r>
          </w:p>
        </w:tc>
        <w:tc>
          <w:tcPr>
            <w:tcW w:w="714" w:type="pct"/>
            <w:tcBorders>
              <w:top w:val="nil"/>
              <w:left w:val="nil"/>
              <w:bottom w:val="single" w:sz="4" w:space="0" w:color="auto"/>
              <w:right w:val="single" w:sz="4" w:space="0" w:color="auto"/>
            </w:tcBorders>
            <w:shd w:val="clear" w:color="auto" w:fill="auto"/>
            <w:vAlign w:val="bottom"/>
            <w:hideMark/>
          </w:tcPr>
          <w:p w14:paraId="56533A21" w14:textId="5E4F5FAA"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-$8,</w:t>
            </w:r>
            <w:r w:rsidR="00727A36" w:rsidRPr="001900B2">
              <w:rPr>
                <w:rFonts w:ascii="Arial Narrow" w:hAnsi="Arial Narrow" w:cs="Calibri"/>
                <w:b/>
                <w:bCs/>
                <w:color w:val="000000"/>
                <w:sz w:val="18"/>
                <w:szCs w:val="18"/>
              </w:rPr>
              <w:t>158,946</w:t>
            </w:r>
          </w:p>
        </w:tc>
        <w:tc>
          <w:tcPr>
            <w:tcW w:w="639" w:type="pct"/>
            <w:tcBorders>
              <w:top w:val="nil"/>
              <w:left w:val="nil"/>
              <w:bottom w:val="single" w:sz="4" w:space="0" w:color="auto"/>
              <w:right w:val="single" w:sz="4" w:space="0" w:color="auto"/>
            </w:tcBorders>
            <w:shd w:val="clear" w:color="auto" w:fill="auto"/>
            <w:vAlign w:val="bottom"/>
            <w:hideMark/>
          </w:tcPr>
          <w:p w14:paraId="51E9E71E" w14:textId="30CD86A0" w:rsidR="00030F2F" w:rsidRPr="00000CC1" w:rsidRDefault="00727A36" w:rsidP="00DD691F">
            <w:pPr>
              <w:spacing w:before="40" w:line="240" w:lineRule="auto"/>
              <w:jc w:val="center"/>
              <w:rPr>
                <w:rFonts w:ascii="Arial Narrow" w:hAnsi="Arial Narrow" w:cs="Calibri"/>
                <w:b/>
                <w:bCs/>
                <w:color w:val="000000"/>
                <w:sz w:val="18"/>
                <w:szCs w:val="18"/>
              </w:rPr>
            </w:pPr>
            <w:r w:rsidRPr="001900B2">
              <w:rPr>
                <w:rFonts w:ascii="Arial Narrow" w:hAnsi="Arial Narrow" w:cs="Calibri"/>
                <w:b/>
                <w:bCs/>
                <w:color w:val="000000"/>
                <w:sz w:val="18"/>
                <w:szCs w:val="18"/>
              </w:rPr>
              <w:t>-$24,930,114</w:t>
            </w:r>
          </w:p>
        </w:tc>
        <w:tc>
          <w:tcPr>
            <w:tcW w:w="695" w:type="pct"/>
            <w:tcBorders>
              <w:top w:val="nil"/>
              <w:left w:val="nil"/>
              <w:bottom w:val="single" w:sz="4" w:space="0" w:color="auto"/>
              <w:right w:val="single" w:sz="4" w:space="0" w:color="auto"/>
            </w:tcBorders>
            <w:shd w:val="clear" w:color="auto" w:fill="auto"/>
            <w:vAlign w:val="bottom"/>
            <w:hideMark/>
          </w:tcPr>
          <w:p w14:paraId="15544FA7" w14:textId="7187C812" w:rsidR="00030F2F" w:rsidRPr="00000CC1" w:rsidRDefault="00727A36" w:rsidP="00DD691F">
            <w:pPr>
              <w:spacing w:before="40" w:line="240" w:lineRule="auto"/>
              <w:jc w:val="center"/>
              <w:rPr>
                <w:rFonts w:ascii="Arial Narrow" w:hAnsi="Arial Narrow" w:cs="Calibri"/>
                <w:b/>
                <w:bCs/>
                <w:color w:val="000000"/>
                <w:sz w:val="18"/>
                <w:szCs w:val="18"/>
              </w:rPr>
            </w:pPr>
            <w:r w:rsidRPr="001900B2">
              <w:rPr>
                <w:rFonts w:ascii="Arial Narrow" w:hAnsi="Arial Narrow" w:cs="Calibri"/>
                <w:b/>
                <w:bCs/>
                <w:color w:val="000000"/>
                <w:sz w:val="18"/>
                <w:szCs w:val="18"/>
              </w:rPr>
              <w:t>-$24,930,114</w:t>
            </w:r>
          </w:p>
        </w:tc>
        <w:tc>
          <w:tcPr>
            <w:tcW w:w="675" w:type="pct"/>
            <w:tcBorders>
              <w:top w:val="nil"/>
              <w:left w:val="nil"/>
              <w:bottom w:val="single" w:sz="4" w:space="0" w:color="auto"/>
              <w:right w:val="single" w:sz="4" w:space="0" w:color="auto"/>
            </w:tcBorders>
            <w:shd w:val="clear" w:color="auto" w:fill="auto"/>
            <w:vAlign w:val="bottom"/>
            <w:hideMark/>
          </w:tcPr>
          <w:p w14:paraId="5E8086C5" w14:textId="5C11B96D" w:rsidR="00030F2F" w:rsidRPr="00000CC1" w:rsidRDefault="00727A36" w:rsidP="00DD691F">
            <w:pPr>
              <w:spacing w:before="40" w:line="240" w:lineRule="auto"/>
              <w:jc w:val="center"/>
              <w:rPr>
                <w:rFonts w:ascii="Arial Narrow" w:hAnsi="Arial Narrow" w:cs="Calibri"/>
                <w:b/>
                <w:bCs/>
                <w:color w:val="000000"/>
                <w:sz w:val="18"/>
                <w:szCs w:val="18"/>
              </w:rPr>
            </w:pPr>
            <w:r w:rsidRPr="001900B2">
              <w:rPr>
                <w:rFonts w:ascii="Arial Narrow" w:hAnsi="Arial Narrow" w:cs="Calibri"/>
                <w:b/>
                <w:bCs/>
                <w:color w:val="000000"/>
                <w:sz w:val="18"/>
                <w:szCs w:val="18"/>
              </w:rPr>
              <w:t>-$24,930,114</w:t>
            </w:r>
          </w:p>
        </w:tc>
      </w:tr>
    </w:tbl>
    <w:p w14:paraId="52EB0688" w14:textId="2361CE39" w:rsidR="00030F2F" w:rsidRDefault="00030F2F" w:rsidP="009D6338">
      <w:pPr>
        <w:pStyle w:val="Tablenotes0"/>
      </w:pPr>
      <w:r>
        <w:t>Abbreviations: EBRT=external beam radiation therapy, MBS=Medical Benefits Schedule</w:t>
      </w:r>
    </w:p>
    <w:p w14:paraId="7D170519" w14:textId="3DB1FE6D" w:rsidR="00030F2F" w:rsidRDefault="00030F2F" w:rsidP="009D6338">
      <w:pPr>
        <w:pStyle w:val="Caption"/>
        <w:keepNext/>
        <w:ind w:left="1130" w:hanging="1130"/>
        <w:jc w:val="both"/>
      </w:pPr>
      <w:bookmarkStart w:id="748" w:name="_Toc89857950"/>
      <w:r>
        <w:lastRenderedPageBreak/>
        <w:t xml:space="preserve">Table </w:t>
      </w:r>
      <w:r w:rsidR="00211285">
        <w:fldChar w:fldCharType="begin"/>
      </w:r>
      <w:r w:rsidR="00211285">
        <w:instrText xml:space="preserve"> SEQ Table \* ARABIC </w:instrText>
      </w:r>
      <w:r w:rsidR="00211285">
        <w:fldChar w:fldCharType="separate"/>
      </w:r>
      <w:r w:rsidR="00451350">
        <w:rPr>
          <w:noProof/>
        </w:rPr>
        <w:t>79</w:t>
      </w:r>
      <w:r w:rsidR="00211285">
        <w:rPr>
          <w:noProof/>
        </w:rPr>
        <w:fldChar w:fldCharType="end"/>
      </w:r>
      <w:r>
        <w:tab/>
        <w:t>Sensitivity analysis: Financial implications for MBS – average of 10 fractions of treatment per treatment course with MR-IGRT</w:t>
      </w:r>
      <w:bookmarkEnd w:id="748"/>
      <w:r>
        <w:t xml:space="preserve"> </w:t>
      </w:r>
    </w:p>
    <w:tbl>
      <w:tblPr>
        <w:tblStyle w:val="TableGrid1"/>
        <w:tblW w:w="5000" w:type="pct"/>
        <w:tblLook w:val="04A0" w:firstRow="1" w:lastRow="0" w:firstColumn="1" w:lastColumn="0" w:noHBand="0" w:noVBand="1"/>
      </w:tblPr>
      <w:tblGrid>
        <w:gridCol w:w="2765"/>
        <w:gridCol w:w="1344"/>
        <w:gridCol w:w="1287"/>
        <w:gridCol w:w="1152"/>
        <w:gridCol w:w="1253"/>
        <w:gridCol w:w="1215"/>
      </w:tblGrid>
      <w:tr w:rsidR="00030F2F" w:rsidRPr="00AA705B" w14:paraId="651F7ADE" w14:textId="77777777" w:rsidTr="005F450E">
        <w:trPr>
          <w:cnfStyle w:val="100000000000" w:firstRow="1" w:lastRow="0" w:firstColumn="0" w:lastColumn="0" w:oddVBand="0" w:evenVBand="0" w:oddHBand="0" w:evenHBand="0" w:firstRowFirstColumn="0" w:firstRowLastColumn="0" w:lastRowFirstColumn="0" w:lastRowLastColumn="0"/>
          <w:trHeight w:val="290"/>
        </w:trPr>
        <w:tc>
          <w:tcPr>
            <w:tcW w:w="1533" w:type="pct"/>
            <w:shd w:val="clear" w:color="auto" w:fill="auto"/>
            <w:vAlign w:val="center"/>
            <w:hideMark/>
          </w:tcPr>
          <w:p w14:paraId="772B8E42" w14:textId="77777777" w:rsidR="00030F2F" w:rsidRPr="00AA705B" w:rsidRDefault="00030F2F" w:rsidP="009D6338">
            <w:pPr>
              <w:keepNext/>
              <w:spacing w:before="40" w:line="240" w:lineRule="auto"/>
              <w:rPr>
                <w:rFonts w:ascii="Arial Narrow" w:hAnsi="Arial Narrow" w:cs="Calibri"/>
                <w:b/>
                <w:bCs/>
                <w:color w:val="000000"/>
                <w:sz w:val="18"/>
                <w:szCs w:val="18"/>
              </w:rPr>
            </w:pPr>
            <w:r w:rsidRPr="00AA705B">
              <w:rPr>
                <w:rFonts w:ascii="Arial Narrow" w:hAnsi="Arial Narrow" w:cs="Calibri"/>
                <w:b/>
                <w:bCs/>
                <w:color w:val="000000"/>
                <w:sz w:val="18"/>
                <w:szCs w:val="18"/>
              </w:rPr>
              <w:t>Item</w:t>
            </w:r>
          </w:p>
        </w:tc>
        <w:tc>
          <w:tcPr>
            <w:tcW w:w="745" w:type="pct"/>
            <w:shd w:val="clear" w:color="auto" w:fill="auto"/>
            <w:vAlign w:val="bottom"/>
            <w:hideMark/>
          </w:tcPr>
          <w:p w14:paraId="5CFD75AF" w14:textId="77777777" w:rsidR="00030F2F" w:rsidRPr="00AA705B" w:rsidRDefault="00030F2F" w:rsidP="009D6338">
            <w:pPr>
              <w:keepNext/>
              <w:spacing w:before="40" w:line="240" w:lineRule="auto"/>
              <w:jc w:val="center"/>
              <w:rPr>
                <w:rFonts w:ascii="Arial Narrow" w:hAnsi="Arial Narrow" w:cs="Calibri"/>
                <w:b/>
                <w:bCs/>
                <w:color w:val="000000"/>
                <w:sz w:val="18"/>
                <w:szCs w:val="18"/>
              </w:rPr>
            </w:pPr>
            <w:r w:rsidRPr="00AA705B">
              <w:rPr>
                <w:rFonts w:ascii="Arial Narrow" w:hAnsi="Arial Narrow" w:cs="Calibri"/>
                <w:b/>
                <w:bCs/>
                <w:color w:val="000000"/>
                <w:sz w:val="18"/>
                <w:szCs w:val="18"/>
              </w:rPr>
              <w:t>2021</w:t>
            </w:r>
          </w:p>
        </w:tc>
        <w:tc>
          <w:tcPr>
            <w:tcW w:w="714" w:type="pct"/>
            <w:shd w:val="clear" w:color="auto" w:fill="auto"/>
            <w:vAlign w:val="bottom"/>
            <w:hideMark/>
          </w:tcPr>
          <w:p w14:paraId="02989039" w14:textId="77777777" w:rsidR="00030F2F" w:rsidRPr="00AA705B" w:rsidRDefault="00030F2F" w:rsidP="009D6338">
            <w:pPr>
              <w:keepNext/>
              <w:spacing w:before="40" w:line="240" w:lineRule="auto"/>
              <w:jc w:val="center"/>
              <w:rPr>
                <w:rFonts w:ascii="Arial Narrow" w:hAnsi="Arial Narrow" w:cs="Calibri"/>
                <w:b/>
                <w:bCs/>
                <w:color w:val="000000"/>
                <w:sz w:val="18"/>
                <w:szCs w:val="18"/>
              </w:rPr>
            </w:pPr>
            <w:r w:rsidRPr="00AA705B">
              <w:rPr>
                <w:rFonts w:ascii="Arial Narrow" w:hAnsi="Arial Narrow" w:cs="Calibri"/>
                <w:b/>
                <w:bCs/>
                <w:color w:val="000000"/>
                <w:sz w:val="18"/>
                <w:szCs w:val="18"/>
              </w:rPr>
              <w:t>2022</w:t>
            </w:r>
          </w:p>
        </w:tc>
        <w:tc>
          <w:tcPr>
            <w:tcW w:w="639" w:type="pct"/>
            <w:shd w:val="clear" w:color="auto" w:fill="auto"/>
            <w:vAlign w:val="bottom"/>
            <w:hideMark/>
          </w:tcPr>
          <w:p w14:paraId="31E17F6C" w14:textId="77777777" w:rsidR="00030F2F" w:rsidRPr="00AA705B" w:rsidRDefault="00030F2F" w:rsidP="009D6338">
            <w:pPr>
              <w:keepNext/>
              <w:spacing w:before="40" w:line="240" w:lineRule="auto"/>
              <w:jc w:val="center"/>
              <w:rPr>
                <w:rFonts w:ascii="Arial Narrow" w:hAnsi="Arial Narrow" w:cs="Calibri"/>
                <w:b/>
                <w:bCs/>
                <w:color w:val="000000"/>
                <w:sz w:val="18"/>
                <w:szCs w:val="18"/>
              </w:rPr>
            </w:pPr>
            <w:r w:rsidRPr="00AA705B">
              <w:rPr>
                <w:rFonts w:ascii="Arial Narrow" w:hAnsi="Arial Narrow" w:cs="Calibri"/>
                <w:b/>
                <w:bCs/>
                <w:color w:val="000000"/>
                <w:sz w:val="18"/>
                <w:szCs w:val="18"/>
              </w:rPr>
              <w:t>2023</w:t>
            </w:r>
          </w:p>
        </w:tc>
        <w:tc>
          <w:tcPr>
            <w:tcW w:w="695" w:type="pct"/>
            <w:shd w:val="clear" w:color="auto" w:fill="auto"/>
            <w:vAlign w:val="bottom"/>
            <w:hideMark/>
          </w:tcPr>
          <w:p w14:paraId="32E22C3A" w14:textId="77777777" w:rsidR="00030F2F" w:rsidRPr="00AA705B" w:rsidRDefault="00030F2F" w:rsidP="009D6338">
            <w:pPr>
              <w:keepNext/>
              <w:spacing w:before="40" w:line="240" w:lineRule="auto"/>
              <w:jc w:val="center"/>
              <w:rPr>
                <w:rFonts w:ascii="Arial Narrow" w:hAnsi="Arial Narrow" w:cs="Calibri"/>
                <w:b/>
                <w:bCs/>
                <w:color w:val="000000"/>
                <w:sz w:val="18"/>
                <w:szCs w:val="18"/>
              </w:rPr>
            </w:pPr>
            <w:r w:rsidRPr="00AA705B">
              <w:rPr>
                <w:rFonts w:ascii="Arial Narrow" w:hAnsi="Arial Narrow" w:cs="Calibri"/>
                <w:b/>
                <w:bCs/>
                <w:color w:val="000000"/>
                <w:sz w:val="18"/>
                <w:szCs w:val="18"/>
              </w:rPr>
              <w:t>2024</w:t>
            </w:r>
          </w:p>
        </w:tc>
        <w:tc>
          <w:tcPr>
            <w:tcW w:w="674" w:type="pct"/>
            <w:shd w:val="clear" w:color="auto" w:fill="auto"/>
            <w:vAlign w:val="bottom"/>
            <w:hideMark/>
          </w:tcPr>
          <w:p w14:paraId="29C77D52" w14:textId="77777777" w:rsidR="00030F2F" w:rsidRPr="00AA705B" w:rsidRDefault="00030F2F" w:rsidP="009D6338">
            <w:pPr>
              <w:keepNext/>
              <w:spacing w:before="40" w:line="240" w:lineRule="auto"/>
              <w:jc w:val="center"/>
              <w:rPr>
                <w:rFonts w:ascii="Arial Narrow" w:hAnsi="Arial Narrow" w:cs="Calibri"/>
                <w:b/>
                <w:bCs/>
                <w:color w:val="000000"/>
                <w:sz w:val="18"/>
                <w:szCs w:val="18"/>
              </w:rPr>
            </w:pPr>
            <w:r w:rsidRPr="00AA705B">
              <w:rPr>
                <w:rFonts w:ascii="Arial Narrow" w:hAnsi="Arial Narrow" w:cs="Calibri"/>
                <w:b/>
                <w:bCs/>
                <w:color w:val="000000"/>
                <w:sz w:val="18"/>
                <w:szCs w:val="18"/>
              </w:rPr>
              <w:t>2025</w:t>
            </w:r>
          </w:p>
        </w:tc>
      </w:tr>
      <w:tr w:rsidR="00030F2F" w:rsidRPr="00AA705B" w14:paraId="32B8B9D9" w14:textId="77777777" w:rsidTr="005F450E">
        <w:trPr>
          <w:trHeight w:val="290"/>
        </w:trPr>
        <w:tc>
          <w:tcPr>
            <w:tcW w:w="1533" w:type="pct"/>
            <w:shd w:val="clear" w:color="auto" w:fill="auto"/>
            <w:vAlign w:val="center"/>
            <w:hideMark/>
          </w:tcPr>
          <w:p w14:paraId="03B98CD0" w14:textId="77777777" w:rsidR="00030F2F" w:rsidRPr="00AA705B" w:rsidRDefault="00030F2F" w:rsidP="009D6338">
            <w:pPr>
              <w:keepNext/>
              <w:spacing w:before="40" w:line="240" w:lineRule="auto"/>
              <w:rPr>
                <w:rFonts w:ascii="Arial Narrow" w:hAnsi="Arial Narrow" w:cs="Calibri"/>
                <w:color w:val="000000"/>
                <w:sz w:val="18"/>
                <w:szCs w:val="18"/>
              </w:rPr>
            </w:pPr>
            <w:r w:rsidRPr="00AA705B">
              <w:rPr>
                <w:rFonts w:ascii="Arial Narrow" w:hAnsi="Arial Narrow" w:cs="Calibri"/>
                <w:color w:val="000000"/>
                <w:sz w:val="18"/>
                <w:szCs w:val="18"/>
              </w:rPr>
              <w:t>Fiducial marker placement</w:t>
            </w:r>
          </w:p>
        </w:tc>
        <w:tc>
          <w:tcPr>
            <w:tcW w:w="745" w:type="pct"/>
            <w:shd w:val="clear" w:color="auto" w:fill="auto"/>
            <w:vAlign w:val="center"/>
            <w:hideMark/>
          </w:tcPr>
          <w:p w14:paraId="005BCC33" w14:textId="05C65041" w:rsidR="00030F2F" w:rsidRPr="005F450E" w:rsidRDefault="005F450E" w:rsidP="009D6338">
            <w:pPr>
              <w:keepNext/>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-$313,191</w:t>
            </w:r>
          </w:p>
        </w:tc>
        <w:tc>
          <w:tcPr>
            <w:tcW w:w="714" w:type="pct"/>
            <w:shd w:val="clear" w:color="auto" w:fill="auto"/>
            <w:vAlign w:val="center"/>
            <w:hideMark/>
          </w:tcPr>
          <w:p w14:paraId="5CB582B0" w14:textId="67CAEC26" w:rsidR="00030F2F" w:rsidRPr="005F450E" w:rsidRDefault="005F450E" w:rsidP="009D6338">
            <w:pPr>
              <w:keepNext/>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-$626,382</w:t>
            </w:r>
          </w:p>
        </w:tc>
        <w:tc>
          <w:tcPr>
            <w:tcW w:w="639" w:type="pct"/>
            <w:shd w:val="clear" w:color="auto" w:fill="auto"/>
            <w:vAlign w:val="center"/>
            <w:hideMark/>
          </w:tcPr>
          <w:p w14:paraId="3A6382B0" w14:textId="1560C79D" w:rsidR="00030F2F" w:rsidRPr="005F450E" w:rsidRDefault="005F450E" w:rsidP="009D6338">
            <w:pPr>
              <w:keepNext/>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-$1,913,945</w:t>
            </w:r>
          </w:p>
        </w:tc>
        <w:tc>
          <w:tcPr>
            <w:tcW w:w="695" w:type="pct"/>
            <w:shd w:val="clear" w:color="auto" w:fill="auto"/>
            <w:vAlign w:val="center"/>
            <w:hideMark/>
          </w:tcPr>
          <w:p w14:paraId="16997F9E" w14:textId="0FDAA117" w:rsidR="00030F2F" w:rsidRPr="005F450E" w:rsidRDefault="005F450E" w:rsidP="009D6338">
            <w:pPr>
              <w:keepNext/>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-$1,913,945</w:t>
            </w:r>
          </w:p>
        </w:tc>
        <w:tc>
          <w:tcPr>
            <w:tcW w:w="674" w:type="pct"/>
            <w:shd w:val="clear" w:color="auto" w:fill="auto"/>
            <w:vAlign w:val="center"/>
            <w:hideMark/>
          </w:tcPr>
          <w:p w14:paraId="19C19689" w14:textId="4EBA6650" w:rsidR="00030F2F" w:rsidRPr="005F450E" w:rsidRDefault="005F450E" w:rsidP="009D6338">
            <w:pPr>
              <w:keepNext/>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-$1,913,945</w:t>
            </w:r>
          </w:p>
        </w:tc>
      </w:tr>
      <w:tr w:rsidR="00030F2F" w:rsidRPr="00AA705B" w14:paraId="1D2C5F88" w14:textId="77777777" w:rsidTr="005F450E">
        <w:trPr>
          <w:trHeight w:val="290"/>
        </w:trPr>
        <w:tc>
          <w:tcPr>
            <w:tcW w:w="1533" w:type="pct"/>
            <w:shd w:val="clear" w:color="auto" w:fill="auto"/>
            <w:vAlign w:val="center"/>
            <w:hideMark/>
          </w:tcPr>
          <w:p w14:paraId="73BE7685" w14:textId="77777777" w:rsidR="00030F2F" w:rsidRPr="00AA705B" w:rsidRDefault="00030F2F" w:rsidP="00DD691F">
            <w:pPr>
              <w:spacing w:before="40" w:line="240" w:lineRule="auto"/>
              <w:rPr>
                <w:rFonts w:ascii="Arial Narrow" w:hAnsi="Arial Narrow" w:cs="Calibri"/>
                <w:color w:val="000000"/>
                <w:sz w:val="18"/>
                <w:szCs w:val="18"/>
              </w:rPr>
            </w:pPr>
            <w:r w:rsidRPr="00AA705B">
              <w:rPr>
                <w:rFonts w:ascii="Arial Narrow" w:hAnsi="Arial Narrow" w:cs="Calibri"/>
                <w:color w:val="000000"/>
                <w:sz w:val="18"/>
                <w:szCs w:val="18"/>
              </w:rPr>
              <w:t>MBS item 15565 (planning)</w:t>
            </w:r>
          </w:p>
        </w:tc>
        <w:tc>
          <w:tcPr>
            <w:tcW w:w="745" w:type="pct"/>
            <w:shd w:val="clear" w:color="auto" w:fill="auto"/>
            <w:vAlign w:val="center"/>
            <w:hideMark/>
          </w:tcPr>
          <w:p w14:paraId="6CD5D176" w14:textId="28B2D9D6"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c>
          <w:tcPr>
            <w:tcW w:w="714" w:type="pct"/>
            <w:shd w:val="clear" w:color="auto" w:fill="auto"/>
            <w:vAlign w:val="center"/>
            <w:hideMark/>
          </w:tcPr>
          <w:p w14:paraId="61D19387" w14:textId="07E4493D"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c>
          <w:tcPr>
            <w:tcW w:w="639" w:type="pct"/>
            <w:shd w:val="clear" w:color="auto" w:fill="auto"/>
            <w:vAlign w:val="center"/>
            <w:hideMark/>
          </w:tcPr>
          <w:p w14:paraId="40157F08" w14:textId="658D8EF3"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c>
          <w:tcPr>
            <w:tcW w:w="695" w:type="pct"/>
            <w:shd w:val="clear" w:color="auto" w:fill="auto"/>
            <w:vAlign w:val="center"/>
            <w:hideMark/>
          </w:tcPr>
          <w:p w14:paraId="13B71958" w14:textId="008D0E96"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c>
          <w:tcPr>
            <w:tcW w:w="674" w:type="pct"/>
            <w:shd w:val="clear" w:color="auto" w:fill="auto"/>
            <w:vAlign w:val="center"/>
            <w:hideMark/>
          </w:tcPr>
          <w:p w14:paraId="72540AB9" w14:textId="329DF6B2"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r>
      <w:tr w:rsidR="00030F2F" w:rsidRPr="00AA705B" w14:paraId="0E1D0B4E" w14:textId="77777777" w:rsidTr="005F450E">
        <w:trPr>
          <w:trHeight w:val="290"/>
        </w:trPr>
        <w:tc>
          <w:tcPr>
            <w:tcW w:w="1533" w:type="pct"/>
            <w:shd w:val="clear" w:color="auto" w:fill="auto"/>
            <w:vAlign w:val="center"/>
            <w:hideMark/>
          </w:tcPr>
          <w:p w14:paraId="4A59B5DA" w14:textId="77777777" w:rsidR="00030F2F" w:rsidRPr="00AA705B" w:rsidRDefault="00030F2F" w:rsidP="00DD691F">
            <w:pPr>
              <w:spacing w:before="40" w:line="240" w:lineRule="auto"/>
              <w:rPr>
                <w:rFonts w:ascii="Arial Narrow" w:hAnsi="Arial Narrow" w:cs="Calibri"/>
                <w:color w:val="000000"/>
                <w:sz w:val="18"/>
                <w:szCs w:val="18"/>
              </w:rPr>
            </w:pPr>
            <w:r w:rsidRPr="00AA705B">
              <w:rPr>
                <w:rFonts w:ascii="Arial Narrow" w:hAnsi="Arial Narrow" w:cs="Calibri"/>
                <w:color w:val="000000"/>
                <w:sz w:val="18"/>
                <w:szCs w:val="18"/>
              </w:rPr>
              <w:t>MBS item 15555 (simulation)</w:t>
            </w:r>
          </w:p>
        </w:tc>
        <w:tc>
          <w:tcPr>
            <w:tcW w:w="745" w:type="pct"/>
            <w:shd w:val="clear" w:color="auto" w:fill="auto"/>
            <w:vAlign w:val="center"/>
            <w:hideMark/>
          </w:tcPr>
          <w:p w14:paraId="6EA2570A" w14:textId="3CFE3ACB"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c>
          <w:tcPr>
            <w:tcW w:w="714" w:type="pct"/>
            <w:shd w:val="clear" w:color="auto" w:fill="auto"/>
            <w:vAlign w:val="center"/>
            <w:hideMark/>
          </w:tcPr>
          <w:p w14:paraId="64F21B95" w14:textId="41B1D9B7"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c>
          <w:tcPr>
            <w:tcW w:w="639" w:type="pct"/>
            <w:shd w:val="clear" w:color="auto" w:fill="auto"/>
            <w:vAlign w:val="center"/>
            <w:hideMark/>
          </w:tcPr>
          <w:p w14:paraId="37191432" w14:textId="3AE8C501"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c>
          <w:tcPr>
            <w:tcW w:w="695" w:type="pct"/>
            <w:shd w:val="clear" w:color="auto" w:fill="auto"/>
            <w:vAlign w:val="center"/>
            <w:hideMark/>
          </w:tcPr>
          <w:p w14:paraId="58289FAC" w14:textId="71C7CC25"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c>
          <w:tcPr>
            <w:tcW w:w="674" w:type="pct"/>
            <w:shd w:val="clear" w:color="auto" w:fill="auto"/>
            <w:vAlign w:val="center"/>
            <w:hideMark/>
          </w:tcPr>
          <w:p w14:paraId="29827DB3" w14:textId="3DC86DA3" w:rsidR="00030F2F" w:rsidRPr="005F450E" w:rsidRDefault="00030F2F"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$0</w:t>
            </w:r>
          </w:p>
        </w:tc>
      </w:tr>
      <w:tr w:rsidR="00030F2F" w:rsidRPr="00AA705B" w14:paraId="7DFD103D" w14:textId="77777777" w:rsidTr="005F450E">
        <w:trPr>
          <w:trHeight w:val="290"/>
        </w:trPr>
        <w:tc>
          <w:tcPr>
            <w:tcW w:w="1533" w:type="pct"/>
            <w:shd w:val="clear" w:color="auto" w:fill="auto"/>
            <w:vAlign w:val="center"/>
            <w:hideMark/>
          </w:tcPr>
          <w:p w14:paraId="0B47698F" w14:textId="77777777" w:rsidR="00030F2F" w:rsidRPr="00AA705B" w:rsidRDefault="00030F2F" w:rsidP="00DD691F">
            <w:pPr>
              <w:spacing w:before="40" w:line="240" w:lineRule="auto"/>
              <w:rPr>
                <w:rFonts w:ascii="Arial Narrow" w:hAnsi="Arial Narrow" w:cs="Calibri"/>
                <w:color w:val="000000"/>
                <w:sz w:val="18"/>
                <w:szCs w:val="18"/>
              </w:rPr>
            </w:pPr>
            <w:r w:rsidRPr="00AA705B">
              <w:rPr>
                <w:rFonts w:ascii="Arial Narrow" w:hAnsi="Arial Narrow" w:cs="Calibri"/>
                <w:color w:val="000000"/>
                <w:sz w:val="18"/>
                <w:szCs w:val="18"/>
              </w:rPr>
              <w:t>MBS item 15275 (fraction)</w:t>
            </w:r>
          </w:p>
        </w:tc>
        <w:tc>
          <w:tcPr>
            <w:tcW w:w="745" w:type="pct"/>
            <w:shd w:val="clear" w:color="auto" w:fill="auto"/>
            <w:vAlign w:val="center"/>
            <w:hideMark/>
          </w:tcPr>
          <w:p w14:paraId="4DA94B98" w14:textId="4BF7C1E8" w:rsidR="00030F2F" w:rsidRPr="005F450E" w:rsidRDefault="005F450E"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-$1,062,490</w:t>
            </w:r>
          </w:p>
        </w:tc>
        <w:tc>
          <w:tcPr>
            <w:tcW w:w="714" w:type="pct"/>
            <w:shd w:val="clear" w:color="auto" w:fill="auto"/>
            <w:vAlign w:val="center"/>
            <w:hideMark/>
          </w:tcPr>
          <w:p w14:paraId="72C5EC58" w14:textId="1C147795" w:rsidR="00030F2F" w:rsidRPr="005F450E" w:rsidRDefault="005F450E"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-$2,124,979</w:t>
            </w:r>
          </w:p>
        </w:tc>
        <w:tc>
          <w:tcPr>
            <w:tcW w:w="639" w:type="pct"/>
            <w:shd w:val="clear" w:color="auto" w:fill="auto"/>
            <w:vAlign w:val="center"/>
            <w:hideMark/>
          </w:tcPr>
          <w:p w14:paraId="2E08DBEA" w14:textId="1B35C196" w:rsidR="00030F2F" w:rsidRPr="005F450E" w:rsidRDefault="005F450E"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-$6,492,992</w:t>
            </w:r>
          </w:p>
        </w:tc>
        <w:tc>
          <w:tcPr>
            <w:tcW w:w="695" w:type="pct"/>
            <w:shd w:val="clear" w:color="auto" w:fill="auto"/>
            <w:vAlign w:val="center"/>
            <w:hideMark/>
          </w:tcPr>
          <w:p w14:paraId="24E961DF" w14:textId="3D474786" w:rsidR="00030F2F" w:rsidRPr="005F450E" w:rsidRDefault="005F450E"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-$6,492,992</w:t>
            </w:r>
          </w:p>
        </w:tc>
        <w:tc>
          <w:tcPr>
            <w:tcW w:w="674" w:type="pct"/>
            <w:shd w:val="clear" w:color="auto" w:fill="auto"/>
            <w:vAlign w:val="center"/>
            <w:hideMark/>
          </w:tcPr>
          <w:p w14:paraId="285C74E4" w14:textId="0C041511" w:rsidR="00030F2F" w:rsidRPr="005F450E" w:rsidRDefault="005F450E" w:rsidP="00DD691F">
            <w:pPr>
              <w:spacing w:before="40" w:line="240" w:lineRule="auto"/>
              <w:jc w:val="center"/>
              <w:rPr>
                <w:rFonts w:ascii="Arial Narrow" w:hAnsi="Arial Narrow" w:cs="Calibri"/>
                <w:color w:val="000000"/>
                <w:sz w:val="20"/>
                <w:szCs w:val="20"/>
              </w:rPr>
            </w:pPr>
            <w:r w:rsidRPr="005F450E">
              <w:rPr>
                <w:rFonts w:ascii="Arial Narrow" w:hAnsi="Arial Narrow" w:cs="Calibri"/>
                <w:color w:val="000000"/>
                <w:sz w:val="20"/>
                <w:szCs w:val="20"/>
              </w:rPr>
              <w:t>-$6,492,992</w:t>
            </w:r>
          </w:p>
        </w:tc>
      </w:tr>
      <w:tr w:rsidR="00030F2F" w:rsidRPr="00AA705B" w14:paraId="786BEADE" w14:textId="77777777" w:rsidTr="005F450E">
        <w:trPr>
          <w:trHeight w:val="290"/>
        </w:trPr>
        <w:tc>
          <w:tcPr>
            <w:tcW w:w="1533" w:type="pct"/>
            <w:shd w:val="clear" w:color="auto" w:fill="auto"/>
            <w:noWrap/>
            <w:vAlign w:val="bottom"/>
            <w:hideMark/>
          </w:tcPr>
          <w:p w14:paraId="7064E3F3" w14:textId="77777777" w:rsidR="00030F2F" w:rsidRPr="00AA705B" w:rsidRDefault="00030F2F" w:rsidP="00DD691F">
            <w:pPr>
              <w:spacing w:before="40" w:line="240" w:lineRule="auto"/>
              <w:rPr>
                <w:rFonts w:ascii="Arial Narrow" w:hAnsi="Arial Narrow" w:cs="Calibri"/>
                <w:b/>
                <w:bCs/>
                <w:color w:val="000000"/>
                <w:sz w:val="18"/>
                <w:szCs w:val="18"/>
              </w:rPr>
            </w:pPr>
            <w:r w:rsidRPr="00AA705B">
              <w:rPr>
                <w:rFonts w:ascii="Arial Narrow" w:hAnsi="Arial Narrow" w:cs="Calibri"/>
                <w:b/>
                <w:bCs/>
                <w:color w:val="000000"/>
                <w:sz w:val="18"/>
                <w:szCs w:val="18"/>
              </w:rPr>
              <w:t>Financial Implications for the MBS</w:t>
            </w:r>
          </w:p>
        </w:tc>
        <w:tc>
          <w:tcPr>
            <w:tcW w:w="745" w:type="pct"/>
            <w:shd w:val="clear" w:color="auto" w:fill="auto"/>
            <w:vAlign w:val="center"/>
            <w:hideMark/>
          </w:tcPr>
          <w:p w14:paraId="6989E1C7" w14:textId="4EA2D0A7" w:rsidR="00030F2F" w:rsidRPr="005F450E" w:rsidRDefault="005F450E" w:rsidP="00DD691F">
            <w:pPr>
              <w:spacing w:before="40" w:line="240" w:lineRule="auto"/>
              <w:jc w:val="center"/>
              <w:rPr>
                <w:rFonts w:ascii="Arial Narrow" w:hAnsi="Arial Narrow" w:cs="Calibri"/>
                <w:b/>
                <w:color w:val="000000"/>
                <w:sz w:val="20"/>
                <w:szCs w:val="20"/>
              </w:rPr>
            </w:pPr>
            <w:r w:rsidRPr="005F450E">
              <w:rPr>
                <w:rFonts w:ascii="Arial Narrow" w:hAnsi="Arial Narrow" w:cs="Calibri"/>
                <w:b/>
                <w:bCs/>
                <w:color w:val="000000"/>
                <w:sz w:val="20"/>
                <w:szCs w:val="20"/>
              </w:rPr>
              <w:t>-$1,375,681</w:t>
            </w:r>
          </w:p>
        </w:tc>
        <w:tc>
          <w:tcPr>
            <w:tcW w:w="714" w:type="pct"/>
            <w:shd w:val="clear" w:color="auto" w:fill="auto"/>
            <w:vAlign w:val="center"/>
            <w:hideMark/>
          </w:tcPr>
          <w:p w14:paraId="69A77CE9" w14:textId="399630BE" w:rsidR="00030F2F" w:rsidRPr="005F450E" w:rsidRDefault="005F450E" w:rsidP="00DD691F">
            <w:pPr>
              <w:spacing w:before="40" w:line="240" w:lineRule="auto"/>
              <w:jc w:val="center"/>
              <w:rPr>
                <w:rFonts w:ascii="Arial Narrow" w:hAnsi="Arial Narrow" w:cs="Calibri"/>
                <w:b/>
                <w:color w:val="000000"/>
                <w:sz w:val="20"/>
                <w:szCs w:val="20"/>
              </w:rPr>
            </w:pPr>
            <w:r w:rsidRPr="005F450E">
              <w:rPr>
                <w:rFonts w:ascii="Arial Narrow" w:hAnsi="Arial Narrow" w:cs="Calibri"/>
                <w:b/>
                <w:bCs/>
                <w:color w:val="000000"/>
                <w:sz w:val="20"/>
                <w:szCs w:val="20"/>
              </w:rPr>
              <w:t>-$2,751,361</w:t>
            </w:r>
          </w:p>
        </w:tc>
        <w:tc>
          <w:tcPr>
            <w:tcW w:w="639" w:type="pct"/>
            <w:shd w:val="clear" w:color="auto" w:fill="auto"/>
            <w:vAlign w:val="center"/>
            <w:hideMark/>
          </w:tcPr>
          <w:p w14:paraId="596FECE1" w14:textId="03177134" w:rsidR="00030F2F" w:rsidRPr="005F450E" w:rsidRDefault="005F450E" w:rsidP="00DD691F">
            <w:pPr>
              <w:spacing w:before="40" w:line="240" w:lineRule="auto"/>
              <w:jc w:val="center"/>
              <w:rPr>
                <w:rFonts w:ascii="Arial Narrow" w:hAnsi="Arial Narrow" w:cs="Calibri"/>
                <w:b/>
                <w:color w:val="000000"/>
                <w:sz w:val="20"/>
                <w:szCs w:val="20"/>
              </w:rPr>
            </w:pPr>
            <w:r w:rsidRPr="005F450E">
              <w:rPr>
                <w:rFonts w:ascii="Arial Narrow" w:hAnsi="Arial Narrow" w:cs="Calibri"/>
                <w:b/>
                <w:bCs/>
                <w:color w:val="000000"/>
                <w:sz w:val="20"/>
                <w:szCs w:val="20"/>
              </w:rPr>
              <w:t>-$8,406,937</w:t>
            </w:r>
          </w:p>
        </w:tc>
        <w:tc>
          <w:tcPr>
            <w:tcW w:w="695" w:type="pct"/>
            <w:shd w:val="clear" w:color="auto" w:fill="auto"/>
            <w:vAlign w:val="center"/>
            <w:hideMark/>
          </w:tcPr>
          <w:p w14:paraId="35DF65B5" w14:textId="071B2691" w:rsidR="00030F2F" w:rsidRPr="005F450E" w:rsidRDefault="005F450E" w:rsidP="00DD691F">
            <w:pPr>
              <w:spacing w:before="40" w:line="240" w:lineRule="auto"/>
              <w:jc w:val="center"/>
              <w:rPr>
                <w:rFonts w:ascii="Arial Narrow" w:hAnsi="Arial Narrow" w:cs="Calibri"/>
                <w:b/>
                <w:color w:val="000000"/>
                <w:sz w:val="20"/>
                <w:szCs w:val="20"/>
              </w:rPr>
            </w:pPr>
            <w:r w:rsidRPr="005F450E">
              <w:rPr>
                <w:rFonts w:ascii="Arial Narrow" w:hAnsi="Arial Narrow" w:cs="Calibri"/>
                <w:b/>
                <w:bCs/>
                <w:color w:val="000000"/>
                <w:sz w:val="20"/>
                <w:szCs w:val="20"/>
              </w:rPr>
              <w:t>-$8,406,937</w:t>
            </w:r>
          </w:p>
        </w:tc>
        <w:tc>
          <w:tcPr>
            <w:tcW w:w="674" w:type="pct"/>
            <w:shd w:val="clear" w:color="auto" w:fill="auto"/>
            <w:vAlign w:val="center"/>
            <w:hideMark/>
          </w:tcPr>
          <w:p w14:paraId="564D8ECB" w14:textId="0E6C7D24" w:rsidR="00030F2F" w:rsidRPr="005F450E" w:rsidRDefault="005F450E" w:rsidP="00DD691F">
            <w:pPr>
              <w:spacing w:before="40" w:line="240" w:lineRule="auto"/>
              <w:jc w:val="center"/>
              <w:rPr>
                <w:rFonts w:ascii="Arial Narrow" w:hAnsi="Arial Narrow" w:cs="Calibri"/>
                <w:b/>
                <w:color w:val="000000"/>
                <w:sz w:val="20"/>
                <w:szCs w:val="20"/>
              </w:rPr>
            </w:pPr>
            <w:r w:rsidRPr="005F450E">
              <w:rPr>
                <w:rFonts w:ascii="Arial Narrow" w:hAnsi="Arial Narrow" w:cs="Calibri"/>
                <w:b/>
                <w:bCs/>
                <w:color w:val="000000"/>
                <w:sz w:val="20"/>
                <w:szCs w:val="20"/>
              </w:rPr>
              <w:t>-$8,406,937</w:t>
            </w:r>
          </w:p>
        </w:tc>
      </w:tr>
    </w:tbl>
    <w:p w14:paraId="5F1E40C8" w14:textId="790EC7E3" w:rsidR="00030F2F" w:rsidRDefault="00030F2F" w:rsidP="009D6338">
      <w:pPr>
        <w:pStyle w:val="Tablenotes0"/>
      </w:pPr>
      <w:r>
        <w:t>Abbreviations: EBRT=external beam radiation therapy, MBS=Medical Benefits Schedule</w:t>
      </w:r>
    </w:p>
    <w:p w14:paraId="194D5EA3" w14:textId="329AFEA4" w:rsidR="00030F2F" w:rsidRDefault="00030F2F" w:rsidP="00183330">
      <w:pPr>
        <w:pStyle w:val="Caption"/>
        <w:keepNext/>
        <w:ind w:left="1130" w:hanging="1130"/>
        <w:jc w:val="both"/>
      </w:pPr>
      <w:bookmarkStart w:id="749" w:name="_Toc89857951"/>
      <w:r>
        <w:t xml:space="preserve">Table </w:t>
      </w:r>
      <w:r w:rsidR="00211285">
        <w:fldChar w:fldCharType="begin"/>
      </w:r>
      <w:r w:rsidR="00211285">
        <w:instrText xml:space="preserve"> SEQ Table \* ARABIC </w:instrText>
      </w:r>
      <w:r w:rsidR="00211285">
        <w:fldChar w:fldCharType="separate"/>
      </w:r>
      <w:r w:rsidR="00451350">
        <w:rPr>
          <w:noProof/>
        </w:rPr>
        <w:t>80</w:t>
      </w:r>
      <w:r w:rsidR="00211285">
        <w:rPr>
          <w:noProof/>
        </w:rPr>
        <w:fldChar w:fldCharType="end"/>
      </w:r>
      <w:r>
        <w:tab/>
        <w:t>Sensitivity analysis: Financial implications for MBS – average duration per MR-IGRT treatment fraction remains at 45 minutes</w:t>
      </w:r>
      <w:bookmarkEnd w:id="749"/>
    </w:p>
    <w:tbl>
      <w:tblPr>
        <w:tblStyle w:val="TableGrid1"/>
        <w:tblW w:w="5000" w:type="pct"/>
        <w:tblLook w:val="04A0" w:firstRow="1" w:lastRow="0" w:firstColumn="1" w:lastColumn="0" w:noHBand="0" w:noVBand="1"/>
      </w:tblPr>
      <w:tblGrid>
        <w:gridCol w:w="2765"/>
        <w:gridCol w:w="1344"/>
        <w:gridCol w:w="1287"/>
        <w:gridCol w:w="1152"/>
        <w:gridCol w:w="1253"/>
        <w:gridCol w:w="1215"/>
      </w:tblGrid>
      <w:tr w:rsidR="00030F2F" w:rsidRPr="00AA705B" w14:paraId="2B047636" w14:textId="77777777" w:rsidTr="00A21A7F">
        <w:trPr>
          <w:cnfStyle w:val="100000000000" w:firstRow="1" w:lastRow="0" w:firstColumn="0" w:lastColumn="0" w:oddVBand="0" w:evenVBand="0" w:oddHBand="0" w:evenHBand="0" w:firstRowFirstColumn="0" w:firstRowLastColumn="0" w:lastRowFirstColumn="0" w:lastRowLastColumn="0"/>
          <w:trHeight w:val="290"/>
          <w:tblHeader/>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46137" w14:textId="77777777" w:rsidR="00030F2F" w:rsidRPr="00291DA7" w:rsidRDefault="00030F2F" w:rsidP="00183330">
            <w:pPr>
              <w:keepNext/>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Item</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1C825832" w14:textId="77777777" w:rsidR="00030F2F" w:rsidRPr="00291DA7" w:rsidRDefault="00030F2F" w:rsidP="00183330">
            <w:pPr>
              <w:keepNext/>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2021</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4F7E2824" w14:textId="77777777" w:rsidR="00030F2F" w:rsidRPr="00291DA7" w:rsidRDefault="00030F2F" w:rsidP="00183330">
            <w:pPr>
              <w:keepNext/>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2022</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35D6CCD6" w14:textId="77777777" w:rsidR="00030F2F" w:rsidRPr="00291DA7" w:rsidRDefault="00030F2F" w:rsidP="00183330">
            <w:pPr>
              <w:keepNext/>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2023</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0C7D0CD4" w14:textId="77777777" w:rsidR="00030F2F" w:rsidRPr="00291DA7" w:rsidRDefault="00030F2F" w:rsidP="00183330">
            <w:pPr>
              <w:keepNext/>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2024</w:t>
            </w:r>
          </w:p>
        </w:tc>
        <w:tc>
          <w:tcPr>
            <w:tcW w:w="674" w:type="pct"/>
            <w:tcBorders>
              <w:top w:val="single" w:sz="4" w:space="0" w:color="auto"/>
              <w:left w:val="nil"/>
              <w:bottom w:val="single" w:sz="4" w:space="0" w:color="auto"/>
              <w:right w:val="single" w:sz="4" w:space="0" w:color="auto"/>
            </w:tcBorders>
            <w:shd w:val="clear" w:color="auto" w:fill="auto"/>
            <w:vAlign w:val="center"/>
            <w:hideMark/>
          </w:tcPr>
          <w:p w14:paraId="3461E7C0" w14:textId="77777777" w:rsidR="00030F2F" w:rsidRPr="00291DA7" w:rsidRDefault="00030F2F" w:rsidP="00183330">
            <w:pPr>
              <w:keepNext/>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2025</w:t>
            </w:r>
          </w:p>
        </w:tc>
      </w:tr>
      <w:tr w:rsidR="00030F2F" w:rsidRPr="00AA705B" w14:paraId="01EC69B6" w14:textId="77777777" w:rsidTr="00A21A7F">
        <w:trPr>
          <w:trHeight w:val="290"/>
        </w:trPr>
        <w:tc>
          <w:tcPr>
            <w:tcW w:w="1533" w:type="pct"/>
            <w:tcBorders>
              <w:top w:val="nil"/>
              <w:left w:val="single" w:sz="4" w:space="0" w:color="auto"/>
              <w:bottom w:val="single" w:sz="4" w:space="0" w:color="auto"/>
              <w:right w:val="nil"/>
            </w:tcBorders>
            <w:shd w:val="clear" w:color="auto" w:fill="auto"/>
            <w:vAlign w:val="center"/>
            <w:hideMark/>
          </w:tcPr>
          <w:p w14:paraId="6537B7B4" w14:textId="77777777" w:rsidR="00030F2F" w:rsidRPr="00291DA7" w:rsidRDefault="00030F2F" w:rsidP="00183330">
            <w:pPr>
              <w:keepNext/>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Fiducial marker placement</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258F562D" w14:textId="69927281" w:rsidR="00030F2F" w:rsidRPr="00000CC1" w:rsidRDefault="005F450E" w:rsidP="00183330">
            <w:pPr>
              <w:keepNext/>
              <w:spacing w:before="40" w:line="240" w:lineRule="auto"/>
              <w:jc w:val="center"/>
              <w:rPr>
                <w:rFonts w:ascii="Arial Narrow" w:hAnsi="Arial Narrow" w:cs="Calibri"/>
                <w:color w:val="000000"/>
                <w:sz w:val="18"/>
                <w:szCs w:val="18"/>
              </w:rPr>
            </w:pPr>
            <w:r w:rsidRPr="005F450E">
              <w:rPr>
                <w:rFonts w:ascii="Arial Narrow" w:hAnsi="Arial Narrow" w:cs="Calibri"/>
                <w:color w:val="000000"/>
                <w:sz w:val="18"/>
                <w:szCs w:val="18"/>
              </w:rPr>
              <w:t>-$626,382</w:t>
            </w:r>
          </w:p>
        </w:tc>
        <w:tc>
          <w:tcPr>
            <w:tcW w:w="714" w:type="pct"/>
            <w:tcBorders>
              <w:top w:val="nil"/>
              <w:left w:val="nil"/>
              <w:bottom w:val="single" w:sz="4" w:space="0" w:color="auto"/>
              <w:right w:val="single" w:sz="4" w:space="0" w:color="auto"/>
            </w:tcBorders>
            <w:shd w:val="clear" w:color="auto" w:fill="auto"/>
            <w:vAlign w:val="center"/>
            <w:hideMark/>
          </w:tcPr>
          <w:p w14:paraId="06E9B167" w14:textId="4FC6010D" w:rsidR="00030F2F" w:rsidRPr="00000CC1" w:rsidRDefault="00030F2F" w:rsidP="00183330">
            <w:pPr>
              <w:keepNext/>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w:t>
            </w:r>
            <w:r w:rsidR="005F450E" w:rsidRPr="005F450E">
              <w:rPr>
                <w:rFonts w:ascii="Arial Narrow" w:hAnsi="Arial Narrow" w:cs="Calibri"/>
                <w:color w:val="000000"/>
                <w:sz w:val="18"/>
                <w:szCs w:val="18"/>
              </w:rPr>
              <w:t>252,764</w:t>
            </w:r>
          </w:p>
        </w:tc>
        <w:tc>
          <w:tcPr>
            <w:tcW w:w="639" w:type="pct"/>
            <w:tcBorders>
              <w:top w:val="nil"/>
              <w:left w:val="nil"/>
              <w:bottom w:val="single" w:sz="4" w:space="0" w:color="auto"/>
              <w:right w:val="single" w:sz="4" w:space="0" w:color="auto"/>
            </w:tcBorders>
            <w:shd w:val="clear" w:color="auto" w:fill="auto"/>
            <w:vAlign w:val="center"/>
            <w:hideMark/>
          </w:tcPr>
          <w:p w14:paraId="4E47609C" w14:textId="307A3C72" w:rsidR="00030F2F" w:rsidRPr="00000CC1" w:rsidRDefault="00030F2F" w:rsidP="00183330">
            <w:pPr>
              <w:keepNext/>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w:t>
            </w:r>
            <w:r w:rsidR="005F450E" w:rsidRPr="005F450E">
              <w:rPr>
                <w:rFonts w:ascii="Arial Narrow" w:hAnsi="Arial Narrow" w:cs="Calibri"/>
                <w:color w:val="000000"/>
                <w:sz w:val="18"/>
                <w:szCs w:val="18"/>
              </w:rPr>
              <w:t>087,940</w:t>
            </w:r>
          </w:p>
        </w:tc>
        <w:tc>
          <w:tcPr>
            <w:tcW w:w="695" w:type="pct"/>
            <w:tcBorders>
              <w:top w:val="nil"/>
              <w:left w:val="nil"/>
              <w:bottom w:val="single" w:sz="4" w:space="0" w:color="auto"/>
              <w:right w:val="single" w:sz="4" w:space="0" w:color="auto"/>
            </w:tcBorders>
            <w:shd w:val="clear" w:color="auto" w:fill="auto"/>
            <w:vAlign w:val="center"/>
            <w:hideMark/>
          </w:tcPr>
          <w:p w14:paraId="2352103F" w14:textId="75CA1FE8" w:rsidR="00030F2F" w:rsidRPr="00000CC1" w:rsidRDefault="00030F2F" w:rsidP="00183330">
            <w:pPr>
              <w:keepNext/>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w:t>
            </w:r>
            <w:r w:rsidR="005F450E" w:rsidRPr="005F450E">
              <w:rPr>
                <w:rFonts w:ascii="Arial Narrow" w:hAnsi="Arial Narrow" w:cs="Calibri"/>
                <w:color w:val="000000"/>
                <w:sz w:val="18"/>
                <w:szCs w:val="18"/>
              </w:rPr>
              <w:t>087,940</w:t>
            </w:r>
          </w:p>
        </w:tc>
        <w:tc>
          <w:tcPr>
            <w:tcW w:w="674" w:type="pct"/>
            <w:tcBorders>
              <w:top w:val="nil"/>
              <w:left w:val="nil"/>
              <w:bottom w:val="single" w:sz="4" w:space="0" w:color="auto"/>
              <w:right w:val="single" w:sz="4" w:space="0" w:color="auto"/>
            </w:tcBorders>
            <w:shd w:val="clear" w:color="auto" w:fill="auto"/>
            <w:vAlign w:val="center"/>
            <w:hideMark/>
          </w:tcPr>
          <w:p w14:paraId="1E4616FB" w14:textId="67AE3739" w:rsidR="00030F2F" w:rsidRPr="00000CC1" w:rsidRDefault="00030F2F" w:rsidP="00183330">
            <w:pPr>
              <w:keepNext/>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w:t>
            </w:r>
            <w:r w:rsidR="005F450E" w:rsidRPr="005F450E">
              <w:rPr>
                <w:rFonts w:ascii="Arial Narrow" w:hAnsi="Arial Narrow" w:cs="Calibri"/>
                <w:color w:val="000000"/>
                <w:sz w:val="18"/>
                <w:szCs w:val="18"/>
              </w:rPr>
              <w:t>087,940</w:t>
            </w:r>
          </w:p>
        </w:tc>
      </w:tr>
      <w:tr w:rsidR="00030F2F" w:rsidRPr="00AA705B" w14:paraId="2015E7CB" w14:textId="77777777" w:rsidTr="00A21A7F">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65A02C61"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15565 (planning)</w:t>
            </w:r>
          </w:p>
        </w:tc>
        <w:tc>
          <w:tcPr>
            <w:tcW w:w="745" w:type="pct"/>
            <w:tcBorders>
              <w:top w:val="nil"/>
              <w:left w:val="nil"/>
              <w:bottom w:val="single" w:sz="4" w:space="0" w:color="auto"/>
              <w:right w:val="single" w:sz="4" w:space="0" w:color="auto"/>
            </w:tcBorders>
            <w:shd w:val="clear" w:color="auto" w:fill="auto"/>
            <w:vAlign w:val="center"/>
            <w:hideMark/>
          </w:tcPr>
          <w:p w14:paraId="4CD36719" w14:textId="320E8266"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714" w:type="pct"/>
            <w:tcBorders>
              <w:top w:val="nil"/>
              <w:left w:val="nil"/>
              <w:bottom w:val="single" w:sz="4" w:space="0" w:color="auto"/>
              <w:right w:val="single" w:sz="4" w:space="0" w:color="auto"/>
            </w:tcBorders>
            <w:shd w:val="clear" w:color="auto" w:fill="auto"/>
            <w:vAlign w:val="center"/>
            <w:hideMark/>
          </w:tcPr>
          <w:p w14:paraId="6526FD1A" w14:textId="1FEED01A"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39" w:type="pct"/>
            <w:tcBorders>
              <w:top w:val="nil"/>
              <w:left w:val="nil"/>
              <w:bottom w:val="single" w:sz="4" w:space="0" w:color="auto"/>
              <w:right w:val="single" w:sz="4" w:space="0" w:color="auto"/>
            </w:tcBorders>
            <w:shd w:val="clear" w:color="auto" w:fill="auto"/>
            <w:vAlign w:val="center"/>
            <w:hideMark/>
          </w:tcPr>
          <w:p w14:paraId="23C8B22D" w14:textId="7C484FD4"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95" w:type="pct"/>
            <w:tcBorders>
              <w:top w:val="nil"/>
              <w:left w:val="nil"/>
              <w:bottom w:val="single" w:sz="4" w:space="0" w:color="auto"/>
              <w:right w:val="single" w:sz="4" w:space="0" w:color="auto"/>
            </w:tcBorders>
            <w:shd w:val="clear" w:color="auto" w:fill="auto"/>
            <w:vAlign w:val="center"/>
            <w:hideMark/>
          </w:tcPr>
          <w:p w14:paraId="6568391E" w14:textId="085C4656"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74" w:type="pct"/>
            <w:tcBorders>
              <w:top w:val="nil"/>
              <w:left w:val="nil"/>
              <w:bottom w:val="single" w:sz="4" w:space="0" w:color="auto"/>
              <w:right w:val="single" w:sz="4" w:space="0" w:color="auto"/>
            </w:tcBorders>
            <w:shd w:val="clear" w:color="auto" w:fill="auto"/>
            <w:vAlign w:val="center"/>
            <w:hideMark/>
          </w:tcPr>
          <w:p w14:paraId="6A642CC1" w14:textId="28466A9F"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r>
      <w:tr w:rsidR="00030F2F" w:rsidRPr="00AA705B" w14:paraId="527F8096" w14:textId="77777777" w:rsidTr="00A21A7F">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036A1E02"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15555 (simulation)</w:t>
            </w:r>
          </w:p>
        </w:tc>
        <w:tc>
          <w:tcPr>
            <w:tcW w:w="745" w:type="pct"/>
            <w:tcBorders>
              <w:top w:val="nil"/>
              <w:left w:val="nil"/>
              <w:bottom w:val="single" w:sz="4" w:space="0" w:color="auto"/>
              <w:right w:val="single" w:sz="4" w:space="0" w:color="auto"/>
            </w:tcBorders>
            <w:shd w:val="clear" w:color="auto" w:fill="auto"/>
            <w:vAlign w:val="center"/>
            <w:hideMark/>
          </w:tcPr>
          <w:p w14:paraId="190DDC3D" w14:textId="1AD836CF"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714" w:type="pct"/>
            <w:tcBorders>
              <w:top w:val="nil"/>
              <w:left w:val="nil"/>
              <w:bottom w:val="single" w:sz="4" w:space="0" w:color="auto"/>
              <w:right w:val="single" w:sz="4" w:space="0" w:color="auto"/>
            </w:tcBorders>
            <w:shd w:val="clear" w:color="auto" w:fill="auto"/>
            <w:vAlign w:val="center"/>
            <w:hideMark/>
          </w:tcPr>
          <w:p w14:paraId="43C6DBC3" w14:textId="77C1DC72"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39" w:type="pct"/>
            <w:tcBorders>
              <w:top w:val="nil"/>
              <w:left w:val="nil"/>
              <w:bottom w:val="single" w:sz="4" w:space="0" w:color="auto"/>
              <w:right w:val="single" w:sz="4" w:space="0" w:color="auto"/>
            </w:tcBorders>
            <w:shd w:val="clear" w:color="auto" w:fill="auto"/>
            <w:vAlign w:val="center"/>
            <w:hideMark/>
          </w:tcPr>
          <w:p w14:paraId="3EE9AC3F" w14:textId="33178715"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95" w:type="pct"/>
            <w:tcBorders>
              <w:top w:val="nil"/>
              <w:left w:val="nil"/>
              <w:bottom w:val="single" w:sz="4" w:space="0" w:color="auto"/>
              <w:right w:val="single" w:sz="4" w:space="0" w:color="auto"/>
            </w:tcBorders>
            <w:shd w:val="clear" w:color="auto" w:fill="auto"/>
            <w:vAlign w:val="center"/>
            <w:hideMark/>
          </w:tcPr>
          <w:p w14:paraId="2581AFA6" w14:textId="03F81A43"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74" w:type="pct"/>
            <w:tcBorders>
              <w:top w:val="nil"/>
              <w:left w:val="nil"/>
              <w:bottom w:val="single" w:sz="4" w:space="0" w:color="auto"/>
              <w:right w:val="single" w:sz="4" w:space="0" w:color="auto"/>
            </w:tcBorders>
            <w:shd w:val="clear" w:color="auto" w:fill="auto"/>
            <w:vAlign w:val="center"/>
            <w:hideMark/>
          </w:tcPr>
          <w:p w14:paraId="7B3C4712" w14:textId="022A8EB6"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r>
      <w:tr w:rsidR="00030F2F" w:rsidRPr="00AA705B" w14:paraId="1CDDA250" w14:textId="77777777" w:rsidTr="00A21A7F">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0074EEDC"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15275 (fraction)</w:t>
            </w:r>
          </w:p>
        </w:tc>
        <w:tc>
          <w:tcPr>
            <w:tcW w:w="745" w:type="pct"/>
            <w:tcBorders>
              <w:top w:val="nil"/>
              <w:left w:val="nil"/>
              <w:bottom w:val="single" w:sz="4" w:space="0" w:color="auto"/>
              <w:right w:val="single" w:sz="4" w:space="0" w:color="auto"/>
            </w:tcBorders>
            <w:shd w:val="clear" w:color="auto" w:fill="auto"/>
            <w:vAlign w:val="center"/>
            <w:hideMark/>
          </w:tcPr>
          <w:p w14:paraId="20FC24C6" w14:textId="7A5F8F0D"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-$3,453,091</w:t>
            </w:r>
          </w:p>
        </w:tc>
        <w:tc>
          <w:tcPr>
            <w:tcW w:w="714" w:type="pct"/>
            <w:tcBorders>
              <w:top w:val="nil"/>
              <w:left w:val="nil"/>
              <w:bottom w:val="single" w:sz="4" w:space="0" w:color="auto"/>
              <w:right w:val="single" w:sz="4" w:space="0" w:color="auto"/>
            </w:tcBorders>
            <w:shd w:val="clear" w:color="auto" w:fill="auto"/>
            <w:vAlign w:val="center"/>
            <w:hideMark/>
          </w:tcPr>
          <w:p w14:paraId="041B71E9" w14:textId="78081F28"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-$6,906,182</w:t>
            </w:r>
          </w:p>
        </w:tc>
        <w:tc>
          <w:tcPr>
            <w:tcW w:w="639" w:type="pct"/>
            <w:tcBorders>
              <w:top w:val="nil"/>
              <w:left w:val="nil"/>
              <w:bottom w:val="single" w:sz="4" w:space="0" w:color="auto"/>
              <w:right w:val="single" w:sz="4" w:space="0" w:color="auto"/>
            </w:tcBorders>
            <w:shd w:val="clear" w:color="auto" w:fill="auto"/>
            <w:vAlign w:val="center"/>
            <w:hideMark/>
          </w:tcPr>
          <w:p w14:paraId="2BEDBC8B" w14:textId="1D60652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-$11,510,304</w:t>
            </w:r>
          </w:p>
        </w:tc>
        <w:tc>
          <w:tcPr>
            <w:tcW w:w="695" w:type="pct"/>
            <w:tcBorders>
              <w:top w:val="nil"/>
              <w:left w:val="nil"/>
              <w:bottom w:val="single" w:sz="4" w:space="0" w:color="auto"/>
              <w:right w:val="single" w:sz="4" w:space="0" w:color="auto"/>
            </w:tcBorders>
            <w:shd w:val="clear" w:color="auto" w:fill="auto"/>
            <w:vAlign w:val="center"/>
            <w:hideMark/>
          </w:tcPr>
          <w:p w14:paraId="5A66E7DD" w14:textId="4948662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-$11,510,304</w:t>
            </w:r>
          </w:p>
        </w:tc>
        <w:tc>
          <w:tcPr>
            <w:tcW w:w="674" w:type="pct"/>
            <w:tcBorders>
              <w:top w:val="nil"/>
              <w:left w:val="nil"/>
              <w:bottom w:val="single" w:sz="4" w:space="0" w:color="auto"/>
              <w:right w:val="single" w:sz="4" w:space="0" w:color="auto"/>
            </w:tcBorders>
            <w:shd w:val="clear" w:color="auto" w:fill="auto"/>
            <w:vAlign w:val="center"/>
            <w:hideMark/>
          </w:tcPr>
          <w:p w14:paraId="38D9F6CB" w14:textId="51359E32"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-$11,510,304</w:t>
            </w:r>
          </w:p>
        </w:tc>
      </w:tr>
      <w:tr w:rsidR="00030F2F" w:rsidRPr="00AA705B" w14:paraId="728F6704" w14:textId="77777777" w:rsidTr="00A21A7F">
        <w:trPr>
          <w:trHeight w:val="290"/>
        </w:trPr>
        <w:tc>
          <w:tcPr>
            <w:tcW w:w="1533" w:type="pct"/>
            <w:tcBorders>
              <w:top w:val="nil"/>
              <w:left w:val="single" w:sz="4" w:space="0" w:color="auto"/>
              <w:bottom w:val="single" w:sz="4" w:space="0" w:color="auto"/>
              <w:right w:val="single" w:sz="4" w:space="0" w:color="auto"/>
            </w:tcBorders>
            <w:shd w:val="clear" w:color="auto" w:fill="auto"/>
            <w:noWrap/>
            <w:vAlign w:val="center"/>
            <w:hideMark/>
          </w:tcPr>
          <w:p w14:paraId="7DA8A55C" w14:textId="77777777" w:rsidR="00030F2F" w:rsidRPr="00291DA7" w:rsidRDefault="00030F2F" w:rsidP="00DD691F">
            <w:pPr>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Financial Implications for the MBS</w:t>
            </w:r>
          </w:p>
        </w:tc>
        <w:tc>
          <w:tcPr>
            <w:tcW w:w="745" w:type="pct"/>
            <w:tcBorders>
              <w:top w:val="nil"/>
              <w:left w:val="nil"/>
              <w:bottom w:val="single" w:sz="4" w:space="0" w:color="auto"/>
              <w:right w:val="single" w:sz="4" w:space="0" w:color="auto"/>
            </w:tcBorders>
            <w:shd w:val="clear" w:color="auto" w:fill="auto"/>
            <w:vAlign w:val="center"/>
            <w:hideMark/>
          </w:tcPr>
          <w:p w14:paraId="49DCB381" w14:textId="32A46E00"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-$4,</w:t>
            </w:r>
            <w:r w:rsidR="005F450E" w:rsidRPr="005F450E">
              <w:rPr>
                <w:rFonts w:ascii="Arial Narrow" w:hAnsi="Arial Narrow" w:cs="Calibri"/>
                <w:b/>
                <w:bCs/>
                <w:color w:val="000000"/>
                <w:sz w:val="18"/>
                <w:szCs w:val="18"/>
              </w:rPr>
              <w:t>079,473</w:t>
            </w:r>
          </w:p>
        </w:tc>
        <w:tc>
          <w:tcPr>
            <w:tcW w:w="714" w:type="pct"/>
            <w:tcBorders>
              <w:top w:val="nil"/>
              <w:left w:val="nil"/>
              <w:bottom w:val="single" w:sz="4" w:space="0" w:color="auto"/>
              <w:right w:val="single" w:sz="4" w:space="0" w:color="auto"/>
            </w:tcBorders>
            <w:shd w:val="clear" w:color="auto" w:fill="auto"/>
            <w:vAlign w:val="center"/>
            <w:hideMark/>
          </w:tcPr>
          <w:p w14:paraId="32DF4A15" w14:textId="0F7592C4"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-$8,</w:t>
            </w:r>
            <w:r w:rsidR="005F450E" w:rsidRPr="005F450E">
              <w:rPr>
                <w:rFonts w:ascii="Arial Narrow" w:hAnsi="Arial Narrow" w:cs="Calibri"/>
                <w:b/>
                <w:bCs/>
                <w:color w:val="000000"/>
                <w:sz w:val="18"/>
                <w:szCs w:val="18"/>
              </w:rPr>
              <w:t>158,946</w:t>
            </w:r>
          </w:p>
        </w:tc>
        <w:tc>
          <w:tcPr>
            <w:tcW w:w="639" w:type="pct"/>
            <w:tcBorders>
              <w:top w:val="nil"/>
              <w:left w:val="nil"/>
              <w:bottom w:val="single" w:sz="4" w:space="0" w:color="auto"/>
              <w:right w:val="single" w:sz="4" w:space="0" w:color="auto"/>
            </w:tcBorders>
            <w:shd w:val="clear" w:color="auto" w:fill="auto"/>
            <w:vAlign w:val="center"/>
            <w:hideMark/>
          </w:tcPr>
          <w:p w14:paraId="3B29E8E3" w14:textId="17A50055"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-$13,</w:t>
            </w:r>
            <w:r w:rsidR="005F450E" w:rsidRPr="005F450E">
              <w:rPr>
                <w:rFonts w:ascii="Arial Narrow" w:hAnsi="Arial Narrow" w:cs="Calibri"/>
                <w:b/>
                <w:bCs/>
                <w:color w:val="000000"/>
                <w:sz w:val="18"/>
                <w:szCs w:val="18"/>
              </w:rPr>
              <w:t>598,244</w:t>
            </w:r>
          </w:p>
        </w:tc>
        <w:tc>
          <w:tcPr>
            <w:tcW w:w="695" w:type="pct"/>
            <w:tcBorders>
              <w:top w:val="nil"/>
              <w:left w:val="nil"/>
              <w:bottom w:val="single" w:sz="4" w:space="0" w:color="auto"/>
              <w:right w:val="single" w:sz="4" w:space="0" w:color="auto"/>
            </w:tcBorders>
            <w:shd w:val="clear" w:color="auto" w:fill="auto"/>
            <w:vAlign w:val="center"/>
            <w:hideMark/>
          </w:tcPr>
          <w:p w14:paraId="51D81D76" w14:textId="1CE3D4F5"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-$13,</w:t>
            </w:r>
            <w:r w:rsidR="005F450E" w:rsidRPr="005F450E">
              <w:rPr>
                <w:rFonts w:ascii="Arial Narrow" w:hAnsi="Arial Narrow" w:cs="Calibri"/>
                <w:b/>
                <w:bCs/>
                <w:color w:val="000000"/>
                <w:sz w:val="18"/>
                <w:szCs w:val="18"/>
              </w:rPr>
              <w:t>598,244</w:t>
            </w:r>
          </w:p>
        </w:tc>
        <w:tc>
          <w:tcPr>
            <w:tcW w:w="674" w:type="pct"/>
            <w:tcBorders>
              <w:top w:val="nil"/>
              <w:left w:val="nil"/>
              <w:bottom w:val="single" w:sz="4" w:space="0" w:color="auto"/>
              <w:right w:val="single" w:sz="4" w:space="0" w:color="auto"/>
            </w:tcBorders>
            <w:shd w:val="clear" w:color="auto" w:fill="auto"/>
            <w:vAlign w:val="center"/>
            <w:hideMark/>
          </w:tcPr>
          <w:p w14:paraId="6AEF1F44" w14:textId="5F87BE1D"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-$13,</w:t>
            </w:r>
            <w:r w:rsidR="005F450E" w:rsidRPr="005F450E">
              <w:rPr>
                <w:rFonts w:ascii="Arial Narrow" w:hAnsi="Arial Narrow" w:cs="Calibri"/>
                <w:b/>
                <w:bCs/>
                <w:color w:val="000000"/>
                <w:sz w:val="18"/>
                <w:szCs w:val="18"/>
              </w:rPr>
              <w:t>598,244</w:t>
            </w:r>
          </w:p>
        </w:tc>
      </w:tr>
    </w:tbl>
    <w:p w14:paraId="026FF347" w14:textId="743529D6" w:rsidR="00030F2F" w:rsidRDefault="00030F2F" w:rsidP="009D6338">
      <w:pPr>
        <w:pStyle w:val="Tablenotes0"/>
      </w:pPr>
      <w:r>
        <w:t>Abbreviations: EBRT=external beam radiation therapy, MBS=Medical Benefits Schedule</w:t>
      </w:r>
    </w:p>
    <w:p w14:paraId="44C32605" w14:textId="7819A0D1" w:rsidR="00030F2F" w:rsidRDefault="00030F2F" w:rsidP="00030F2F">
      <w:pPr>
        <w:pStyle w:val="Caption"/>
        <w:ind w:left="1130" w:hanging="1130"/>
      </w:pPr>
      <w:bookmarkStart w:id="750" w:name="_Toc89857952"/>
      <w:r>
        <w:t xml:space="preserve">Table </w:t>
      </w:r>
      <w:r w:rsidR="00211285">
        <w:fldChar w:fldCharType="begin"/>
      </w:r>
      <w:r w:rsidR="00211285">
        <w:instrText xml:space="preserve"> SEQ Table \* ARABIC </w:instrText>
      </w:r>
      <w:r w:rsidR="00211285">
        <w:fldChar w:fldCharType="separate"/>
      </w:r>
      <w:r w:rsidR="00451350">
        <w:rPr>
          <w:noProof/>
        </w:rPr>
        <w:t>81</w:t>
      </w:r>
      <w:r w:rsidR="00211285">
        <w:rPr>
          <w:noProof/>
        </w:rPr>
        <w:fldChar w:fldCharType="end"/>
      </w:r>
      <w:r>
        <w:tab/>
        <w:t>Sensitivity analysis: Financial implications for MBS – number of MR-linacs grows to five by year two, seven by year three, remaining steady thereafter</w:t>
      </w:r>
      <w:bookmarkEnd w:id="750"/>
    </w:p>
    <w:tbl>
      <w:tblPr>
        <w:tblStyle w:val="TableGrid1"/>
        <w:tblW w:w="5000" w:type="pct"/>
        <w:tblLook w:val="04A0" w:firstRow="1" w:lastRow="0" w:firstColumn="1" w:lastColumn="0" w:noHBand="0" w:noVBand="1"/>
      </w:tblPr>
      <w:tblGrid>
        <w:gridCol w:w="2765"/>
        <w:gridCol w:w="1344"/>
        <w:gridCol w:w="1287"/>
        <w:gridCol w:w="1152"/>
        <w:gridCol w:w="1253"/>
        <w:gridCol w:w="1215"/>
      </w:tblGrid>
      <w:tr w:rsidR="00030F2F" w:rsidRPr="00AA705B" w14:paraId="2DDA61A1" w14:textId="77777777" w:rsidTr="00DD691F">
        <w:trPr>
          <w:cnfStyle w:val="100000000000" w:firstRow="1" w:lastRow="0" w:firstColumn="0" w:lastColumn="0" w:oddVBand="0" w:evenVBand="0" w:oddHBand="0" w:evenHBand="0" w:firstRowFirstColumn="0" w:firstRowLastColumn="0" w:lastRowFirstColumn="0" w:lastRowLastColumn="0"/>
          <w:trHeight w:val="290"/>
          <w:tblHeader/>
        </w:trPr>
        <w:tc>
          <w:tcPr>
            <w:tcW w:w="1533" w:type="pct"/>
            <w:shd w:val="clear" w:color="auto" w:fill="auto"/>
            <w:vAlign w:val="center"/>
            <w:hideMark/>
          </w:tcPr>
          <w:p w14:paraId="0D9664BD" w14:textId="77777777" w:rsidR="00030F2F" w:rsidRPr="00291DA7" w:rsidRDefault="00030F2F" w:rsidP="00DD691F">
            <w:pPr>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Item</w:t>
            </w:r>
          </w:p>
        </w:tc>
        <w:tc>
          <w:tcPr>
            <w:tcW w:w="745" w:type="pct"/>
            <w:shd w:val="clear" w:color="auto" w:fill="auto"/>
            <w:vAlign w:val="center"/>
            <w:hideMark/>
          </w:tcPr>
          <w:p w14:paraId="5DA34EBF"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2021</w:t>
            </w:r>
          </w:p>
        </w:tc>
        <w:tc>
          <w:tcPr>
            <w:tcW w:w="714" w:type="pct"/>
            <w:shd w:val="clear" w:color="auto" w:fill="auto"/>
            <w:vAlign w:val="center"/>
            <w:hideMark/>
          </w:tcPr>
          <w:p w14:paraId="5D10D60B"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2022</w:t>
            </w:r>
          </w:p>
        </w:tc>
        <w:tc>
          <w:tcPr>
            <w:tcW w:w="639" w:type="pct"/>
            <w:shd w:val="clear" w:color="auto" w:fill="auto"/>
            <w:vAlign w:val="center"/>
            <w:hideMark/>
          </w:tcPr>
          <w:p w14:paraId="69F049F9"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2023</w:t>
            </w:r>
          </w:p>
        </w:tc>
        <w:tc>
          <w:tcPr>
            <w:tcW w:w="695" w:type="pct"/>
            <w:shd w:val="clear" w:color="auto" w:fill="auto"/>
            <w:vAlign w:val="center"/>
            <w:hideMark/>
          </w:tcPr>
          <w:p w14:paraId="4252B777"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2024</w:t>
            </w:r>
          </w:p>
        </w:tc>
        <w:tc>
          <w:tcPr>
            <w:tcW w:w="674" w:type="pct"/>
            <w:shd w:val="clear" w:color="auto" w:fill="auto"/>
            <w:vAlign w:val="center"/>
            <w:hideMark/>
          </w:tcPr>
          <w:p w14:paraId="7A551A2E"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2025</w:t>
            </w:r>
          </w:p>
        </w:tc>
      </w:tr>
      <w:tr w:rsidR="00030F2F" w:rsidRPr="00AA705B" w14:paraId="50969CEA" w14:textId="77777777" w:rsidTr="00B3256E">
        <w:trPr>
          <w:trHeight w:val="290"/>
        </w:trPr>
        <w:tc>
          <w:tcPr>
            <w:tcW w:w="1533" w:type="pct"/>
            <w:shd w:val="clear" w:color="auto" w:fill="auto"/>
            <w:vAlign w:val="center"/>
            <w:hideMark/>
          </w:tcPr>
          <w:p w14:paraId="2DE02E56"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Fiducial marker placement</w:t>
            </w:r>
          </w:p>
        </w:tc>
        <w:tc>
          <w:tcPr>
            <w:tcW w:w="745" w:type="pct"/>
            <w:shd w:val="clear" w:color="auto" w:fill="auto"/>
            <w:vAlign w:val="center"/>
            <w:hideMark/>
          </w:tcPr>
          <w:p w14:paraId="0C5E72B6" w14:textId="21C22536" w:rsidR="00030F2F" w:rsidRPr="00291DA7" w:rsidRDefault="005F450E" w:rsidP="00DD691F">
            <w:pPr>
              <w:spacing w:before="40" w:line="240" w:lineRule="auto"/>
              <w:jc w:val="center"/>
              <w:rPr>
                <w:rFonts w:ascii="Arial Narrow" w:hAnsi="Arial Narrow" w:cs="Calibri"/>
                <w:color w:val="000000"/>
                <w:sz w:val="18"/>
                <w:szCs w:val="18"/>
              </w:rPr>
            </w:pPr>
            <w:r w:rsidRPr="005F450E">
              <w:rPr>
                <w:rFonts w:ascii="Arial Narrow" w:hAnsi="Arial Narrow" w:cs="Calibri"/>
                <w:color w:val="000000"/>
                <w:sz w:val="18"/>
                <w:szCs w:val="18"/>
              </w:rPr>
              <w:t>-$626,382</w:t>
            </w:r>
          </w:p>
        </w:tc>
        <w:tc>
          <w:tcPr>
            <w:tcW w:w="714" w:type="pct"/>
            <w:shd w:val="clear" w:color="auto" w:fill="auto"/>
            <w:vAlign w:val="center"/>
            <w:hideMark/>
          </w:tcPr>
          <w:p w14:paraId="1E635EF3" w14:textId="7A212F25"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-$1,</w:t>
            </w:r>
            <w:r w:rsidR="005F450E" w:rsidRPr="005F450E">
              <w:rPr>
                <w:rFonts w:ascii="Arial Narrow" w:hAnsi="Arial Narrow" w:cs="Calibri"/>
                <w:color w:val="000000"/>
                <w:sz w:val="18"/>
                <w:szCs w:val="18"/>
              </w:rPr>
              <w:t>043,970</w:t>
            </w:r>
          </w:p>
        </w:tc>
        <w:tc>
          <w:tcPr>
            <w:tcW w:w="639" w:type="pct"/>
            <w:shd w:val="clear" w:color="auto" w:fill="auto"/>
            <w:vAlign w:val="center"/>
            <w:hideMark/>
          </w:tcPr>
          <w:p w14:paraId="653E57E8" w14:textId="261CB380" w:rsidR="00030F2F" w:rsidRPr="00291DA7" w:rsidRDefault="005F450E" w:rsidP="00DD691F">
            <w:pPr>
              <w:spacing w:before="40" w:line="240" w:lineRule="auto"/>
              <w:jc w:val="center"/>
              <w:rPr>
                <w:rFonts w:ascii="Arial Narrow" w:hAnsi="Arial Narrow" w:cs="Calibri"/>
                <w:color w:val="000000"/>
                <w:sz w:val="18"/>
                <w:szCs w:val="18"/>
              </w:rPr>
            </w:pPr>
            <w:r w:rsidRPr="005F450E">
              <w:rPr>
                <w:rFonts w:ascii="Arial Narrow" w:hAnsi="Arial Narrow" w:cs="Calibri"/>
                <w:color w:val="000000"/>
                <w:sz w:val="18"/>
                <w:szCs w:val="18"/>
              </w:rPr>
              <w:t>-$2,679,523</w:t>
            </w:r>
          </w:p>
        </w:tc>
        <w:tc>
          <w:tcPr>
            <w:tcW w:w="695" w:type="pct"/>
            <w:shd w:val="clear" w:color="auto" w:fill="auto"/>
            <w:vAlign w:val="center"/>
            <w:hideMark/>
          </w:tcPr>
          <w:p w14:paraId="23BF5200" w14:textId="5EBC43E0" w:rsidR="00030F2F" w:rsidRPr="00291DA7" w:rsidRDefault="005F450E" w:rsidP="00DD691F">
            <w:pPr>
              <w:spacing w:before="40" w:line="240" w:lineRule="auto"/>
              <w:jc w:val="center"/>
              <w:rPr>
                <w:rFonts w:ascii="Arial Narrow" w:hAnsi="Arial Narrow" w:cs="Calibri"/>
                <w:color w:val="000000"/>
                <w:sz w:val="18"/>
                <w:szCs w:val="18"/>
              </w:rPr>
            </w:pPr>
            <w:r w:rsidRPr="005F450E">
              <w:rPr>
                <w:rFonts w:ascii="Arial Narrow" w:hAnsi="Arial Narrow" w:cs="Calibri"/>
                <w:color w:val="000000"/>
                <w:sz w:val="18"/>
                <w:szCs w:val="18"/>
              </w:rPr>
              <w:t>-$2,679,523</w:t>
            </w:r>
          </w:p>
        </w:tc>
        <w:tc>
          <w:tcPr>
            <w:tcW w:w="674" w:type="pct"/>
            <w:shd w:val="clear" w:color="auto" w:fill="auto"/>
            <w:vAlign w:val="center"/>
            <w:hideMark/>
          </w:tcPr>
          <w:p w14:paraId="7DB980FE" w14:textId="3AB12E70" w:rsidR="00030F2F" w:rsidRPr="00291DA7" w:rsidRDefault="005F450E" w:rsidP="00DD691F">
            <w:pPr>
              <w:spacing w:before="40" w:line="240" w:lineRule="auto"/>
              <w:jc w:val="center"/>
              <w:rPr>
                <w:rFonts w:ascii="Arial Narrow" w:hAnsi="Arial Narrow" w:cs="Calibri"/>
                <w:color w:val="000000"/>
                <w:sz w:val="18"/>
                <w:szCs w:val="18"/>
              </w:rPr>
            </w:pPr>
            <w:r w:rsidRPr="005F450E">
              <w:rPr>
                <w:rFonts w:ascii="Arial Narrow" w:hAnsi="Arial Narrow" w:cs="Calibri"/>
                <w:color w:val="000000"/>
                <w:sz w:val="18"/>
                <w:szCs w:val="18"/>
              </w:rPr>
              <w:t>-$2,679,523</w:t>
            </w:r>
          </w:p>
        </w:tc>
      </w:tr>
      <w:tr w:rsidR="00030F2F" w:rsidRPr="00AA705B" w14:paraId="5E6ADF01" w14:textId="77777777" w:rsidTr="00B3256E">
        <w:trPr>
          <w:trHeight w:val="290"/>
        </w:trPr>
        <w:tc>
          <w:tcPr>
            <w:tcW w:w="1533" w:type="pct"/>
            <w:shd w:val="clear" w:color="auto" w:fill="auto"/>
            <w:vAlign w:val="center"/>
            <w:hideMark/>
          </w:tcPr>
          <w:p w14:paraId="3D0E9499"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15565 (planning)</w:t>
            </w:r>
          </w:p>
        </w:tc>
        <w:tc>
          <w:tcPr>
            <w:tcW w:w="745" w:type="pct"/>
            <w:shd w:val="clear" w:color="auto" w:fill="auto"/>
            <w:vAlign w:val="center"/>
            <w:hideMark/>
          </w:tcPr>
          <w:p w14:paraId="73679861" w14:textId="10D0470C"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c>
          <w:tcPr>
            <w:tcW w:w="714" w:type="pct"/>
            <w:shd w:val="clear" w:color="auto" w:fill="auto"/>
            <w:vAlign w:val="center"/>
            <w:hideMark/>
          </w:tcPr>
          <w:p w14:paraId="684DC988" w14:textId="06CACA97"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c>
          <w:tcPr>
            <w:tcW w:w="639" w:type="pct"/>
            <w:shd w:val="clear" w:color="auto" w:fill="auto"/>
            <w:vAlign w:val="center"/>
            <w:hideMark/>
          </w:tcPr>
          <w:p w14:paraId="0B394FD5" w14:textId="796559AA"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c>
          <w:tcPr>
            <w:tcW w:w="695" w:type="pct"/>
            <w:shd w:val="clear" w:color="auto" w:fill="auto"/>
            <w:vAlign w:val="center"/>
            <w:hideMark/>
          </w:tcPr>
          <w:p w14:paraId="30B867A9" w14:textId="3A29F0F1"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c>
          <w:tcPr>
            <w:tcW w:w="674" w:type="pct"/>
            <w:shd w:val="clear" w:color="auto" w:fill="auto"/>
            <w:vAlign w:val="center"/>
            <w:hideMark/>
          </w:tcPr>
          <w:p w14:paraId="2D6D8A99" w14:textId="6E4BBFED"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r>
      <w:tr w:rsidR="00030F2F" w:rsidRPr="00AA705B" w14:paraId="573AC2F4" w14:textId="77777777" w:rsidTr="00B3256E">
        <w:trPr>
          <w:trHeight w:val="290"/>
        </w:trPr>
        <w:tc>
          <w:tcPr>
            <w:tcW w:w="1533" w:type="pct"/>
            <w:shd w:val="clear" w:color="auto" w:fill="auto"/>
            <w:vAlign w:val="center"/>
            <w:hideMark/>
          </w:tcPr>
          <w:p w14:paraId="44FA17E2"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15555 (simulation)</w:t>
            </w:r>
          </w:p>
        </w:tc>
        <w:tc>
          <w:tcPr>
            <w:tcW w:w="745" w:type="pct"/>
            <w:shd w:val="clear" w:color="auto" w:fill="auto"/>
            <w:vAlign w:val="center"/>
            <w:hideMark/>
          </w:tcPr>
          <w:p w14:paraId="49730FDE" w14:textId="31E9B378"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c>
          <w:tcPr>
            <w:tcW w:w="714" w:type="pct"/>
            <w:shd w:val="clear" w:color="auto" w:fill="auto"/>
            <w:vAlign w:val="center"/>
            <w:hideMark/>
          </w:tcPr>
          <w:p w14:paraId="5E349E86" w14:textId="4BC7CBB5"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c>
          <w:tcPr>
            <w:tcW w:w="639" w:type="pct"/>
            <w:shd w:val="clear" w:color="auto" w:fill="auto"/>
            <w:vAlign w:val="center"/>
            <w:hideMark/>
          </w:tcPr>
          <w:p w14:paraId="23B26395" w14:textId="5F115D3B"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c>
          <w:tcPr>
            <w:tcW w:w="695" w:type="pct"/>
            <w:shd w:val="clear" w:color="auto" w:fill="auto"/>
            <w:vAlign w:val="center"/>
            <w:hideMark/>
          </w:tcPr>
          <w:p w14:paraId="0DA309FF" w14:textId="07553565"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$0</w:t>
            </w:r>
          </w:p>
        </w:tc>
        <w:tc>
          <w:tcPr>
            <w:tcW w:w="674" w:type="pct"/>
            <w:shd w:val="clear" w:color="auto" w:fill="auto"/>
            <w:vAlign w:val="center"/>
            <w:hideMark/>
          </w:tcPr>
          <w:p w14:paraId="42C33E53" w14:textId="49243381" w:rsidR="00030F2F" w:rsidRPr="00291DA7" w:rsidRDefault="005F450E" w:rsidP="00DD691F">
            <w:pPr>
              <w:spacing w:before="40" w:line="240" w:lineRule="auto"/>
              <w:jc w:val="center"/>
              <w:rPr>
                <w:rFonts w:ascii="Arial Narrow" w:hAnsi="Arial Narrow" w:cs="Calibri"/>
                <w:color w:val="000000"/>
                <w:sz w:val="18"/>
                <w:szCs w:val="18"/>
              </w:rPr>
            </w:pPr>
            <w:r w:rsidRPr="005F450E">
              <w:rPr>
                <w:rFonts w:ascii="Arial Narrow" w:hAnsi="Arial Narrow" w:cs="Calibri"/>
                <w:color w:val="000000"/>
                <w:sz w:val="18"/>
                <w:szCs w:val="18"/>
              </w:rPr>
              <w:t>$0</w:t>
            </w:r>
          </w:p>
        </w:tc>
      </w:tr>
      <w:tr w:rsidR="00030F2F" w:rsidRPr="00AA705B" w14:paraId="56E3B71A" w14:textId="77777777" w:rsidTr="00B3256E">
        <w:trPr>
          <w:trHeight w:val="290"/>
        </w:trPr>
        <w:tc>
          <w:tcPr>
            <w:tcW w:w="1533" w:type="pct"/>
            <w:shd w:val="clear" w:color="auto" w:fill="auto"/>
            <w:vAlign w:val="center"/>
            <w:hideMark/>
          </w:tcPr>
          <w:p w14:paraId="0455EB74"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15275 (fraction)</w:t>
            </w:r>
          </w:p>
        </w:tc>
        <w:tc>
          <w:tcPr>
            <w:tcW w:w="745" w:type="pct"/>
            <w:shd w:val="clear" w:color="auto" w:fill="auto"/>
            <w:vAlign w:val="center"/>
            <w:hideMark/>
          </w:tcPr>
          <w:p w14:paraId="6F366853" w14:textId="6E80A5ED"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-$3,453,091</w:t>
            </w:r>
          </w:p>
        </w:tc>
        <w:tc>
          <w:tcPr>
            <w:tcW w:w="714" w:type="pct"/>
            <w:shd w:val="clear" w:color="auto" w:fill="auto"/>
            <w:vAlign w:val="center"/>
            <w:hideMark/>
          </w:tcPr>
          <w:p w14:paraId="154D3848" w14:textId="041ABFA4"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-$5,755,152</w:t>
            </w:r>
          </w:p>
        </w:tc>
        <w:tc>
          <w:tcPr>
            <w:tcW w:w="639" w:type="pct"/>
            <w:shd w:val="clear" w:color="auto" w:fill="auto"/>
            <w:vAlign w:val="center"/>
            <w:hideMark/>
          </w:tcPr>
          <w:p w14:paraId="4E74ED02" w14:textId="7A26813F"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-$14,771,557</w:t>
            </w:r>
          </w:p>
        </w:tc>
        <w:tc>
          <w:tcPr>
            <w:tcW w:w="695" w:type="pct"/>
            <w:shd w:val="clear" w:color="auto" w:fill="auto"/>
            <w:vAlign w:val="center"/>
            <w:hideMark/>
          </w:tcPr>
          <w:p w14:paraId="76B5512C" w14:textId="582B6012"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-$14,771,557</w:t>
            </w:r>
          </w:p>
        </w:tc>
        <w:tc>
          <w:tcPr>
            <w:tcW w:w="674" w:type="pct"/>
            <w:shd w:val="clear" w:color="auto" w:fill="auto"/>
            <w:vAlign w:val="center"/>
            <w:hideMark/>
          </w:tcPr>
          <w:p w14:paraId="24F7F0F5" w14:textId="1D77C26C" w:rsidR="00030F2F" w:rsidRPr="00291DA7" w:rsidRDefault="00030F2F" w:rsidP="00DD691F">
            <w:pPr>
              <w:spacing w:before="40" w:line="240" w:lineRule="auto"/>
              <w:jc w:val="center"/>
              <w:rPr>
                <w:rFonts w:ascii="Arial Narrow" w:hAnsi="Arial Narrow" w:cs="Calibri"/>
                <w:color w:val="000000"/>
                <w:sz w:val="18"/>
                <w:szCs w:val="18"/>
              </w:rPr>
            </w:pPr>
            <w:r w:rsidRPr="00291DA7">
              <w:rPr>
                <w:rFonts w:ascii="Arial Narrow" w:hAnsi="Arial Narrow" w:cs="Calibri"/>
                <w:color w:val="000000"/>
                <w:sz w:val="18"/>
                <w:szCs w:val="18"/>
              </w:rPr>
              <w:t>-$14,771,557</w:t>
            </w:r>
          </w:p>
        </w:tc>
      </w:tr>
      <w:tr w:rsidR="00030F2F" w:rsidRPr="00AA705B" w14:paraId="2FCCAE7E" w14:textId="77777777" w:rsidTr="00B3256E">
        <w:trPr>
          <w:trHeight w:val="290"/>
        </w:trPr>
        <w:tc>
          <w:tcPr>
            <w:tcW w:w="1533" w:type="pct"/>
            <w:shd w:val="clear" w:color="auto" w:fill="auto"/>
            <w:noWrap/>
            <w:vAlign w:val="center"/>
            <w:hideMark/>
          </w:tcPr>
          <w:p w14:paraId="78F440F3" w14:textId="77777777" w:rsidR="00030F2F" w:rsidRPr="00291DA7" w:rsidRDefault="00030F2F" w:rsidP="00DD691F">
            <w:pPr>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Financial Implications for the MBS</w:t>
            </w:r>
          </w:p>
        </w:tc>
        <w:tc>
          <w:tcPr>
            <w:tcW w:w="745" w:type="pct"/>
            <w:shd w:val="clear" w:color="auto" w:fill="auto"/>
            <w:vAlign w:val="center"/>
            <w:hideMark/>
          </w:tcPr>
          <w:p w14:paraId="4D6CA8AE" w14:textId="0C9B3F74"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-$4,</w:t>
            </w:r>
            <w:r w:rsidR="005F450E" w:rsidRPr="005F450E">
              <w:rPr>
                <w:rFonts w:ascii="Arial Narrow" w:hAnsi="Arial Narrow" w:cs="Calibri"/>
                <w:b/>
                <w:bCs/>
                <w:color w:val="000000"/>
                <w:sz w:val="18"/>
                <w:szCs w:val="18"/>
              </w:rPr>
              <w:t>079,473</w:t>
            </w:r>
          </w:p>
        </w:tc>
        <w:tc>
          <w:tcPr>
            <w:tcW w:w="714" w:type="pct"/>
            <w:shd w:val="clear" w:color="auto" w:fill="auto"/>
            <w:vAlign w:val="center"/>
            <w:hideMark/>
          </w:tcPr>
          <w:p w14:paraId="5C900588" w14:textId="6F754421"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-$6,</w:t>
            </w:r>
            <w:r w:rsidR="005F450E" w:rsidRPr="005F450E">
              <w:rPr>
                <w:rFonts w:ascii="Arial Narrow" w:hAnsi="Arial Narrow" w:cs="Calibri"/>
                <w:b/>
                <w:bCs/>
                <w:color w:val="000000"/>
                <w:sz w:val="18"/>
                <w:szCs w:val="18"/>
              </w:rPr>
              <w:t>799,122</w:t>
            </w:r>
          </w:p>
        </w:tc>
        <w:tc>
          <w:tcPr>
            <w:tcW w:w="639" w:type="pct"/>
            <w:shd w:val="clear" w:color="auto" w:fill="auto"/>
            <w:vAlign w:val="center"/>
            <w:hideMark/>
          </w:tcPr>
          <w:p w14:paraId="1C3128F2" w14:textId="6BDCE234"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-$17,</w:t>
            </w:r>
            <w:r w:rsidR="005F450E" w:rsidRPr="005F450E">
              <w:rPr>
                <w:rFonts w:ascii="Arial Narrow" w:hAnsi="Arial Narrow" w:cs="Calibri"/>
                <w:b/>
                <w:bCs/>
                <w:color w:val="000000"/>
                <w:sz w:val="18"/>
                <w:szCs w:val="18"/>
              </w:rPr>
              <w:t>451,080</w:t>
            </w:r>
          </w:p>
        </w:tc>
        <w:tc>
          <w:tcPr>
            <w:tcW w:w="695" w:type="pct"/>
            <w:shd w:val="clear" w:color="auto" w:fill="auto"/>
            <w:vAlign w:val="center"/>
            <w:hideMark/>
          </w:tcPr>
          <w:p w14:paraId="24FC8D07" w14:textId="687ACD44"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-$17,</w:t>
            </w:r>
            <w:r w:rsidR="005F450E" w:rsidRPr="005F450E">
              <w:rPr>
                <w:rFonts w:ascii="Arial Narrow" w:hAnsi="Arial Narrow" w:cs="Calibri"/>
                <w:b/>
                <w:bCs/>
                <w:color w:val="000000"/>
                <w:sz w:val="18"/>
                <w:szCs w:val="18"/>
              </w:rPr>
              <w:t>451,080</w:t>
            </w:r>
          </w:p>
        </w:tc>
        <w:tc>
          <w:tcPr>
            <w:tcW w:w="674" w:type="pct"/>
            <w:shd w:val="clear" w:color="auto" w:fill="auto"/>
            <w:vAlign w:val="center"/>
            <w:hideMark/>
          </w:tcPr>
          <w:p w14:paraId="07BB1977" w14:textId="040ACE4D"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-$17,</w:t>
            </w:r>
            <w:r w:rsidR="005F450E" w:rsidRPr="005F450E">
              <w:rPr>
                <w:rFonts w:ascii="Arial Narrow" w:hAnsi="Arial Narrow" w:cs="Calibri"/>
                <w:b/>
                <w:bCs/>
                <w:color w:val="000000"/>
                <w:sz w:val="18"/>
                <w:szCs w:val="18"/>
              </w:rPr>
              <w:t>451,080</w:t>
            </w:r>
          </w:p>
        </w:tc>
      </w:tr>
    </w:tbl>
    <w:p w14:paraId="5A4EDD75" w14:textId="79143434" w:rsidR="00030F2F" w:rsidRDefault="00030F2F" w:rsidP="009D6338">
      <w:pPr>
        <w:pStyle w:val="Tablenotes0"/>
      </w:pPr>
      <w:r>
        <w:t>Abbreviations: EBRT=external beam radiation therapy, MBS=Medical Benefits Schedule</w:t>
      </w:r>
    </w:p>
    <w:p w14:paraId="7B56E58D" w14:textId="1356219D" w:rsidR="00030F2F" w:rsidRDefault="00030F2F" w:rsidP="00030F2F">
      <w:pPr>
        <w:pStyle w:val="Caption"/>
        <w:ind w:left="1130" w:hanging="1130"/>
      </w:pPr>
      <w:bookmarkStart w:id="751" w:name="_Toc89857953"/>
      <w:r>
        <w:t xml:space="preserve">Table </w:t>
      </w:r>
      <w:r w:rsidR="00211285">
        <w:fldChar w:fldCharType="begin"/>
      </w:r>
      <w:r w:rsidR="00211285">
        <w:instrText xml:space="preserve"> SEQ Table \* ARABIC </w:instrText>
      </w:r>
      <w:r w:rsidR="00211285">
        <w:fldChar w:fldCharType="separate"/>
      </w:r>
      <w:r w:rsidR="00451350">
        <w:rPr>
          <w:noProof/>
        </w:rPr>
        <w:t>82</w:t>
      </w:r>
      <w:r w:rsidR="00211285">
        <w:rPr>
          <w:noProof/>
        </w:rPr>
        <w:fldChar w:fldCharType="end"/>
      </w:r>
      <w:r>
        <w:tab/>
        <w:t>Sensitivity analysis: Financial implications for MBS – number of MR-linacs grows to 12 by year four, and 15 by year five</w:t>
      </w:r>
      <w:bookmarkEnd w:id="751"/>
    </w:p>
    <w:tbl>
      <w:tblPr>
        <w:tblStyle w:val="TableGrid1"/>
        <w:tblW w:w="5000" w:type="pct"/>
        <w:tblLook w:val="04A0" w:firstRow="1" w:lastRow="0" w:firstColumn="1" w:lastColumn="0" w:noHBand="0" w:noVBand="1"/>
      </w:tblPr>
      <w:tblGrid>
        <w:gridCol w:w="2765"/>
        <w:gridCol w:w="1344"/>
        <w:gridCol w:w="1287"/>
        <w:gridCol w:w="1152"/>
        <w:gridCol w:w="1253"/>
        <w:gridCol w:w="1215"/>
      </w:tblGrid>
      <w:tr w:rsidR="00030F2F" w:rsidRPr="00AA705B" w14:paraId="3B555740" w14:textId="77777777" w:rsidTr="00A21A7F">
        <w:trPr>
          <w:cnfStyle w:val="100000000000" w:firstRow="1" w:lastRow="0" w:firstColumn="0" w:lastColumn="0" w:oddVBand="0" w:evenVBand="0" w:oddHBand="0" w:evenHBand="0" w:firstRowFirstColumn="0" w:firstRowLastColumn="0" w:lastRowFirstColumn="0" w:lastRowLastColumn="0"/>
          <w:trHeight w:val="290"/>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1551F" w14:textId="77777777" w:rsidR="00030F2F" w:rsidRPr="00291DA7" w:rsidRDefault="00030F2F" w:rsidP="00DD691F">
            <w:pPr>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Item</w:t>
            </w:r>
          </w:p>
        </w:tc>
        <w:tc>
          <w:tcPr>
            <w:tcW w:w="745" w:type="pct"/>
            <w:tcBorders>
              <w:top w:val="single" w:sz="4" w:space="0" w:color="auto"/>
              <w:left w:val="nil"/>
              <w:bottom w:val="single" w:sz="4" w:space="0" w:color="auto"/>
              <w:right w:val="single" w:sz="4" w:space="0" w:color="auto"/>
            </w:tcBorders>
            <w:shd w:val="clear" w:color="auto" w:fill="auto"/>
            <w:vAlign w:val="bottom"/>
            <w:hideMark/>
          </w:tcPr>
          <w:p w14:paraId="611B6CB0"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2021</w:t>
            </w:r>
          </w:p>
        </w:tc>
        <w:tc>
          <w:tcPr>
            <w:tcW w:w="714" w:type="pct"/>
            <w:tcBorders>
              <w:top w:val="single" w:sz="4" w:space="0" w:color="auto"/>
              <w:left w:val="nil"/>
              <w:bottom w:val="single" w:sz="4" w:space="0" w:color="auto"/>
              <w:right w:val="single" w:sz="4" w:space="0" w:color="auto"/>
            </w:tcBorders>
            <w:shd w:val="clear" w:color="auto" w:fill="auto"/>
            <w:vAlign w:val="bottom"/>
            <w:hideMark/>
          </w:tcPr>
          <w:p w14:paraId="74258163"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2022</w:t>
            </w:r>
          </w:p>
        </w:tc>
        <w:tc>
          <w:tcPr>
            <w:tcW w:w="639" w:type="pct"/>
            <w:tcBorders>
              <w:top w:val="single" w:sz="4" w:space="0" w:color="auto"/>
              <w:left w:val="nil"/>
              <w:bottom w:val="single" w:sz="4" w:space="0" w:color="auto"/>
              <w:right w:val="single" w:sz="4" w:space="0" w:color="auto"/>
            </w:tcBorders>
            <w:shd w:val="clear" w:color="auto" w:fill="auto"/>
            <w:vAlign w:val="bottom"/>
            <w:hideMark/>
          </w:tcPr>
          <w:p w14:paraId="5DE1B0EB"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2023</w:t>
            </w:r>
          </w:p>
        </w:tc>
        <w:tc>
          <w:tcPr>
            <w:tcW w:w="695" w:type="pct"/>
            <w:tcBorders>
              <w:top w:val="single" w:sz="4" w:space="0" w:color="auto"/>
              <w:left w:val="nil"/>
              <w:bottom w:val="single" w:sz="4" w:space="0" w:color="auto"/>
              <w:right w:val="single" w:sz="4" w:space="0" w:color="auto"/>
            </w:tcBorders>
            <w:shd w:val="clear" w:color="auto" w:fill="auto"/>
            <w:vAlign w:val="bottom"/>
            <w:hideMark/>
          </w:tcPr>
          <w:p w14:paraId="364D0E40"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2024</w:t>
            </w:r>
          </w:p>
        </w:tc>
        <w:tc>
          <w:tcPr>
            <w:tcW w:w="674" w:type="pct"/>
            <w:tcBorders>
              <w:top w:val="single" w:sz="4" w:space="0" w:color="auto"/>
              <w:left w:val="nil"/>
              <w:bottom w:val="single" w:sz="4" w:space="0" w:color="auto"/>
              <w:right w:val="single" w:sz="4" w:space="0" w:color="auto"/>
            </w:tcBorders>
            <w:shd w:val="clear" w:color="auto" w:fill="auto"/>
            <w:vAlign w:val="bottom"/>
            <w:hideMark/>
          </w:tcPr>
          <w:p w14:paraId="45286FC9" w14:textId="77777777" w:rsidR="00030F2F" w:rsidRPr="00291DA7" w:rsidRDefault="00030F2F" w:rsidP="00DD691F">
            <w:pPr>
              <w:spacing w:before="40" w:line="240" w:lineRule="auto"/>
              <w:jc w:val="center"/>
              <w:rPr>
                <w:rFonts w:ascii="Arial Narrow" w:hAnsi="Arial Narrow" w:cs="Calibri"/>
                <w:b/>
                <w:bCs/>
                <w:color w:val="000000"/>
                <w:sz w:val="18"/>
                <w:szCs w:val="18"/>
              </w:rPr>
            </w:pPr>
            <w:r w:rsidRPr="00291DA7">
              <w:rPr>
                <w:rFonts w:ascii="Arial Narrow" w:hAnsi="Arial Narrow" w:cs="Calibri"/>
                <w:b/>
                <w:bCs/>
                <w:color w:val="000000"/>
                <w:sz w:val="18"/>
                <w:szCs w:val="18"/>
              </w:rPr>
              <w:t>2025</w:t>
            </w:r>
          </w:p>
        </w:tc>
      </w:tr>
      <w:tr w:rsidR="00030F2F" w:rsidRPr="00AA705B" w14:paraId="33ED60A8" w14:textId="77777777" w:rsidTr="00B3256E">
        <w:trPr>
          <w:trHeight w:val="290"/>
        </w:trPr>
        <w:tc>
          <w:tcPr>
            <w:tcW w:w="1533" w:type="pct"/>
            <w:tcBorders>
              <w:top w:val="nil"/>
              <w:left w:val="single" w:sz="4" w:space="0" w:color="auto"/>
              <w:bottom w:val="single" w:sz="4" w:space="0" w:color="auto"/>
              <w:right w:val="nil"/>
            </w:tcBorders>
            <w:shd w:val="clear" w:color="auto" w:fill="auto"/>
            <w:vAlign w:val="center"/>
            <w:hideMark/>
          </w:tcPr>
          <w:p w14:paraId="5400F4EF"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Fiducial marker placement</w:t>
            </w:r>
          </w:p>
        </w:tc>
        <w:tc>
          <w:tcPr>
            <w:tcW w:w="745" w:type="pct"/>
            <w:tcBorders>
              <w:top w:val="nil"/>
              <w:left w:val="single" w:sz="4" w:space="0" w:color="auto"/>
              <w:bottom w:val="single" w:sz="4" w:space="0" w:color="auto"/>
              <w:right w:val="single" w:sz="4" w:space="0" w:color="auto"/>
            </w:tcBorders>
            <w:shd w:val="clear" w:color="auto" w:fill="auto"/>
            <w:vAlign w:val="center"/>
            <w:hideMark/>
          </w:tcPr>
          <w:p w14:paraId="43C167FD" w14:textId="7D6A540F" w:rsidR="00030F2F" w:rsidRPr="00000CC1" w:rsidRDefault="0096085B" w:rsidP="00DD691F">
            <w:pPr>
              <w:spacing w:before="40" w:line="240" w:lineRule="auto"/>
              <w:jc w:val="center"/>
              <w:rPr>
                <w:rFonts w:ascii="Arial Narrow" w:hAnsi="Arial Narrow" w:cs="Calibri"/>
                <w:color w:val="000000"/>
                <w:sz w:val="18"/>
                <w:szCs w:val="18"/>
              </w:rPr>
            </w:pPr>
            <w:r w:rsidRPr="0096085B">
              <w:rPr>
                <w:rFonts w:ascii="Arial Narrow" w:hAnsi="Arial Narrow" w:cs="Calibri"/>
                <w:color w:val="000000"/>
                <w:sz w:val="18"/>
                <w:szCs w:val="18"/>
              </w:rPr>
              <w:t>-$626,382</w:t>
            </w:r>
          </w:p>
        </w:tc>
        <w:tc>
          <w:tcPr>
            <w:tcW w:w="714" w:type="pct"/>
            <w:tcBorders>
              <w:top w:val="nil"/>
              <w:left w:val="nil"/>
              <w:bottom w:val="single" w:sz="4" w:space="0" w:color="auto"/>
              <w:right w:val="single" w:sz="4" w:space="0" w:color="auto"/>
            </w:tcBorders>
            <w:shd w:val="clear" w:color="auto" w:fill="auto"/>
            <w:vAlign w:val="center"/>
            <w:hideMark/>
          </w:tcPr>
          <w:p w14:paraId="6DBF35B7" w14:textId="545C33F0"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w:t>
            </w:r>
            <w:r w:rsidR="0096085B" w:rsidRPr="0096085B">
              <w:rPr>
                <w:rFonts w:ascii="Arial Narrow" w:hAnsi="Arial Narrow" w:cs="Calibri"/>
                <w:color w:val="000000"/>
                <w:sz w:val="18"/>
                <w:szCs w:val="18"/>
              </w:rPr>
              <w:t>252,764</w:t>
            </w:r>
          </w:p>
        </w:tc>
        <w:tc>
          <w:tcPr>
            <w:tcW w:w="639" w:type="pct"/>
            <w:tcBorders>
              <w:top w:val="nil"/>
              <w:left w:val="nil"/>
              <w:bottom w:val="single" w:sz="4" w:space="0" w:color="auto"/>
              <w:right w:val="single" w:sz="4" w:space="0" w:color="auto"/>
            </w:tcBorders>
            <w:shd w:val="clear" w:color="auto" w:fill="auto"/>
            <w:vAlign w:val="center"/>
            <w:hideMark/>
          </w:tcPr>
          <w:p w14:paraId="5B7CA165" w14:textId="1819BC5A" w:rsidR="00030F2F" w:rsidRPr="00000CC1" w:rsidRDefault="0096085B" w:rsidP="00DD691F">
            <w:pPr>
              <w:spacing w:before="40" w:line="240" w:lineRule="auto"/>
              <w:jc w:val="center"/>
              <w:rPr>
                <w:rFonts w:ascii="Arial Narrow" w:hAnsi="Arial Narrow" w:cs="Calibri"/>
                <w:color w:val="000000"/>
                <w:sz w:val="18"/>
                <w:szCs w:val="18"/>
              </w:rPr>
            </w:pPr>
            <w:r w:rsidRPr="0096085B">
              <w:rPr>
                <w:rFonts w:ascii="Arial Narrow" w:hAnsi="Arial Narrow" w:cs="Calibri"/>
                <w:color w:val="000000"/>
                <w:sz w:val="18"/>
                <w:szCs w:val="18"/>
              </w:rPr>
              <w:t>-$3,827,890</w:t>
            </w:r>
          </w:p>
        </w:tc>
        <w:tc>
          <w:tcPr>
            <w:tcW w:w="695" w:type="pct"/>
            <w:tcBorders>
              <w:top w:val="nil"/>
              <w:left w:val="nil"/>
              <w:bottom w:val="single" w:sz="4" w:space="0" w:color="auto"/>
              <w:right w:val="single" w:sz="4" w:space="0" w:color="auto"/>
            </w:tcBorders>
            <w:shd w:val="clear" w:color="auto" w:fill="auto"/>
            <w:vAlign w:val="center"/>
            <w:hideMark/>
          </w:tcPr>
          <w:p w14:paraId="57487988" w14:textId="09A2D409" w:rsidR="00030F2F" w:rsidRPr="00000CC1" w:rsidRDefault="0096085B" w:rsidP="00DD691F">
            <w:pPr>
              <w:spacing w:before="40" w:line="240" w:lineRule="auto"/>
              <w:jc w:val="center"/>
              <w:rPr>
                <w:rFonts w:ascii="Arial Narrow" w:hAnsi="Arial Narrow" w:cs="Calibri"/>
                <w:color w:val="000000"/>
                <w:sz w:val="18"/>
                <w:szCs w:val="18"/>
              </w:rPr>
            </w:pPr>
            <w:r w:rsidRPr="0096085B">
              <w:rPr>
                <w:rFonts w:ascii="Arial Narrow" w:hAnsi="Arial Narrow" w:cs="Calibri"/>
                <w:color w:val="000000"/>
                <w:sz w:val="18"/>
                <w:szCs w:val="18"/>
              </w:rPr>
              <w:t>-$4,593,468</w:t>
            </w:r>
          </w:p>
        </w:tc>
        <w:tc>
          <w:tcPr>
            <w:tcW w:w="674" w:type="pct"/>
            <w:tcBorders>
              <w:top w:val="nil"/>
              <w:left w:val="nil"/>
              <w:bottom w:val="single" w:sz="4" w:space="0" w:color="auto"/>
              <w:right w:val="single" w:sz="4" w:space="0" w:color="auto"/>
            </w:tcBorders>
            <w:shd w:val="clear" w:color="auto" w:fill="auto"/>
            <w:vAlign w:val="center"/>
            <w:hideMark/>
          </w:tcPr>
          <w:p w14:paraId="126B2815" w14:textId="78BE7D2D" w:rsidR="00030F2F" w:rsidRPr="00000CC1" w:rsidRDefault="0096085B" w:rsidP="00DD691F">
            <w:pPr>
              <w:spacing w:before="40" w:line="240" w:lineRule="auto"/>
              <w:jc w:val="center"/>
              <w:rPr>
                <w:rFonts w:ascii="Arial Narrow" w:hAnsi="Arial Narrow" w:cs="Calibri"/>
                <w:color w:val="000000"/>
                <w:sz w:val="18"/>
                <w:szCs w:val="18"/>
              </w:rPr>
            </w:pPr>
            <w:r w:rsidRPr="0096085B">
              <w:rPr>
                <w:rFonts w:ascii="Arial Narrow" w:hAnsi="Arial Narrow" w:cs="Calibri"/>
                <w:color w:val="000000"/>
                <w:sz w:val="18"/>
                <w:szCs w:val="18"/>
              </w:rPr>
              <w:t>-$5,741,835</w:t>
            </w:r>
          </w:p>
        </w:tc>
      </w:tr>
      <w:tr w:rsidR="00030F2F" w:rsidRPr="00AA705B" w14:paraId="7B826C27" w14:textId="77777777" w:rsidTr="00B3256E">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34A1DB42"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15565 (planning)</w:t>
            </w:r>
          </w:p>
        </w:tc>
        <w:tc>
          <w:tcPr>
            <w:tcW w:w="745" w:type="pct"/>
            <w:tcBorders>
              <w:top w:val="nil"/>
              <w:left w:val="nil"/>
              <w:bottom w:val="single" w:sz="4" w:space="0" w:color="auto"/>
              <w:right w:val="single" w:sz="4" w:space="0" w:color="auto"/>
            </w:tcBorders>
            <w:shd w:val="clear" w:color="auto" w:fill="auto"/>
            <w:vAlign w:val="center"/>
            <w:hideMark/>
          </w:tcPr>
          <w:p w14:paraId="40653EBB" w14:textId="11022D7E"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714" w:type="pct"/>
            <w:tcBorders>
              <w:top w:val="nil"/>
              <w:left w:val="nil"/>
              <w:bottom w:val="single" w:sz="4" w:space="0" w:color="auto"/>
              <w:right w:val="single" w:sz="4" w:space="0" w:color="auto"/>
            </w:tcBorders>
            <w:shd w:val="clear" w:color="auto" w:fill="auto"/>
            <w:vAlign w:val="center"/>
            <w:hideMark/>
          </w:tcPr>
          <w:p w14:paraId="072457EA" w14:textId="2EF4FAEA"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39" w:type="pct"/>
            <w:tcBorders>
              <w:top w:val="nil"/>
              <w:left w:val="nil"/>
              <w:bottom w:val="single" w:sz="4" w:space="0" w:color="auto"/>
              <w:right w:val="single" w:sz="4" w:space="0" w:color="auto"/>
            </w:tcBorders>
            <w:shd w:val="clear" w:color="auto" w:fill="auto"/>
            <w:vAlign w:val="center"/>
            <w:hideMark/>
          </w:tcPr>
          <w:p w14:paraId="184D6688" w14:textId="57449923"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95" w:type="pct"/>
            <w:tcBorders>
              <w:top w:val="nil"/>
              <w:left w:val="nil"/>
              <w:bottom w:val="single" w:sz="4" w:space="0" w:color="auto"/>
              <w:right w:val="single" w:sz="4" w:space="0" w:color="auto"/>
            </w:tcBorders>
            <w:shd w:val="clear" w:color="auto" w:fill="auto"/>
            <w:vAlign w:val="center"/>
            <w:hideMark/>
          </w:tcPr>
          <w:p w14:paraId="6C631D8F" w14:textId="6FDCA05A"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74" w:type="pct"/>
            <w:tcBorders>
              <w:top w:val="nil"/>
              <w:left w:val="nil"/>
              <w:bottom w:val="single" w:sz="4" w:space="0" w:color="auto"/>
              <w:right w:val="single" w:sz="4" w:space="0" w:color="auto"/>
            </w:tcBorders>
            <w:shd w:val="clear" w:color="auto" w:fill="auto"/>
            <w:vAlign w:val="center"/>
            <w:hideMark/>
          </w:tcPr>
          <w:p w14:paraId="3171F2F5" w14:textId="76D5493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r>
      <w:tr w:rsidR="00030F2F" w:rsidRPr="00AA705B" w14:paraId="5C590A15" w14:textId="77777777" w:rsidTr="00B3256E">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557C1B7D"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15555 (simulation)</w:t>
            </w:r>
          </w:p>
        </w:tc>
        <w:tc>
          <w:tcPr>
            <w:tcW w:w="745" w:type="pct"/>
            <w:tcBorders>
              <w:top w:val="nil"/>
              <w:left w:val="nil"/>
              <w:bottom w:val="single" w:sz="4" w:space="0" w:color="auto"/>
              <w:right w:val="single" w:sz="4" w:space="0" w:color="auto"/>
            </w:tcBorders>
            <w:shd w:val="clear" w:color="auto" w:fill="auto"/>
            <w:vAlign w:val="center"/>
            <w:hideMark/>
          </w:tcPr>
          <w:p w14:paraId="1537660D" w14:textId="52B706B4"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714" w:type="pct"/>
            <w:tcBorders>
              <w:top w:val="nil"/>
              <w:left w:val="nil"/>
              <w:bottom w:val="single" w:sz="4" w:space="0" w:color="auto"/>
              <w:right w:val="single" w:sz="4" w:space="0" w:color="auto"/>
            </w:tcBorders>
            <w:shd w:val="clear" w:color="auto" w:fill="auto"/>
            <w:vAlign w:val="center"/>
            <w:hideMark/>
          </w:tcPr>
          <w:p w14:paraId="0952B9D2" w14:textId="6C2C4FAC"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39" w:type="pct"/>
            <w:tcBorders>
              <w:top w:val="nil"/>
              <w:left w:val="nil"/>
              <w:bottom w:val="single" w:sz="4" w:space="0" w:color="auto"/>
              <w:right w:val="single" w:sz="4" w:space="0" w:color="auto"/>
            </w:tcBorders>
            <w:shd w:val="clear" w:color="auto" w:fill="auto"/>
            <w:vAlign w:val="center"/>
            <w:hideMark/>
          </w:tcPr>
          <w:p w14:paraId="45AF7080" w14:textId="4F622AD2"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95" w:type="pct"/>
            <w:tcBorders>
              <w:top w:val="nil"/>
              <w:left w:val="nil"/>
              <w:bottom w:val="single" w:sz="4" w:space="0" w:color="auto"/>
              <w:right w:val="single" w:sz="4" w:space="0" w:color="auto"/>
            </w:tcBorders>
            <w:shd w:val="clear" w:color="auto" w:fill="auto"/>
            <w:vAlign w:val="center"/>
            <w:hideMark/>
          </w:tcPr>
          <w:p w14:paraId="767BB5B7" w14:textId="34ED5F50"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74" w:type="pct"/>
            <w:tcBorders>
              <w:top w:val="nil"/>
              <w:left w:val="nil"/>
              <w:bottom w:val="single" w:sz="4" w:space="0" w:color="auto"/>
              <w:right w:val="single" w:sz="4" w:space="0" w:color="auto"/>
            </w:tcBorders>
            <w:shd w:val="clear" w:color="auto" w:fill="auto"/>
            <w:vAlign w:val="center"/>
            <w:hideMark/>
          </w:tcPr>
          <w:p w14:paraId="02F717CF" w14:textId="4E73A782"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r>
      <w:tr w:rsidR="00030F2F" w:rsidRPr="00AA705B" w14:paraId="1D29C780" w14:textId="77777777" w:rsidTr="00B3256E">
        <w:trPr>
          <w:trHeight w:val="29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5EE4B613"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15275 (fraction)</w:t>
            </w:r>
          </w:p>
        </w:tc>
        <w:tc>
          <w:tcPr>
            <w:tcW w:w="745" w:type="pct"/>
            <w:tcBorders>
              <w:top w:val="nil"/>
              <w:left w:val="nil"/>
              <w:bottom w:val="single" w:sz="4" w:space="0" w:color="auto"/>
              <w:right w:val="single" w:sz="4" w:space="0" w:color="auto"/>
            </w:tcBorders>
            <w:shd w:val="clear" w:color="auto" w:fill="auto"/>
            <w:vAlign w:val="center"/>
            <w:hideMark/>
          </w:tcPr>
          <w:p w14:paraId="0729DDB5" w14:textId="5679DE5D"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-$3,453,091</w:t>
            </w:r>
          </w:p>
        </w:tc>
        <w:tc>
          <w:tcPr>
            <w:tcW w:w="714" w:type="pct"/>
            <w:tcBorders>
              <w:top w:val="nil"/>
              <w:left w:val="nil"/>
              <w:bottom w:val="single" w:sz="4" w:space="0" w:color="auto"/>
              <w:right w:val="single" w:sz="4" w:space="0" w:color="auto"/>
            </w:tcBorders>
            <w:shd w:val="clear" w:color="auto" w:fill="auto"/>
            <w:vAlign w:val="center"/>
            <w:hideMark/>
          </w:tcPr>
          <w:p w14:paraId="6C2B2452" w14:textId="70B2431E"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-$6,906,182</w:t>
            </w:r>
          </w:p>
        </w:tc>
        <w:tc>
          <w:tcPr>
            <w:tcW w:w="639" w:type="pct"/>
            <w:tcBorders>
              <w:top w:val="nil"/>
              <w:left w:val="nil"/>
              <w:bottom w:val="single" w:sz="4" w:space="0" w:color="auto"/>
              <w:right w:val="single" w:sz="4" w:space="0" w:color="auto"/>
            </w:tcBorders>
            <w:shd w:val="clear" w:color="auto" w:fill="auto"/>
            <w:vAlign w:val="center"/>
            <w:hideMark/>
          </w:tcPr>
          <w:p w14:paraId="4E1D4723" w14:textId="1DB37532"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-$21,102,224</w:t>
            </w:r>
          </w:p>
        </w:tc>
        <w:tc>
          <w:tcPr>
            <w:tcW w:w="695" w:type="pct"/>
            <w:tcBorders>
              <w:top w:val="nil"/>
              <w:left w:val="nil"/>
              <w:bottom w:val="single" w:sz="4" w:space="0" w:color="auto"/>
              <w:right w:val="single" w:sz="4" w:space="0" w:color="auto"/>
            </w:tcBorders>
            <w:shd w:val="clear" w:color="auto" w:fill="auto"/>
            <w:vAlign w:val="center"/>
            <w:hideMark/>
          </w:tcPr>
          <w:p w14:paraId="543EF28A" w14:textId="0C033B01"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-$25,322,669</w:t>
            </w:r>
          </w:p>
        </w:tc>
        <w:tc>
          <w:tcPr>
            <w:tcW w:w="674" w:type="pct"/>
            <w:tcBorders>
              <w:top w:val="nil"/>
              <w:left w:val="nil"/>
              <w:bottom w:val="single" w:sz="4" w:space="0" w:color="auto"/>
              <w:right w:val="single" w:sz="4" w:space="0" w:color="auto"/>
            </w:tcBorders>
            <w:shd w:val="clear" w:color="auto" w:fill="auto"/>
            <w:vAlign w:val="center"/>
            <w:hideMark/>
          </w:tcPr>
          <w:p w14:paraId="0DEB7665" w14:textId="2F7C16E1"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-$31,653,336</w:t>
            </w:r>
          </w:p>
        </w:tc>
      </w:tr>
      <w:tr w:rsidR="00030F2F" w:rsidRPr="00AA705B" w14:paraId="41DA2080" w14:textId="77777777" w:rsidTr="00B3256E">
        <w:trPr>
          <w:trHeight w:val="29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66D745ED" w14:textId="77777777" w:rsidR="00030F2F" w:rsidRPr="00291DA7" w:rsidRDefault="00030F2F" w:rsidP="00DD691F">
            <w:pPr>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Financial Implications for the MBS</w:t>
            </w:r>
          </w:p>
        </w:tc>
        <w:tc>
          <w:tcPr>
            <w:tcW w:w="745" w:type="pct"/>
            <w:tcBorders>
              <w:top w:val="nil"/>
              <w:left w:val="nil"/>
              <w:bottom w:val="single" w:sz="4" w:space="0" w:color="auto"/>
              <w:right w:val="single" w:sz="4" w:space="0" w:color="auto"/>
            </w:tcBorders>
            <w:shd w:val="clear" w:color="auto" w:fill="auto"/>
            <w:vAlign w:val="center"/>
            <w:hideMark/>
          </w:tcPr>
          <w:p w14:paraId="6BA2796D" w14:textId="313989B8"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-$4,</w:t>
            </w:r>
            <w:r w:rsidR="0096085B" w:rsidRPr="0096085B">
              <w:rPr>
                <w:rFonts w:ascii="Arial Narrow" w:hAnsi="Arial Narrow" w:cs="Calibri"/>
                <w:b/>
                <w:bCs/>
                <w:color w:val="000000"/>
                <w:sz w:val="18"/>
                <w:szCs w:val="18"/>
              </w:rPr>
              <w:t>079,473</w:t>
            </w:r>
          </w:p>
        </w:tc>
        <w:tc>
          <w:tcPr>
            <w:tcW w:w="714" w:type="pct"/>
            <w:tcBorders>
              <w:top w:val="nil"/>
              <w:left w:val="nil"/>
              <w:bottom w:val="single" w:sz="4" w:space="0" w:color="auto"/>
              <w:right w:val="single" w:sz="4" w:space="0" w:color="auto"/>
            </w:tcBorders>
            <w:shd w:val="clear" w:color="auto" w:fill="auto"/>
            <w:vAlign w:val="center"/>
            <w:hideMark/>
          </w:tcPr>
          <w:p w14:paraId="53192CC1" w14:textId="4C4D44FE"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-$8,</w:t>
            </w:r>
            <w:r w:rsidR="0096085B" w:rsidRPr="0096085B">
              <w:rPr>
                <w:rFonts w:ascii="Arial Narrow" w:hAnsi="Arial Narrow" w:cs="Calibri"/>
                <w:b/>
                <w:bCs/>
                <w:color w:val="000000"/>
                <w:sz w:val="18"/>
                <w:szCs w:val="18"/>
              </w:rPr>
              <w:t>158,946</w:t>
            </w:r>
          </w:p>
        </w:tc>
        <w:tc>
          <w:tcPr>
            <w:tcW w:w="639" w:type="pct"/>
            <w:tcBorders>
              <w:top w:val="nil"/>
              <w:left w:val="nil"/>
              <w:bottom w:val="single" w:sz="4" w:space="0" w:color="auto"/>
              <w:right w:val="single" w:sz="4" w:space="0" w:color="auto"/>
            </w:tcBorders>
            <w:shd w:val="clear" w:color="auto" w:fill="auto"/>
            <w:vAlign w:val="center"/>
            <w:hideMark/>
          </w:tcPr>
          <w:p w14:paraId="07D6C028" w14:textId="3C1085DD" w:rsidR="00030F2F" w:rsidRPr="00000CC1" w:rsidRDefault="0096085B" w:rsidP="00DD691F">
            <w:pPr>
              <w:spacing w:before="40" w:line="240" w:lineRule="auto"/>
              <w:jc w:val="center"/>
              <w:rPr>
                <w:rFonts w:ascii="Arial Narrow" w:hAnsi="Arial Narrow" w:cs="Calibri"/>
                <w:b/>
                <w:bCs/>
                <w:color w:val="000000"/>
                <w:sz w:val="18"/>
                <w:szCs w:val="18"/>
              </w:rPr>
            </w:pPr>
            <w:r w:rsidRPr="0096085B">
              <w:rPr>
                <w:rFonts w:ascii="Arial Narrow" w:hAnsi="Arial Narrow" w:cs="Calibri"/>
                <w:b/>
                <w:bCs/>
                <w:color w:val="000000"/>
                <w:sz w:val="18"/>
                <w:szCs w:val="18"/>
              </w:rPr>
              <w:t>-$24,930,114</w:t>
            </w:r>
          </w:p>
        </w:tc>
        <w:tc>
          <w:tcPr>
            <w:tcW w:w="695" w:type="pct"/>
            <w:tcBorders>
              <w:top w:val="nil"/>
              <w:left w:val="nil"/>
              <w:bottom w:val="single" w:sz="4" w:space="0" w:color="auto"/>
              <w:right w:val="single" w:sz="4" w:space="0" w:color="auto"/>
            </w:tcBorders>
            <w:shd w:val="clear" w:color="auto" w:fill="auto"/>
            <w:vAlign w:val="center"/>
            <w:hideMark/>
          </w:tcPr>
          <w:p w14:paraId="5496826A" w14:textId="60430A63" w:rsidR="00030F2F" w:rsidRPr="00000CC1" w:rsidRDefault="0096085B" w:rsidP="00DD691F">
            <w:pPr>
              <w:spacing w:before="40" w:line="240" w:lineRule="auto"/>
              <w:jc w:val="center"/>
              <w:rPr>
                <w:rFonts w:ascii="Arial Narrow" w:hAnsi="Arial Narrow" w:cs="Calibri"/>
                <w:b/>
                <w:bCs/>
                <w:color w:val="000000"/>
                <w:sz w:val="18"/>
                <w:szCs w:val="18"/>
              </w:rPr>
            </w:pPr>
            <w:r w:rsidRPr="0096085B">
              <w:rPr>
                <w:rFonts w:ascii="Arial Narrow" w:hAnsi="Arial Narrow" w:cs="Calibri"/>
                <w:b/>
                <w:bCs/>
                <w:color w:val="000000"/>
                <w:sz w:val="18"/>
                <w:szCs w:val="18"/>
              </w:rPr>
              <w:t>-$29,916,137</w:t>
            </w:r>
          </w:p>
        </w:tc>
        <w:tc>
          <w:tcPr>
            <w:tcW w:w="674" w:type="pct"/>
            <w:tcBorders>
              <w:top w:val="nil"/>
              <w:left w:val="nil"/>
              <w:bottom w:val="single" w:sz="4" w:space="0" w:color="auto"/>
              <w:right w:val="single" w:sz="4" w:space="0" w:color="auto"/>
            </w:tcBorders>
            <w:shd w:val="clear" w:color="auto" w:fill="auto"/>
            <w:vAlign w:val="center"/>
            <w:hideMark/>
          </w:tcPr>
          <w:p w14:paraId="2D160C14" w14:textId="1AE28A5F" w:rsidR="00030F2F" w:rsidRPr="00000CC1" w:rsidRDefault="0096085B" w:rsidP="00DD691F">
            <w:pPr>
              <w:spacing w:before="40" w:line="240" w:lineRule="auto"/>
              <w:jc w:val="center"/>
              <w:rPr>
                <w:rFonts w:ascii="Arial Narrow" w:hAnsi="Arial Narrow" w:cs="Calibri"/>
                <w:b/>
                <w:bCs/>
                <w:color w:val="000000"/>
                <w:sz w:val="18"/>
                <w:szCs w:val="18"/>
              </w:rPr>
            </w:pPr>
            <w:r w:rsidRPr="0096085B">
              <w:rPr>
                <w:rFonts w:ascii="Arial Narrow" w:hAnsi="Arial Narrow" w:cs="Calibri"/>
                <w:b/>
                <w:bCs/>
                <w:color w:val="000000"/>
                <w:sz w:val="18"/>
                <w:szCs w:val="18"/>
              </w:rPr>
              <w:t>-$37,395,171</w:t>
            </w:r>
          </w:p>
        </w:tc>
      </w:tr>
    </w:tbl>
    <w:p w14:paraId="681DA20B" w14:textId="69F9B406" w:rsidR="00030F2F" w:rsidRDefault="00030F2F" w:rsidP="009D6338">
      <w:pPr>
        <w:pStyle w:val="Tablenotes0"/>
      </w:pPr>
      <w:r>
        <w:t>Abbreviations: EBRT=external beam radiation therapy, MBS=Medical Benefits Schedule</w:t>
      </w:r>
    </w:p>
    <w:p w14:paraId="1734355F" w14:textId="27FB21E1" w:rsidR="00030F2F" w:rsidRDefault="00030F2F" w:rsidP="009D6338">
      <w:pPr>
        <w:pStyle w:val="Caption"/>
        <w:keepNext/>
        <w:ind w:left="1130" w:hanging="1130"/>
        <w:jc w:val="both"/>
      </w:pPr>
      <w:bookmarkStart w:id="752" w:name="_Ref58958409"/>
      <w:bookmarkStart w:id="753" w:name="_Toc89857954"/>
      <w:r>
        <w:lastRenderedPageBreak/>
        <w:t xml:space="preserve">Table </w:t>
      </w:r>
      <w:r w:rsidR="00211285">
        <w:fldChar w:fldCharType="begin"/>
      </w:r>
      <w:r w:rsidR="00211285">
        <w:instrText xml:space="preserve"> SEQ Table \* ARABIC </w:instrText>
      </w:r>
      <w:r w:rsidR="00211285">
        <w:fldChar w:fldCharType="separate"/>
      </w:r>
      <w:r w:rsidR="00451350">
        <w:rPr>
          <w:noProof/>
        </w:rPr>
        <w:t>83</w:t>
      </w:r>
      <w:r w:rsidR="00211285">
        <w:rPr>
          <w:noProof/>
        </w:rPr>
        <w:fldChar w:fldCharType="end"/>
      </w:r>
      <w:bookmarkEnd w:id="752"/>
      <w:r>
        <w:tab/>
        <w:t>Sensitivity analysis: Financial implications for MBS – uptake rate of given pool of initial cancer indications (e.g. prostate and breast) with low average fraction rate (five) increases to 15%, 30%, 45%, 60%, 75% and number of MR-linacs grows to eight, 11, 14 and 17 in years two to five, respectively.</w:t>
      </w:r>
      <w:bookmarkEnd w:id="753"/>
    </w:p>
    <w:tbl>
      <w:tblPr>
        <w:tblStyle w:val="TableGrid1"/>
        <w:tblW w:w="5000" w:type="pct"/>
        <w:tblLook w:val="04A0" w:firstRow="1" w:lastRow="0" w:firstColumn="1" w:lastColumn="0" w:noHBand="0" w:noVBand="1"/>
      </w:tblPr>
      <w:tblGrid>
        <w:gridCol w:w="2765"/>
        <w:gridCol w:w="1344"/>
        <w:gridCol w:w="1287"/>
        <w:gridCol w:w="1152"/>
        <w:gridCol w:w="1253"/>
        <w:gridCol w:w="1215"/>
      </w:tblGrid>
      <w:tr w:rsidR="00030F2F" w:rsidRPr="00AA705B" w14:paraId="386B1739" w14:textId="77777777" w:rsidTr="00A21A7F">
        <w:trPr>
          <w:cnfStyle w:val="100000000000" w:firstRow="1" w:lastRow="0" w:firstColumn="0" w:lastColumn="0" w:oddVBand="0" w:evenVBand="0" w:oddHBand="0" w:evenHBand="0" w:firstRowFirstColumn="0" w:firstRowLastColumn="0" w:lastRowFirstColumn="0" w:lastRowLastColumn="0"/>
          <w:trHeight w:val="290"/>
        </w:trPr>
        <w:tc>
          <w:tcPr>
            <w:tcW w:w="1533" w:type="pct"/>
            <w:shd w:val="clear" w:color="auto" w:fill="auto"/>
            <w:vAlign w:val="center"/>
            <w:hideMark/>
          </w:tcPr>
          <w:p w14:paraId="48F02C44" w14:textId="77777777" w:rsidR="00030F2F" w:rsidRPr="00291DA7" w:rsidRDefault="00030F2F" w:rsidP="009D6338">
            <w:pPr>
              <w:keepNext/>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Item</w:t>
            </w:r>
          </w:p>
        </w:tc>
        <w:tc>
          <w:tcPr>
            <w:tcW w:w="745" w:type="pct"/>
            <w:shd w:val="clear" w:color="auto" w:fill="auto"/>
            <w:vAlign w:val="bottom"/>
            <w:hideMark/>
          </w:tcPr>
          <w:p w14:paraId="40DF13BB" w14:textId="77777777" w:rsidR="00030F2F" w:rsidRPr="00664636" w:rsidRDefault="00030F2F" w:rsidP="009D6338">
            <w:pPr>
              <w:keepNext/>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2021</w:t>
            </w:r>
          </w:p>
        </w:tc>
        <w:tc>
          <w:tcPr>
            <w:tcW w:w="714" w:type="pct"/>
            <w:shd w:val="clear" w:color="auto" w:fill="auto"/>
            <w:vAlign w:val="bottom"/>
            <w:hideMark/>
          </w:tcPr>
          <w:p w14:paraId="4904BD68" w14:textId="77777777" w:rsidR="00030F2F" w:rsidRPr="00664636" w:rsidRDefault="00030F2F" w:rsidP="009D6338">
            <w:pPr>
              <w:keepNext/>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2022</w:t>
            </w:r>
          </w:p>
        </w:tc>
        <w:tc>
          <w:tcPr>
            <w:tcW w:w="639" w:type="pct"/>
            <w:shd w:val="clear" w:color="auto" w:fill="auto"/>
            <w:vAlign w:val="bottom"/>
            <w:hideMark/>
          </w:tcPr>
          <w:p w14:paraId="55E31BC4" w14:textId="77777777" w:rsidR="00030F2F" w:rsidRPr="00664636" w:rsidRDefault="00030F2F" w:rsidP="009D6338">
            <w:pPr>
              <w:keepNext/>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2023</w:t>
            </w:r>
          </w:p>
        </w:tc>
        <w:tc>
          <w:tcPr>
            <w:tcW w:w="695" w:type="pct"/>
            <w:shd w:val="clear" w:color="auto" w:fill="auto"/>
            <w:vAlign w:val="bottom"/>
            <w:hideMark/>
          </w:tcPr>
          <w:p w14:paraId="04AD1801" w14:textId="77777777" w:rsidR="00030F2F" w:rsidRPr="00664636" w:rsidRDefault="00030F2F" w:rsidP="009D6338">
            <w:pPr>
              <w:keepNext/>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2024</w:t>
            </w:r>
          </w:p>
        </w:tc>
        <w:tc>
          <w:tcPr>
            <w:tcW w:w="674" w:type="pct"/>
            <w:shd w:val="clear" w:color="auto" w:fill="auto"/>
            <w:vAlign w:val="bottom"/>
            <w:hideMark/>
          </w:tcPr>
          <w:p w14:paraId="7F7EA41E" w14:textId="77777777" w:rsidR="00030F2F" w:rsidRPr="00664636" w:rsidRDefault="00030F2F" w:rsidP="009D6338">
            <w:pPr>
              <w:keepNext/>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2025</w:t>
            </w:r>
          </w:p>
        </w:tc>
      </w:tr>
      <w:tr w:rsidR="00030F2F" w:rsidRPr="00AA705B" w14:paraId="60671A5B" w14:textId="77777777" w:rsidTr="00B3256E">
        <w:trPr>
          <w:trHeight w:val="290"/>
        </w:trPr>
        <w:tc>
          <w:tcPr>
            <w:tcW w:w="1533" w:type="pct"/>
            <w:shd w:val="clear" w:color="auto" w:fill="auto"/>
            <w:vAlign w:val="center"/>
            <w:hideMark/>
          </w:tcPr>
          <w:p w14:paraId="7F66B727" w14:textId="77777777" w:rsidR="00030F2F" w:rsidRPr="00291DA7" w:rsidRDefault="00030F2F" w:rsidP="009D6338">
            <w:pPr>
              <w:keepNext/>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Fiducial marker placement</w:t>
            </w:r>
          </w:p>
        </w:tc>
        <w:tc>
          <w:tcPr>
            <w:tcW w:w="745" w:type="pct"/>
            <w:shd w:val="clear" w:color="auto" w:fill="auto"/>
            <w:vAlign w:val="center"/>
            <w:hideMark/>
          </w:tcPr>
          <w:p w14:paraId="228D3E05" w14:textId="1119104B" w:rsidR="00030F2F" w:rsidRPr="00664636" w:rsidRDefault="0096085B" w:rsidP="009D6338">
            <w:pPr>
              <w:keepNext/>
              <w:spacing w:before="40" w:line="240" w:lineRule="auto"/>
              <w:jc w:val="center"/>
              <w:rPr>
                <w:rFonts w:ascii="Arial Narrow" w:hAnsi="Arial Narrow" w:cs="Calibri"/>
                <w:color w:val="000000"/>
                <w:sz w:val="18"/>
                <w:szCs w:val="18"/>
              </w:rPr>
            </w:pPr>
            <w:r w:rsidRPr="0096085B">
              <w:rPr>
                <w:rFonts w:ascii="Arial Narrow" w:hAnsi="Arial Narrow" w:cs="Calibri"/>
                <w:color w:val="000000"/>
                <w:sz w:val="18"/>
                <w:szCs w:val="18"/>
              </w:rPr>
              <w:t>-$626,382</w:t>
            </w:r>
          </w:p>
        </w:tc>
        <w:tc>
          <w:tcPr>
            <w:tcW w:w="714" w:type="pct"/>
            <w:shd w:val="clear" w:color="auto" w:fill="auto"/>
            <w:vAlign w:val="center"/>
            <w:hideMark/>
          </w:tcPr>
          <w:p w14:paraId="1F90FA32" w14:textId="5CDBB7AE"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-$1,</w:t>
            </w:r>
            <w:r w:rsidR="0096085B" w:rsidRPr="0096085B">
              <w:rPr>
                <w:rFonts w:ascii="Arial Narrow" w:hAnsi="Arial Narrow" w:cs="Calibri"/>
                <w:color w:val="000000"/>
                <w:sz w:val="18"/>
                <w:szCs w:val="18"/>
              </w:rPr>
              <w:t>670,352</w:t>
            </w:r>
          </w:p>
        </w:tc>
        <w:tc>
          <w:tcPr>
            <w:tcW w:w="639" w:type="pct"/>
            <w:shd w:val="clear" w:color="auto" w:fill="auto"/>
            <w:vAlign w:val="center"/>
            <w:hideMark/>
          </w:tcPr>
          <w:p w14:paraId="17DB025E" w14:textId="6A938323"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-$4,</w:t>
            </w:r>
            <w:r w:rsidR="0096085B" w:rsidRPr="0096085B">
              <w:rPr>
                <w:rFonts w:ascii="Arial Narrow" w:hAnsi="Arial Narrow" w:cs="Calibri"/>
                <w:color w:val="000000"/>
                <w:sz w:val="18"/>
                <w:szCs w:val="18"/>
              </w:rPr>
              <w:t>210,679</w:t>
            </w:r>
          </w:p>
        </w:tc>
        <w:tc>
          <w:tcPr>
            <w:tcW w:w="695" w:type="pct"/>
            <w:shd w:val="clear" w:color="auto" w:fill="auto"/>
            <w:vAlign w:val="center"/>
            <w:hideMark/>
          </w:tcPr>
          <w:p w14:paraId="47F69E73" w14:textId="76F53C67" w:rsidR="00030F2F" w:rsidRPr="00664636" w:rsidRDefault="0096085B" w:rsidP="009D6338">
            <w:pPr>
              <w:keepNext/>
              <w:spacing w:before="40" w:line="240" w:lineRule="auto"/>
              <w:jc w:val="center"/>
              <w:rPr>
                <w:rFonts w:ascii="Arial Narrow" w:hAnsi="Arial Narrow" w:cs="Calibri"/>
                <w:color w:val="000000"/>
                <w:sz w:val="18"/>
                <w:szCs w:val="18"/>
              </w:rPr>
            </w:pPr>
            <w:r w:rsidRPr="0096085B">
              <w:rPr>
                <w:rFonts w:ascii="Arial Narrow" w:hAnsi="Arial Narrow" w:cs="Calibri"/>
                <w:color w:val="000000"/>
                <w:sz w:val="18"/>
                <w:szCs w:val="18"/>
              </w:rPr>
              <w:t>-$5,359,046</w:t>
            </w:r>
          </w:p>
        </w:tc>
        <w:tc>
          <w:tcPr>
            <w:tcW w:w="674" w:type="pct"/>
            <w:shd w:val="clear" w:color="auto" w:fill="auto"/>
            <w:vAlign w:val="center"/>
            <w:hideMark/>
          </w:tcPr>
          <w:p w14:paraId="5B29747F" w14:textId="662F8478" w:rsidR="00030F2F" w:rsidRPr="00664636" w:rsidRDefault="0096085B" w:rsidP="009D6338">
            <w:pPr>
              <w:keepNext/>
              <w:spacing w:before="40" w:line="240" w:lineRule="auto"/>
              <w:jc w:val="center"/>
              <w:rPr>
                <w:rFonts w:ascii="Arial Narrow" w:hAnsi="Arial Narrow" w:cs="Calibri"/>
                <w:color w:val="000000"/>
                <w:sz w:val="18"/>
                <w:szCs w:val="18"/>
              </w:rPr>
            </w:pPr>
            <w:r w:rsidRPr="0096085B">
              <w:rPr>
                <w:rFonts w:ascii="Arial Narrow" w:hAnsi="Arial Narrow" w:cs="Calibri"/>
                <w:color w:val="000000"/>
                <w:sz w:val="18"/>
                <w:szCs w:val="18"/>
              </w:rPr>
              <w:t>-$6,507,413</w:t>
            </w:r>
          </w:p>
        </w:tc>
      </w:tr>
      <w:tr w:rsidR="00030F2F" w:rsidRPr="00AA705B" w14:paraId="5B87433C" w14:textId="77777777" w:rsidTr="00B3256E">
        <w:trPr>
          <w:trHeight w:val="290"/>
        </w:trPr>
        <w:tc>
          <w:tcPr>
            <w:tcW w:w="1533" w:type="pct"/>
            <w:shd w:val="clear" w:color="auto" w:fill="auto"/>
            <w:vAlign w:val="center"/>
            <w:hideMark/>
          </w:tcPr>
          <w:p w14:paraId="6E6AF650" w14:textId="77777777" w:rsidR="00030F2F" w:rsidRPr="00291DA7" w:rsidRDefault="00030F2F" w:rsidP="009D6338">
            <w:pPr>
              <w:keepNext/>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15565 (planning)</w:t>
            </w:r>
          </w:p>
        </w:tc>
        <w:tc>
          <w:tcPr>
            <w:tcW w:w="745" w:type="pct"/>
            <w:shd w:val="clear" w:color="auto" w:fill="auto"/>
            <w:vAlign w:val="center"/>
            <w:hideMark/>
          </w:tcPr>
          <w:p w14:paraId="1878526D" w14:textId="5993E0BD"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c>
          <w:tcPr>
            <w:tcW w:w="714" w:type="pct"/>
            <w:shd w:val="clear" w:color="auto" w:fill="auto"/>
            <w:vAlign w:val="center"/>
            <w:hideMark/>
          </w:tcPr>
          <w:p w14:paraId="5AFEE0B6" w14:textId="38962AF9"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c>
          <w:tcPr>
            <w:tcW w:w="639" w:type="pct"/>
            <w:shd w:val="clear" w:color="auto" w:fill="auto"/>
            <w:vAlign w:val="center"/>
            <w:hideMark/>
          </w:tcPr>
          <w:p w14:paraId="7EFF7A09" w14:textId="0DBEA512"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c>
          <w:tcPr>
            <w:tcW w:w="695" w:type="pct"/>
            <w:shd w:val="clear" w:color="auto" w:fill="auto"/>
            <w:vAlign w:val="center"/>
            <w:hideMark/>
          </w:tcPr>
          <w:p w14:paraId="29F995E5" w14:textId="60BCA9EE"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c>
          <w:tcPr>
            <w:tcW w:w="674" w:type="pct"/>
            <w:shd w:val="clear" w:color="auto" w:fill="auto"/>
            <w:vAlign w:val="center"/>
            <w:hideMark/>
          </w:tcPr>
          <w:p w14:paraId="66F837F3" w14:textId="067D5AE3"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r>
      <w:tr w:rsidR="00030F2F" w:rsidRPr="00AA705B" w14:paraId="07765DAE" w14:textId="77777777" w:rsidTr="00B3256E">
        <w:trPr>
          <w:trHeight w:val="290"/>
        </w:trPr>
        <w:tc>
          <w:tcPr>
            <w:tcW w:w="1533" w:type="pct"/>
            <w:shd w:val="clear" w:color="auto" w:fill="auto"/>
            <w:vAlign w:val="center"/>
            <w:hideMark/>
          </w:tcPr>
          <w:p w14:paraId="6F2B4C74" w14:textId="77777777" w:rsidR="00030F2F" w:rsidRPr="00291DA7" w:rsidRDefault="00030F2F" w:rsidP="009D6338">
            <w:pPr>
              <w:keepNext/>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15555 (simulation)</w:t>
            </w:r>
          </w:p>
        </w:tc>
        <w:tc>
          <w:tcPr>
            <w:tcW w:w="745" w:type="pct"/>
            <w:shd w:val="clear" w:color="auto" w:fill="auto"/>
            <w:vAlign w:val="center"/>
            <w:hideMark/>
          </w:tcPr>
          <w:p w14:paraId="6B21016A" w14:textId="32036D50"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c>
          <w:tcPr>
            <w:tcW w:w="714" w:type="pct"/>
            <w:shd w:val="clear" w:color="auto" w:fill="auto"/>
            <w:vAlign w:val="center"/>
            <w:hideMark/>
          </w:tcPr>
          <w:p w14:paraId="6C402256" w14:textId="4125CDF9"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c>
          <w:tcPr>
            <w:tcW w:w="639" w:type="pct"/>
            <w:shd w:val="clear" w:color="auto" w:fill="auto"/>
            <w:vAlign w:val="center"/>
            <w:hideMark/>
          </w:tcPr>
          <w:p w14:paraId="73722D8F" w14:textId="6D5E5144"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c>
          <w:tcPr>
            <w:tcW w:w="695" w:type="pct"/>
            <w:shd w:val="clear" w:color="auto" w:fill="auto"/>
            <w:vAlign w:val="center"/>
            <w:hideMark/>
          </w:tcPr>
          <w:p w14:paraId="7E4AAB93" w14:textId="51ED322B"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c>
          <w:tcPr>
            <w:tcW w:w="674" w:type="pct"/>
            <w:shd w:val="clear" w:color="auto" w:fill="auto"/>
            <w:vAlign w:val="center"/>
            <w:hideMark/>
          </w:tcPr>
          <w:p w14:paraId="11A52483" w14:textId="0DCD9D04"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$0</w:t>
            </w:r>
          </w:p>
        </w:tc>
      </w:tr>
      <w:tr w:rsidR="00030F2F" w:rsidRPr="00AA705B" w14:paraId="1F8AC888" w14:textId="77777777" w:rsidTr="00B3256E">
        <w:trPr>
          <w:trHeight w:val="290"/>
        </w:trPr>
        <w:tc>
          <w:tcPr>
            <w:tcW w:w="1533" w:type="pct"/>
            <w:shd w:val="clear" w:color="auto" w:fill="auto"/>
            <w:vAlign w:val="center"/>
            <w:hideMark/>
          </w:tcPr>
          <w:p w14:paraId="62F49681" w14:textId="77777777" w:rsidR="00030F2F" w:rsidRPr="00291DA7" w:rsidRDefault="00030F2F" w:rsidP="009D6338">
            <w:pPr>
              <w:keepNext/>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15275 (fraction)</w:t>
            </w:r>
          </w:p>
        </w:tc>
        <w:tc>
          <w:tcPr>
            <w:tcW w:w="745" w:type="pct"/>
            <w:shd w:val="clear" w:color="auto" w:fill="auto"/>
            <w:vAlign w:val="center"/>
            <w:hideMark/>
          </w:tcPr>
          <w:p w14:paraId="5C3EB8D7" w14:textId="2FF6AE01"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-$3,453,091</w:t>
            </w:r>
          </w:p>
        </w:tc>
        <w:tc>
          <w:tcPr>
            <w:tcW w:w="714" w:type="pct"/>
            <w:shd w:val="clear" w:color="auto" w:fill="auto"/>
            <w:vAlign w:val="center"/>
            <w:hideMark/>
          </w:tcPr>
          <w:p w14:paraId="6D45F21C" w14:textId="729C80F8"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-$9,208,243</w:t>
            </w:r>
          </w:p>
        </w:tc>
        <w:tc>
          <w:tcPr>
            <w:tcW w:w="639" w:type="pct"/>
            <w:shd w:val="clear" w:color="auto" w:fill="auto"/>
            <w:vAlign w:val="center"/>
            <w:hideMark/>
          </w:tcPr>
          <w:p w14:paraId="2F660C7E" w14:textId="754FDE64"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-$23,212,446</w:t>
            </w:r>
          </w:p>
        </w:tc>
        <w:tc>
          <w:tcPr>
            <w:tcW w:w="695" w:type="pct"/>
            <w:shd w:val="clear" w:color="auto" w:fill="auto"/>
            <w:vAlign w:val="center"/>
            <w:hideMark/>
          </w:tcPr>
          <w:p w14:paraId="78F9FC09" w14:textId="4FB993E1"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-$29,543,114</w:t>
            </w:r>
          </w:p>
        </w:tc>
        <w:tc>
          <w:tcPr>
            <w:tcW w:w="674" w:type="pct"/>
            <w:shd w:val="clear" w:color="auto" w:fill="auto"/>
            <w:vAlign w:val="center"/>
            <w:hideMark/>
          </w:tcPr>
          <w:p w14:paraId="2946E34D" w14:textId="2A67C79B" w:rsidR="00030F2F" w:rsidRPr="00664636" w:rsidRDefault="00030F2F" w:rsidP="009D6338">
            <w:pPr>
              <w:keepNext/>
              <w:spacing w:before="40" w:line="240" w:lineRule="auto"/>
              <w:jc w:val="center"/>
              <w:rPr>
                <w:rFonts w:ascii="Arial Narrow" w:hAnsi="Arial Narrow" w:cs="Calibri"/>
                <w:color w:val="000000"/>
                <w:sz w:val="18"/>
                <w:szCs w:val="18"/>
              </w:rPr>
            </w:pPr>
            <w:r w:rsidRPr="00664636">
              <w:rPr>
                <w:rFonts w:ascii="Arial Narrow" w:hAnsi="Arial Narrow" w:cs="Calibri"/>
                <w:color w:val="000000"/>
                <w:sz w:val="18"/>
                <w:szCs w:val="18"/>
              </w:rPr>
              <w:t>-$35,873,781</w:t>
            </w:r>
          </w:p>
        </w:tc>
      </w:tr>
      <w:tr w:rsidR="00030F2F" w:rsidRPr="00AA705B" w14:paraId="76E97F3A" w14:textId="77777777" w:rsidTr="00B3256E">
        <w:trPr>
          <w:trHeight w:val="290"/>
        </w:trPr>
        <w:tc>
          <w:tcPr>
            <w:tcW w:w="1533" w:type="pct"/>
            <w:shd w:val="clear" w:color="auto" w:fill="auto"/>
            <w:noWrap/>
            <w:vAlign w:val="bottom"/>
            <w:hideMark/>
          </w:tcPr>
          <w:p w14:paraId="2A3BCECB" w14:textId="77777777" w:rsidR="00030F2F" w:rsidRPr="00291DA7" w:rsidRDefault="00030F2F" w:rsidP="009D6338">
            <w:pPr>
              <w:keepNext/>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Financial Implications for the MBS</w:t>
            </w:r>
          </w:p>
        </w:tc>
        <w:tc>
          <w:tcPr>
            <w:tcW w:w="745" w:type="pct"/>
            <w:shd w:val="clear" w:color="auto" w:fill="auto"/>
            <w:vAlign w:val="center"/>
            <w:hideMark/>
          </w:tcPr>
          <w:p w14:paraId="5378FCDD" w14:textId="31308D25" w:rsidR="00030F2F" w:rsidRPr="00664636" w:rsidRDefault="00030F2F" w:rsidP="009D6338">
            <w:pPr>
              <w:keepNext/>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-$4,</w:t>
            </w:r>
            <w:r w:rsidR="0096085B" w:rsidRPr="0096085B">
              <w:rPr>
                <w:rFonts w:ascii="Arial Narrow" w:hAnsi="Arial Narrow" w:cs="Calibri"/>
                <w:b/>
                <w:bCs/>
                <w:color w:val="000000"/>
                <w:sz w:val="18"/>
                <w:szCs w:val="18"/>
              </w:rPr>
              <w:t>079,473</w:t>
            </w:r>
          </w:p>
        </w:tc>
        <w:tc>
          <w:tcPr>
            <w:tcW w:w="714" w:type="pct"/>
            <w:shd w:val="clear" w:color="auto" w:fill="auto"/>
            <w:vAlign w:val="center"/>
            <w:hideMark/>
          </w:tcPr>
          <w:p w14:paraId="63899030" w14:textId="569A1AB7" w:rsidR="00030F2F" w:rsidRPr="00664636" w:rsidRDefault="0096085B" w:rsidP="009D6338">
            <w:pPr>
              <w:keepNext/>
              <w:spacing w:before="40" w:line="240" w:lineRule="auto"/>
              <w:jc w:val="center"/>
              <w:rPr>
                <w:rFonts w:ascii="Arial Narrow" w:hAnsi="Arial Narrow" w:cs="Calibri"/>
                <w:b/>
                <w:bCs/>
                <w:color w:val="000000"/>
                <w:sz w:val="18"/>
                <w:szCs w:val="18"/>
              </w:rPr>
            </w:pPr>
            <w:r w:rsidRPr="0096085B">
              <w:rPr>
                <w:rFonts w:ascii="Arial Narrow" w:hAnsi="Arial Narrow" w:cs="Calibri"/>
                <w:b/>
                <w:bCs/>
                <w:color w:val="000000"/>
                <w:sz w:val="18"/>
                <w:szCs w:val="18"/>
              </w:rPr>
              <w:t>-$10,878,595</w:t>
            </w:r>
          </w:p>
        </w:tc>
        <w:tc>
          <w:tcPr>
            <w:tcW w:w="639" w:type="pct"/>
            <w:shd w:val="clear" w:color="auto" w:fill="auto"/>
            <w:vAlign w:val="center"/>
            <w:hideMark/>
          </w:tcPr>
          <w:p w14:paraId="2F6D5C7A" w14:textId="1DC4CE29" w:rsidR="00030F2F" w:rsidRPr="00664636" w:rsidRDefault="0096085B" w:rsidP="009D6338">
            <w:pPr>
              <w:keepNext/>
              <w:spacing w:before="40" w:line="240" w:lineRule="auto"/>
              <w:jc w:val="center"/>
              <w:rPr>
                <w:rFonts w:ascii="Arial Narrow" w:hAnsi="Arial Narrow" w:cs="Calibri"/>
                <w:b/>
                <w:bCs/>
                <w:color w:val="000000"/>
                <w:sz w:val="18"/>
                <w:szCs w:val="18"/>
              </w:rPr>
            </w:pPr>
            <w:r w:rsidRPr="0096085B">
              <w:rPr>
                <w:rFonts w:ascii="Arial Narrow" w:hAnsi="Arial Narrow" w:cs="Calibri"/>
                <w:b/>
                <w:bCs/>
                <w:color w:val="000000"/>
                <w:sz w:val="18"/>
                <w:szCs w:val="18"/>
              </w:rPr>
              <w:t>-$27,423,125</w:t>
            </w:r>
          </w:p>
        </w:tc>
        <w:tc>
          <w:tcPr>
            <w:tcW w:w="695" w:type="pct"/>
            <w:shd w:val="clear" w:color="auto" w:fill="auto"/>
            <w:vAlign w:val="center"/>
            <w:hideMark/>
          </w:tcPr>
          <w:p w14:paraId="11818266" w14:textId="1DFD9D63" w:rsidR="00030F2F" w:rsidRPr="00664636" w:rsidRDefault="0096085B" w:rsidP="009D6338">
            <w:pPr>
              <w:keepNext/>
              <w:spacing w:before="40" w:line="240" w:lineRule="auto"/>
              <w:jc w:val="center"/>
              <w:rPr>
                <w:rFonts w:ascii="Arial Narrow" w:hAnsi="Arial Narrow" w:cs="Calibri"/>
                <w:b/>
                <w:bCs/>
                <w:color w:val="000000"/>
                <w:sz w:val="18"/>
                <w:szCs w:val="18"/>
              </w:rPr>
            </w:pPr>
            <w:r w:rsidRPr="0096085B">
              <w:rPr>
                <w:rFonts w:ascii="Arial Narrow" w:hAnsi="Arial Narrow" w:cs="Calibri"/>
                <w:b/>
                <w:bCs/>
                <w:color w:val="000000"/>
                <w:sz w:val="18"/>
                <w:szCs w:val="18"/>
              </w:rPr>
              <w:t>-$34,902,160</w:t>
            </w:r>
          </w:p>
        </w:tc>
        <w:tc>
          <w:tcPr>
            <w:tcW w:w="674" w:type="pct"/>
            <w:shd w:val="clear" w:color="auto" w:fill="auto"/>
            <w:vAlign w:val="center"/>
            <w:hideMark/>
          </w:tcPr>
          <w:p w14:paraId="307440DF" w14:textId="7ADED848" w:rsidR="00030F2F" w:rsidRPr="00664636" w:rsidRDefault="0096085B" w:rsidP="009D6338">
            <w:pPr>
              <w:keepNext/>
              <w:spacing w:before="40" w:line="240" w:lineRule="auto"/>
              <w:jc w:val="center"/>
              <w:rPr>
                <w:rFonts w:ascii="Arial Narrow" w:hAnsi="Arial Narrow" w:cs="Calibri"/>
                <w:b/>
                <w:bCs/>
                <w:color w:val="000000"/>
                <w:sz w:val="18"/>
                <w:szCs w:val="18"/>
              </w:rPr>
            </w:pPr>
            <w:r w:rsidRPr="0096085B">
              <w:rPr>
                <w:rFonts w:ascii="Arial Narrow" w:hAnsi="Arial Narrow" w:cs="Calibri"/>
                <w:b/>
                <w:bCs/>
                <w:color w:val="000000"/>
                <w:sz w:val="18"/>
                <w:szCs w:val="18"/>
              </w:rPr>
              <w:t>-$42,381,194</w:t>
            </w:r>
          </w:p>
        </w:tc>
      </w:tr>
    </w:tbl>
    <w:p w14:paraId="76C2DA90" w14:textId="444720BB" w:rsidR="00030F2F" w:rsidRDefault="00030F2F" w:rsidP="009D6338">
      <w:pPr>
        <w:pStyle w:val="Tablenotes0"/>
      </w:pPr>
      <w:r>
        <w:t>Abbreviations: EBRT=external beam radiation therapy, MBS=Medical Benefits Schedule</w:t>
      </w:r>
    </w:p>
    <w:p w14:paraId="58DC8498" w14:textId="6B68840C" w:rsidR="00030F2F" w:rsidRDefault="00030F2F" w:rsidP="00030F2F">
      <w:pPr>
        <w:pStyle w:val="Caption"/>
        <w:ind w:left="1130" w:hanging="1130"/>
        <w:jc w:val="both"/>
      </w:pPr>
      <w:bookmarkStart w:id="754" w:name="_Toc89857955"/>
      <w:r>
        <w:t xml:space="preserve">Table </w:t>
      </w:r>
      <w:r w:rsidR="00211285">
        <w:fldChar w:fldCharType="begin"/>
      </w:r>
      <w:r w:rsidR="00211285">
        <w:instrText xml:space="preserve"> SEQ Table \* ARABIC </w:instrText>
      </w:r>
      <w:r w:rsidR="00211285">
        <w:fldChar w:fldCharType="separate"/>
      </w:r>
      <w:r w:rsidR="00451350">
        <w:rPr>
          <w:noProof/>
        </w:rPr>
        <w:t>84</w:t>
      </w:r>
      <w:r w:rsidR="00211285">
        <w:rPr>
          <w:noProof/>
        </w:rPr>
        <w:fldChar w:fldCharType="end"/>
      </w:r>
      <w:r>
        <w:tab/>
        <w:t>Sensitivity analysis: Financial implications for MBS – CBCT-IGRT fraction rate reduces to an average of 16 per patient</w:t>
      </w:r>
      <w:bookmarkEnd w:id="754"/>
    </w:p>
    <w:tbl>
      <w:tblPr>
        <w:tblStyle w:val="TableGrid1"/>
        <w:tblW w:w="5000" w:type="pct"/>
        <w:tblLook w:val="04A0" w:firstRow="1" w:lastRow="0" w:firstColumn="1" w:lastColumn="0" w:noHBand="0" w:noVBand="1"/>
      </w:tblPr>
      <w:tblGrid>
        <w:gridCol w:w="2765"/>
        <w:gridCol w:w="1344"/>
        <w:gridCol w:w="1287"/>
        <w:gridCol w:w="1152"/>
        <w:gridCol w:w="1253"/>
        <w:gridCol w:w="1215"/>
      </w:tblGrid>
      <w:tr w:rsidR="00030F2F" w:rsidRPr="00AA705B" w14:paraId="6A573595" w14:textId="77777777" w:rsidTr="00A21A7F">
        <w:trPr>
          <w:cnfStyle w:val="100000000000" w:firstRow="1" w:lastRow="0" w:firstColumn="0" w:lastColumn="0" w:oddVBand="0" w:evenVBand="0" w:oddHBand="0" w:evenHBand="0" w:firstRowFirstColumn="0" w:firstRowLastColumn="0" w:lastRowFirstColumn="0" w:lastRowLastColumn="0"/>
          <w:trHeight w:val="290"/>
        </w:trPr>
        <w:tc>
          <w:tcPr>
            <w:tcW w:w="1533" w:type="pct"/>
            <w:shd w:val="clear" w:color="auto" w:fill="auto"/>
            <w:vAlign w:val="center"/>
            <w:hideMark/>
          </w:tcPr>
          <w:p w14:paraId="1ED7ABC3" w14:textId="77777777" w:rsidR="00030F2F" w:rsidRPr="00291DA7" w:rsidRDefault="00030F2F" w:rsidP="00DD691F">
            <w:pPr>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Item</w:t>
            </w:r>
          </w:p>
        </w:tc>
        <w:tc>
          <w:tcPr>
            <w:tcW w:w="745" w:type="pct"/>
            <w:shd w:val="clear" w:color="auto" w:fill="auto"/>
            <w:vAlign w:val="bottom"/>
            <w:hideMark/>
          </w:tcPr>
          <w:p w14:paraId="52E52AEF"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2021</w:t>
            </w:r>
          </w:p>
        </w:tc>
        <w:tc>
          <w:tcPr>
            <w:tcW w:w="714" w:type="pct"/>
            <w:shd w:val="clear" w:color="auto" w:fill="auto"/>
            <w:vAlign w:val="bottom"/>
            <w:hideMark/>
          </w:tcPr>
          <w:p w14:paraId="3CACFD86"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2022</w:t>
            </w:r>
          </w:p>
        </w:tc>
        <w:tc>
          <w:tcPr>
            <w:tcW w:w="639" w:type="pct"/>
            <w:shd w:val="clear" w:color="auto" w:fill="auto"/>
            <w:vAlign w:val="bottom"/>
            <w:hideMark/>
          </w:tcPr>
          <w:p w14:paraId="5386CA55"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2023</w:t>
            </w:r>
          </w:p>
        </w:tc>
        <w:tc>
          <w:tcPr>
            <w:tcW w:w="695" w:type="pct"/>
            <w:shd w:val="clear" w:color="auto" w:fill="auto"/>
            <w:vAlign w:val="bottom"/>
            <w:hideMark/>
          </w:tcPr>
          <w:p w14:paraId="750CF1BF"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2024</w:t>
            </w:r>
          </w:p>
        </w:tc>
        <w:tc>
          <w:tcPr>
            <w:tcW w:w="674" w:type="pct"/>
            <w:shd w:val="clear" w:color="auto" w:fill="auto"/>
            <w:vAlign w:val="bottom"/>
            <w:hideMark/>
          </w:tcPr>
          <w:p w14:paraId="0CA3288C"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2025</w:t>
            </w:r>
          </w:p>
        </w:tc>
      </w:tr>
      <w:tr w:rsidR="00030F2F" w:rsidRPr="00AA705B" w14:paraId="7F3F6B3A" w14:textId="77777777" w:rsidTr="00B3256E">
        <w:trPr>
          <w:trHeight w:val="290"/>
        </w:trPr>
        <w:tc>
          <w:tcPr>
            <w:tcW w:w="1533" w:type="pct"/>
            <w:shd w:val="clear" w:color="auto" w:fill="auto"/>
            <w:vAlign w:val="center"/>
            <w:hideMark/>
          </w:tcPr>
          <w:p w14:paraId="2EAF9435"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Fiducial marker placement</w:t>
            </w:r>
          </w:p>
        </w:tc>
        <w:tc>
          <w:tcPr>
            <w:tcW w:w="745" w:type="pct"/>
            <w:shd w:val="clear" w:color="auto" w:fill="auto"/>
            <w:vAlign w:val="center"/>
            <w:hideMark/>
          </w:tcPr>
          <w:p w14:paraId="20D5917E" w14:textId="5C466684" w:rsidR="00030F2F" w:rsidRPr="00000CC1" w:rsidRDefault="00F340EB" w:rsidP="00DD691F">
            <w:pPr>
              <w:spacing w:before="40" w:line="240" w:lineRule="auto"/>
              <w:jc w:val="center"/>
              <w:rPr>
                <w:rFonts w:ascii="Arial Narrow" w:hAnsi="Arial Narrow" w:cs="Calibri"/>
                <w:color w:val="000000"/>
                <w:sz w:val="18"/>
                <w:szCs w:val="18"/>
              </w:rPr>
            </w:pPr>
            <w:r w:rsidRPr="00F340EB">
              <w:rPr>
                <w:rFonts w:ascii="Arial Narrow" w:hAnsi="Arial Narrow" w:cs="Calibri"/>
                <w:color w:val="000000"/>
                <w:sz w:val="18"/>
                <w:szCs w:val="18"/>
              </w:rPr>
              <w:t>-$626,382</w:t>
            </w:r>
          </w:p>
        </w:tc>
        <w:tc>
          <w:tcPr>
            <w:tcW w:w="714" w:type="pct"/>
            <w:shd w:val="clear" w:color="auto" w:fill="auto"/>
            <w:vAlign w:val="center"/>
            <w:hideMark/>
          </w:tcPr>
          <w:p w14:paraId="3C3B5941" w14:textId="58A1A0D3"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w:t>
            </w:r>
            <w:r w:rsidR="00F340EB" w:rsidRPr="00F340EB">
              <w:rPr>
                <w:rFonts w:ascii="Arial Narrow" w:hAnsi="Arial Narrow" w:cs="Calibri"/>
                <w:color w:val="000000"/>
                <w:sz w:val="18"/>
                <w:szCs w:val="18"/>
              </w:rPr>
              <w:t>252,764</w:t>
            </w:r>
          </w:p>
        </w:tc>
        <w:tc>
          <w:tcPr>
            <w:tcW w:w="639" w:type="pct"/>
            <w:shd w:val="clear" w:color="auto" w:fill="auto"/>
            <w:vAlign w:val="center"/>
            <w:hideMark/>
          </w:tcPr>
          <w:p w14:paraId="4BDBDB38" w14:textId="60BE8D2E" w:rsidR="00030F2F" w:rsidRPr="00000CC1" w:rsidRDefault="00F340EB" w:rsidP="00DD691F">
            <w:pPr>
              <w:spacing w:before="40" w:line="240" w:lineRule="auto"/>
              <w:jc w:val="center"/>
              <w:rPr>
                <w:rFonts w:ascii="Arial Narrow" w:hAnsi="Arial Narrow" w:cs="Calibri"/>
                <w:color w:val="000000"/>
                <w:sz w:val="18"/>
                <w:szCs w:val="18"/>
              </w:rPr>
            </w:pPr>
            <w:r w:rsidRPr="00F340EB">
              <w:rPr>
                <w:rFonts w:ascii="Arial Narrow" w:hAnsi="Arial Narrow" w:cs="Calibri"/>
                <w:color w:val="000000"/>
                <w:sz w:val="18"/>
                <w:szCs w:val="18"/>
              </w:rPr>
              <w:t>-$3,827,890</w:t>
            </w:r>
          </w:p>
        </w:tc>
        <w:tc>
          <w:tcPr>
            <w:tcW w:w="695" w:type="pct"/>
            <w:shd w:val="clear" w:color="auto" w:fill="auto"/>
            <w:vAlign w:val="center"/>
            <w:hideMark/>
          </w:tcPr>
          <w:p w14:paraId="4C75CD8F" w14:textId="3B1CF582" w:rsidR="00030F2F" w:rsidRPr="00000CC1" w:rsidRDefault="00F340EB" w:rsidP="00DD691F">
            <w:pPr>
              <w:spacing w:before="40" w:line="240" w:lineRule="auto"/>
              <w:jc w:val="center"/>
              <w:rPr>
                <w:rFonts w:ascii="Arial Narrow" w:hAnsi="Arial Narrow" w:cs="Calibri"/>
                <w:color w:val="000000"/>
                <w:sz w:val="18"/>
                <w:szCs w:val="18"/>
              </w:rPr>
            </w:pPr>
            <w:r w:rsidRPr="00F340EB">
              <w:rPr>
                <w:rFonts w:ascii="Arial Narrow" w:hAnsi="Arial Narrow" w:cs="Calibri"/>
                <w:color w:val="000000"/>
                <w:sz w:val="18"/>
                <w:szCs w:val="18"/>
              </w:rPr>
              <w:t>-$3,827,890</w:t>
            </w:r>
          </w:p>
        </w:tc>
        <w:tc>
          <w:tcPr>
            <w:tcW w:w="674" w:type="pct"/>
            <w:shd w:val="clear" w:color="auto" w:fill="auto"/>
            <w:vAlign w:val="center"/>
            <w:hideMark/>
          </w:tcPr>
          <w:p w14:paraId="5E5BB519" w14:textId="58E9D1C2" w:rsidR="00030F2F" w:rsidRPr="00000CC1" w:rsidRDefault="00F340EB" w:rsidP="00DD691F">
            <w:pPr>
              <w:spacing w:before="40" w:line="240" w:lineRule="auto"/>
              <w:jc w:val="center"/>
              <w:rPr>
                <w:rFonts w:ascii="Arial Narrow" w:hAnsi="Arial Narrow" w:cs="Calibri"/>
                <w:color w:val="000000"/>
                <w:sz w:val="18"/>
                <w:szCs w:val="18"/>
              </w:rPr>
            </w:pPr>
            <w:r w:rsidRPr="00F340EB">
              <w:rPr>
                <w:rFonts w:ascii="Arial Narrow" w:hAnsi="Arial Narrow" w:cs="Calibri"/>
                <w:color w:val="000000"/>
                <w:sz w:val="18"/>
                <w:szCs w:val="18"/>
              </w:rPr>
              <w:t>-$3,827,890</w:t>
            </w:r>
          </w:p>
        </w:tc>
      </w:tr>
      <w:tr w:rsidR="00030F2F" w:rsidRPr="00AA705B" w14:paraId="0AB417CE" w14:textId="77777777" w:rsidTr="00B3256E">
        <w:trPr>
          <w:trHeight w:val="290"/>
        </w:trPr>
        <w:tc>
          <w:tcPr>
            <w:tcW w:w="1533" w:type="pct"/>
            <w:shd w:val="clear" w:color="auto" w:fill="auto"/>
            <w:vAlign w:val="center"/>
            <w:hideMark/>
          </w:tcPr>
          <w:p w14:paraId="3F018688"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15565 (planning)</w:t>
            </w:r>
          </w:p>
        </w:tc>
        <w:tc>
          <w:tcPr>
            <w:tcW w:w="745" w:type="pct"/>
            <w:shd w:val="clear" w:color="auto" w:fill="auto"/>
            <w:vAlign w:val="center"/>
            <w:hideMark/>
          </w:tcPr>
          <w:p w14:paraId="3892EFFD"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714" w:type="pct"/>
            <w:shd w:val="clear" w:color="auto" w:fill="auto"/>
            <w:vAlign w:val="center"/>
            <w:hideMark/>
          </w:tcPr>
          <w:p w14:paraId="780D9BEB"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39" w:type="pct"/>
            <w:shd w:val="clear" w:color="auto" w:fill="auto"/>
            <w:vAlign w:val="center"/>
            <w:hideMark/>
          </w:tcPr>
          <w:p w14:paraId="3D236C80"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95" w:type="pct"/>
            <w:shd w:val="clear" w:color="auto" w:fill="auto"/>
            <w:vAlign w:val="center"/>
            <w:hideMark/>
          </w:tcPr>
          <w:p w14:paraId="13063428"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74" w:type="pct"/>
            <w:shd w:val="clear" w:color="auto" w:fill="auto"/>
            <w:vAlign w:val="center"/>
            <w:hideMark/>
          </w:tcPr>
          <w:p w14:paraId="700BAB36"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r>
      <w:tr w:rsidR="00030F2F" w:rsidRPr="00AA705B" w14:paraId="6BF14EB7" w14:textId="77777777" w:rsidTr="00B3256E">
        <w:trPr>
          <w:trHeight w:val="290"/>
        </w:trPr>
        <w:tc>
          <w:tcPr>
            <w:tcW w:w="1533" w:type="pct"/>
            <w:shd w:val="clear" w:color="auto" w:fill="auto"/>
            <w:vAlign w:val="center"/>
            <w:hideMark/>
          </w:tcPr>
          <w:p w14:paraId="3A01DD94"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15555 (simulation)</w:t>
            </w:r>
          </w:p>
        </w:tc>
        <w:tc>
          <w:tcPr>
            <w:tcW w:w="745" w:type="pct"/>
            <w:shd w:val="clear" w:color="auto" w:fill="auto"/>
            <w:vAlign w:val="center"/>
            <w:hideMark/>
          </w:tcPr>
          <w:p w14:paraId="749E42E4"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714" w:type="pct"/>
            <w:shd w:val="clear" w:color="auto" w:fill="auto"/>
            <w:vAlign w:val="center"/>
            <w:hideMark/>
          </w:tcPr>
          <w:p w14:paraId="767913A5"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39" w:type="pct"/>
            <w:shd w:val="clear" w:color="auto" w:fill="auto"/>
            <w:vAlign w:val="center"/>
            <w:hideMark/>
          </w:tcPr>
          <w:p w14:paraId="1DF393A9"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95" w:type="pct"/>
            <w:shd w:val="clear" w:color="auto" w:fill="auto"/>
            <w:vAlign w:val="center"/>
            <w:hideMark/>
          </w:tcPr>
          <w:p w14:paraId="24747178"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c>
          <w:tcPr>
            <w:tcW w:w="674" w:type="pct"/>
            <w:shd w:val="clear" w:color="auto" w:fill="auto"/>
            <w:vAlign w:val="center"/>
            <w:hideMark/>
          </w:tcPr>
          <w:p w14:paraId="2231CF7A"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$0</w:t>
            </w:r>
          </w:p>
        </w:tc>
      </w:tr>
      <w:tr w:rsidR="00030F2F" w:rsidRPr="00AA705B" w14:paraId="0A862347" w14:textId="77777777" w:rsidTr="00B3256E">
        <w:trPr>
          <w:trHeight w:val="290"/>
        </w:trPr>
        <w:tc>
          <w:tcPr>
            <w:tcW w:w="1533" w:type="pct"/>
            <w:shd w:val="clear" w:color="auto" w:fill="auto"/>
            <w:vAlign w:val="center"/>
            <w:hideMark/>
          </w:tcPr>
          <w:p w14:paraId="2365A2B1" w14:textId="77777777" w:rsidR="00030F2F" w:rsidRPr="00291DA7" w:rsidRDefault="00030F2F" w:rsidP="00DD691F">
            <w:pPr>
              <w:spacing w:before="40" w:line="240" w:lineRule="auto"/>
              <w:rPr>
                <w:rFonts w:ascii="Arial Narrow" w:hAnsi="Arial Narrow" w:cs="Calibri"/>
                <w:color w:val="000000"/>
                <w:sz w:val="18"/>
                <w:szCs w:val="18"/>
              </w:rPr>
            </w:pPr>
            <w:r w:rsidRPr="00291DA7">
              <w:rPr>
                <w:rFonts w:ascii="Arial Narrow" w:hAnsi="Arial Narrow" w:cs="Calibri"/>
                <w:color w:val="000000"/>
                <w:sz w:val="18"/>
                <w:szCs w:val="18"/>
              </w:rPr>
              <w:t>MBS item 15275 (fraction)</w:t>
            </w:r>
          </w:p>
        </w:tc>
        <w:tc>
          <w:tcPr>
            <w:tcW w:w="745" w:type="pct"/>
            <w:shd w:val="clear" w:color="auto" w:fill="auto"/>
            <w:vAlign w:val="center"/>
            <w:hideMark/>
          </w:tcPr>
          <w:p w14:paraId="0D1F1C79"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-$2,921,846</w:t>
            </w:r>
          </w:p>
        </w:tc>
        <w:tc>
          <w:tcPr>
            <w:tcW w:w="714" w:type="pct"/>
            <w:shd w:val="clear" w:color="auto" w:fill="auto"/>
            <w:vAlign w:val="center"/>
            <w:hideMark/>
          </w:tcPr>
          <w:p w14:paraId="7D93FBF6"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-$5,843,693</w:t>
            </w:r>
          </w:p>
        </w:tc>
        <w:tc>
          <w:tcPr>
            <w:tcW w:w="639" w:type="pct"/>
            <w:shd w:val="clear" w:color="auto" w:fill="auto"/>
            <w:vAlign w:val="center"/>
            <w:hideMark/>
          </w:tcPr>
          <w:p w14:paraId="3135FA70"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-$17,855,728</w:t>
            </w:r>
          </w:p>
        </w:tc>
        <w:tc>
          <w:tcPr>
            <w:tcW w:w="695" w:type="pct"/>
            <w:shd w:val="clear" w:color="auto" w:fill="auto"/>
            <w:vAlign w:val="center"/>
            <w:hideMark/>
          </w:tcPr>
          <w:p w14:paraId="7ED56E14"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-$17,855,728</w:t>
            </w:r>
          </w:p>
        </w:tc>
        <w:tc>
          <w:tcPr>
            <w:tcW w:w="674" w:type="pct"/>
            <w:shd w:val="clear" w:color="auto" w:fill="auto"/>
            <w:vAlign w:val="center"/>
            <w:hideMark/>
          </w:tcPr>
          <w:p w14:paraId="5CECFBD6" w14:textId="77777777" w:rsidR="00030F2F" w:rsidRPr="00000CC1" w:rsidRDefault="00030F2F" w:rsidP="00DD691F">
            <w:pPr>
              <w:spacing w:before="40" w:line="240" w:lineRule="auto"/>
              <w:jc w:val="center"/>
              <w:rPr>
                <w:rFonts w:ascii="Arial Narrow" w:hAnsi="Arial Narrow" w:cs="Calibri"/>
                <w:color w:val="000000"/>
                <w:sz w:val="18"/>
                <w:szCs w:val="18"/>
              </w:rPr>
            </w:pPr>
            <w:r w:rsidRPr="00000CC1">
              <w:rPr>
                <w:rFonts w:ascii="Arial Narrow" w:hAnsi="Arial Narrow" w:cs="Calibri"/>
                <w:color w:val="000000"/>
                <w:sz w:val="18"/>
                <w:szCs w:val="18"/>
              </w:rPr>
              <w:t>-$17,855,728</w:t>
            </w:r>
          </w:p>
        </w:tc>
      </w:tr>
      <w:tr w:rsidR="00030F2F" w:rsidRPr="00AA705B" w14:paraId="43BEB1B5" w14:textId="77777777" w:rsidTr="00B3256E">
        <w:trPr>
          <w:trHeight w:val="290"/>
        </w:trPr>
        <w:tc>
          <w:tcPr>
            <w:tcW w:w="1533" w:type="pct"/>
            <w:shd w:val="clear" w:color="auto" w:fill="auto"/>
            <w:noWrap/>
            <w:vAlign w:val="bottom"/>
            <w:hideMark/>
          </w:tcPr>
          <w:p w14:paraId="570408CC" w14:textId="77777777" w:rsidR="00030F2F" w:rsidRPr="00291DA7" w:rsidRDefault="00030F2F" w:rsidP="00DD691F">
            <w:pPr>
              <w:spacing w:before="40" w:line="240" w:lineRule="auto"/>
              <w:rPr>
                <w:rFonts w:ascii="Arial Narrow" w:hAnsi="Arial Narrow" w:cs="Calibri"/>
                <w:b/>
                <w:bCs/>
                <w:color w:val="000000"/>
                <w:sz w:val="18"/>
                <w:szCs w:val="18"/>
              </w:rPr>
            </w:pPr>
            <w:r w:rsidRPr="00291DA7">
              <w:rPr>
                <w:rFonts w:ascii="Arial Narrow" w:hAnsi="Arial Narrow" w:cs="Calibri"/>
                <w:b/>
                <w:bCs/>
                <w:color w:val="000000"/>
                <w:sz w:val="18"/>
                <w:szCs w:val="18"/>
              </w:rPr>
              <w:t>Financial Implications for the MBS</w:t>
            </w:r>
          </w:p>
        </w:tc>
        <w:tc>
          <w:tcPr>
            <w:tcW w:w="745" w:type="pct"/>
            <w:shd w:val="clear" w:color="auto" w:fill="auto"/>
            <w:vAlign w:val="center"/>
            <w:hideMark/>
          </w:tcPr>
          <w:p w14:paraId="50D2682E" w14:textId="3A0EB980"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-$3,</w:t>
            </w:r>
            <w:r w:rsidR="00F340EB" w:rsidRPr="00F340EB">
              <w:rPr>
                <w:rFonts w:ascii="Arial Narrow" w:hAnsi="Arial Narrow" w:cs="Calibri"/>
                <w:b/>
                <w:bCs/>
                <w:color w:val="000000"/>
                <w:sz w:val="18"/>
                <w:szCs w:val="18"/>
              </w:rPr>
              <w:t>548,228</w:t>
            </w:r>
          </w:p>
        </w:tc>
        <w:tc>
          <w:tcPr>
            <w:tcW w:w="714" w:type="pct"/>
            <w:shd w:val="clear" w:color="auto" w:fill="auto"/>
            <w:vAlign w:val="center"/>
            <w:hideMark/>
          </w:tcPr>
          <w:p w14:paraId="32F38008" w14:textId="3030F9E0" w:rsidR="00030F2F" w:rsidRPr="00000CC1" w:rsidRDefault="00030F2F" w:rsidP="00DD691F">
            <w:pPr>
              <w:spacing w:before="40" w:line="240" w:lineRule="auto"/>
              <w:jc w:val="center"/>
              <w:rPr>
                <w:rFonts w:ascii="Arial Narrow" w:hAnsi="Arial Narrow" w:cs="Calibri"/>
                <w:b/>
                <w:bCs/>
                <w:color w:val="000000"/>
                <w:sz w:val="18"/>
                <w:szCs w:val="18"/>
              </w:rPr>
            </w:pPr>
            <w:r w:rsidRPr="00000CC1">
              <w:rPr>
                <w:rFonts w:ascii="Arial Narrow" w:hAnsi="Arial Narrow" w:cs="Calibri"/>
                <w:b/>
                <w:bCs/>
                <w:color w:val="000000"/>
                <w:sz w:val="18"/>
                <w:szCs w:val="18"/>
              </w:rPr>
              <w:t>-$7,</w:t>
            </w:r>
            <w:r w:rsidR="00F340EB" w:rsidRPr="00F340EB">
              <w:rPr>
                <w:rFonts w:ascii="Arial Narrow" w:hAnsi="Arial Narrow" w:cs="Calibri"/>
                <w:b/>
                <w:bCs/>
                <w:color w:val="000000"/>
                <w:sz w:val="18"/>
                <w:szCs w:val="18"/>
              </w:rPr>
              <w:t>096,457</w:t>
            </w:r>
          </w:p>
        </w:tc>
        <w:tc>
          <w:tcPr>
            <w:tcW w:w="639" w:type="pct"/>
            <w:shd w:val="clear" w:color="auto" w:fill="auto"/>
            <w:vAlign w:val="center"/>
            <w:hideMark/>
          </w:tcPr>
          <w:p w14:paraId="42838C25" w14:textId="23B21470" w:rsidR="00030F2F" w:rsidRPr="00000CC1" w:rsidRDefault="00F340EB" w:rsidP="00DD691F">
            <w:pPr>
              <w:spacing w:before="40" w:line="240" w:lineRule="auto"/>
              <w:jc w:val="center"/>
              <w:rPr>
                <w:rFonts w:ascii="Arial Narrow" w:hAnsi="Arial Narrow" w:cs="Calibri"/>
                <w:b/>
                <w:bCs/>
                <w:color w:val="000000"/>
                <w:sz w:val="18"/>
                <w:szCs w:val="18"/>
              </w:rPr>
            </w:pPr>
            <w:r w:rsidRPr="00F340EB">
              <w:rPr>
                <w:rFonts w:ascii="Arial Narrow" w:hAnsi="Arial Narrow" w:cs="Calibri"/>
                <w:b/>
                <w:bCs/>
                <w:color w:val="000000"/>
                <w:sz w:val="18"/>
                <w:szCs w:val="18"/>
              </w:rPr>
              <w:t>-$21,683,618</w:t>
            </w:r>
          </w:p>
        </w:tc>
        <w:tc>
          <w:tcPr>
            <w:tcW w:w="695" w:type="pct"/>
            <w:shd w:val="clear" w:color="auto" w:fill="auto"/>
            <w:vAlign w:val="center"/>
            <w:hideMark/>
          </w:tcPr>
          <w:p w14:paraId="4BA44E18" w14:textId="464FFD2C" w:rsidR="00030F2F" w:rsidRPr="00000CC1" w:rsidRDefault="00F340EB" w:rsidP="00DD691F">
            <w:pPr>
              <w:spacing w:before="40" w:line="240" w:lineRule="auto"/>
              <w:jc w:val="center"/>
              <w:rPr>
                <w:rFonts w:ascii="Arial Narrow" w:hAnsi="Arial Narrow" w:cs="Calibri"/>
                <w:b/>
                <w:bCs/>
                <w:color w:val="000000"/>
                <w:sz w:val="18"/>
                <w:szCs w:val="18"/>
              </w:rPr>
            </w:pPr>
            <w:r w:rsidRPr="00F340EB">
              <w:rPr>
                <w:rFonts w:ascii="Arial Narrow" w:hAnsi="Arial Narrow" w:cs="Calibri"/>
                <w:b/>
                <w:bCs/>
                <w:color w:val="000000"/>
                <w:sz w:val="18"/>
                <w:szCs w:val="18"/>
              </w:rPr>
              <w:t>-$21,683,618</w:t>
            </w:r>
          </w:p>
        </w:tc>
        <w:tc>
          <w:tcPr>
            <w:tcW w:w="674" w:type="pct"/>
            <w:shd w:val="clear" w:color="auto" w:fill="auto"/>
            <w:vAlign w:val="center"/>
            <w:hideMark/>
          </w:tcPr>
          <w:p w14:paraId="7954C2B6" w14:textId="59C45763" w:rsidR="00030F2F" w:rsidRPr="00000CC1" w:rsidRDefault="00F340EB" w:rsidP="00DD691F">
            <w:pPr>
              <w:spacing w:before="40" w:line="240" w:lineRule="auto"/>
              <w:jc w:val="center"/>
              <w:rPr>
                <w:rFonts w:ascii="Arial Narrow" w:hAnsi="Arial Narrow" w:cs="Calibri"/>
                <w:b/>
                <w:bCs/>
                <w:color w:val="000000"/>
                <w:sz w:val="18"/>
                <w:szCs w:val="18"/>
              </w:rPr>
            </w:pPr>
            <w:r w:rsidRPr="00F340EB">
              <w:rPr>
                <w:rFonts w:ascii="Arial Narrow" w:hAnsi="Arial Narrow" w:cs="Calibri"/>
                <w:b/>
                <w:bCs/>
                <w:color w:val="000000"/>
                <w:sz w:val="18"/>
                <w:szCs w:val="18"/>
              </w:rPr>
              <w:t>-$21,683,618</w:t>
            </w:r>
          </w:p>
        </w:tc>
      </w:tr>
    </w:tbl>
    <w:p w14:paraId="05B454AF" w14:textId="6B7492FB" w:rsidR="00030F2F" w:rsidRDefault="00030F2F" w:rsidP="009D6338">
      <w:pPr>
        <w:pStyle w:val="Tablenotes0"/>
      </w:pPr>
      <w:r>
        <w:t>Abbreviations: EBRT=external beam radiation therapy, MBS=Medical Benefits Schedule</w:t>
      </w:r>
    </w:p>
    <w:p w14:paraId="079BF5AB" w14:textId="526A425B" w:rsidR="00030F2F" w:rsidRDefault="00030F2F" w:rsidP="00030F2F">
      <w:pPr>
        <w:pStyle w:val="Caption"/>
        <w:ind w:left="1130" w:hanging="1130"/>
        <w:jc w:val="both"/>
      </w:pPr>
      <w:bookmarkStart w:id="755" w:name="_Ref58958535"/>
      <w:bookmarkStart w:id="756" w:name="_Toc89857956"/>
      <w:r>
        <w:t xml:space="preserve">Table </w:t>
      </w:r>
      <w:r w:rsidR="00211285">
        <w:fldChar w:fldCharType="begin"/>
      </w:r>
      <w:r w:rsidR="00211285">
        <w:instrText xml:space="preserve"> SEQ Table \* ARABIC </w:instrText>
      </w:r>
      <w:r w:rsidR="00211285">
        <w:fldChar w:fldCharType="separate"/>
      </w:r>
      <w:r w:rsidR="00451350">
        <w:rPr>
          <w:noProof/>
        </w:rPr>
        <w:t>85</w:t>
      </w:r>
      <w:r w:rsidR="00211285">
        <w:rPr>
          <w:noProof/>
        </w:rPr>
        <w:fldChar w:fldCharType="end"/>
      </w:r>
      <w:bookmarkEnd w:id="755"/>
      <w:r>
        <w:tab/>
        <w:t>Sensitivity analysis: Financial implications for MBS – no fraction reduction, fiducial market cost-offset only</w:t>
      </w:r>
      <w:bookmarkEnd w:id="756"/>
    </w:p>
    <w:tbl>
      <w:tblPr>
        <w:tblStyle w:val="TableGrid1"/>
        <w:tblW w:w="5000" w:type="pct"/>
        <w:tblLook w:val="04A0" w:firstRow="1" w:lastRow="0" w:firstColumn="1" w:lastColumn="0" w:noHBand="0" w:noVBand="1"/>
      </w:tblPr>
      <w:tblGrid>
        <w:gridCol w:w="2765"/>
        <w:gridCol w:w="1344"/>
        <w:gridCol w:w="1287"/>
        <w:gridCol w:w="1152"/>
        <w:gridCol w:w="1253"/>
        <w:gridCol w:w="1215"/>
      </w:tblGrid>
      <w:tr w:rsidR="00030F2F" w:rsidRPr="00AA705B" w14:paraId="2415F66E" w14:textId="77777777" w:rsidTr="00DD691F">
        <w:trPr>
          <w:cnfStyle w:val="100000000000" w:firstRow="1" w:lastRow="0" w:firstColumn="0" w:lastColumn="0" w:oddVBand="0" w:evenVBand="0" w:oddHBand="0" w:evenHBand="0" w:firstRowFirstColumn="0" w:firstRowLastColumn="0" w:lastRowFirstColumn="0" w:lastRowLastColumn="0"/>
          <w:trHeight w:val="290"/>
          <w:tblHeader/>
        </w:trPr>
        <w:tc>
          <w:tcPr>
            <w:tcW w:w="1533" w:type="pct"/>
            <w:shd w:val="clear" w:color="auto" w:fill="auto"/>
            <w:vAlign w:val="center"/>
            <w:hideMark/>
          </w:tcPr>
          <w:p w14:paraId="052C42C5" w14:textId="77777777" w:rsidR="00030F2F" w:rsidRPr="00664636" w:rsidRDefault="00030F2F" w:rsidP="00DD691F">
            <w:pPr>
              <w:spacing w:before="40" w:line="240" w:lineRule="auto"/>
              <w:rPr>
                <w:rFonts w:ascii="Arial Narrow" w:hAnsi="Arial Narrow" w:cs="Calibri"/>
                <w:b/>
                <w:bCs/>
                <w:color w:val="000000"/>
                <w:sz w:val="18"/>
                <w:szCs w:val="18"/>
              </w:rPr>
            </w:pPr>
            <w:r w:rsidRPr="00664636">
              <w:rPr>
                <w:rFonts w:ascii="Arial Narrow" w:hAnsi="Arial Narrow" w:cs="Calibri"/>
                <w:b/>
                <w:bCs/>
                <w:color w:val="000000"/>
                <w:sz w:val="18"/>
                <w:szCs w:val="18"/>
              </w:rPr>
              <w:t>Item</w:t>
            </w:r>
          </w:p>
        </w:tc>
        <w:tc>
          <w:tcPr>
            <w:tcW w:w="745" w:type="pct"/>
            <w:shd w:val="clear" w:color="auto" w:fill="auto"/>
            <w:vAlign w:val="bottom"/>
            <w:hideMark/>
          </w:tcPr>
          <w:p w14:paraId="0E0A2209"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2021</w:t>
            </w:r>
          </w:p>
        </w:tc>
        <w:tc>
          <w:tcPr>
            <w:tcW w:w="714" w:type="pct"/>
            <w:shd w:val="clear" w:color="auto" w:fill="auto"/>
            <w:vAlign w:val="bottom"/>
            <w:hideMark/>
          </w:tcPr>
          <w:p w14:paraId="35C87C07"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2022</w:t>
            </w:r>
          </w:p>
        </w:tc>
        <w:tc>
          <w:tcPr>
            <w:tcW w:w="639" w:type="pct"/>
            <w:shd w:val="clear" w:color="auto" w:fill="auto"/>
            <w:vAlign w:val="bottom"/>
            <w:hideMark/>
          </w:tcPr>
          <w:p w14:paraId="674ADA54"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2023</w:t>
            </w:r>
          </w:p>
        </w:tc>
        <w:tc>
          <w:tcPr>
            <w:tcW w:w="695" w:type="pct"/>
            <w:shd w:val="clear" w:color="auto" w:fill="auto"/>
            <w:vAlign w:val="bottom"/>
            <w:hideMark/>
          </w:tcPr>
          <w:p w14:paraId="3DA6B4CA"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2024</w:t>
            </w:r>
          </w:p>
        </w:tc>
        <w:tc>
          <w:tcPr>
            <w:tcW w:w="674" w:type="pct"/>
            <w:shd w:val="clear" w:color="auto" w:fill="auto"/>
            <w:vAlign w:val="bottom"/>
            <w:hideMark/>
          </w:tcPr>
          <w:p w14:paraId="3F726EEB" w14:textId="77777777" w:rsidR="00030F2F" w:rsidRPr="00664636" w:rsidRDefault="00030F2F" w:rsidP="00DD691F">
            <w:pPr>
              <w:spacing w:before="40" w:line="240" w:lineRule="auto"/>
              <w:jc w:val="center"/>
              <w:rPr>
                <w:rFonts w:ascii="Arial Narrow" w:hAnsi="Arial Narrow" w:cs="Calibri"/>
                <w:b/>
                <w:bCs/>
                <w:color w:val="000000"/>
                <w:sz w:val="18"/>
                <w:szCs w:val="18"/>
              </w:rPr>
            </w:pPr>
            <w:r w:rsidRPr="00664636">
              <w:rPr>
                <w:rFonts w:ascii="Arial Narrow" w:hAnsi="Arial Narrow" w:cs="Calibri"/>
                <w:b/>
                <w:bCs/>
                <w:color w:val="000000"/>
                <w:sz w:val="18"/>
                <w:szCs w:val="18"/>
              </w:rPr>
              <w:t>2025</w:t>
            </w:r>
          </w:p>
        </w:tc>
      </w:tr>
      <w:tr w:rsidR="00030F2F" w:rsidRPr="00AA705B" w14:paraId="35E1F76E" w14:textId="77777777" w:rsidTr="00B3256E">
        <w:trPr>
          <w:trHeight w:val="290"/>
        </w:trPr>
        <w:tc>
          <w:tcPr>
            <w:tcW w:w="1533" w:type="pct"/>
            <w:shd w:val="clear" w:color="auto" w:fill="auto"/>
            <w:vAlign w:val="center"/>
            <w:hideMark/>
          </w:tcPr>
          <w:p w14:paraId="799B9141" w14:textId="77777777" w:rsidR="00030F2F" w:rsidRPr="00664636" w:rsidRDefault="00030F2F" w:rsidP="00DD691F">
            <w:pPr>
              <w:spacing w:before="40" w:line="240" w:lineRule="auto"/>
              <w:rPr>
                <w:rFonts w:ascii="Arial Narrow" w:hAnsi="Arial Narrow" w:cs="Calibri"/>
                <w:color w:val="000000"/>
                <w:sz w:val="18"/>
                <w:szCs w:val="18"/>
              </w:rPr>
            </w:pPr>
            <w:r w:rsidRPr="00664636">
              <w:rPr>
                <w:rFonts w:ascii="Arial Narrow" w:hAnsi="Arial Narrow" w:cs="Calibri"/>
                <w:color w:val="000000"/>
                <w:sz w:val="18"/>
                <w:szCs w:val="18"/>
              </w:rPr>
              <w:t>Fiducial marker placement</w:t>
            </w:r>
          </w:p>
        </w:tc>
        <w:tc>
          <w:tcPr>
            <w:tcW w:w="745" w:type="pct"/>
            <w:shd w:val="clear" w:color="auto" w:fill="auto"/>
            <w:vAlign w:val="center"/>
            <w:hideMark/>
          </w:tcPr>
          <w:p w14:paraId="60206CC3" w14:textId="02CA4456" w:rsidR="00030F2F" w:rsidRPr="00664636" w:rsidRDefault="00F340EB"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-$173,617</w:t>
            </w:r>
          </w:p>
        </w:tc>
        <w:tc>
          <w:tcPr>
            <w:tcW w:w="714" w:type="pct"/>
            <w:shd w:val="clear" w:color="auto" w:fill="auto"/>
            <w:vAlign w:val="center"/>
            <w:hideMark/>
          </w:tcPr>
          <w:p w14:paraId="56F9624F" w14:textId="02CF0E99" w:rsidR="00030F2F" w:rsidRPr="00664636" w:rsidRDefault="00F340EB"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-$347,234</w:t>
            </w:r>
          </w:p>
        </w:tc>
        <w:tc>
          <w:tcPr>
            <w:tcW w:w="639" w:type="pct"/>
            <w:shd w:val="clear" w:color="auto" w:fill="auto"/>
            <w:vAlign w:val="center"/>
            <w:hideMark/>
          </w:tcPr>
          <w:p w14:paraId="383D5900" w14:textId="432ADF01"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-$1,</w:t>
            </w:r>
            <w:r w:rsidR="00F340EB">
              <w:rPr>
                <w:rFonts w:ascii="Arial Narrow" w:hAnsi="Arial Narrow" w:cs="Calibri"/>
                <w:color w:val="000000"/>
                <w:sz w:val="20"/>
                <w:szCs w:val="20"/>
              </w:rPr>
              <w:t>062,883</w:t>
            </w:r>
          </w:p>
        </w:tc>
        <w:tc>
          <w:tcPr>
            <w:tcW w:w="695" w:type="pct"/>
            <w:shd w:val="clear" w:color="auto" w:fill="auto"/>
            <w:vAlign w:val="center"/>
            <w:hideMark/>
          </w:tcPr>
          <w:p w14:paraId="248C28D9" w14:textId="22A9419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-$1,</w:t>
            </w:r>
            <w:r w:rsidR="00F340EB">
              <w:rPr>
                <w:rFonts w:ascii="Arial Narrow" w:hAnsi="Arial Narrow" w:cs="Calibri"/>
                <w:color w:val="000000"/>
                <w:sz w:val="20"/>
                <w:szCs w:val="20"/>
              </w:rPr>
              <w:t>062,883</w:t>
            </w:r>
          </w:p>
        </w:tc>
        <w:tc>
          <w:tcPr>
            <w:tcW w:w="674" w:type="pct"/>
            <w:shd w:val="clear" w:color="auto" w:fill="auto"/>
            <w:vAlign w:val="center"/>
            <w:hideMark/>
          </w:tcPr>
          <w:p w14:paraId="3007CA20" w14:textId="609B77CC"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-$1,</w:t>
            </w:r>
            <w:r w:rsidR="00F340EB">
              <w:rPr>
                <w:rFonts w:ascii="Arial Narrow" w:hAnsi="Arial Narrow" w:cs="Calibri"/>
                <w:color w:val="000000"/>
                <w:sz w:val="20"/>
                <w:szCs w:val="20"/>
              </w:rPr>
              <w:t>062,883</w:t>
            </w:r>
          </w:p>
        </w:tc>
      </w:tr>
      <w:tr w:rsidR="00030F2F" w:rsidRPr="00AA705B" w14:paraId="7F745F83" w14:textId="77777777" w:rsidTr="00B3256E">
        <w:trPr>
          <w:trHeight w:val="290"/>
        </w:trPr>
        <w:tc>
          <w:tcPr>
            <w:tcW w:w="1533" w:type="pct"/>
            <w:shd w:val="clear" w:color="auto" w:fill="auto"/>
            <w:vAlign w:val="center"/>
            <w:hideMark/>
          </w:tcPr>
          <w:p w14:paraId="38DE0D94" w14:textId="77777777" w:rsidR="00030F2F" w:rsidRPr="00664636" w:rsidRDefault="00030F2F" w:rsidP="00DD691F">
            <w:pPr>
              <w:spacing w:before="40" w:line="240" w:lineRule="auto"/>
              <w:rPr>
                <w:rFonts w:ascii="Arial Narrow" w:hAnsi="Arial Narrow" w:cs="Calibri"/>
                <w:color w:val="000000"/>
                <w:sz w:val="18"/>
                <w:szCs w:val="18"/>
              </w:rPr>
            </w:pPr>
            <w:r w:rsidRPr="00664636">
              <w:rPr>
                <w:rFonts w:ascii="Arial Narrow" w:hAnsi="Arial Narrow" w:cs="Calibri"/>
                <w:color w:val="000000"/>
                <w:sz w:val="18"/>
                <w:szCs w:val="18"/>
              </w:rPr>
              <w:t>MBS item 15565 (planning)</w:t>
            </w:r>
          </w:p>
        </w:tc>
        <w:tc>
          <w:tcPr>
            <w:tcW w:w="745" w:type="pct"/>
            <w:shd w:val="clear" w:color="auto" w:fill="auto"/>
            <w:vAlign w:val="center"/>
            <w:hideMark/>
          </w:tcPr>
          <w:p w14:paraId="39BBBFB5"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714" w:type="pct"/>
            <w:shd w:val="clear" w:color="auto" w:fill="auto"/>
            <w:vAlign w:val="center"/>
            <w:hideMark/>
          </w:tcPr>
          <w:p w14:paraId="72B64D88"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39" w:type="pct"/>
            <w:shd w:val="clear" w:color="auto" w:fill="auto"/>
            <w:vAlign w:val="center"/>
            <w:hideMark/>
          </w:tcPr>
          <w:p w14:paraId="56C93EE2"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95" w:type="pct"/>
            <w:shd w:val="clear" w:color="auto" w:fill="auto"/>
            <w:vAlign w:val="center"/>
            <w:hideMark/>
          </w:tcPr>
          <w:p w14:paraId="017E5446"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74" w:type="pct"/>
            <w:shd w:val="clear" w:color="auto" w:fill="auto"/>
            <w:vAlign w:val="center"/>
            <w:hideMark/>
          </w:tcPr>
          <w:p w14:paraId="6673B1AE"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r>
      <w:tr w:rsidR="00030F2F" w:rsidRPr="00AA705B" w14:paraId="28943574" w14:textId="77777777" w:rsidTr="00B3256E">
        <w:trPr>
          <w:trHeight w:val="290"/>
        </w:trPr>
        <w:tc>
          <w:tcPr>
            <w:tcW w:w="1533" w:type="pct"/>
            <w:shd w:val="clear" w:color="auto" w:fill="auto"/>
            <w:vAlign w:val="center"/>
            <w:hideMark/>
          </w:tcPr>
          <w:p w14:paraId="2E812132" w14:textId="77777777" w:rsidR="00030F2F" w:rsidRPr="00664636" w:rsidRDefault="00030F2F" w:rsidP="00DD691F">
            <w:pPr>
              <w:spacing w:before="40" w:line="240" w:lineRule="auto"/>
              <w:rPr>
                <w:rFonts w:ascii="Arial Narrow" w:hAnsi="Arial Narrow" w:cs="Calibri"/>
                <w:color w:val="000000"/>
                <w:sz w:val="18"/>
                <w:szCs w:val="18"/>
              </w:rPr>
            </w:pPr>
            <w:r w:rsidRPr="00664636">
              <w:rPr>
                <w:rFonts w:ascii="Arial Narrow" w:hAnsi="Arial Narrow" w:cs="Calibri"/>
                <w:color w:val="000000"/>
                <w:sz w:val="18"/>
                <w:szCs w:val="18"/>
              </w:rPr>
              <w:t>MBS item 15555 (simulation)</w:t>
            </w:r>
          </w:p>
        </w:tc>
        <w:tc>
          <w:tcPr>
            <w:tcW w:w="745" w:type="pct"/>
            <w:shd w:val="clear" w:color="auto" w:fill="auto"/>
            <w:vAlign w:val="center"/>
            <w:hideMark/>
          </w:tcPr>
          <w:p w14:paraId="2AE357B4"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714" w:type="pct"/>
            <w:shd w:val="clear" w:color="auto" w:fill="auto"/>
            <w:vAlign w:val="center"/>
            <w:hideMark/>
          </w:tcPr>
          <w:p w14:paraId="6EA85460"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39" w:type="pct"/>
            <w:shd w:val="clear" w:color="auto" w:fill="auto"/>
            <w:vAlign w:val="center"/>
            <w:hideMark/>
          </w:tcPr>
          <w:p w14:paraId="4AB9EBB9"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95" w:type="pct"/>
            <w:shd w:val="clear" w:color="auto" w:fill="auto"/>
            <w:vAlign w:val="center"/>
            <w:hideMark/>
          </w:tcPr>
          <w:p w14:paraId="5994F3FE"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74" w:type="pct"/>
            <w:shd w:val="clear" w:color="auto" w:fill="auto"/>
            <w:vAlign w:val="center"/>
            <w:hideMark/>
          </w:tcPr>
          <w:p w14:paraId="426144AB"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r>
      <w:tr w:rsidR="00030F2F" w:rsidRPr="00AA705B" w14:paraId="1B6668E6" w14:textId="77777777" w:rsidTr="00B3256E">
        <w:trPr>
          <w:trHeight w:val="290"/>
        </w:trPr>
        <w:tc>
          <w:tcPr>
            <w:tcW w:w="1533" w:type="pct"/>
            <w:shd w:val="clear" w:color="auto" w:fill="auto"/>
            <w:vAlign w:val="center"/>
            <w:hideMark/>
          </w:tcPr>
          <w:p w14:paraId="58D37B1B" w14:textId="77777777" w:rsidR="00030F2F" w:rsidRPr="00664636" w:rsidRDefault="00030F2F" w:rsidP="00DD691F">
            <w:pPr>
              <w:spacing w:before="40" w:line="240" w:lineRule="auto"/>
              <w:rPr>
                <w:rFonts w:ascii="Arial Narrow" w:hAnsi="Arial Narrow" w:cs="Calibri"/>
                <w:color w:val="000000"/>
                <w:sz w:val="18"/>
                <w:szCs w:val="18"/>
              </w:rPr>
            </w:pPr>
            <w:r w:rsidRPr="00664636">
              <w:rPr>
                <w:rFonts w:ascii="Arial Narrow" w:hAnsi="Arial Narrow" w:cs="Calibri"/>
                <w:color w:val="000000"/>
                <w:sz w:val="18"/>
                <w:szCs w:val="18"/>
              </w:rPr>
              <w:t>MBS item 15275 (fraction)</w:t>
            </w:r>
          </w:p>
        </w:tc>
        <w:tc>
          <w:tcPr>
            <w:tcW w:w="745" w:type="pct"/>
            <w:shd w:val="clear" w:color="auto" w:fill="auto"/>
            <w:vAlign w:val="center"/>
            <w:hideMark/>
          </w:tcPr>
          <w:p w14:paraId="44269E17"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714" w:type="pct"/>
            <w:shd w:val="clear" w:color="auto" w:fill="auto"/>
            <w:vAlign w:val="center"/>
            <w:hideMark/>
          </w:tcPr>
          <w:p w14:paraId="188BA5AF"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39" w:type="pct"/>
            <w:shd w:val="clear" w:color="auto" w:fill="auto"/>
            <w:vAlign w:val="center"/>
            <w:hideMark/>
          </w:tcPr>
          <w:p w14:paraId="405FEF6F"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95" w:type="pct"/>
            <w:shd w:val="clear" w:color="auto" w:fill="auto"/>
            <w:vAlign w:val="center"/>
            <w:hideMark/>
          </w:tcPr>
          <w:p w14:paraId="3B714C64"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c>
          <w:tcPr>
            <w:tcW w:w="674" w:type="pct"/>
            <w:shd w:val="clear" w:color="auto" w:fill="auto"/>
            <w:vAlign w:val="center"/>
            <w:hideMark/>
          </w:tcPr>
          <w:p w14:paraId="048C74B8" w14:textId="77777777" w:rsidR="00030F2F" w:rsidRPr="00664636" w:rsidRDefault="00030F2F" w:rsidP="00DD691F">
            <w:pPr>
              <w:spacing w:before="40" w:line="240" w:lineRule="auto"/>
              <w:jc w:val="center"/>
              <w:rPr>
                <w:rFonts w:ascii="Arial Narrow" w:hAnsi="Arial Narrow" w:cs="Calibri"/>
                <w:color w:val="000000"/>
                <w:sz w:val="18"/>
                <w:szCs w:val="18"/>
              </w:rPr>
            </w:pPr>
            <w:r>
              <w:rPr>
                <w:rFonts w:ascii="Arial Narrow" w:hAnsi="Arial Narrow" w:cs="Calibri"/>
                <w:color w:val="000000"/>
                <w:sz w:val="20"/>
                <w:szCs w:val="20"/>
              </w:rPr>
              <w:t>$0</w:t>
            </w:r>
          </w:p>
        </w:tc>
      </w:tr>
      <w:tr w:rsidR="00030F2F" w:rsidRPr="00AA705B" w14:paraId="6CFC5E97" w14:textId="77777777" w:rsidTr="00B3256E">
        <w:trPr>
          <w:trHeight w:val="290"/>
        </w:trPr>
        <w:tc>
          <w:tcPr>
            <w:tcW w:w="1533" w:type="pct"/>
            <w:shd w:val="clear" w:color="auto" w:fill="auto"/>
            <w:noWrap/>
            <w:vAlign w:val="bottom"/>
            <w:hideMark/>
          </w:tcPr>
          <w:p w14:paraId="42D2FFEB" w14:textId="77777777" w:rsidR="00030F2F" w:rsidRPr="00664636" w:rsidRDefault="00030F2F" w:rsidP="00DD691F">
            <w:pPr>
              <w:spacing w:before="40" w:line="240" w:lineRule="auto"/>
              <w:rPr>
                <w:rFonts w:ascii="Arial Narrow" w:hAnsi="Arial Narrow" w:cs="Calibri"/>
                <w:b/>
                <w:bCs/>
                <w:color w:val="000000"/>
                <w:sz w:val="18"/>
                <w:szCs w:val="18"/>
              </w:rPr>
            </w:pPr>
            <w:r w:rsidRPr="00664636">
              <w:rPr>
                <w:rFonts w:ascii="Arial Narrow" w:hAnsi="Arial Narrow" w:cs="Calibri"/>
                <w:b/>
                <w:bCs/>
                <w:color w:val="000000"/>
                <w:sz w:val="18"/>
                <w:szCs w:val="18"/>
              </w:rPr>
              <w:t>Financial Implications for the MBS</w:t>
            </w:r>
          </w:p>
        </w:tc>
        <w:tc>
          <w:tcPr>
            <w:tcW w:w="745" w:type="pct"/>
            <w:shd w:val="clear" w:color="auto" w:fill="auto"/>
            <w:vAlign w:val="center"/>
            <w:hideMark/>
          </w:tcPr>
          <w:p w14:paraId="33B0B556" w14:textId="2E5C680F" w:rsidR="00030F2F" w:rsidRPr="00664636" w:rsidRDefault="00F340EB" w:rsidP="00DD691F">
            <w:pPr>
              <w:spacing w:before="40" w:line="240" w:lineRule="auto"/>
              <w:jc w:val="center"/>
              <w:rPr>
                <w:rFonts w:ascii="Arial Narrow" w:hAnsi="Arial Narrow" w:cs="Calibri"/>
                <w:b/>
                <w:bCs/>
                <w:color w:val="000000"/>
                <w:sz w:val="18"/>
                <w:szCs w:val="18"/>
              </w:rPr>
            </w:pPr>
            <w:r>
              <w:rPr>
                <w:rFonts w:ascii="Arial Narrow" w:hAnsi="Arial Narrow" w:cs="Calibri"/>
                <w:b/>
                <w:bCs/>
                <w:color w:val="000000"/>
                <w:sz w:val="20"/>
                <w:szCs w:val="20"/>
              </w:rPr>
              <w:t>-$173,617</w:t>
            </w:r>
          </w:p>
        </w:tc>
        <w:tc>
          <w:tcPr>
            <w:tcW w:w="714" w:type="pct"/>
            <w:shd w:val="clear" w:color="auto" w:fill="auto"/>
            <w:vAlign w:val="center"/>
            <w:hideMark/>
          </w:tcPr>
          <w:p w14:paraId="1D296B5A" w14:textId="63973173" w:rsidR="00030F2F" w:rsidRPr="00664636" w:rsidRDefault="00F340EB" w:rsidP="00DD691F">
            <w:pPr>
              <w:spacing w:before="40" w:line="240" w:lineRule="auto"/>
              <w:jc w:val="center"/>
              <w:rPr>
                <w:rFonts w:ascii="Arial Narrow" w:hAnsi="Arial Narrow" w:cs="Calibri"/>
                <w:b/>
                <w:bCs/>
                <w:color w:val="000000"/>
                <w:sz w:val="18"/>
                <w:szCs w:val="18"/>
              </w:rPr>
            </w:pPr>
            <w:r>
              <w:rPr>
                <w:rFonts w:ascii="Arial Narrow" w:hAnsi="Arial Narrow" w:cs="Calibri"/>
                <w:b/>
                <w:bCs/>
                <w:color w:val="000000"/>
                <w:sz w:val="20"/>
                <w:szCs w:val="20"/>
              </w:rPr>
              <w:t>-$347,234</w:t>
            </w:r>
          </w:p>
        </w:tc>
        <w:tc>
          <w:tcPr>
            <w:tcW w:w="639" w:type="pct"/>
            <w:shd w:val="clear" w:color="auto" w:fill="auto"/>
            <w:vAlign w:val="center"/>
            <w:hideMark/>
          </w:tcPr>
          <w:p w14:paraId="59081DA2" w14:textId="51149F64" w:rsidR="00030F2F" w:rsidRPr="00664636" w:rsidRDefault="00030F2F" w:rsidP="00DD691F">
            <w:pPr>
              <w:spacing w:before="40" w:line="240" w:lineRule="auto"/>
              <w:jc w:val="center"/>
              <w:rPr>
                <w:rFonts w:ascii="Arial Narrow" w:hAnsi="Arial Narrow" w:cs="Calibri"/>
                <w:b/>
                <w:bCs/>
                <w:color w:val="000000"/>
                <w:sz w:val="18"/>
                <w:szCs w:val="18"/>
              </w:rPr>
            </w:pPr>
            <w:r>
              <w:rPr>
                <w:rFonts w:ascii="Arial Narrow" w:hAnsi="Arial Narrow" w:cs="Calibri"/>
                <w:b/>
                <w:color w:val="000000"/>
                <w:sz w:val="20"/>
                <w:szCs w:val="20"/>
              </w:rPr>
              <w:t>-$1,</w:t>
            </w:r>
            <w:r w:rsidR="00F340EB">
              <w:rPr>
                <w:rFonts w:ascii="Arial Narrow" w:hAnsi="Arial Narrow" w:cs="Calibri"/>
                <w:b/>
                <w:bCs/>
                <w:color w:val="000000"/>
                <w:sz w:val="20"/>
                <w:szCs w:val="20"/>
              </w:rPr>
              <w:t>062,883</w:t>
            </w:r>
          </w:p>
        </w:tc>
        <w:tc>
          <w:tcPr>
            <w:tcW w:w="695" w:type="pct"/>
            <w:shd w:val="clear" w:color="auto" w:fill="auto"/>
            <w:vAlign w:val="center"/>
            <w:hideMark/>
          </w:tcPr>
          <w:p w14:paraId="2765A3B3" w14:textId="19FAD31F" w:rsidR="00030F2F" w:rsidRPr="00664636" w:rsidRDefault="00030F2F" w:rsidP="00DD691F">
            <w:pPr>
              <w:spacing w:before="40" w:line="240" w:lineRule="auto"/>
              <w:jc w:val="center"/>
              <w:rPr>
                <w:rFonts w:ascii="Arial Narrow" w:hAnsi="Arial Narrow" w:cs="Calibri"/>
                <w:b/>
                <w:bCs/>
                <w:color w:val="000000"/>
                <w:sz w:val="18"/>
                <w:szCs w:val="18"/>
              </w:rPr>
            </w:pPr>
            <w:r>
              <w:rPr>
                <w:rFonts w:ascii="Arial Narrow" w:hAnsi="Arial Narrow" w:cs="Calibri"/>
                <w:b/>
                <w:color w:val="000000"/>
                <w:sz w:val="20"/>
                <w:szCs w:val="20"/>
              </w:rPr>
              <w:t>-$1,</w:t>
            </w:r>
            <w:r w:rsidR="00F340EB">
              <w:rPr>
                <w:rFonts w:ascii="Arial Narrow" w:hAnsi="Arial Narrow" w:cs="Calibri"/>
                <w:b/>
                <w:bCs/>
                <w:color w:val="000000"/>
                <w:sz w:val="20"/>
                <w:szCs w:val="20"/>
              </w:rPr>
              <w:t>062,883</w:t>
            </w:r>
          </w:p>
        </w:tc>
        <w:tc>
          <w:tcPr>
            <w:tcW w:w="674" w:type="pct"/>
            <w:shd w:val="clear" w:color="auto" w:fill="auto"/>
            <w:vAlign w:val="center"/>
            <w:hideMark/>
          </w:tcPr>
          <w:p w14:paraId="0145C753" w14:textId="0836598E" w:rsidR="00030F2F" w:rsidRPr="00664636" w:rsidRDefault="00030F2F" w:rsidP="00DD691F">
            <w:pPr>
              <w:spacing w:before="40" w:line="240" w:lineRule="auto"/>
              <w:jc w:val="center"/>
              <w:rPr>
                <w:rFonts w:ascii="Arial Narrow" w:hAnsi="Arial Narrow" w:cs="Calibri"/>
                <w:b/>
                <w:bCs/>
                <w:color w:val="000000"/>
                <w:sz w:val="18"/>
                <w:szCs w:val="18"/>
              </w:rPr>
            </w:pPr>
            <w:r>
              <w:rPr>
                <w:rFonts w:ascii="Arial Narrow" w:hAnsi="Arial Narrow" w:cs="Calibri"/>
                <w:b/>
                <w:color w:val="000000"/>
                <w:sz w:val="20"/>
                <w:szCs w:val="20"/>
              </w:rPr>
              <w:t>-$1,</w:t>
            </w:r>
            <w:r w:rsidR="00F340EB">
              <w:rPr>
                <w:rFonts w:ascii="Arial Narrow" w:hAnsi="Arial Narrow" w:cs="Calibri"/>
                <w:b/>
                <w:bCs/>
                <w:color w:val="000000"/>
                <w:sz w:val="20"/>
                <w:szCs w:val="20"/>
              </w:rPr>
              <w:t>062,883</w:t>
            </w:r>
          </w:p>
        </w:tc>
      </w:tr>
    </w:tbl>
    <w:p w14:paraId="28C5C3D7" w14:textId="1CEF6B2F" w:rsidR="00030F2F" w:rsidRDefault="00030F2F" w:rsidP="009D6338">
      <w:pPr>
        <w:pStyle w:val="Tablenotes0"/>
      </w:pPr>
      <w:r>
        <w:t>Abbreviations: EBRT=external beam radiation therapy, MBS=Medical Benefits Schedule</w:t>
      </w:r>
      <w:bookmarkEnd w:id="745"/>
    </w:p>
    <w:p w14:paraId="52375581" w14:textId="77F0E1BD" w:rsidR="004E45C4" w:rsidRPr="00183E4D" w:rsidRDefault="004E45C4" w:rsidP="00DF343F">
      <w:pPr>
        <w:keepNext/>
        <w:pageBreakBefore/>
        <w:pBdr>
          <w:bottom w:val="single" w:sz="4" w:space="1" w:color="auto"/>
        </w:pBdr>
        <w:spacing w:after="360"/>
        <w:ind w:left="2835" w:hanging="2835"/>
        <w:jc w:val="both"/>
        <w:outlineLvl w:val="0"/>
        <w:rPr>
          <w:b/>
          <w:sz w:val="44"/>
        </w:rPr>
      </w:pPr>
      <w:bookmarkStart w:id="757" w:name="_Ref352745383"/>
      <w:bookmarkStart w:id="758" w:name="_Toc352254677"/>
      <w:bookmarkStart w:id="759" w:name="_Toc352672949"/>
      <w:bookmarkStart w:id="760" w:name="_Toc355274740"/>
      <w:bookmarkStart w:id="761" w:name="_Toc379118097"/>
      <w:bookmarkStart w:id="762" w:name="_Toc381796496"/>
      <w:bookmarkStart w:id="763" w:name="_Toc59018825"/>
      <w:bookmarkStart w:id="764" w:name="_Toc59020369"/>
      <w:bookmarkStart w:id="765" w:name="_Toc59439590"/>
      <w:bookmarkStart w:id="766" w:name="_Ref237760111"/>
      <w:bookmarkStart w:id="767" w:name="_Toc89857862"/>
      <w:bookmarkEnd w:id="679"/>
      <w:r w:rsidRPr="00183E4D">
        <w:rPr>
          <w:b/>
          <w:sz w:val="44"/>
        </w:rPr>
        <w:lastRenderedPageBreak/>
        <w:t xml:space="preserve">Appendix </w:t>
      </w:r>
      <w:r w:rsidR="0086593E" w:rsidRPr="00183E4D">
        <w:rPr>
          <w:b/>
          <w:sz w:val="44"/>
        </w:rPr>
        <w:fldChar w:fldCharType="begin"/>
      </w:r>
      <w:r w:rsidR="00A63A5D" w:rsidRPr="00183E4D">
        <w:rPr>
          <w:b/>
          <w:sz w:val="44"/>
        </w:rPr>
        <w:instrText xml:space="preserve"> SEQ Appendix \* ALPHABETIC </w:instrText>
      </w:r>
      <w:r w:rsidR="0086593E" w:rsidRPr="00183E4D">
        <w:rPr>
          <w:b/>
          <w:sz w:val="44"/>
        </w:rPr>
        <w:fldChar w:fldCharType="separate"/>
      </w:r>
      <w:r w:rsidR="00451350">
        <w:rPr>
          <w:b/>
          <w:noProof/>
          <w:sz w:val="44"/>
        </w:rPr>
        <w:t>A</w:t>
      </w:r>
      <w:r w:rsidR="0086593E" w:rsidRPr="00183E4D">
        <w:rPr>
          <w:b/>
          <w:sz w:val="44"/>
        </w:rPr>
        <w:fldChar w:fldCharType="end"/>
      </w:r>
      <w:bookmarkEnd w:id="757"/>
      <w:bookmarkEnd w:id="758"/>
      <w:bookmarkEnd w:id="759"/>
      <w:r w:rsidR="00745565" w:rsidRPr="00183E4D">
        <w:rPr>
          <w:b/>
          <w:sz w:val="44"/>
        </w:rPr>
        <w:tab/>
      </w:r>
      <w:r w:rsidR="003E626D">
        <w:rPr>
          <w:b/>
          <w:sz w:val="44"/>
        </w:rPr>
        <w:t>Clinical Experts</w:t>
      </w:r>
      <w:r w:rsidR="00745565" w:rsidRPr="00183E4D">
        <w:rPr>
          <w:b/>
          <w:sz w:val="44"/>
        </w:rPr>
        <w:t xml:space="preserve"> </w:t>
      </w:r>
      <w:r w:rsidRPr="00183E4D">
        <w:rPr>
          <w:b/>
          <w:sz w:val="44"/>
        </w:rPr>
        <w:t>and Assessment Group</w:t>
      </w:r>
      <w:bookmarkEnd w:id="760"/>
      <w:bookmarkEnd w:id="761"/>
      <w:bookmarkEnd w:id="762"/>
      <w:bookmarkEnd w:id="763"/>
      <w:bookmarkEnd w:id="764"/>
      <w:bookmarkEnd w:id="765"/>
      <w:bookmarkEnd w:id="767"/>
    </w:p>
    <w:p w14:paraId="05DCE5A1" w14:textId="77777777" w:rsidR="004E45C4" w:rsidRPr="00183E4D" w:rsidRDefault="004E45C4" w:rsidP="00DF343F">
      <w:pPr>
        <w:pStyle w:val="Heading2"/>
        <w:jc w:val="both"/>
      </w:pPr>
      <w:bookmarkStart w:id="768" w:name="_Toc379118099"/>
      <w:bookmarkStart w:id="769" w:name="_Toc381796498"/>
      <w:bookmarkStart w:id="770" w:name="_Toc59018826"/>
      <w:bookmarkStart w:id="771" w:name="_Toc59020370"/>
      <w:bookmarkStart w:id="772" w:name="_Toc59439591"/>
      <w:bookmarkStart w:id="773" w:name="_Toc89857863"/>
      <w:r w:rsidRPr="00183E4D">
        <w:t>Assessment group</w:t>
      </w:r>
      <w:bookmarkEnd w:id="768"/>
      <w:bookmarkEnd w:id="769"/>
      <w:bookmarkEnd w:id="770"/>
      <w:bookmarkEnd w:id="771"/>
      <w:bookmarkEnd w:id="772"/>
      <w:bookmarkEnd w:id="773"/>
      <w:r w:rsidR="003E626D">
        <w:t xml:space="preserve"> </w:t>
      </w:r>
    </w:p>
    <w:p w14:paraId="0661F442" w14:textId="5C4976A8" w:rsidR="004E45C4" w:rsidRPr="00183E4D" w:rsidRDefault="00080879" w:rsidP="00DF343F">
      <w:pPr>
        <w:jc w:val="both"/>
        <w:rPr>
          <w:b/>
        </w:rPr>
      </w:pPr>
      <w:r>
        <w:rPr>
          <w:b/>
        </w:rPr>
        <w:t>NHRMC Clinical Trials Centre</w:t>
      </w:r>
    </w:p>
    <w:p w14:paraId="76E4463D" w14:textId="5F07BDC9" w:rsidR="004E45C4" w:rsidRDefault="004E45C4" w:rsidP="00DF343F">
      <w:pPr>
        <w:tabs>
          <w:tab w:val="left" w:pos="4111"/>
        </w:tabs>
        <w:jc w:val="both"/>
        <w:rPr>
          <w:u w:val="single"/>
        </w:rPr>
      </w:pPr>
      <w:r w:rsidRPr="00183E4D">
        <w:rPr>
          <w:u w:val="single"/>
        </w:rPr>
        <w:t>Name</w:t>
      </w:r>
      <w:r w:rsidRPr="00183E4D">
        <w:tab/>
      </w:r>
      <w:r w:rsidRPr="00183E4D">
        <w:rPr>
          <w:u w:val="single"/>
        </w:rPr>
        <w:t>Position</w:t>
      </w:r>
    </w:p>
    <w:p w14:paraId="4708ADD9" w14:textId="34CC6016" w:rsidR="00080879" w:rsidRDefault="00080879" w:rsidP="00DF343F">
      <w:pPr>
        <w:tabs>
          <w:tab w:val="left" w:pos="4111"/>
        </w:tabs>
        <w:jc w:val="both"/>
        <w:rPr>
          <w:u w:val="single"/>
        </w:rPr>
      </w:pPr>
      <w:r>
        <w:rPr>
          <w:u w:val="single"/>
        </w:rPr>
        <w:t>Blaise Agresta</w:t>
      </w:r>
      <w:r>
        <w:rPr>
          <w:u w:val="single"/>
        </w:rPr>
        <w:tab/>
        <w:t>HTA Lead</w:t>
      </w:r>
    </w:p>
    <w:p w14:paraId="25DC8FE7" w14:textId="02B74C23" w:rsidR="00080879" w:rsidRDefault="00080879" w:rsidP="00DF343F">
      <w:pPr>
        <w:tabs>
          <w:tab w:val="left" w:pos="4111"/>
        </w:tabs>
        <w:jc w:val="both"/>
        <w:rPr>
          <w:u w:val="single"/>
        </w:rPr>
      </w:pPr>
      <w:r>
        <w:rPr>
          <w:u w:val="single"/>
        </w:rPr>
        <w:t>Dr. Slavica Berber</w:t>
      </w:r>
      <w:r>
        <w:rPr>
          <w:u w:val="single"/>
        </w:rPr>
        <w:tab/>
        <w:t>Senior Project Officer</w:t>
      </w:r>
    </w:p>
    <w:p w14:paraId="1F8EE8E9" w14:textId="4CF09E26" w:rsidR="00080879" w:rsidRDefault="00080879" w:rsidP="00DF343F">
      <w:pPr>
        <w:tabs>
          <w:tab w:val="left" w:pos="4111"/>
        </w:tabs>
        <w:jc w:val="both"/>
        <w:rPr>
          <w:u w:val="single"/>
        </w:rPr>
      </w:pPr>
      <w:r>
        <w:rPr>
          <w:u w:val="single"/>
        </w:rPr>
        <w:t>Dr. Vendula Blaya-Novakova</w:t>
      </w:r>
      <w:r>
        <w:rPr>
          <w:u w:val="single"/>
        </w:rPr>
        <w:tab/>
        <w:t>Project Officer</w:t>
      </w:r>
    </w:p>
    <w:p w14:paraId="6CDB15E2" w14:textId="76119B60" w:rsidR="00080879" w:rsidRDefault="00080879" w:rsidP="00DF343F">
      <w:pPr>
        <w:tabs>
          <w:tab w:val="left" w:pos="4111"/>
        </w:tabs>
        <w:jc w:val="both"/>
        <w:rPr>
          <w:u w:val="single"/>
        </w:rPr>
      </w:pPr>
      <w:r>
        <w:rPr>
          <w:u w:val="single"/>
        </w:rPr>
        <w:t>Nathan Fox</w:t>
      </w:r>
      <w:r>
        <w:rPr>
          <w:u w:val="single"/>
        </w:rPr>
        <w:tab/>
        <w:t>Senior Evidence Analyst</w:t>
      </w:r>
    </w:p>
    <w:p w14:paraId="52F687A3" w14:textId="1C82A21F" w:rsidR="00080879" w:rsidRDefault="00080879" w:rsidP="00DF343F">
      <w:pPr>
        <w:tabs>
          <w:tab w:val="left" w:pos="4111"/>
        </w:tabs>
        <w:jc w:val="both"/>
        <w:rPr>
          <w:u w:val="single"/>
        </w:rPr>
      </w:pPr>
      <w:r>
        <w:rPr>
          <w:u w:val="single"/>
        </w:rPr>
        <w:t>Smriti Raichand</w:t>
      </w:r>
      <w:r>
        <w:rPr>
          <w:u w:val="single"/>
        </w:rPr>
        <w:tab/>
        <w:t>Senior Evidence Analyst</w:t>
      </w:r>
    </w:p>
    <w:p w14:paraId="5A9236A2" w14:textId="76AB1909" w:rsidR="00080879" w:rsidRDefault="00080879" w:rsidP="00DF343F">
      <w:pPr>
        <w:tabs>
          <w:tab w:val="left" w:pos="4111"/>
        </w:tabs>
        <w:jc w:val="both"/>
        <w:rPr>
          <w:u w:val="single"/>
        </w:rPr>
      </w:pPr>
      <w:r>
        <w:rPr>
          <w:u w:val="single"/>
        </w:rPr>
        <w:t>Karan Shah</w:t>
      </w:r>
      <w:r>
        <w:rPr>
          <w:u w:val="single"/>
        </w:rPr>
        <w:tab/>
        <w:t>Research Fellow</w:t>
      </w:r>
    </w:p>
    <w:p w14:paraId="587AA157" w14:textId="77777777" w:rsidR="00080879" w:rsidRPr="00183E4D" w:rsidRDefault="00080879" w:rsidP="00DF343F">
      <w:pPr>
        <w:tabs>
          <w:tab w:val="left" w:pos="4111"/>
        </w:tabs>
        <w:jc w:val="both"/>
        <w:rPr>
          <w:u w:val="single"/>
        </w:rPr>
      </w:pPr>
    </w:p>
    <w:p w14:paraId="2E679031" w14:textId="77777777" w:rsidR="007B1DC8" w:rsidRPr="00183E4D" w:rsidRDefault="007B1DC8" w:rsidP="00DF343F">
      <w:pPr>
        <w:tabs>
          <w:tab w:val="left" w:pos="4111"/>
        </w:tabs>
        <w:jc w:val="both"/>
      </w:pPr>
    </w:p>
    <w:p w14:paraId="56136F5B" w14:textId="77777777" w:rsidR="007B1DC8" w:rsidRPr="00183E4D" w:rsidRDefault="007B1DC8" w:rsidP="00DF343F">
      <w:pPr>
        <w:tabs>
          <w:tab w:val="left" w:pos="4111"/>
        </w:tabs>
        <w:jc w:val="both"/>
      </w:pPr>
    </w:p>
    <w:p w14:paraId="42A3E1CE" w14:textId="77777777" w:rsidR="004E45C4" w:rsidRPr="00183E4D" w:rsidRDefault="004E45C4" w:rsidP="00DF343F">
      <w:pPr>
        <w:jc w:val="both"/>
        <w:rPr>
          <w:b/>
          <w:sz w:val="28"/>
          <w:szCs w:val="28"/>
        </w:rPr>
      </w:pPr>
      <w:bookmarkStart w:id="774" w:name="_Toc352254679"/>
      <w:bookmarkStart w:id="775" w:name="_Toc352672951"/>
      <w:bookmarkStart w:id="776" w:name="_Toc352761736"/>
      <w:r w:rsidRPr="00183E4D">
        <w:rPr>
          <w:b/>
          <w:sz w:val="28"/>
          <w:szCs w:val="28"/>
        </w:rPr>
        <w:t>Noted conflicts of interest</w:t>
      </w:r>
      <w:bookmarkEnd w:id="774"/>
      <w:bookmarkEnd w:id="775"/>
      <w:bookmarkEnd w:id="776"/>
    </w:p>
    <w:p w14:paraId="241A7D52" w14:textId="0959E1BA" w:rsidR="004E45C4" w:rsidRPr="00183E4D" w:rsidRDefault="004E45C4" w:rsidP="00DF343F">
      <w:pPr>
        <w:jc w:val="both"/>
      </w:pPr>
      <w:r w:rsidRPr="00183E4D">
        <w:t>There were no conflicts of interest.</w:t>
      </w:r>
    </w:p>
    <w:p w14:paraId="27467255" w14:textId="0D2AF815" w:rsidR="007A7960" w:rsidRPr="00183E4D" w:rsidRDefault="00193B87" w:rsidP="00DF343F">
      <w:pPr>
        <w:pStyle w:val="Heading1"/>
        <w:jc w:val="both"/>
      </w:pPr>
      <w:bookmarkStart w:id="777" w:name="_Toc379118100"/>
      <w:bookmarkStart w:id="778" w:name="_Toc381796499"/>
      <w:bookmarkStart w:id="779" w:name="_Toc59018827"/>
      <w:bookmarkStart w:id="780" w:name="_Toc59020371"/>
      <w:bookmarkStart w:id="781" w:name="_Toc59439592"/>
      <w:bookmarkStart w:id="782" w:name="_Toc89857864"/>
      <w:bookmarkEnd w:id="766"/>
      <w:r w:rsidRPr="00183E4D">
        <w:lastRenderedPageBreak/>
        <w:t xml:space="preserve">Appendix </w:t>
      </w:r>
      <w:r w:rsidR="00211285">
        <w:fldChar w:fldCharType="begin"/>
      </w:r>
      <w:r w:rsidR="00211285">
        <w:instrText xml:space="preserve"> S</w:instrText>
      </w:r>
      <w:r w:rsidR="00211285">
        <w:instrText xml:space="preserve">EQ Appendix \* ALPHABETIC </w:instrText>
      </w:r>
      <w:r w:rsidR="00211285">
        <w:fldChar w:fldCharType="separate"/>
      </w:r>
      <w:r w:rsidR="00451350">
        <w:rPr>
          <w:noProof/>
        </w:rPr>
        <w:t>B</w:t>
      </w:r>
      <w:r w:rsidR="00211285">
        <w:rPr>
          <w:noProof/>
        </w:rPr>
        <w:fldChar w:fldCharType="end"/>
      </w:r>
      <w:r w:rsidR="00871F61" w:rsidRPr="00183E4D">
        <w:tab/>
        <w:t>Search strategies</w:t>
      </w:r>
      <w:bookmarkEnd w:id="777"/>
      <w:bookmarkEnd w:id="778"/>
      <w:bookmarkEnd w:id="779"/>
      <w:bookmarkEnd w:id="780"/>
      <w:bookmarkEnd w:id="781"/>
      <w:bookmarkEnd w:id="782"/>
    </w:p>
    <w:p w14:paraId="549CDB8D" w14:textId="77777777" w:rsidR="00E40E41" w:rsidRPr="00183E4D" w:rsidRDefault="00E40E41" w:rsidP="00DF343F">
      <w:pPr>
        <w:pStyle w:val="Heading3"/>
        <w:jc w:val="both"/>
      </w:pPr>
      <w:bookmarkStart w:id="783" w:name="_Toc294256148"/>
      <w:bookmarkStart w:id="784" w:name="_Toc301358577"/>
      <w:bookmarkStart w:id="785" w:name="_Toc303677590"/>
      <w:bookmarkStart w:id="786" w:name="_Toc303677762"/>
      <w:bookmarkStart w:id="787" w:name="_Toc381796500"/>
      <w:bookmarkStart w:id="788" w:name="_Toc59018828"/>
      <w:bookmarkStart w:id="789" w:name="_Toc59020372"/>
      <w:bookmarkStart w:id="790" w:name="_Toc59439593"/>
      <w:bookmarkStart w:id="791" w:name="_Toc89857865"/>
      <w:r w:rsidRPr="00183E4D">
        <w:t>Bibliographic databases</w:t>
      </w:r>
      <w:bookmarkEnd w:id="783"/>
      <w:bookmarkEnd w:id="784"/>
      <w:bookmarkEnd w:id="785"/>
      <w:bookmarkEnd w:id="786"/>
      <w:bookmarkEnd w:id="787"/>
      <w:bookmarkEnd w:id="788"/>
      <w:bookmarkEnd w:id="789"/>
      <w:bookmarkEnd w:id="790"/>
      <w:bookmarkEnd w:id="791"/>
    </w:p>
    <w:tbl>
      <w:tblPr>
        <w:tblStyle w:val="TableGrid1"/>
        <w:tblW w:w="8931" w:type="dxa"/>
        <w:tblInd w:w="108" w:type="dxa"/>
        <w:tblLayout w:type="fixed"/>
        <w:tblLook w:val="0020" w:firstRow="1" w:lastRow="0" w:firstColumn="0" w:lastColumn="0" w:noHBand="0" w:noVBand="0"/>
        <w:tblCaption w:val="Bibliographic databases"/>
        <w:tblDescription w:val="List of electronic databases searched for the systematic review."/>
      </w:tblPr>
      <w:tblGrid>
        <w:gridCol w:w="5670"/>
        <w:gridCol w:w="3261"/>
      </w:tblGrid>
      <w:tr w:rsidR="0021273B" w:rsidRPr="00183E4D" w14:paraId="799A9A9E" w14:textId="77777777" w:rsidTr="00B65DFB">
        <w:trPr>
          <w:cnfStyle w:val="100000000000" w:firstRow="1" w:lastRow="0" w:firstColumn="0" w:lastColumn="0" w:oddVBand="0" w:evenVBand="0" w:oddHBand="0" w:evenHBand="0" w:firstRowFirstColumn="0" w:firstRowLastColumn="0" w:lastRowFirstColumn="0" w:lastRowLastColumn="0"/>
          <w:trHeight w:val="303"/>
          <w:tblHeader/>
        </w:trPr>
        <w:tc>
          <w:tcPr>
            <w:tcW w:w="5670" w:type="dxa"/>
          </w:tcPr>
          <w:p w14:paraId="209FA4AA" w14:textId="77777777" w:rsidR="0021273B" w:rsidRPr="00183E4D" w:rsidRDefault="0021273B" w:rsidP="00591A6D">
            <w:pPr>
              <w:pStyle w:val="TableHeading"/>
            </w:pPr>
            <w:r w:rsidRPr="00183E4D">
              <w:t>Electronic database</w:t>
            </w:r>
          </w:p>
        </w:tc>
        <w:tc>
          <w:tcPr>
            <w:tcW w:w="3261" w:type="dxa"/>
          </w:tcPr>
          <w:p w14:paraId="277CCB93" w14:textId="77777777" w:rsidR="0021273B" w:rsidRPr="00183E4D" w:rsidRDefault="0021273B" w:rsidP="00591A6D">
            <w:pPr>
              <w:pStyle w:val="TableHeading"/>
            </w:pPr>
            <w:r w:rsidRPr="00183E4D">
              <w:t>Time period</w:t>
            </w:r>
            <w:r w:rsidR="00591A6D" w:rsidRPr="00183E4D">
              <w:t xml:space="preserve"> searched</w:t>
            </w:r>
          </w:p>
        </w:tc>
      </w:tr>
      <w:tr w:rsidR="00F50767" w:rsidRPr="00183E4D" w14:paraId="129991FB" w14:textId="77777777" w:rsidTr="00B65DFB">
        <w:trPr>
          <w:trHeight w:val="303"/>
        </w:trPr>
        <w:tc>
          <w:tcPr>
            <w:tcW w:w="5670" w:type="dxa"/>
          </w:tcPr>
          <w:p w14:paraId="0BAEFDE4" w14:textId="518C971D" w:rsidR="00F50767" w:rsidRPr="00183E4D" w:rsidRDefault="00F50767" w:rsidP="00591A6D">
            <w:pPr>
              <w:pStyle w:val="TableHeading"/>
            </w:pPr>
            <w:r>
              <w:t>02 October 2020</w:t>
            </w:r>
          </w:p>
        </w:tc>
        <w:tc>
          <w:tcPr>
            <w:tcW w:w="3261" w:type="dxa"/>
          </w:tcPr>
          <w:p w14:paraId="534ED6F7" w14:textId="77777777" w:rsidR="00F50767" w:rsidRPr="00F50767" w:rsidRDefault="00F50767" w:rsidP="00591A6D">
            <w:pPr>
              <w:pStyle w:val="TableHeading"/>
            </w:pPr>
          </w:p>
        </w:tc>
      </w:tr>
      <w:tr w:rsidR="0021273B" w:rsidRPr="00183E4D" w14:paraId="07242D7A" w14:textId="77777777" w:rsidTr="00B65DFB">
        <w:tc>
          <w:tcPr>
            <w:tcW w:w="5670" w:type="dxa"/>
          </w:tcPr>
          <w:p w14:paraId="3B2AA5E5" w14:textId="07E67776" w:rsidR="0021273B" w:rsidRPr="00F50767" w:rsidRDefault="003E1B16" w:rsidP="00F50767">
            <w:pPr>
              <w:pStyle w:val="Tabletext1"/>
            </w:pPr>
            <w:r w:rsidRPr="00183E4D">
              <w:t>Embase</w:t>
            </w:r>
            <w:r w:rsidR="00F50767">
              <w:t xml:space="preserve"> via Ovid SP</w:t>
            </w:r>
          </w:p>
        </w:tc>
        <w:tc>
          <w:tcPr>
            <w:tcW w:w="3261" w:type="dxa"/>
          </w:tcPr>
          <w:p w14:paraId="6E2B1DD4" w14:textId="30C28134" w:rsidR="0021273B" w:rsidRPr="00F50767" w:rsidRDefault="00F50767" w:rsidP="00591A6D">
            <w:pPr>
              <w:pStyle w:val="Tabletext1"/>
            </w:pPr>
            <w:r w:rsidRPr="00F50767">
              <w:t>2014-2020</w:t>
            </w:r>
          </w:p>
        </w:tc>
      </w:tr>
      <w:tr w:rsidR="003E1B16" w:rsidRPr="00183E4D" w14:paraId="2A6E6DDE" w14:textId="77777777" w:rsidTr="00B65DFB">
        <w:tc>
          <w:tcPr>
            <w:tcW w:w="5670" w:type="dxa"/>
            <w:tcBorders>
              <w:top w:val="single" w:sz="4" w:space="0" w:color="auto"/>
              <w:left w:val="single" w:sz="4" w:space="0" w:color="auto"/>
              <w:bottom w:val="single" w:sz="4" w:space="0" w:color="auto"/>
              <w:right w:val="single" w:sz="4" w:space="0" w:color="auto"/>
            </w:tcBorders>
          </w:tcPr>
          <w:p w14:paraId="11F164AF" w14:textId="45B294E2" w:rsidR="003E1B16" w:rsidRPr="00183E4D" w:rsidRDefault="003E1B16" w:rsidP="00F53814">
            <w:pPr>
              <w:pStyle w:val="Tabletext1"/>
            </w:pPr>
            <w:r w:rsidRPr="00183E4D">
              <w:t>Medline</w:t>
            </w:r>
            <w:r w:rsidR="00F50767">
              <w:t xml:space="preserve"> via Ovid SP</w:t>
            </w:r>
          </w:p>
        </w:tc>
        <w:tc>
          <w:tcPr>
            <w:tcW w:w="3261" w:type="dxa"/>
            <w:tcBorders>
              <w:top w:val="single" w:sz="4" w:space="0" w:color="auto"/>
              <w:left w:val="single" w:sz="4" w:space="0" w:color="auto"/>
              <w:bottom w:val="single" w:sz="4" w:space="0" w:color="auto"/>
              <w:right w:val="single" w:sz="4" w:space="0" w:color="auto"/>
            </w:tcBorders>
          </w:tcPr>
          <w:p w14:paraId="74B04C5C" w14:textId="4B2CDE59" w:rsidR="003E1B16" w:rsidRPr="00F50767" w:rsidRDefault="00F50767" w:rsidP="00F53814">
            <w:pPr>
              <w:pStyle w:val="Tabletext1"/>
            </w:pPr>
            <w:r w:rsidRPr="00F50767">
              <w:t>2014-2020</w:t>
            </w:r>
          </w:p>
        </w:tc>
      </w:tr>
      <w:tr w:rsidR="0021273B" w:rsidRPr="00183E4D" w14:paraId="05AB17ED" w14:textId="77777777" w:rsidTr="00B65DFB">
        <w:tc>
          <w:tcPr>
            <w:tcW w:w="5670" w:type="dxa"/>
          </w:tcPr>
          <w:p w14:paraId="6979AEA5" w14:textId="61A23714" w:rsidR="0021273B" w:rsidRPr="00183E4D" w:rsidRDefault="00F50767" w:rsidP="00591A6D">
            <w:pPr>
              <w:pStyle w:val="Tabletext1"/>
            </w:pPr>
            <w:r>
              <w:t>EMB Reviews* via Ovid SP</w:t>
            </w:r>
          </w:p>
        </w:tc>
        <w:tc>
          <w:tcPr>
            <w:tcW w:w="3261" w:type="dxa"/>
          </w:tcPr>
          <w:p w14:paraId="7C2DD757" w14:textId="135AE22A" w:rsidR="0021273B" w:rsidRPr="00F50767" w:rsidRDefault="00F50767" w:rsidP="00591A6D">
            <w:pPr>
              <w:pStyle w:val="Tabletext1"/>
            </w:pPr>
            <w:r w:rsidRPr="00F50767">
              <w:t>2014-2020</w:t>
            </w:r>
          </w:p>
        </w:tc>
      </w:tr>
      <w:tr w:rsidR="0021273B" w:rsidRPr="00183E4D" w14:paraId="68E432A8" w14:textId="77777777" w:rsidTr="00B65DFB">
        <w:tc>
          <w:tcPr>
            <w:tcW w:w="5670" w:type="dxa"/>
          </w:tcPr>
          <w:p w14:paraId="0FC18131" w14:textId="48243613" w:rsidR="0021273B" w:rsidRPr="00F50767" w:rsidRDefault="00F50767" w:rsidP="00591A6D">
            <w:pPr>
              <w:pStyle w:val="Tabletext1"/>
              <w:rPr>
                <w:b/>
                <w:bCs/>
              </w:rPr>
            </w:pPr>
            <w:r w:rsidRPr="00F50767">
              <w:rPr>
                <w:b/>
                <w:bCs/>
              </w:rPr>
              <w:t>23 October 2020</w:t>
            </w:r>
          </w:p>
        </w:tc>
        <w:tc>
          <w:tcPr>
            <w:tcW w:w="3261" w:type="dxa"/>
          </w:tcPr>
          <w:p w14:paraId="0D860115" w14:textId="77777777" w:rsidR="0021273B" w:rsidRPr="00F50767" w:rsidRDefault="0021273B" w:rsidP="00591A6D">
            <w:pPr>
              <w:pStyle w:val="Tabletext1"/>
            </w:pPr>
          </w:p>
        </w:tc>
      </w:tr>
      <w:tr w:rsidR="00F50767" w:rsidRPr="00183E4D" w14:paraId="7171F8CC" w14:textId="77777777" w:rsidTr="00B65DFB">
        <w:tc>
          <w:tcPr>
            <w:tcW w:w="5670" w:type="dxa"/>
          </w:tcPr>
          <w:p w14:paraId="1578416F" w14:textId="1632EB8B" w:rsidR="00F50767" w:rsidRPr="00183E4D" w:rsidRDefault="00F50767" w:rsidP="00F50767">
            <w:pPr>
              <w:pStyle w:val="Tabletext1"/>
            </w:pPr>
            <w:r w:rsidRPr="00183E4D">
              <w:t>Embase</w:t>
            </w:r>
            <w:r>
              <w:t xml:space="preserve"> via Ovid SP</w:t>
            </w:r>
          </w:p>
        </w:tc>
        <w:tc>
          <w:tcPr>
            <w:tcW w:w="3261" w:type="dxa"/>
          </w:tcPr>
          <w:p w14:paraId="4172F01A" w14:textId="257A45B9" w:rsidR="00F50767" w:rsidRPr="00F50767" w:rsidRDefault="00F50767" w:rsidP="00F50767">
            <w:pPr>
              <w:pStyle w:val="Tabletext1"/>
            </w:pPr>
            <w:r w:rsidRPr="00F50767">
              <w:t>No limits</w:t>
            </w:r>
          </w:p>
        </w:tc>
      </w:tr>
      <w:tr w:rsidR="00F50767" w:rsidRPr="00183E4D" w14:paraId="586199A6" w14:textId="77777777" w:rsidTr="00B65DFB">
        <w:trPr>
          <w:trHeight w:val="219"/>
        </w:trPr>
        <w:tc>
          <w:tcPr>
            <w:tcW w:w="5670" w:type="dxa"/>
          </w:tcPr>
          <w:p w14:paraId="3C62A4C4" w14:textId="3A82E09B" w:rsidR="00F50767" w:rsidRPr="00183E4D" w:rsidRDefault="00F50767" w:rsidP="00F50767">
            <w:pPr>
              <w:pStyle w:val="Tabletext1"/>
            </w:pPr>
            <w:r w:rsidRPr="00183E4D">
              <w:t>Medline</w:t>
            </w:r>
            <w:r>
              <w:t xml:space="preserve"> via Ovid SP</w:t>
            </w:r>
          </w:p>
        </w:tc>
        <w:tc>
          <w:tcPr>
            <w:tcW w:w="3261" w:type="dxa"/>
          </w:tcPr>
          <w:p w14:paraId="2F57DA61" w14:textId="74B68724" w:rsidR="00F50767" w:rsidRPr="00F50767" w:rsidRDefault="00F50767" w:rsidP="00F50767">
            <w:pPr>
              <w:pStyle w:val="Tabletext1"/>
            </w:pPr>
            <w:r w:rsidRPr="00F50767">
              <w:t>No limits</w:t>
            </w:r>
          </w:p>
        </w:tc>
      </w:tr>
      <w:tr w:rsidR="00F50767" w:rsidRPr="00183E4D" w14:paraId="6537E15C" w14:textId="77777777" w:rsidTr="00B65DFB">
        <w:trPr>
          <w:trHeight w:val="219"/>
        </w:trPr>
        <w:tc>
          <w:tcPr>
            <w:tcW w:w="5670" w:type="dxa"/>
          </w:tcPr>
          <w:p w14:paraId="33504A0D" w14:textId="49EF5B1F" w:rsidR="00F50767" w:rsidRPr="00183E4D" w:rsidRDefault="00F50767" w:rsidP="00F50767">
            <w:pPr>
              <w:pStyle w:val="Tabletext1"/>
            </w:pPr>
            <w:r>
              <w:t>EMB Reviews* via Ovid SP</w:t>
            </w:r>
          </w:p>
        </w:tc>
        <w:tc>
          <w:tcPr>
            <w:tcW w:w="3261" w:type="dxa"/>
          </w:tcPr>
          <w:p w14:paraId="2A3598E9" w14:textId="1BA99F9E" w:rsidR="00F50767" w:rsidRPr="00F50767" w:rsidRDefault="00F50767" w:rsidP="00F50767">
            <w:pPr>
              <w:pStyle w:val="Tabletext1"/>
            </w:pPr>
            <w:r w:rsidRPr="00F50767">
              <w:t>No limits</w:t>
            </w:r>
          </w:p>
        </w:tc>
      </w:tr>
    </w:tbl>
    <w:p w14:paraId="12BAAC61" w14:textId="12E54182" w:rsidR="00F50767" w:rsidRDefault="00F50767" w:rsidP="00F50767">
      <w:pPr>
        <w:pStyle w:val="Tablenotes0"/>
      </w:pPr>
      <w:bookmarkStart w:id="792" w:name="_Toc294256149"/>
      <w:bookmarkStart w:id="793" w:name="_Toc301358578"/>
      <w:bookmarkStart w:id="794" w:name="_Toc303677591"/>
      <w:bookmarkStart w:id="795" w:name="_Toc303677763"/>
      <w:bookmarkStart w:id="796" w:name="_Toc381796501"/>
      <w:r>
        <w:t>*</w:t>
      </w:r>
      <w:r w:rsidRPr="00F50767">
        <w:t>Cochrane Database of Systematic Reviews 2005 to September 17, 2020, Database Field Guide EBM Reviews - ACP Journal Club 1991 to August 2020, Database Field Guide EBM Reviews - Database of Abstracts of Reviews of Effects 1st Quarter 2016, Database Field Guide EBM Reviews - Cochrane Clinical Answers August 2020, Database Field Guide EBM Reviews - Cochrane Central Register of Controlled Trials August 2020, Database Field Guide EBM Reviews - Cochrane Methodology Register 3rd Quarter 2012, Database Field Guide EBM Reviews - Health Technology Assessment 4th Quarter 2016, Database Field Guide EBM Reviews - NHS Economic Evaluation Database 1st Quarter 2016</w:t>
      </w:r>
    </w:p>
    <w:p w14:paraId="67493322" w14:textId="488ADFDB" w:rsidR="00E40E41" w:rsidRPr="00183E4D" w:rsidRDefault="00E40E41" w:rsidP="00DF343F">
      <w:pPr>
        <w:pStyle w:val="Heading3"/>
        <w:jc w:val="both"/>
      </w:pPr>
      <w:bookmarkStart w:id="797" w:name="_Toc59018829"/>
      <w:bookmarkStart w:id="798" w:name="_Toc59020373"/>
      <w:bookmarkStart w:id="799" w:name="_Toc59439594"/>
      <w:bookmarkStart w:id="800" w:name="_Toc89857866"/>
      <w:r w:rsidRPr="00183E4D">
        <w:t>Additional sources of literature</w:t>
      </w:r>
      <w:bookmarkEnd w:id="792"/>
      <w:bookmarkEnd w:id="793"/>
      <w:bookmarkEnd w:id="794"/>
      <w:bookmarkEnd w:id="795"/>
      <w:bookmarkEnd w:id="796"/>
      <w:r w:rsidR="00591A6D" w:rsidRPr="00183E4D">
        <w:t xml:space="preserve"> (including websites)</w:t>
      </w:r>
      <w:bookmarkEnd w:id="797"/>
      <w:bookmarkEnd w:id="798"/>
      <w:bookmarkEnd w:id="799"/>
      <w:bookmarkEnd w:id="800"/>
    </w:p>
    <w:tbl>
      <w:tblPr>
        <w:tblStyle w:val="TableGrid1"/>
        <w:tblW w:w="8931" w:type="dxa"/>
        <w:tblInd w:w="108" w:type="dxa"/>
        <w:tblBorders>
          <w:insideV w:val="none" w:sz="0" w:space="0" w:color="auto"/>
        </w:tblBorders>
        <w:tblLayout w:type="fixed"/>
        <w:tblLook w:val="0020" w:firstRow="1" w:lastRow="0" w:firstColumn="0" w:lastColumn="0" w:noHBand="0" w:noVBand="0"/>
        <w:tblCaption w:val="Additional sources of literature (including websites)"/>
        <w:tblDescription w:val="List of additional sources of information used in the systematic literature review."/>
      </w:tblPr>
      <w:tblGrid>
        <w:gridCol w:w="4950"/>
        <w:gridCol w:w="3981"/>
      </w:tblGrid>
      <w:tr w:rsidR="0039322D" w:rsidRPr="00183E4D" w14:paraId="23A42AB2" w14:textId="77777777" w:rsidTr="00B65DFB">
        <w:trPr>
          <w:cnfStyle w:val="100000000000" w:firstRow="1" w:lastRow="0" w:firstColumn="0" w:lastColumn="0" w:oddVBand="0" w:evenVBand="0" w:oddHBand="0" w:evenHBand="0" w:firstRowFirstColumn="0" w:firstRowLastColumn="0" w:lastRowFirstColumn="0" w:lastRowLastColumn="0"/>
          <w:tblHeader/>
        </w:trPr>
        <w:tc>
          <w:tcPr>
            <w:tcW w:w="4950" w:type="dxa"/>
            <w:tcBorders>
              <w:bottom w:val="single" w:sz="4" w:space="0" w:color="auto"/>
            </w:tcBorders>
          </w:tcPr>
          <w:p w14:paraId="7E3B84A7" w14:textId="77777777" w:rsidR="0039322D" w:rsidRPr="00183E4D" w:rsidRDefault="0039322D" w:rsidP="00591A6D">
            <w:pPr>
              <w:pStyle w:val="TableHeading"/>
            </w:pPr>
            <w:r w:rsidRPr="00183E4D">
              <w:t>Source</w:t>
            </w:r>
          </w:p>
        </w:tc>
        <w:tc>
          <w:tcPr>
            <w:tcW w:w="3981" w:type="dxa"/>
            <w:tcBorders>
              <w:bottom w:val="single" w:sz="4" w:space="0" w:color="auto"/>
            </w:tcBorders>
          </w:tcPr>
          <w:p w14:paraId="4C5CEAAF" w14:textId="77777777" w:rsidR="0039322D" w:rsidRPr="00183E4D" w:rsidRDefault="0039322D" w:rsidP="00591A6D">
            <w:pPr>
              <w:pStyle w:val="TableHeading"/>
              <w:jc w:val="center"/>
            </w:pPr>
            <w:r w:rsidRPr="00183E4D">
              <w:t>Location</w:t>
            </w:r>
          </w:p>
        </w:tc>
      </w:tr>
      <w:tr w:rsidR="003E1B16" w:rsidRPr="00183E4D" w14:paraId="00237056" w14:textId="77777777" w:rsidTr="00B65DFB">
        <w:trPr>
          <w:cnfStyle w:val="100000000000" w:firstRow="1" w:lastRow="0" w:firstColumn="0" w:lastColumn="0" w:oddVBand="0" w:evenVBand="0" w:oddHBand="0" w:evenHBand="0" w:firstRowFirstColumn="0" w:firstRowLastColumn="0" w:lastRowFirstColumn="0" w:lastRowLastColumn="0"/>
          <w:tblHeader/>
        </w:trPr>
        <w:tc>
          <w:tcPr>
            <w:tcW w:w="4950" w:type="dxa"/>
            <w:tcBorders>
              <w:top w:val="single" w:sz="4" w:space="0" w:color="auto"/>
              <w:left w:val="single" w:sz="4" w:space="0" w:color="auto"/>
              <w:bottom w:val="single" w:sz="4" w:space="0" w:color="auto"/>
              <w:right w:val="nil"/>
            </w:tcBorders>
          </w:tcPr>
          <w:p w14:paraId="6C06B073" w14:textId="77777777" w:rsidR="003E1B16" w:rsidRPr="00183E4D" w:rsidRDefault="003E1B16" w:rsidP="003E1B16">
            <w:pPr>
              <w:pStyle w:val="Tabletext1"/>
            </w:pPr>
            <w:r w:rsidRPr="00183E4D">
              <w:t>Australian Clinical Trials Registry</w:t>
            </w:r>
          </w:p>
        </w:tc>
        <w:tc>
          <w:tcPr>
            <w:tcW w:w="3981" w:type="dxa"/>
            <w:tcBorders>
              <w:top w:val="single" w:sz="4" w:space="0" w:color="auto"/>
              <w:left w:val="nil"/>
              <w:bottom w:val="single" w:sz="4" w:space="0" w:color="auto"/>
              <w:right w:val="single" w:sz="4" w:space="0" w:color="auto"/>
            </w:tcBorders>
          </w:tcPr>
          <w:p w14:paraId="57AC180C" w14:textId="039A7611" w:rsidR="003E1B16" w:rsidRPr="00183E4D" w:rsidRDefault="00F50767" w:rsidP="003E1B16">
            <w:pPr>
              <w:pStyle w:val="Tabletext1"/>
            </w:pPr>
            <w:r w:rsidRPr="00F50767">
              <w:t>http://www.anzctr.org.au/TrialSearch.aspx</w:t>
            </w:r>
          </w:p>
        </w:tc>
      </w:tr>
      <w:tr w:rsidR="0039322D" w:rsidRPr="00183E4D" w14:paraId="1EA2CA0E" w14:textId="77777777" w:rsidTr="00B65DFB">
        <w:tc>
          <w:tcPr>
            <w:tcW w:w="4950" w:type="dxa"/>
          </w:tcPr>
          <w:p w14:paraId="6A993CE6" w14:textId="77777777" w:rsidR="0039322D" w:rsidRPr="00183E4D" w:rsidRDefault="003E1B16" w:rsidP="00591A6D">
            <w:pPr>
              <w:pStyle w:val="Tabletext1"/>
              <w:rPr>
                <w:i/>
              </w:rPr>
            </w:pPr>
            <w:r w:rsidRPr="00183E4D">
              <w:t>National Institutes of Health</w:t>
            </w:r>
          </w:p>
        </w:tc>
        <w:tc>
          <w:tcPr>
            <w:tcW w:w="3981" w:type="dxa"/>
          </w:tcPr>
          <w:p w14:paraId="13C24376" w14:textId="160F9341" w:rsidR="0039322D" w:rsidRPr="00183E4D" w:rsidRDefault="00F50767" w:rsidP="00591A6D">
            <w:pPr>
              <w:pStyle w:val="Tabletext1"/>
            </w:pPr>
            <w:r w:rsidRPr="00F50767">
              <w:t>https://clinicaltrials.gov/</w:t>
            </w:r>
          </w:p>
        </w:tc>
      </w:tr>
    </w:tbl>
    <w:p w14:paraId="009DB137" w14:textId="1E4C17D3" w:rsidR="00F50767" w:rsidRDefault="00F50767" w:rsidP="00F50767">
      <w:pPr>
        <w:pStyle w:val="Heading3"/>
      </w:pPr>
      <w:bookmarkStart w:id="801" w:name="_Toc59018830"/>
      <w:bookmarkStart w:id="802" w:name="_Toc59020374"/>
      <w:bookmarkStart w:id="803" w:name="_Toc59439595"/>
      <w:bookmarkStart w:id="804" w:name="_Toc89857867"/>
      <w:r>
        <w:t>Search strategies</w:t>
      </w:r>
      <w:bookmarkEnd w:id="801"/>
      <w:bookmarkEnd w:id="802"/>
      <w:bookmarkEnd w:id="803"/>
      <w:bookmarkEnd w:id="804"/>
    </w:p>
    <w:p w14:paraId="683ABC09" w14:textId="1A603850" w:rsidR="00F50767" w:rsidRDefault="00F50767" w:rsidP="00F50767">
      <w:pPr>
        <w:pStyle w:val="Heading4"/>
      </w:pPr>
      <w:r>
        <w:t>Medline (via OvidSP) searched 02 October 2020</w:t>
      </w:r>
    </w:p>
    <w:p w14:paraId="6946B03A" w14:textId="77777777" w:rsidR="00F50767" w:rsidRDefault="00F50767" w:rsidP="00F50767">
      <w:r>
        <w:t>1</w:t>
      </w:r>
      <w:r>
        <w:tab/>
        <w:t>exp Magnetic Resonance Imaging/mt [Methods]</w:t>
      </w:r>
      <w:r>
        <w:tab/>
        <w:t>130055</w:t>
      </w:r>
    </w:p>
    <w:p w14:paraId="57E383D3" w14:textId="77777777" w:rsidR="00F50767" w:rsidRDefault="00F50767" w:rsidP="00F50767">
      <w:r>
        <w:t>2</w:t>
      </w:r>
      <w:r>
        <w:tab/>
        <w:t>(MRI or magnetic resonance imaging or magnetic-resonance imaging or MR imag$).ti,ab.</w:t>
      </w:r>
      <w:r>
        <w:tab/>
        <w:t>405799</w:t>
      </w:r>
    </w:p>
    <w:p w14:paraId="4E451EED" w14:textId="77777777" w:rsidR="00F50767" w:rsidRDefault="00F50767" w:rsidP="00F50767">
      <w:r>
        <w:t>3</w:t>
      </w:r>
      <w:r>
        <w:tab/>
        <w:t>(Magnetic Resonance Imaging Guided or MRgRT).ti,ab.</w:t>
      </w:r>
      <w:r>
        <w:tab/>
        <w:t>758</w:t>
      </w:r>
    </w:p>
    <w:p w14:paraId="4CC04BCE" w14:textId="77777777" w:rsidR="00F50767" w:rsidRDefault="00F50767" w:rsidP="00F50767">
      <w:r>
        <w:t>4</w:t>
      </w:r>
      <w:r>
        <w:tab/>
        <w:t>(MR-linac or MRI-linac or MR linac or MRI linac or ViewRay co-60 or View Ray Linac or Elekta Unity or MRIdian).ti,ab.</w:t>
      </w:r>
      <w:r>
        <w:tab/>
        <w:t>286</w:t>
      </w:r>
    </w:p>
    <w:p w14:paraId="0828F249" w14:textId="77777777" w:rsidR="00F50767" w:rsidRDefault="00F50767" w:rsidP="00F50767">
      <w:r>
        <w:t>5</w:t>
      </w:r>
      <w:r>
        <w:tab/>
        <w:t>exp Radiotherapy, Image-Guided/</w:t>
      </w:r>
      <w:r>
        <w:tab/>
        <w:t>3124</w:t>
      </w:r>
    </w:p>
    <w:p w14:paraId="25E382D5" w14:textId="77777777" w:rsidR="00F50767" w:rsidRDefault="00F50767" w:rsidP="00F50767">
      <w:r>
        <w:t>6</w:t>
      </w:r>
      <w:r>
        <w:tab/>
        <w:t>(IGRT or image guided).ti,ab.</w:t>
      </w:r>
      <w:r>
        <w:tab/>
        <w:t>12819</w:t>
      </w:r>
    </w:p>
    <w:p w14:paraId="241EF495" w14:textId="77777777" w:rsidR="00F50767" w:rsidRDefault="00F50767" w:rsidP="00F50767">
      <w:r>
        <w:t>7</w:t>
      </w:r>
      <w:r>
        <w:tab/>
        <w:t>exp Radiotherapy, Intensity-Modulated/</w:t>
      </w:r>
      <w:r>
        <w:tab/>
        <w:t>10233</w:t>
      </w:r>
    </w:p>
    <w:p w14:paraId="5299AB61" w14:textId="77777777" w:rsidR="00F50767" w:rsidRDefault="00F50767" w:rsidP="00F50767">
      <w:r>
        <w:lastRenderedPageBreak/>
        <w:t>8</w:t>
      </w:r>
      <w:r>
        <w:tab/>
        <w:t>(IMRT or intensity modulated radiation therapy).ti,ab.</w:t>
      </w:r>
      <w:r>
        <w:tab/>
        <w:t>11125</w:t>
      </w:r>
    </w:p>
    <w:p w14:paraId="6C508B5E" w14:textId="77777777" w:rsidR="00F50767" w:rsidRDefault="00F50767" w:rsidP="00F50767">
      <w:r>
        <w:t>9</w:t>
      </w:r>
      <w:r>
        <w:tab/>
        <w:t xml:space="preserve">1 or 2 or 3 or 4 </w:t>
      </w:r>
      <w:r>
        <w:tab/>
        <w:t>449619</w:t>
      </w:r>
    </w:p>
    <w:p w14:paraId="68FF7AE6" w14:textId="77777777" w:rsidR="00F50767" w:rsidRDefault="00F50767" w:rsidP="00F50767">
      <w:r>
        <w:t>10</w:t>
      </w:r>
      <w:r>
        <w:tab/>
        <w:t>5 or 6 or 7 or 8</w:t>
      </w:r>
      <w:r>
        <w:tab/>
        <w:t>28523</w:t>
      </w:r>
    </w:p>
    <w:p w14:paraId="2C1ABD2C" w14:textId="77777777" w:rsidR="00F50767" w:rsidRDefault="00F50767" w:rsidP="00F50767">
      <w:r>
        <w:t>11</w:t>
      </w:r>
      <w:r>
        <w:tab/>
        <w:t>9 and 10</w:t>
      </w:r>
      <w:r>
        <w:tab/>
        <w:t>3564</w:t>
      </w:r>
    </w:p>
    <w:p w14:paraId="18D7FEE1" w14:textId="77777777" w:rsidR="00F50767" w:rsidRDefault="00F50767" w:rsidP="00F50767">
      <w:r>
        <w:t>12</w:t>
      </w:r>
      <w:r>
        <w:tab/>
        <w:t>((men or women or patient* or participant*) adj6 treat*).ti,ab.</w:t>
      </w:r>
      <w:r>
        <w:tab/>
        <w:t>1238669</w:t>
      </w:r>
    </w:p>
    <w:p w14:paraId="3159B290" w14:textId="77777777" w:rsidR="00F50767" w:rsidRDefault="00F50767" w:rsidP="00F50767">
      <w:r>
        <w:t>13</w:t>
      </w:r>
      <w:r>
        <w:tab/>
        <w:t>11 and 12</w:t>
      </w:r>
      <w:r>
        <w:tab/>
        <w:t>781</w:t>
      </w:r>
    </w:p>
    <w:p w14:paraId="59241A53" w14:textId="77777777" w:rsidR="00F50767" w:rsidRDefault="00F50767" w:rsidP="00F50767">
      <w:r>
        <w:t>14</w:t>
      </w:r>
      <w:r>
        <w:tab/>
        <w:t>limit 13 to yr="2014 -Current"</w:t>
      </w:r>
      <w:r>
        <w:tab/>
        <w:t>514</w:t>
      </w:r>
    </w:p>
    <w:p w14:paraId="5912BE17" w14:textId="77777777" w:rsidR="00F50767" w:rsidRDefault="00F50767" w:rsidP="00F50767">
      <w:r>
        <w:t>15</w:t>
      </w:r>
      <w:r>
        <w:tab/>
        <w:t>animals/ not humans/</w:t>
      </w:r>
      <w:r>
        <w:tab/>
        <w:t>4705549</w:t>
      </w:r>
    </w:p>
    <w:p w14:paraId="4EB19BA5" w14:textId="2CC3D9E3" w:rsidR="00F50767" w:rsidRDefault="00F50767" w:rsidP="00F50767">
      <w:r>
        <w:t>16</w:t>
      </w:r>
      <w:r>
        <w:tab/>
        <w:t>14 not 15</w:t>
      </w:r>
      <w:r>
        <w:tab/>
        <w:t>512</w:t>
      </w:r>
    </w:p>
    <w:p w14:paraId="708AB5A0" w14:textId="46C94D4A" w:rsidR="00F50767" w:rsidRDefault="00F50767" w:rsidP="00F50767">
      <w:pPr>
        <w:pStyle w:val="Heading4"/>
      </w:pPr>
      <w:r>
        <w:t>Medline (via OvidSP)  on 23 October 2020</w:t>
      </w:r>
    </w:p>
    <w:p w14:paraId="2D4C214A" w14:textId="77777777" w:rsidR="00F50767" w:rsidRDefault="00F50767" w:rsidP="00F50767">
      <w:r>
        <w:t>1</w:t>
      </w:r>
      <w:r>
        <w:tab/>
        <w:t>exp Magnetic Resonance Imaging/mt [Methods]</w:t>
      </w:r>
      <w:r>
        <w:tab/>
        <w:t>130710</w:t>
      </w:r>
    </w:p>
    <w:p w14:paraId="5CA5E242" w14:textId="77777777" w:rsidR="00F50767" w:rsidRDefault="00F50767" w:rsidP="00F50767">
      <w:r>
        <w:t>2</w:t>
      </w:r>
      <w:r>
        <w:tab/>
        <w:t>(MRI or magnetic resonance imaging or magnetic-resonance imaging or MR imag$).mp.</w:t>
      </w:r>
      <w:r>
        <w:tab/>
        <w:t>591420</w:t>
      </w:r>
    </w:p>
    <w:p w14:paraId="62E5D7AA" w14:textId="77777777" w:rsidR="00F50767" w:rsidRDefault="00F50767" w:rsidP="00F50767">
      <w:r>
        <w:t>3</w:t>
      </w:r>
      <w:r>
        <w:tab/>
        <w:t>(Magnetic Resonance Imaging Guided or MRgRT).mp.</w:t>
      </w:r>
      <w:r>
        <w:tab/>
        <w:t>791</w:t>
      </w:r>
    </w:p>
    <w:p w14:paraId="268F7EDC" w14:textId="77777777" w:rsidR="00F50767" w:rsidRDefault="00F50767" w:rsidP="00F50767">
      <w:r>
        <w:t>4</w:t>
      </w:r>
      <w:r>
        <w:tab/>
        <w:t>(MR-linac or MRI-linac or MR linac or MRI linac or ViewRay co-60 or View Ray Linac or Elekta Unity or MRIdian).mp.</w:t>
      </w:r>
      <w:r>
        <w:tab/>
        <w:t>327</w:t>
      </w:r>
    </w:p>
    <w:p w14:paraId="6A027930" w14:textId="77777777" w:rsidR="00F50767" w:rsidRDefault="00F50767" w:rsidP="00F50767">
      <w:r>
        <w:t>5</w:t>
      </w:r>
      <w:r>
        <w:tab/>
        <w:t>exp Radiotherapy, Image-Guided/</w:t>
      </w:r>
      <w:r>
        <w:tab/>
        <w:t>3139</w:t>
      </w:r>
    </w:p>
    <w:p w14:paraId="7BF01A46" w14:textId="77777777" w:rsidR="00F50767" w:rsidRDefault="00F50767" w:rsidP="00F50767">
      <w:r>
        <w:t>6</w:t>
      </w:r>
      <w:r>
        <w:tab/>
        <w:t>(IGRT or image guided).mp.</w:t>
      </w:r>
      <w:r>
        <w:tab/>
        <w:t>18918</w:t>
      </w:r>
    </w:p>
    <w:p w14:paraId="452CE897" w14:textId="77777777" w:rsidR="00F50767" w:rsidRDefault="00F50767" w:rsidP="00F50767">
      <w:r>
        <w:t>7</w:t>
      </w:r>
      <w:r>
        <w:tab/>
        <w:t>(imag$ adj3 guid$).mp.</w:t>
      </w:r>
      <w:r>
        <w:tab/>
        <w:t>29834</w:t>
      </w:r>
    </w:p>
    <w:p w14:paraId="66E3B7C1" w14:textId="77777777" w:rsidR="00F50767" w:rsidRDefault="00F50767" w:rsidP="00F50767">
      <w:r>
        <w:t>8</w:t>
      </w:r>
      <w:r>
        <w:tab/>
        <w:t>exp Cone-Beam Computed Tomography/</w:t>
      </w:r>
      <w:r>
        <w:tab/>
        <w:t>10393</w:t>
      </w:r>
    </w:p>
    <w:p w14:paraId="490D4B38" w14:textId="77777777" w:rsidR="00F50767" w:rsidRDefault="00F50767" w:rsidP="00F50767">
      <w:r>
        <w:t>9</w:t>
      </w:r>
      <w:r>
        <w:tab/>
        <w:t>(CBCT or cone beam comp$ or cone-beam comp$ or cone beam CT or cone-beam CT or cone beam-comp$).mp.</w:t>
      </w:r>
      <w:r>
        <w:tab/>
        <w:t>15891</w:t>
      </w:r>
    </w:p>
    <w:p w14:paraId="1E0B7099" w14:textId="77777777" w:rsidR="00F50767" w:rsidRDefault="00F50767" w:rsidP="00F50767">
      <w:r>
        <w:t>10</w:t>
      </w:r>
      <w:r>
        <w:tab/>
        <w:t>1 or 2 or 3 or 4</w:t>
      </w:r>
      <w:r>
        <w:tab/>
        <w:t>598068</w:t>
      </w:r>
    </w:p>
    <w:p w14:paraId="37EB5B79" w14:textId="77777777" w:rsidR="00F50767" w:rsidRDefault="00F50767" w:rsidP="00F50767">
      <w:r>
        <w:t>11</w:t>
      </w:r>
      <w:r>
        <w:tab/>
        <w:t>5 or 6 or 7</w:t>
      </w:r>
      <w:r>
        <w:tab/>
        <w:t>30064</w:t>
      </w:r>
    </w:p>
    <w:p w14:paraId="5B210C25" w14:textId="77777777" w:rsidR="00F50767" w:rsidRDefault="00F50767" w:rsidP="00F50767">
      <w:r>
        <w:t>12</w:t>
      </w:r>
      <w:r>
        <w:tab/>
        <w:t>8 or 9</w:t>
      </w:r>
      <w:r>
        <w:tab/>
        <w:t>15891</w:t>
      </w:r>
    </w:p>
    <w:p w14:paraId="1DDBC375" w14:textId="77777777" w:rsidR="00F50767" w:rsidRDefault="00F50767" w:rsidP="00F50767">
      <w:r>
        <w:lastRenderedPageBreak/>
        <w:t>13</w:t>
      </w:r>
      <w:r>
        <w:tab/>
        <w:t>exp Radiotherapy/</w:t>
      </w:r>
      <w:r>
        <w:tab/>
        <w:t>186764</w:t>
      </w:r>
    </w:p>
    <w:p w14:paraId="12E61515" w14:textId="77777777" w:rsidR="00F50767" w:rsidRDefault="00F50767" w:rsidP="00F50767">
      <w:r>
        <w:t>14</w:t>
      </w:r>
      <w:r>
        <w:tab/>
        <w:t>10 and 11 and 12 and 13</w:t>
      </w:r>
      <w:r>
        <w:tab/>
        <w:t>74</w:t>
      </w:r>
    </w:p>
    <w:p w14:paraId="1FC3753D" w14:textId="77777777" w:rsidR="00F50767" w:rsidRDefault="00F50767" w:rsidP="00F50767">
      <w:r>
        <w:t>15</w:t>
      </w:r>
      <w:r>
        <w:tab/>
        <w:t>treat*.mp.</w:t>
      </w:r>
      <w:r>
        <w:tab/>
        <w:t>6050551</w:t>
      </w:r>
    </w:p>
    <w:p w14:paraId="287557E3" w14:textId="77777777" w:rsidR="00F50767" w:rsidRDefault="00F50767" w:rsidP="00F50767">
      <w:r>
        <w:t>16</w:t>
      </w:r>
      <w:r>
        <w:tab/>
        <w:t>11 and 12 and 13 and 15</w:t>
      </w:r>
      <w:r>
        <w:tab/>
        <w:t>822</w:t>
      </w:r>
    </w:p>
    <w:p w14:paraId="38B9782E" w14:textId="77777777" w:rsidR="00F50767" w:rsidRDefault="00F50767" w:rsidP="00F50767">
      <w:r>
        <w:t>17</w:t>
      </w:r>
      <w:r>
        <w:tab/>
        <w:t>14 or 16</w:t>
      </w:r>
      <w:r>
        <w:tab/>
        <w:t>839</w:t>
      </w:r>
    </w:p>
    <w:p w14:paraId="3E4458F3" w14:textId="77777777" w:rsidR="00F50767" w:rsidRDefault="00F50767" w:rsidP="00F50767">
      <w:r>
        <w:t>18</w:t>
      </w:r>
      <w:r>
        <w:tab/>
        <w:t>exp Brachytherapy/ or brachytherapy.ti.</w:t>
      </w:r>
      <w:r>
        <w:tab/>
        <w:t>21563</w:t>
      </w:r>
    </w:p>
    <w:p w14:paraId="5F152CC1" w14:textId="77777777" w:rsidR="00F50767" w:rsidRDefault="00F50767" w:rsidP="00F50767">
      <w:r>
        <w:t>19</w:t>
      </w:r>
      <w:r>
        <w:tab/>
        <w:t>17 not 18</w:t>
      </w:r>
      <w:r>
        <w:tab/>
        <w:t>829</w:t>
      </w:r>
    </w:p>
    <w:p w14:paraId="2B1B5FEE" w14:textId="3D3C536E" w:rsidR="009A3655" w:rsidRDefault="00F50767" w:rsidP="00F50767">
      <w:r>
        <w:t>20</w:t>
      </w:r>
      <w:r>
        <w:tab/>
        <w:t>limit 19 to humans</w:t>
      </w:r>
      <w:r>
        <w:tab/>
        <w:t>780</w:t>
      </w:r>
      <w:bookmarkStart w:id="805" w:name="_Ref170808567"/>
      <w:bookmarkStart w:id="806" w:name="_Toc460813781"/>
      <w:bookmarkStart w:id="807" w:name="_Ref170792604"/>
    </w:p>
    <w:p w14:paraId="29838DA8" w14:textId="20A312F7" w:rsidR="00F50767" w:rsidRPr="00F50767" w:rsidRDefault="00F50767" w:rsidP="00F50767">
      <w:pPr>
        <w:sectPr w:rsidR="00F50767" w:rsidRPr="00F50767" w:rsidSect="009C1ABE">
          <w:footerReference w:type="default" r:id="rId61"/>
          <w:pgSz w:w="11906" w:h="16838"/>
          <w:pgMar w:top="1440" w:right="1440" w:bottom="1440" w:left="1440" w:header="720" w:footer="720" w:gutter="0"/>
          <w:paperSrc w:first="7" w:other="7"/>
          <w:cols w:space="720"/>
        </w:sectPr>
      </w:pPr>
    </w:p>
    <w:p w14:paraId="36DE29EB" w14:textId="5ED57F84" w:rsidR="007A7960" w:rsidRPr="00183E4D" w:rsidRDefault="00193B87" w:rsidP="00DF343F">
      <w:pPr>
        <w:pStyle w:val="Heading1"/>
        <w:jc w:val="both"/>
      </w:pPr>
      <w:bookmarkStart w:id="808" w:name="_Ref364237249"/>
      <w:bookmarkStart w:id="809" w:name="_Ref190841600"/>
      <w:bookmarkStart w:id="810" w:name="_Toc379118101"/>
      <w:bookmarkStart w:id="811" w:name="_Toc381796504"/>
      <w:bookmarkStart w:id="812" w:name="_Toc59018831"/>
      <w:bookmarkStart w:id="813" w:name="_Toc59020375"/>
      <w:bookmarkStart w:id="814" w:name="_Toc59439596"/>
      <w:bookmarkStart w:id="815" w:name="_Toc89857868"/>
      <w:bookmarkEnd w:id="805"/>
      <w:r w:rsidRPr="00183E4D">
        <w:lastRenderedPageBreak/>
        <w:t xml:space="preserve">Appendix </w:t>
      </w:r>
      <w:r w:rsidR="00211285">
        <w:fldChar w:fldCharType="begin"/>
      </w:r>
      <w:r w:rsidR="00211285">
        <w:instrText xml:space="preserve"> SEQ Appendix \* ALPHABETIC </w:instrText>
      </w:r>
      <w:r w:rsidR="00211285">
        <w:fldChar w:fldCharType="separate"/>
      </w:r>
      <w:r w:rsidR="00451350">
        <w:rPr>
          <w:noProof/>
        </w:rPr>
        <w:t>C</w:t>
      </w:r>
      <w:r w:rsidR="00211285">
        <w:rPr>
          <w:noProof/>
        </w:rPr>
        <w:fldChar w:fldCharType="end"/>
      </w:r>
      <w:bookmarkEnd w:id="808"/>
      <w:r w:rsidR="008F59A8" w:rsidRPr="00183E4D">
        <w:tab/>
        <w:t>S</w:t>
      </w:r>
      <w:r w:rsidR="00591A6D" w:rsidRPr="00183E4D">
        <w:t>tudies included in the Systematic R</w:t>
      </w:r>
      <w:r w:rsidR="008F59A8" w:rsidRPr="00183E4D">
        <w:t>eview</w:t>
      </w:r>
      <w:bookmarkEnd w:id="806"/>
      <w:bookmarkEnd w:id="807"/>
      <w:bookmarkEnd w:id="809"/>
      <w:bookmarkEnd w:id="810"/>
      <w:bookmarkEnd w:id="811"/>
      <w:bookmarkEnd w:id="812"/>
      <w:bookmarkEnd w:id="813"/>
      <w:bookmarkEnd w:id="814"/>
      <w:bookmarkEnd w:id="815"/>
      <w:r w:rsidR="008F59A8" w:rsidRPr="00183E4D">
        <w:t xml:space="preserve"> </w:t>
      </w:r>
    </w:p>
    <w:p w14:paraId="03FAE594" w14:textId="684B8A44" w:rsidR="004D6547" w:rsidRPr="00183E4D" w:rsidRDefault="0077418B" w:rsidP="00C771BF">
      <w:pPr>
        <w:pStyle w:val="Caption"/>
      </w:pPr>
      <w:bookmarkStart w:id="816" w:name="_Toc381796505"/>
      <w:r w:rsidRPr="00183E4D">
        <w:t>P</w:t>
      </w:r>
      <w:r w:rsidR="004D6547" w:rsidRPr="00183E4D">
        <w:t>rofiles of studies on</w:t>
      </w:r>
      <w:bookmarkEnd w:id="816"/>
      <w:r w:rsidR="00591A6D" w:rsidRPr="00183E4D">
        <w:t xml:space="preserve"> </w:t>
      </w:r>
      <w:r w:rsidR="00925DFC">
        <w:t>MR-IGRT</w:t>
      </w:r>
      <w:r w:rsidRPr="00183E4D">
        <w:t xml:space="preserve"> included in the systematic literature review</w:t>
      </w:r>
    </w:p>
    <w:tbl>
      <w:tblPr>
        <w:tblStyle w:val="TableGrid1"/>
        <w:tblW w:w="5000" w:type="pct"/>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344"/>
        <w:gridCol w:w="1376"/>
        <w:gridCol w:w="1386"/>
        <w:gridCol w:w="1147"/>
        <w:gridCol w:w="1930"/>
        <w:gridCol w:w="2072"/>
        <w:gridCol w:w="12"/>
        <w:gridCol w:w="1942"/>
        <w:gridCol w:w="12"/>
        <w:gridCol w:w="1930"/>
        <w:gridCol w:w="1975"/>
      </w:tblGrid>
      <w:tr w:rsidR="008B6FC0" w:rsidRPr="00CE45B9" w14:paraId="09430371" w14:textId="77777777" w:rsidTr="008B6FC0">
        <w:trPr>
          <w:cnfStyle w:val="100000000000" w:firstRow="1" w:lastRow="0" w:firstColumn="0" w:lastColumn="0" w:oddVBand="0" w:evenVBand="0" w:oddHBand="0" w:evenHBand="0" w:firstRowFirstColumn="0" w:firstRowLastColumn="0" w:lastRowFirstColumn="0" w:lastRowLastColumn="0"/>
          <w:cantSplit/>
          <w:trHeight w:val="1244"/>
          <w:tblHeader/>
        </w:trPr>
        <w:tc>
          <w:tcPr>
            <w:tcW w:w="444" w:type="pct"/>
            <w:tcBorders>
              <w:top w:val="single" w:sz="4" w:space="0" w:color="auto"/>
              <w:left w:val="single" w:sz="4" w:space="0" w:color="auto"/>
              <w:bottom w:val="single" w:sz="4" w:space="0" w:color="auto"/>
              <w:right w:val="single" w:sz="4" w:space="0" w:color="auto"/>
            </w:tcBorders>
          </w:tcPr>
          <w:p w14:paraId="6A86A865" w14:textId="77777777" w:rsidR="007C2672" w:rsidRPr="00CE45B9" w:rsidRDefault="007C2672" w:rsidP="006C7E7E">
            <w:pPr>
              <w:pStyle w:val="TableHeading"/>
            </w:pPr>
            <w:r w:rsidRPr="00CE45B9">
              <w:t>Authors</w:t>
            </w:r>
          </w:p>
          <w:p w14:paraId="4AF70907" w14:textId="77777777" w:rsidR="007C2672" w:rsidRPr="00CE45B9" w:rsidRDefault="007C2672" w:rsidP="006C7E7E">
            <w:pPr>
              <w:pStyle w:val="TableHeading"/>
            </w:pPr>
            <w:r w:rsidRPr="00CE45B9">
              <w:t>Study ID</w:t>
            </w:r>
          </w:p>
          <w:p w14:paraId="02223653" w14:textId="77777777" w:rsidR="007C2672" w:rsidRPr="00CE45B9" w:rsidRDefault="007C2672" w:rsidP="006C7E7E">
            <w:pPr>
              <w:pStyle w:val="TableHeading"/>
            </w:pPr>
            <w:r w:rsidRPr="00CE45B9">
              <w:t>Publication Year</w:t>
            </w:r>
          </w:p>
        </w:tc>
        <w:tc>
          <w:tcPr>
            <w:tcW w:w="455" w:type="pct"/>
            <w:tcBorders>
              <w:top w:val="single" w:sz="4" w:space="0" w:color="auto"/>
              <w:left w:val="single" w:sz="4" w:space="0" w:color="auto"/>
              <w:bottom w:val="single" w:sz="4" w:space="0" w:color="auto"/>
              <w:right w:val="single" w:sz="4" w:space="0" w:color="auto"/>
            </w:tcBorders>
          </w:tcPr>
          <w:p w14:paraId="68F65ADB" w14:textId="243D7635" w:rsidR="007C2672" w:rsidRPr="00CE45B9" w:rsidRDefault="007C2672" w:rsidP="006C7E7E">
            <w:pPr>
              <w:pStyle w:val="TableHeading"/>
            </w:pPr>
            <w:r w:rsidRPr="00CE45B9">
              <w:t>Study design/ duration</w:t>
            </w:r>
          </w:p>
        </w:tc>
        <w:tc>
          <w:tcPr>
            <w:tcW w:w="458" w:type="pct"/>
            <w:tcBorders>
              <w:top w:val="single" w:sz="4" w:space="0" w:color="auto"/>
              <w:left w:val="single" w:sz="4" w:space="0" w:color="auto"/>
              <w:bottom w:val="single" w:sz="4" w:space="0" w:color="auto"/>
              <w:right w:val="single" w:sz="4" w:space="0" w:color="auto"/>
            </w:tcBorders>
          </w:tcPr>
          <w:p w14:paraId="4E08791F" w14:textId="77777777" w:rsidR="007C2672" w:rsidRPr="00CE45B9" w:rsidRDefault="007C2672" w:rsidP="006C7E7E">
            <w:pPr>
              <w:pStyle w:val="TableHeading"/>
              <w:ind w:left="68"/>
              <w:rPr>
                <w:vertAlign w:val="superscript"/>
              </w:rPr>
            </w:pPr>
            <w:r w:rsidRPr="00CE45B9">
              <w:t>Level of evidence</w:t>
            </w:r>
            <w:r w:rsidRPr="00CE45B9">
              <w:rPr>
                <w:vertAlign w:val="superscript"/>
              </w:rPr>
              <w:t>a</w:t>
            </w:r>
            <w:r w:rsidRPr="00CE45B9">
              <w:t xml:space="preserve"> and risk of bias assessment</w:t>
            </w:r>
            <w:r w:rsidRPr="00CE45B9">
              <w:rPr>
                <w:vertAlign w:val="superscript"/>
              </w:rPr>
              <w:t>b</w:t>
            </w:r>
          </w:p>
        </w:tc>
        <w:tc>
          <w:tcPr>
            <w:tcW w:w="379" w:type="pct"/>
            <w:tcBorders>
              <w:top w:val="single" w:sz="4" w:space="0" w:color="auto"/>
              <w:left w:val="single" w:sz="4" w:space="0" w:color="auto"/>
              <w:bottom w:val="single" w:sz="4" w:space="0" w:color="auto"/>
              <w:right w:val="single" w:sz="4" w:space="0" w:color="auto"/>
            </w:tcBorders>
          </w:tcPr>
          <w:p w14:paraId="361B73E0" w14:textId="77777777" w:rsidR="007C2672" w:rsidRPr="00CE45B9" w:rsidRDefault="007C2672" w:rsidP="006C7E7E">
            <w:pPr>
              <w:pStyle w:val="TableHeading"/>
            </w:pPr>
            <w:r w:rsidRPr="00CE45B9">
              <w:t>Location</w:t>
            </w:r>
          </w:p>
          <w:p w14:paraId="56393B81" w14:textId="77777777" w:rsidR="007C2672" w:rsidRPr="00CE45B9" w:rsidRDefault="007C2672" w:rsidP="006C7E7E">
            <w:pPr>
              <w:pStyle w:val="TableHeading"/>
            </w:pPr>
            <w:r w:rsidRPr="00CE45B9">
              <w:t>Setting</w:t>
            </w:r>
          </w:p>
          <w:p w14:paraId="6CACA99D" w14:textId="77777777" w:rsidR="007C2672" w:rsidRPr="00CE45B9" w:rsidRDefault="007C2672" w:rsidP="006C7E7E">
            <w:pPr>
              <w:pStyle w:val="TableHeading"/>
            </w:pPr>
            <w:r w:rsidRPr="00CE45B9">
              <w:t>Length of follow-up</w:t>
            </w:r>
          </w:p>
        </w:tc>
        <w:tc>
          <w:tcPr>
            <w:tcW w:w="638" w:type="pct"/>
            <w:tcBorders>
              <w:top w:val="single" w:sz="4" w:space="0" w:color="auto"/>
              <w:left w:val="single" w:sz="4" w:space="0" w:color="auto"/>
              <w:bottom w:val="single" w:sz="4" w:space="0" w:color="auto"/>
              <w:right w:val="single" w:sz="4" w:space="0" w:color="auto"/>
            </w:tcBorders>
          </w:tcPr>
          <w:p w14:paraId="44D207E4" w14:textId="26FE9E4F" w:rsidR="007C2672" w:rsidRPr="00CE45B9" w:rsidRDefault="007C2672" w:rsidP="006C7E7E">
            <w:pPr>
              <w:pStyle w:val="TableHeading"/>
              <w:rPr>
                <w:vanish/>
                <w:color w:val="C00000"/>
              </w:rPr>
            </w:pPr>
            <w:r w:rsidRPr="00CE45B9">
              <w:t>Study population characteristics</w:t>
            </w:r>
          </w:p>
        </w:tc>
        <w:tc>
          <w:tcPr>
            <w:tcW w:w="685" w:type="pct"/>
            <w:tcBorders>
              <w:top w:val="single" w:sz="4" w:space="0" w:color="auto"/>
              <w:left w:val="single" w:sz="4" w:space="0" w:color="auto"/>
              <w:bottom w:val="single" w:sz="4" w:space="0" w:color="auto"/>
              <w:right w:val="single" w:sz="4" w:space="0" w:color="auto"/>
            </w:tcBorders>
          </w:tcPr>
          <w:p w14:paraId="4960A836" w14:textId="6270F9CF" w:rsidR="007C2672" w:rsidRPr="00CE45B9" w:rsidRDefault="007C2672" w:rsidP="006C7E7E">
            <w:pPr>
              <w:pStyle w:val="TableHeading"/>
              <w:ind w:left="34"/>
            </w:pPr>
            <w:r w:rsidRPr="00CE45B9">
              <w:t>Description of Intervention</w:t>
            </w:r>
          </w:p>
        </w:tc>
        <w:tc>
          <w:tcPr>
            <w:tcW w:w="646" w:type="pct"/>
            <w:gridSpan w:val="2"/>
            <w:tcBorders>
              <w:top w:val="single" w:sz="4" w:space="0" w:color="auto"/>
              <w:left w:val="single" w:sz="4" w:space="0" w:color="auto"/>
              <w:bottom w:val="single" w:sz="4" w:space="0" w:color="auto"/>
              <w:right w:val="single" w:sz="4" w:space="0" w:color="auto"/>
            </w:tcBorders>
          </w:tcPr>
          <w:p w14:paraId="5FD8DEC0" w14:textId="232C5C95" w:rsidR="007C2672" w:rsidRPr="00CE45B9" w:rsidRDefault="007C2672" w:rsidP="006C7E7E">
            <w:pPr>
              <w:pStyle w:val="TableHeading"/>
              <w:ind w:left="34"/>
            </w:pPr>
            <w:r w:rsidRPr="00CE45B9">
              <w:t>Description of Comparator</w:t>
            </w:r>
          </w:p>
        </w:tc>
        <w:tc>
          <w:tcPr>
            <w:tcW w:w="640" w:type="pct"/>
            <w:gridSpan w:val="2"/>
            <w:tcBorders>
              <w:top w:val="single" w:sz="4" w:space="0" w:color="auto"/>
              <w:left w:val="single" w:sz="4" w:space="0" w:color="auto"/>
              <w:bottom w:val="single" w:sz="4" w:space="0" w:color="auto"/>
              <w:right w:val="single" w:sz="4" w:space="0" w:color="auto"/>
            </w:tcBorders>
          </w:tcPr>
          <w:p w14:paraId="1DE652DB" w14:textId="77777777" w:rsidR="007C2672" w:rsidRPr="00CE45B9" w:rsidRDefault="007C2672" w:rsidP="006C7E7E">
            <w:pPr>
              <w:pStyle w:val="TableHeading"/>
              <w:ind w:left="34"/>
            </w:pPr>
            <w:r w:rsidRPr="00CE45B9">
              <w:t xml:space="preserve">Relevant outcomes assessed </w:t>
            </w:r>
          </w:p>
          <w:p w14:paraId="28054CA3" w14:textId="77777777" w:rsidR="007C2672" w:rsidRPr="00CE45B9" w:rsidRDefault="007C2672" w:rsidP="006C7E7E">
            <w:pPr>
              <w:pStyle w:val="TableHeading"/>
              <w:ind w:left="34"/>
            </w:pPr>
            <w:r w:rsidRPr="00CE45B9">
              <w:t>(ie related to outcomes specified in PICO)</w:t>
            </w:r>
          </w:p>
        </w:tc>
        <w:tc>
          <w:tcPr>
            <w:tcW w:w="656" w:type="pct"/>
            <w:tcBorders>
              <w:top w:val="single" w:sz="4" w:space="0" w:color="auto"/>
              <w:left w:val="single" w:sz="4" w:space="0" w:color="auto"/>
              <w:bottom w:val="single" w:sz="4" w:space="0" w:color="auto"/>
              <w:right w:val="single" w:sz="4" w:space="0" w:color="auto"/>
            </w:tcBorders>
          </w:tcPr>
          <w:p w14:paraId="6E59E214" w14:textId="77777777" w:rsidR="007C2672" w:rsidRPr="00CE45B9" w:rsidRDefault="007C2672" w:rsidP="006C7E7E">
            <w:pPr>
              <w:pStyle w:val="TableHeading"/>
              <w:ind w:left="34"/>
            </w:pPr>
            <w:r w:rsidRPr="00CE45B9">
              <w:t>Measurement of outcomes and methods of analysis</w:t>
            </w:r>
          </w:p>
        </w:tc>
      </w:tr>
      <w:tr w:rsidR="008B6FC0" w:rsidRPr="00CE45B9" w14:paraId="05BB1607" w14:textId="77777777" w:rsidTr="008B6FC0">
        <w:trPr>
          <w:cantSplit/>
          <w:trHeight w:val="300"/>
        </w:trPr>
        <w:tc>
          <w:tcPr>
            <w:tcW w:w="444" w:type="pct"/>
            <w:tcBorders>
              <w:top w:val="single" w:sz="4" w:space="0" w:color="auto"/>
              <w:left w:val="single" w:sz="4" w:space="0" w:color="auto"/>
              <w:bottom w:val="single" w:sz="4" w:space="0" w:color="auto"/>
              <w:right w:val="single" w:sz="4" w:space="0" w:color="auto"/>
            </w:tcBorders>
          </w:tcPr>
          <w:p w14:paraId="6AE7C85C" w14:textId="447BF407" w:rsidR="007C2672" w:rsidRPr="00CE45B9" w:rsidRDefault="00211285" w:rsidP="006C7E7E">
            <w:pPr>
              <w:pStyle w:val="Tabletext1"/>
            </w:pP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58FE681B" w14:textId="77777777" w:rsidR="007C2672" w:rsidRDefault="007C2672" w:rsidP="006C7E7E">
            <w:pPr>
              <w:pStyle w:val="Tabletext1"/>
            </w:pPr>
            <w:r>
              <w:t>Retrospective matched Coh</w:t>
            </w:r>
          </w:p>
          <w:p w14:paraId="32ECC939" w14:textId="77777777" w:rsidR="007C2672" w:rsidRPr="00CE45B9" w:rsidRDefault="007C2672" w:rsidP="006C7E7E">
            <w:pPr>
              <w:pStyle w:val="Tabletext1"/>
            </w:pPr>
            <w:r>
              <w:t>2015-2016</w:t>
            </w:r>
          </w:p>
        </w:tc>
        <w:tc>
          <w:tcPr>
            <w:tcW w:w="458" w:type="pct"/>
            <w:tcBorders>
              <w:top w:val="single" w:sz="4" w:space="0" w:color="auto"/>
              <w:left w:val="single" w:sz="4" w:space="0" w:color="auto"/>
              <w:bottom w:val="single" w:sz="4" w:space="0" w:color="auto"/>
              <w:right w:val="single" w:sz="4" w:space="0" w:color="auto"/>
            </w:tcBorders>
          </w:tcPr>
          <w:p w14:paraId="40F05B63" w14:textId="77777777" w:rsidR="007C2672" w:rsidRDefault="007C2672" w:rsidP="006C7E7E">
            <w:pPr>
              <w:pStyle w:val="Tabletext1"/>
            </w:pPr>
            <w:r>
              <w:t>Level III</w:t>
            </w:r>
          </w:p>
          <w:p w14:paraId="5FEEA9F9" w14:textId="77777777" w:rsidR="007C2672" w:rsidRPr="00CE45B9" w:rsidRDefault="007C2672" w:rsidP="006C7E7E">
            <w:pPr>
              <w:pStyle w:val="Tabletext1"/>
            </w:pPr>
            <w:r>
              <w:t>Fair quality</w:t>
            </w:r>
          </w:p>
        </w:tc>
        <w:tc>
          <w:tcPr>
            <w:tcW w:w="379" w:type="pct"/>
            <w:tcBorders>
              <w:top w:val="single" w:sz="4" w:space="0" w:color="auto"/>
              <w:left w:val="single" w:sz="4" w:space="0" w:color="auto"/>
              <w:bottom w:val="single" w:sz="4" w:space="0" w:color="auto"/>
              <w:right w:val="single" w:sz="4" w:space="0" w:color="auto"/>
            </w:tcBorders>
          </w:tcPr>
          <w:p w14:paraId="61FB9A75" w14:textId="77777777" w:rsidR="007C2672" w:rsidRDefault="007C2672" w:rsidP="006C7E7E">
            <w:pPr>
              <w:pStyle w:val="Tabletext1"/>
            </w:pPr>
            <w:r>
              <w:t>South Korea</w:t>
            </w:r>
          </w:p>
          <w:p w14:paraId="0C617504" w14:textId="77777777" w:rsidR="007C2672" w:rsidRPr="00CE45B9" w:rsidRDefault="007C2672" w:rsidP="006C7E7E">
            <w:pPr>
              <w:pStyle w:val="Tabletext1"/>
            </w:pPr>
            <w:r>
              <w:t>Median follow-up: 4-6 months post treatment</w:t>
            </w:r>
          </w:p>
        </w:tc>
        <w:tc>
          <w:tcPr>
            <w:tcW w:w="638" w:type="pct"/>
            <w:tcBorders>
              <w:top w:val="single" w:sz="4" w:space="0" w:color="auto"/>
              <w:left w:val="single" w:sz="4" w:space="0" w:color="auto"/>
              <w:bottom w:val="single" w:sz="4" w:space="0" w:color="auto"/>
              <w:right w:val="single" w:sz="4" w:space="0" w:color="auto"/>
            </w:tcBorders>
          </w:tcPr>
          <w:p w14:paraId="11D2CD42" w14:textId="77777777" w:rsidR="007C2672" w:rsidRDefault="007C2672" w:rsidP="006C7E7E">
            <w:pPr>
              <w:pStyle w:val="Tabletext1"/>
            </w:pPr>
            <w:r>
              <w:t>N=16</w:t>
            </w:r>
          </w:p>
          <w:p w14:paraId="5F19164C" w14:textId="64EC9084" w:rsidR="007C2672" w:rsidRDefault="007C2672" w:rsidP="006C7E7E">
            <w:pPr>
              <w:pStyle w:val="Tabletext1"/>
            </w:pPr>
            <w:r>
              <w:t>Intervention:</w:t>
            </w:r>
            <w:r w:rsidR="006C7E7E">
              <w:t xml:space="preserve"> </w:t>
            </w:r>
            <w:r>
              <w:t xml:space="preserve">8 patients (4 men, 4 women), mean age 73 (SD ± 7) years; </w:t>
            </w:r>
          </w:p>
          <w:p w14:paraId="607939B9" w14:textId="77777777" w:rsidR="007C2672" w:rsidRDefault="007C2672" w:rsidP="006C7E7E">
            <w:pPr>
              <w:pStyle w:val="Tabletext1"/>
            </w:pPr>
            <w:r>
              <w:t xml:space="preserve">Control: 8 patients (6 men, 2 women), mean age 71 (SD ± 9) years; </w:t>
            </w:r>
          </w:p>
          <w:p w14:paraId="25A85F6D" w14:textId="77777777" w:rsidR="007C2672" w:rsidRDefault="007C2672" w:rsidP="006C7E7E">
            <w:pPr>
              <w:pStyle w:val="Tabletext1"/>
            </w:pPr>
            <w:r>
              <w:t>Patients who received SABR for lung cancer within one institution were included (excluded if they had previous RT to thorax or showed locoregional recurrence during follow-up period)</w:t>
            </w:r>
          </w:p>
          <w:p w14:paraId="06EB0830" w14:textId="68D06D4C" w:rsidR="007C2672" w:rsidRPr="00CE45B9" w:rsidRDefault="007C2672" w:rsidP="006C7E7E">
            <w:pPr>
              <w:pStyle w:val="Tabletext1"/>
            </w:pPr>
            <w:r>
              <w:t>Patients matched 1:1 based on dose/fractionation, tumour size, tumour location and age</w:t>
            </w:r>
          </w:p>
        </w:tc>
        <w:tc>
          <w:tcPr>
            <w:tcW w:w="685" w:type="pct"/>
            <w:tcBorders>
              <w:top w:val="single" w:sz="4" w:space="0" w:color="auto"/>
              <w:left w:val="single" w:sz="4" w:space="0" w:color="auto"/>
              <w:bottom w:val="single" w:sz="4" w:space="0" w:color="auto"/>
              <w:right w:val="single" w:sz="4" w:space="0" w:color="auto"/>
            </w:tcBorders>
          </w:tcPr>
          <w:p w14:paraId="01A5C31A" w14:textId="7955A562" w:rsidR="007C2672" w:rsidRDefault="00E964A4" w:rsidP="006C7E7E">
            <w:pPr>
              <w:pStyle w:val="Tabletext1"/>
            </w:pPr>
            <w:r>
              <w:t>SBRT</w:t>
            </w:r>
            <w:r w:rsidR="007C2672" w:rsidRPr="00C817D8">
              <w:t xml:space="preserve"> using the </w:t>
            </w:r>
            <w:r w:rsidR="007C2672">
              <w:t>tri-</w:t>
            </w:r>
            <w:r w:rsidR="007C2672" w:rsidRPr="00C97874">
              <w:rPr>
                <w:vertAlign w:val="superscript"/>
              </w:rPr>
              <w:t>60</w:t>
            </w:r>
            <w:r w:rsidR="007C2672">
              <w:t>Co MR</w:t>
            </w:r>
            <w:r w:rsidR="007202A3">
              <w:t>-</w:t>
            </w:r>
            <w:r w:rsidR="007C2672">
              <w:t>guided system called MRIdian</w:t>
            </w:r>
            <w:r w:rsidR="007C2672" w:rsidRPr="00C97874">
              <w:rPr>
                <w:vertAlign w:val="superscript"/>
              </w:rPr>
              <w:t>TM</w:t>
            </w:r>
            <w:r w:rsidR="007C2672">
              <w:t xml:space="preserve"> (ViewRay Inc., Cleveland, United States)</w:t>
            </w:r>
          </w:p>
          <w:p w14:paraId="4F3A6F9F" w14:textId="77777777" w:rsidR="007C2672" w:rsidRPr="00CE45B9" w:rsidRDefault="007C2672" w:rsidP="006C7E7E">
            <w:pPr>
              <w:pStyle w:val="Tabletext1"/>
            </w:pPr>
            <w:r w:rsidRPr="001B64B7">
              <w:t>Patients were treated with either 52 or 60 Gy in four fractions</w:t>
            </w:r>
          </w:p>
        </w:tc>
        <w:tc>
          <w:tcPr>
            <w:tcW w:w="646" w:type="pct"/>
            <w:gridSpan w:val="2"/>
            <w:tcBorders>
              <w:top w:val="single" w:sz="4" w:space="0" w:color="auto"/>
              <w:left w:val="single" w:sz="4" w:space="0" w:color="auto"/>
              <w:bottom w:val="single" w:sz="4" w:space="0" w:color="auto"/>
              <w:right w:val="single" w:sz="4" w:space="0" w:color="auto"/>
            </w:tcBorders>
          </w:tcPr>
          <w:p w14:paraId="0FD902EE" w14:textId="77777777" w:rsidR="007C2672" w:rsidRDefault="007C2672" w:rsidP="006C7E7E">
            <w:pPr>
              <w:pStyle w:val="Tabletext1"/>
            </w:pPr>
            <w:r w:rsidRPr="00C817D8">
              <w:t>LINAC-based SABR</w:t>
            </w:r>
          </w:p>
          <w:p w14:paraId="13520D13" w14:textId="77777777" w:rsidR="007C2672" w:rsidRDefault="007C2672" w:rsidP="006C7E7E">
            <w:pPr>
              <w:pStyle w:val="Tabletext1"/>
            </w:pPr>
            <w:r>
              <w:t>The volumetric modulated arc therapy (VMAT) plans were delivered with a 6 MV flattening filter-free beam of Truebeam STxTM (Varian Medical Systems, Palo Alto, CA) after imaging with a kV cone-beam CT.</w:t>
            </w:r>
          </w:p>
          <w:p w14:paraId="4DCC569C" w14:textId="77777777" w:rsidR="007C2672" w:rsidRPr="00CE45B9" w:rsidRDefault="007C2672" w:rsidP="006C7E7E">
            <w:pPr>
              <w:pStyle w:val="Tabletext1"/>
            </w:pPr>
            <w:r w:rsidRPr="001B64B7">
              <w:t>Patients were treated with either 52 or 60 Gy in four fractions</w:t>
            </w:r>
          </w:p>
        </w:tc>
        <w:tc>
          <w:tcPr>
            <w:tcW w:w="640" w:type="pct"/>
            <w:gridSpan w:val="2"/>
            <w:tcBorders>
              <w:top w:val="single" w:sz="4" w:space="0" w:color="auto"/>
              <w:left w:val="single" w:sz="4" w:space="0" w:color="auto"/>
              <w:bottom w:val="single" w:sz="4" w:space="0" w:color="auto"/>
              <w:right w:val="single" w:sz="4" w:space="0" w:color="auto"/>
            </w:tcBorders>
          </w:tcPr>
          <w:p w14:paraId="33238E2B" w14:textId="77777777" w:rsidR="007C2672" w:rsidRDefault="007C2672" w:rsidP="006C7E7E">
            <w:pPr>
              <w:pStyle w:val="Tabletext1"/>
            </w:pPr>
            <w:r>
              <w:t xml:space="preserve">Paired differences between lung density changes </w:t>
            </w:r>
          </w:p>
          <w:p w14:paraId="7611C5E2" w14:textId="65E2F7E9" w:rsidR="006C6B60" w:rsidRPr="006C6B60" w:rsidRDefault="00BF4A29" w:rsidP="006C7E7E">
            <w:pPr>
              <w:pStyle w:val="Tabletext1"/>
            </w:pPr>
            <w:r>
              <w:t>PTV</w:t>
            </w:r>
          </w:p>
          <w:p w14:paraId="181874A8" w14:textId="485FBAB8" w:rsidR="00236686" w:rsidRPr="00CE45B9" w:rsidRDefault="00236686" w:rsidP="006C7E7E">
            <w:pPr>
              <w:pStyle w:val="Tabletext1"/>
            </w:pPr>
            <w:r>
              <w:t>Dosimetric outcomes</w:t>
            </w:r>
          </w:p>
          <w:p w14:paraId="22E16D22" w14:textId="77777777" w:rsidR="007C2672" w:rsidRPr="00CE45B9" w:rsidRDefault="007C2672" w:rsidP="006C7E7E">
            <w:pPr>
              <w:pStyle w:val="Tabletext1"/>
            </w:pPr>
          </w:p>
        </w:tc>
        <w:tc>
          <w:tcPr>
            <w:tcW w:w="656" w:type="pct"/>
            <w:tcBorders>
              <w:top w:val="single" w:sz="4" w:space="0" w:color="auto"/>
              <w:left w:val="single" w:sz="4" w:space="0" w:color="auto"/>
              <w:bottom w:val="single" w:sz="4" w:space="0" w:color="auto"/>
              <w:right w:val="single" w:sz="4" w:space="0" w:color="auto"/>
            </w:tcBorders>
          </w:tcPr>
          <w:p w14:paraId="3D2478E9" w14:textId="3631678D" w:rsidR="007C2672" w:rsidRDefault="007C2672" w:rsidP="006C7E7E">
            <w:pPr>
              <w:pStyle w:val="Tabletext1"/>
            </w:pPr>
            <w:r>
              <w:t>Lung density changes were determined based on the first and second follow-up CT scans. Post-treatment CT scans were overlaid on a planning CT scan at</w:t>
            </w:r>
          </w:p>
          <w:p w14:paraId="3B3F4807" w14:textId="49F54DFC" w:rsidR="007C2672" w:rsidRPr="00CE45B9" w:rsidRDefault="007C2672" w:rsidP="006C7E7E">
            <w:pPr>
              <w:pStyle w:val="Tabletext1"/>
            </w:pPr>
            <w:r>
              <w:t>end-inspiration phase using deformable registration with MIMTM version 5.4 (MIM Software Inc., Cleveland, OH), and changes in the lung density (measured in HU) were assessed.</w:t>
            </w:r>
          </w:p>
        </w:tc>
      </w:tr>
      <w:tr w:rsidR="008B6FC0" w:rsidRPr="00CE45B9" w14:paraId="2E68B8F0" w14:textId="77777777" w:rsidTr="008B6FC0">
        <w:trPr>
          <w:cantSplit/>
          <w:trHeight w:val="13"/>
        </w:trPr>
        <w:tc>
          <w:tcPr>
            <w:tcW w:w="444" w:type="pct"/>
            <w:tcBorders>
              <w:top w:val="single" w:sz="4" w:space="0" w:color="auto"/>
              <w:left w:val="single" w:sz="4" w:space="0" w:color="auto"/>
              <w:bottom w:val="single" w:sz="4" w:space="0" w:color="auto"/>
              <w:right w:val="single" w:sz="4" w:space="0" w:color="auto"/>
            </w:tcBorders>
          </w:tcPr>
          <w:p w14:paraId="326A0203" w14:textId="624D856F" w:rsidR="008C2A35" w:rsidRDefault="00211285" w:rsidP="008C2A35">
            <w:pPr>
              <w:pStyle w:val="Tabletext1"/>
            </w:pP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3897FC7A" w14:textId="77777777" w:rsidR="008C2A35" w:rsidRDefault="008C2A35" w:rsidP="008C2A35">
            <w:pPr>
              <w:pStyle w:val="Tabletext1"/>
            </w:pPr>
            <w:r>
              <w:t>Prospective</w:t>
            </w:r>
            <w:r w:rsidRPr="00D546B5">
              <w:t xml:space="preserve"> </w:t>
            </w:r>
            <w:r>
              <w:t>CS</w:t>
            </w:r>
          </w:p>
          <w:p w14:paraId="39BD9CB4" w14:textId="77777777" w:rsidR="008C2A35" w:rsidRDefault="008C2A35" w:rsidP="008C2A35">
            <w:pPr>
              <w:pStyle w:val="Tabletext1"/>
            </w:pPr>
            <w:r>
              <w:t>October 2019</w:t>
            </w:r>
          </w:p>
          <w:p w14:paraId="27DBF120" w14:textId="3A316AB3" w:rsidR="008C2A35" w:rsidRPr="00097EDB" w:rsidRDefault="008C2A35" w:rsidP="008C2A35">
            <w:pPr>
              <w:pStyle w:val="Tabletext1"/>
            </w:pPr>
            <w:r>
              <w:t>- January 2020</w:t>
            </w:r>
          </w:p>
        </w:tc>
        <w:tc>
          <w:tcPr>
            <w:tcW w:w="458" w:type="pct"/>
            <w:tcBorders>
              <w:top w:val="single" w:sz="4" w:space="0" w:color="auto"/>
              <w:left w:val="single" w:sz="4" w:space="0" w:color="auto"/>
              <w:bottom w:val="single" w:sz="4" w:space="0" w:color="auto"/>
              <w:right w:val="single" w:sz="4" w:space="0" w:color="auto"/>
            </w:tcBorders>
          </w:tcPr>
          <w:p w14:paraId="14D72F8B" w14:textId="77777777" w:rsidR="008C2A35" w:rsidRDefault="008C2A35" w:rsidP="008C2A35">
            <w:pPr>
              <w:pStyle w:val="Tabletext1"/>
            </w:pPr>
            <w:r>
              <w:t>Level IV</w:t>
            </w:r>
          </w:p>
          <w:p w14:paraId="3BBE2FC4" w14:textId="1E47AB29" w:rsidR="008C2A35" w:rsidRPr="00097EDB" w:rsidRDefault="008C2A35" w:rsidP="008C2A35">
            <w:pPr>
              <w:pStyle w:val="Tabletext1"/>
            </w:pPr>
            <w:r>
              <w:t>Good quality</w:t>
            </w:r>
          </w:p>
        </w:tc>
        <w:tc>
          <w:tcPr>
            <w:tcW w:w="379" w:type="pct"/>
            <w:tcBorders>
              <w:top w:val="single" w:sz="4" w:space="0" w:color="auto"/>
              <w:left w:val="single" w:sz="4" w:space="0" w:color="auto"/>
              <w:bottom w:val="single" w:sz="4" w:space="0" w:color="auto"/>
              <w:right w:val="single" w:sz="4" w:space="0" w:color="auto"/>
            </w:tcBorders>
          </w:tcPr>
          <w:p w14:paraId="3E7DF832" w14:textId="77777777" w:rsidR="008C2A35" w:rsidRDefault="008C2A35" w:rsidP="008C2A35">
            <w:pPr>
              <w:pStyle w:val="Tabletext1"/>
            </w:pPr>
            <w:r>
              <w:t>Italy</w:t>
            </w:r>
          </w:p>
          <w:p w14:paraId="0A3B5590" w14:textId="01A767C4" w:rsidR="008C2A35" w:rsidRPr="00097EDB" w:rsidRDefault="008C2A35" w:rsidP="008C2A35">
            <w:pPr>
              <w:pStyle w:val="Tabletext1"/>
            </w:pPr>
            <w:r>
              <w:t>Follow-up NR</w:t>
            </w:r>
          </w:p>
        </w:tc>
        <w:tc>
          <w:tcPr>
            <w:tcW w:w="638" w:type="pct"/>
            <w:tcBorders>
              <w:top w:val="single" w:sz="4" w:space="0" w:color="auto"/>
              <w:left w:val="single" w:sz="4" w:space="0" w:color="auto"/>
              <w:bottom w:val="single" w:sz="4" w:space="0" w:color="auto"/>
              <w:right w:val="single" w:sz="4" w:space="0" w:color="auto"/>
            </w:tcBorders>
          </w:tcPr>
          <w:p w14:paraId="0E447644" w14:textId="77777777" w:rsidR="008C2A35" w:rsidRDefault="008C2A35" w:rsidP="008C2A35">
            <w:pPr>
              <w:pStyle w:val="Tabletext1"/>
            </w:pPr>
            <w:r>
              <w:t>N=25</w:t>
            </w:r>
          </w:p>
          <w:p w14:paraId="7379BAAF" w14:textId="77777777" w:rsidR="008C2A35" w:rsidRDefault="008C2A35" w:rsidP="008C2A35">
            <w:pPr>
              <w:pStyle w:val="Tabletext1"/>
            </w:pPr>
            <w:r>
              <w:t>Median age 68 years (range, 54-82)</w:t>
            </w:r>
          </w:p>
          <w:p w14:paraId="214E233F" w14:textId="1FFBC8D2" w:rsidR="008C2A35" w:rsidRPr="00097EDB" w:rsidRDefault="008C2A35" w:rsidP="008C2A35">
            <w:pPr>
              <w:pStyle w:val="Tabletext1"/>
            </w:pPr>
            <w:r>
              <w:t>Localised prostate cancer</w:t>
            </w:r>
          </w:p>
        </w:tc>
        <w:tc>
          <w:tcPr>
            <w:tcW w:w="685" w:type="pct"/>
            <w:tcBorders>
              <w:top w:val="single" w:sz="4" w:space="0" w:color="auto"/>
              <w:left w:val="single" w:sz="4" w:space="0" w:color="auto"/>
              <w:bottom w:val="single" w:sz="4" w:space="0" w:color="auto"/>
              <w:right w:val="single" w:sz="4" w:space="0" w:color="auto"/>
            </w:tcBorders>
          </w:tcPr>
          <w:p w14:paraId="1953D81D" w14:textId="77777777" w:rsidR="008C2A35" w:rsidRDefault="008C2A35" w:rsidP="008C2A35">
            <w:pPr>
              <w:pStyle w:val="Tabletext1"/>
            </w:pPr>
            <w:r>
              <w:t>Unity Elekta MR-linac (Elekta Unity, Stockholm, Sweden) The SBRT schedule consisted of five daily fractions of 7 Gy (total prescription dose, Dp = 35 Gy within 2 weeks</w:t>
            </w:r>
          </w:p>
          <w:p w14:paraId="4DAAE8A0" w14:textId="77777777" w:rsidR="008C2A35" w:rsidRDefault="008C2A35" w:rsidP="008C2A35">
            <w:pPr>
              <w:pStyle w:val="Tabletext1"/>
            </w:pPr>
          </w:p>
        </w:tc>
        <w:tc>
          <w:tcPr>
            <w:tcW w:w="646" w:type="pct"/>
            <w:gridSpan w:val="2"/>
            <w:tcBorders>
              <w:top w:val="single" w:sz="4" w:space="0" w:color="auto"/>
              <w:left w:val="single" w:sz="4" w:space="0" w:color="auto"/>
              <w:bottom w:val="single" w:sz="4" w:space="0" w:color="auto"/>
              <w:right w:val="single" w:sz="4" w:space="0" w:color="auto"/>
            </w:tcBorders>
          </w:tcPr>
          <w:p w14:paraId="30AB1991" w14:textId="40969060" w:rsidR="008C2A35" w:rsidRDefault="008C2A35" w:rsidP="008C2A35">
            <w:pPr>
              <w:pStyle w:val="Tabletext1"/>
            </w:pPr>
            <w:r>
              <w:t>NA</w:t>
            </w:r>
          </w:p>
        </w:tc>
        <w:tc>
          <w:tcPr>
            <w:tcW w:w="640" w:type="pct"/>
            <w:gridSpan w:val="2"/>
            <w:tcBorders>
              <w:top w:val="single" w:sz="4" w:space="0" w:color="auto"/>
              <w:left w:val="single" w:sz="4" w:space="0" w:color="auto"/>
              <w:bottom w:val="single" w:sz="4" w:space="0" w:color="auto"/>
              <w:right w:val="single" w:sz="4" w:space="0" w:color="auto"/>
            </w:tcBorders>
          </w:tcPr>
          <w:p w14:paraId="6B2D836C" w14:textId="77777777" w:rsidR="008C2A35" w:rsidRDefault="008C2A35" w:rsidP="008C2A35">
            <w:pPr>
              <w:pStyle w:val="Tabletext1"/>
              <w:rPr>
                <w:snapToGrid w:val="0"/>
              </w:rPr>
            </w:pPr>
            <w:r>
              <w:rPr>
                <w:snapToGrid w:val="0"/>
              </w:rPr>
              <w:t>Toxicity</w:t>
            </w:r>
          </w:p>
          <w:p w14:paraId="2F00A88B" w14:textId="2DCB7EE5" w:rsidR="008C2A35" w:rsidRDefault="007202A3" w:rsidP="008C2A35">
            <w:pPr>
              <w:pStyle w:val="Tabletext1"/>
            </w:pPr>
            <w:r>
              <w:rPr>
                <w:snapToGrid w:val="0"/>
              </w:rPr>
              <w:t>QoL</w:t>
            </w:r>
          </w:p>
        </w:tc>
        <w:tc>
          <w:tcPr>
            <w:tcW w:w="656" w:type="pct"/>
            <w:tcBorders>
              <w:top w:val="single" w:sz="4" w:space="0" w:color="auto"/>
              <w:left w:val="single" w:sz="4" w:space="0" w:color="auto"/>
              <w:bottom w:val="single" w:sz="4" w:space="0" w:color="auto"/>
              <w:right w:val="single" w:sz="4" w:space="0" w:color="auto"/>
            </w:tcBorders>
          </w:tcPr>
          <w:p w14:paraId="42E8D944" w14:textId="77777777" w:rsidR="008C2A35" w:rsidRDefault="008C2A35" w:rsidP="008C2A35">
            <w:pPr>
              <w:pStyle w:val="Tabletext1"/>
              <w:ind w:left="34"/>
            </w:pPr>
            <w:r>
              <w:t xml:space="preserve">The QLQ-C30 includes functional scales and single-item questions. All scales and single-item scores range from 0 to 100. A high functional scale score represents a healthy level of functioning; a high score for the global health status represents a high QoL, while a high score for a symptom scale, bowel score or urinary score represents a high level of symptomatology. The </w:t>
            </w:r>
          </w:p>
          <w:p w14:paraId="79E3D9C5" w14:textId="77777777" w:rsidR="008C2A35" w:rsidRDefault="008C2A35" w:rsidP="008C2A35">
            <w:pPr>
              <w:pStyle w:val="Tabletext1"/>
              <w:ind w:left="34"/>
            </w:pPr>
            <w:r>
              <w:t>EORTC QLQ-PR25 is complementary to the general cancer EORTC QLQ30 questionnaire and is designed for PC patients. This questionnaire has 25 items examining    urinary and bowel symptoms, sexual activity and function,</w:t>
            </w:r>
          </w:p>
          <w:p w14:paraId="474EA04E" w14:textId="35265321" w:rsidR="008C2A35" w:rsidRDefault="008C2A35" w:rsidP="008C2A35">
            <w:pPr>
              <w:pStyle w:val="Tabletext1"/>
            </w:pPr>
            <w:r>
              <w:t>and treatment-related symptoms, using a 4-point Likert response scale</w:t>
            </w:r>
          </w:p>
        </w:tc>
      </w:tr>
      <w:tr w:rsidR="008B6FC0" w:rsidRPr="00CE45B9" w14:paraId="15D4A5E0" w14:textId="77777777" w:rsidTr="008B6FC0">
        <w:trPr>
          <w:cantSplit/>
          <w:trHeight w:val="13"/>
        </w:trPr>
        <w:tc>
          <w:tcPr>
            <w:tcW w:w="444" w:type="pct"/>
            <w:tcBorders>
              <w:top w:val="single" w:sz="4" w:space="0" w:color="auto"/>
              <w:left w:val="single" w:sz="4" w:space="0" w:color="auto"/>
              <w:bottom w:val="single" w:sz="4" w:space="0" w:color="auto"/>
              <w:right w:val="single" w:sz="4" w:space="0" w:color="auto"/>
            </w:tcBorders>
          </w:tcPr>
          <w:p w14:paraId="79C33B54" w14:textId="5304EBCF" w:rsidR="008C2A35" w:rsidRDefault="00211285" w:rsidP="009D6338">
            <w:pPr>
              <w:pStyle w:val="Tabletext1"/>
              <w:keepNext/>
              <w:keepLines/>
              <w:pageBreakBefore/>
            </w:pPr>
            <w:hyperlink w:anchor="_ENREF_21" w:tooltip="Chen, 2018 #24" w:history="1">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 </w:instrText>
              </w:r>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EN.CITE.DATA </w:instrText>
              </w:r>
              <w:r w:rsidR="008B6FC0">
                <w:fldChar w:fldCharType="end"/>
              </w:r>
              <w:r w:rsidR="008B6FC0">
                <w:fldChar w:fldCharType="separate"/>
              </w:r>
              <w:r w:rsidR="008B6FC0">
                <w:rPr>
                  <w:noProof/>
                </w:rPr>
                <w:t>Chen et al. (2018)</w:t>
              </w:r>
              <w:r w:rsidR="008B6FC0">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0B00408B" w14:textId="77777777" w:rsidR="008C2A35" w:rsidRDefault="008C2A35" w:rsidP="009D6338">
            <w:pPr>
              <w:pStyle w:val="Tabletext1"/>
              <w:keepNext/>
              <w:keepLines/>
              <w:pageBreakBefore/>
            </w:pPr>
            <w:r>
              <w:t>Prospective Coh</w:t>
            </w:r>
          </w:p>
          <w:p w14:paraId="51C7FD8D" w14:textId="3954445A" w:rsidR="008C2A35" w:rsidRPr="00097EDB" w:rsidRDefault="008C2A35" w:rsidP="009D6338">
            <w:pPr>
              <w:pStyle w:val="Tabletext1"/>
              <w:keepNext/>
              <w:keepLines/>
              <w:pageBreakBefore/>
            </w:pPr>
            <w:r w:rsidRPr="00FD2B6D">
              <w:t>Oct</w:t>
            </w:r>
            <w:r w:rsidR="00C12A38">
              <w:t>ober</w:t>
            </w:r>
            <w:r w:rsidRPr="00FD2B6D">
              <w:t xml:space="preserve"> 2014-Oct</w:t>
            </w:r>
            <w:r w:rsidR="00C12A38">
              <w:t>ober</w:t>
            </w:r>
            <w:r w:rsidRPr="00FD2B6D">
              <w:t xml:space="preserve"> 2016</w:t>
            </w:r>
          </w:p>
        </w:tc>
        <w:tc>
          <w:tcPr>
            <w:tcW w:w="458" w:type="pct"/>
            <w:tcBorders>
              <w:top w:val="single" w:sz="4" w:space="0" w:color="auto"/>
              <w:left w:val="single" w:sz="4" w:space="0" w:color="auto"/>
              <w:bottom w:val="single" w:sz="4" w:space="0" w:color="auto"/>
              <w:right w:val="single" w:sz="4" w:space="0" w:color="auto"/>
            </w:tcBorders>
          </w:tcPr>
          <w:p w14:paraId="011C014F" w14:textId="77777777" w:rsidR="008C2A35" w:rsidRPr="00FD4D28" w:rsidRDefault="008C2A35" w:rsidP="009D6338">
            <w:pPr>
              <w:pStyle w:val="Tabletext1"/>
              <w:keepNext/>
              <w:keepLines/>
              <w:pageBreakBefore/>
            </w:pPr>
            <w:r w:rsidRPr="00FD4D28">
              <w:t>Level III</w:t>
            </w:r>
          </w:p>
          <w:p w14:paraId="0056E3C4" w14:textId="2A6ADD70" w:rsidR="008C2A35" w:rsidRPr="00097EDB" w:rsidRDefault="008C2A35" w:rsidP="009D6338">
            <w:pPr>
              <w:pStyle w:val="Tabletext1"/>
              <w:keepNext/>
              <w:keepLines/>
              <w:pageBreakBefore/>
            </w:pPr>
            <w:r w:rsidRPr="00FD4D28">
              <w:t>Good quality</w:t>
            </w:r>
          </w:p>
        </w:tc>
        <w:tc>
          <w:tcPr>
            <w:tcW w:w="379" w:type="pct"/>
            <w:tcBorders>
              <w:top w:val="single" w:sz="4" w:space="0" w:color="auto"/>
              <w:left w:val="single" w:sz="4" w:space="0" w:color="auto"/>
              <w:bottom w:val="single" w:sz="4" w:space="0" w:color="auto"/>
              <w:right w:val="single" w:sz="4" w:space="0" w:color="auto"/>
            </w:tcBorders>
          </w:tcPr>
          <w:p w14:paraId="206C8C01" w14:textId="60BDCBD5" w:rsidR="008C2A35" w:rsidRPr="00097EDB" w:rsidRDefault="008C2A35" w:rsidP="009D6338">
            <w:pPr>
              <w:pStyle w:val="Tabletext1"/>
              <w:keepNext/>
              <w:keepLines/>
              <w:pageBreakBefore/>
            </w:pPr>
            <w:r>
              <w:t>USA, Median follow-up: 18 months</w:t>
            </w:r>
          </w:p>
        </w:tc>
        <w:tc>
          <w:tcPr>
            <w:tcW w:w="638" w:type="pct"/>
            <w:tcBorders>
              <w:top w:val="single" w:sz="4" w:space="0" w:color="auto"/>
              <w:left w:val="single" w:sz="4" w:space="0" w:color="auto"/>
              <w:bottom w:val="single" w:sz="4" w:space="0" w:color="auto"/>
              <w:right w:val="single" w:sz="4" w:space="0" w:color="auto"/>
            </w:tcBorders>
          </w:tcPr>
          <w:p w14:paraId="6C418DEB" w14:textId="77777777" w:rsidR="008C2A35" w:rsidRDefault="008C2A35" w:rsidP="009D6338">
            <w:pPr>
              <w:pStyle w:val="Tabletext1"/>
              <w:keepNext/>
              <w:keepLines/>
              <w:pageBreakBefore/>
            </w:pPr>
            <w:r>
              <w:t xml:space="preserve">N=18, </w:t>
            </w:r>
          </w:p>
          <w:p w14:paraId="29EE694F" w14:textId="77777777" w:rsidR="008C2A35" w:rsidRDefault="008C2A35" w:rsidP="009D6338">
            <w:pPr>
              <w:pStyle w:val="Tabletext1"/>
              <w:keepNext/>
              <w:keepLines/>
              <w:pageBreakBefore/>
            </w:pPr>
            <w:r>
              <w:t>Median age: 58 (range 15-76) years, 15 men, 3 women.</w:t>
            </w:r>
          </w:p>
          <w:p w14:paraId="7F43C5DF" w14:textId="019A3D33" w:rsidR="008C2A35" w:rsidRPr="00097EDB" w:rsidRDefault="008C2A35" w:rsidP="009D6338">
            <w:pPr>
              <w:pStyle w:val="Tabletext1"/>
              <w:keepNext/>
              <w:keepLines/>
              <w:pageBreakBefore/>
            </w:pPr>
            <w:r>
              <w:t xml:space="preserve">Patients with newly-diagnosed head and neck cancer with biopsy-proven evidence of malignancy, measurable disease, and the ability to consent for treatment. No patient had evidence of distant metastasis </w:t>
            </w:r>
          </w:p>
        </w:tc>
        <w:tc>
          <w:tcPr>
            <w:tcW w:w="685" w:type="pct"/>
            <w:tcBorders>
              <w:top w:val="single" w:sz="4" w:space="0" w:color="auto"/>
              <w:left w:val="single" w:sz="4" w:space="0" w:color="auto"/>
              <w:bottom w:val="single" w:sz="4" w:space="0" w:color="auto"/>
              <w:right w:val="single" w:sz="4" w:space="0" w:color="auto"/>
            </w:tcBorders>
          </w:tcPr>
          <w:p w14:paraId="5F2C17A3" w14:textId="77777777" w:rsidR="008C2A35" w:rsidRDefault="008C2A35" w:rsidP="009D6338">
            <w:pPr>
              <w:pStyle w:val="Tabletext1"/>
              <w:keepNext/>
              <w:keepLines/>
              <w:pageBreakBefore/>
            </w:pPr>
            <w:r>
              <w:t xml:space="preserve">IMRT treatment with 0.35-T MRI scanner with a tri-source </w:t>
            </w:r>
            <w:r w:rsidRPr="00C97874">
              <w:rPr>
                <w:vertAlign w:val="superscript"/>
              </w:rPr>
              <w:t>60</w:t>
            </w:r>
            <w:r>
              <w:t>Co therapy source (ViewRay system)</w:t>
            </w:r>
          </w:p>
          <w:p w14:paraId="660AFD7C" w14:textId="3993B696" w:rsidR="008C2A35" w:rsidRDefault="008C2A35" w:rsidP="009D6338">
            <w:pPr>
              <w:pStyle w:val="Tabletext1"/>
              <w:keepNext/>
              <w:keepLines/>
              <w:pageBreakBefore/>
            </w:pPr>
            <w:r>
              <w:t xml:space="preserve">Prescription dose 66-70 Gy (median 70 Gy) to PTV1 (2.0 or 2.12 Gy per fraction), and 60–63 Gy to the PTV2 (1.8 Gy per fraction per day), total fractions not reported </w:t>
            </w:r>
          </w:p>
        </w:tc>
        <w:tc>
          <w:tcPr>
            <w:tcW w:w="646" w:type="pct"/>
            <w:gridSpan w:val="2"/>
            <w:tcBorders>
              <w:top w:val="single" w:sz="4" w:space="0" w:color="auto"/>
              <w:left w:val="single" w:sz="4" w:space="0" w:color="auto"/>
              <w:bottom w:val="single" w:sz="4" w:space="0" w:color="auto"/>
              <w:right w:val="single" w:sz="4" w:space="0" w:color="auto"/>
            </w:tcBorders>
          </w:tcPr>
          <w:p w14:paraId="4EAB7974" w14:textId="72D06152" w:rsidR="008C2A35" w:rsidRDefault="008C2A35" w:rsidP="009D6338">
            <w:pPr>
              <w:pStyle w:val="Tabletext1"/>
              <w:keepNext/>
              <w:keepLines/>
              <w:pageBreakBefore/>
            </w:pPr>
            <w:r>
              <w:t>No comparator</w:t>
            </w:r>
          </w:p>
        </w:tc>
        <w:tc>
          <w:tcPr>
            <w:tcW w:w="640" w:type="pct"/>
            <w:gridSpan w:val="2"/>
            <w:tcBorders>
              <w:top w:val="single" w:sz="4" w:space="0" w:color="auto"/>
              <w:left w:val="single" w:sz="4" w:space="0" w:color="auto"/>
              <w:bottom w:val="single" w:sz="4" w:space="0" w:color="auto"/>
              <w:right w:val="single" w:sz="4" w:space="0" w:color="auto"/>
            </w:tcBorders>
          </w:tcPr>
          <w:p w14:paraId="3F3275E8" w14:textId="77777777" w:rsidR="008C2A35" w:rsidRDefault="008C2A35" w:rsidP="009D6338">
            <w:pPr>
              <w:pStyle w:val="Tabletext1"/>
              <w:keepNext/>
              <w:keepLines/>
              <w:pageBreakBefore/>
            </w:pPr>
            <w:r>
              <w:t xml:space="preserve">Toxicity </w:t>
            </w:r>
          </w:p>
          <w:p w14:paraId="0DE22D83" w14:textId="15A57C03" w:rsidR="008C2A35" w:rsidRDefault="007202A3" w:rsidP="009D6338">
            <w:pPr>
              <w:pStyle w:val="Tabletext1"/>
              <w:keepNext/>
              <w:keepLines/>
              <w:pageBreakBefore/>
            </w:pPr>
            <w:r>
              <w:t>QoL</w:t>
            </w:r>
          </w:p>
          <w:p w14:paraId="38F8A11B" w14:textId="7A23480B" w:rsidR="008C2A35" w:rsidRDefault="007202A3" w:rsidP="009D6338">
            <w:pPr>
              <w:pStyle w:val="Tabletext1"/>
              <w:keepNext/>
              <w:keepLines/>
              <w:pageBreakBefore/>
              <w:rPr>
                <w:snapToGrid w:val="0"/>
              </w:rPr>
            </w:pPr>
            <w:r>
              <w:rPr>
                <w:snapToGrid w:val="0"/>
              </w:rPr>
              <w:t>1-year</w:t>
            </w:r>
            <w:r w:rsidR="008C2A35">
              <w:rPr>
                <w:snapToGrid w:val="0"/>
              </w:rPr>
              <w:t xml:space="preserve"> </w:t>
            </w:r>
            <w:r>
              <w:rPr>
                <w:snapToGrid w:val="0"/>
              </w:rPr>
              <w:t>PFS</w:t>
            </w:r>
          </w:p>
          <w:p w14:paraId="35494A39" w14:textId="1326C94D" w:rsidR="008C2A35" w:rsidRDefault="007202A3" w:rsidP="009D6338">
            <w:pPr>
              <w:pStyle w:val="Tabletext1"/>
              <w:keepNext/>
              <w:keepLines/>
              <w:pageBreakBefore/>
              <w:rPr>
                <w:snapToGrid w:val="0"/>
              </w:rPr>
            </w:pPr>
            <w:r>
              <w:rPr>
                <w:snapToGrid w:val="0"/>
              </w:rPr>
              <w:t>1-</w:t>
            </w:r>
            <w:r w:rsidR="008C2A35">
              <w:rPr>
                <w:snapToGrid w:val="0"/>
              </w:rPr>
              <w:t xml:space="preserve">year </w:t>
            </w:r>
            <w:r>
              <w:rPr>
                <w:snapToGrid w:val="0"/>
              </w:rPr>
              <w:t>OS</w:t>
            </w:r>
          </w:p>
          <w:p w14:paraId="235F3733" w14:textId="3EDC3F76" w:rsidR="008C2A35" w:rsidRDefault="007202A3" w:rsidP="009D6338">
            <w:pPr>
              <w:pStyle w:val="Tabletext1"/>
              <w:keepNext/>
              <w:keepLines/>
              <w:pageBreakBefore/>
            </w:pPr>
            <w:r>
              <w:rPr>
                <w:snapToGrid w:val="0"/>
              </w:rPr>
              <w:t>1-</w:t>
            </w:r>
            <w:r w:rsidR="001A721A">
              <w:rPr>
                <w:snapToGrid w:val="0"/>
              </w:rPr>
              <w:t>year</w:t>
            </w:r>
            <w:r w:rsidR="008C2A35">
              <w:rPr>
                <w:snapToGrid w:val="0"/>
              </w:rPr>
              <w:t xml:space="preserve"> </w:t>
            </w:r>
            <w:r w:rsidR="008C2A35">
              <w:t>local–regional disease control</w:t>
            </w:r>
          </w:p>
        </w:tc>
        <w:tc>
          <w:tcPr>
            <w:tcW w:w="656" w:type="pct"/>
            <w:tcBorders>
              <w:top w:val="single" w:sz="4" w:space="0" w:color="auto"/>
              <w:left w:val="single" w:sz="4" w:space="0" w:color="auto"/>
              <w:bottom w:val="single" w:sz="4" w:space="0" w:color="auto"/>
              <w:right w:val="single" w:sz="4" w:space="0" w:color="auto"/>
            </w:tcBorders>
          </w:tcPr>
          <w:p w14:paraId="16D57420" w14:textId="3759DDD3" w:rsidR="008C2A35" w:rsidRDefault="008C2A35" w:rsidP="009D6338">
            <w:pPr>
              <w:pStyle w:val="Tabletext1"/>
              <w:keepNext/>
              <w:keepLines/>
              <w:pageBreakBefore/>
            </w:pPr>
            <w:r>
              <w:t xml:space="preserve">Response to treatment was determined using RECIST criteria. Acute and late normal tissue effects were graded according to the National Cancer Institute’s </w:t>
            </w:r>
            <w:r w:rsidR="007202A3">
              <w:t>CTCAE</w:t>
            </w:r>
            <w:r>
              <w:t xml:space="preserve">, </w:t>
            </w:r>
            <w:r w:rsidR="007202A3">
              <w:t>UW-QOL</w:t>
            </w:r>
            <w:r>
              <w:t xml:space="preserve"> version 4 </w:t>
            </w:r>
            <w:r w:rsidR="007202A3">
              <w:t>i</w:t>
            </w:r>
            <w:r>
              <w:t>nstrument was administered at follow-up visits to evaluate patient-reported outcomes</w:t>
            </w:r>
          </w:p>
        </w:tc>
      </w:tr>
      <w:tr w:rsidR="008B6FC0" w:rsidRPr="00CE45B9" w14:paraId="59D612B1" w14:textId="77777777" w:rsidTr="008B6FC0">
        <w:trPr>
          <w:cantSplit/>
          <w:trHeight w:val="13"/>
        </w:trPr>
        <w:tc>
          <w:tcPr>
            <w:tcW w:w="444" w:type="pct"/>
            <w:tcBorders>
              <w:top w:val="single" w:sz="4" w:space="0" w:color="auto"/>
              <w:left w:val="single" w:sz="4" w:space="0" w:color="auto"/>
              <w:bottom w:val="single" w:sz="4" w:space="0" w:color="auto"/>
              <w:right w:val="single" w:sz="4" w:space="0" w:color="auto"/>
            </w:tcBorders>
          </w:tcPr>
          <w:p w14:paraId="16CF1FD2" w14:textId="7ED74108" w:rsidR="008C2A35" w:rsidRDefault="00211285" w:rsidP="008C2A35">
            <w:pPr>
              <w:pStyle w:val="Tabletext1"/>
            </w:pPr>
            <w:hyperlink w:anchor="_ENREF_27" w:tooltip="Feldman, 2019 #15" w:history="1">
              <w:r w:rsidR="008B6FC0">
                <w:fldChar w:fldCharType="begin"/>
              </w:r>
              <w:r w:rsidR="008B6FC0">
                <w:instrText xml:space="preserve"> ADDIN EN.CITE &lt;EndNote&gt;&lt;Cite AuthorYear="1"&gt;&lt;Author&gt;Feldman&lt;/Author&gt;&lt;Year&gt;2019&lt;/Year&gt;&lt;RecNum&gt;15&lt;/RecNum&gt;&lt;DisplayText&gt;Feldman et al. (2019)&lt;/DisplayText&gt;&lt;record&gt;&lt;rec-number&gt;15&lt;/rec-number&gt;&lt;foreign-keys&gt;&lt;key app="EN" db-id="sx5wsdwv795wvue959xxw0ptaewvdezxxp05" timestamp="1604454185"&gt;15&lt;/key&gt;&lt;/foreign-keys&gt;&lt;ref-type name="Journal Article"&gt;17&lt;/ref-type&gt;&lt;contributors&gt;&lt;authors&gt;&lt;author&gt;Feldman, A. M.&lt;/author&gt;&lt;author&gt;Modh, A.&lt;/author&gt;&lt;author&gt;Glide-Hurst, C.&lt;/author&gt;&lt;author&gt;Chetty, I. J.&lt;/author&gt;&lt;author&gt;Movsas, B.&lt;/author&gt;&lt;/authors&gt;&lt;/contributors&gt;&lt;titles&gt;&lt;title&gt;Real-time Magnetic Resonance-guided Liver Stereotactic Body Radiation Therapy: An Institutional Report Using a Magnetic Resonance-Linac System&lt;/title&gt;&lt;secondary-title&gt;Cureus&lt;/secondary-title&gt;&lt;/titles&gt;&lt;pages&gt;e5774&lt;/pages&gt;&lt;volume&gt;11&lt;/volume&gt;&lt;number&gt;9&lt;/number&gt;&lt;dates&gt;&lt;year&gt;2019&lt;/year&gt;&lt;/dates&gt;&lt;accession-num&gt;31723533&lt;/accession-num&gt;&lt;urls&gt;&lt;related-urls&gt;&lt;url&gt;http://ezproxy.library.usyd.edu.au/login?url=http://ovidsp.ovid.com/ovidweb.cgi?T=JS&amp;amp;CSC=Y&amp;amp;NEWS=N&amp;amp;PAGE=fulltext&amp;amp;D=prem3&amp;amp;AN=31723533https://sydney.alma.exlibrisgroup.com/openurl/61USYD_INST/61USYD_INST:sydney?sid=OVID:medline&amp;amp;id=pmid:31723533&amp;amp;id=doi:10.775&lt;/url&gt;&lt;url&gt;https://www.ncbi.nlm.nih.gov/pmc/articles/PMC6825488/pdf/cureus-0011-00000005774.pdf&lt;/url&gt;&lt;/related-urls&gt;&lt;/urls&gt;&lt;custom2&gt;single arm safety SBRT&lt;/custom2&gt;&lt;electronic-resource-num&gt;https://dx.doi.org/10.7759/cureus.5774&lt;/electronic-resource-num&gt;&lt;/record&gt;&lt;/Cite&gt;&lt;/EndNote&gt;</w:instrText>
              </w:r>
              <w:r w:rsidR="008B6FC0">
                <w:fldChar w:fldCharType="separate"/>
              </w:r>
              <w:r w:rsidR="008B6FC0">
                <w:rPr>
                  <w:noProof/>
                </w:rPr>
                <w:t>Feldman et al. (2019)</w:t>
              </w:r>
              <w:r w:rsidR="008B6FC0">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173665E8" w14:textId="77777777" w:rsidR="008C2A35" w:rsidRDefault="008C2A35" w:rsidP="008C2A35">
            <w:pPr>
              <w:pStyle w:val="Tabletext1"/>
            </w:pPr>
            <w:r>
              <w:t>Retrospective CS</w:t>
            </w:r>
          </w:p>
          <w:p w14:paraId="23047C7B" w14:textId="1CF02889" w:rsidR="008C2A35" w:rsidRPr="00097EDB" w:rsidRDefault="008C2A35" w:rsidP="008C2A35">
            <w:pPr>
              <w:pStyle w:val="Tabletext1"/>
            </w:pPr>
            <w:r>
              <w:t>August 2017-October 2018</w:t>
            </w:r>
          </w:p>
        </w:tc>
        <w:tc>
          <w:tcPr>
            <w:tcW w:w="458" w:type="pct"/>
            <w:tcBorders>
              <w:top w:val="single" w:sz="4" w:space="0" w:color="auto"/>
              <w:left w:val="single" w:sz="4" w:space="0" w:color="auto"/>
              <w:bottom w:val="single" w:sz="4" w:space="0" w:color="auto"/>
              <w:right w:val="single" w:sz="4" w:space="0" w:color="auto"/>
            </w:tcBorders>
          </w:tcPr>
          <w:p w14:paraId="444FCC89" w14:textId="77777777" w:rsidR="008C2A35" w:rsidRDefault="008C2A35" w:rsidP="008C2A35">
            <w:pPr>
              <w:pStyle w:val="Tabletext1"/>
            </w:pPr>
            <w:r>
              <w:t>Level IV</w:t>
            </w:r>
          </w:p>
          <w:p w14:paraId="7E282F34" w14:textId="44668986" w:rsidR="008C2A35" w:rsidRPr="00097EDB" w:rsidRDefault="008C2A35" w:rsidP="008C2A35">
            <w:pPr>
              <w:pStyle w:val="Tabletext1"/>
            </w:pPr>
            <w:r>
              <w:t>Poor quality</w:t>
            </w:r>
          </w:p>
        </w:tc>
        <w:tc>
          <w:tcPr>
            <w:tcW w:w="379" w:type="pct"/>
            <w:tcBorders>
              <w:top w:val="single" w:sz="4" w:space="0" w:color="auto"/>
              <w:left w:val="single" w:sz="4" w:space="0" w:color="auto"/>
              <w:bottom w:val="single" w:sz="4" w:space="0" w:color="auto"/>
              <w:right w:val="single" w:sz="4" w:space="0" w:color="auto"/>
            </w:tcBorders>
          </w:tcPr>
          <w:p w14:paraId="2CB6A6C8" w14:textId="77777777" w:rsidR="008C2A35" w:rsidRDefault="008C2A35" w:rsidP="008C2A35">
            <w:pPr>
              <w:pStyle w:val="Tabletext1"/>
            </w:pPr>
            <w:r>
              <w:t>USA</w:t>
            </w:r>
          </w:p>
          <w:p w14:paraId="66A7EAC1" w14:textId="76291CF8" w:rsidR="008C2A35" w:rsidRPr="00097EDB" w:rsidRDefault="008C2A35" w:rsidP="008C2A35">
            <w:pPr>
              <w:pStyle w:val="Tabletext1"/>
            </w:pPr>
            <w:r>
              <w:t>2-3 months</w:t>
            </w:r>
          </w:p>
        </w:tc>
        <w:tc>
          <w:tcPr>
            <w:tcW w:w="638" w:type="pct"/>
            <w:tcBorders>
              <w:top w:val="single" w:sz="4" w:space="0" w:color="auto"/>
              <w:left w:val="single" w:sz="4" w:space="0" w:color="auto"/>
              <w:bottom w:val="single" w:sz="4" w:space="0" w:color="auto"/>
              <w:right w:val="single" w:sz="4" w:space="0" w:color="auto"/>
            </w:tcBorders>
          </w:tcPr>
          <w:p w14:paraId="22495FE4" w14:textId="77777777" w:rsidR="008C2A35" w:rsidRDefault="008C2A35" w:rsidP="008C2A35">
            <w:pPr>
              <w:pStyle w:val="Tabletext1"/>
            </w:pPr>
            <w:r>
              <w:t>N=29</w:t>
            </w:r>
          </w:p>
          <w:p w14:paraId="73F062CD" w14:textId="77777777" w:rsidR="008C2A35" w:rsidRDefault="008C2A35" w:rsidP="008C2A35">
            <w:pPr>
              <w:pStyle w:val="Tabletext1"/>
            </w:pPr>
            <w:r>
              <w:t>Age NR</w:t>
            </w:r>
          </w:p>
          <w:p w14:paraId="680B3C6B" w14:textId="77777777" w:rsidR="008C2A35" w:rsidRDefault="008C2A35" w:rsidP="008C2A35">
            <w:pPr>
              <w:pStyle w:val="Tabletext1"/>
            </w:pPr>
            <w:r>
              <w:t>19 male, 10 females</w:t>
            </w:r>
          </w:p>
          <w:p w14:paraId="52E5DA89" w14:textId="1219CF15" w:rsidR="008C2A35" w:rsidRPr="00097EDB" w:rsidRDefault="008C2A35" w:rsidP="008C2A35">
            <w:pPr>
              <w:pStyle w:val="Tabletext1"/>
            </w:pPr>
            <w:r>
              <w:t>patients had one or more biopsy-proven primary or metastatic unresectable liver lesions.</w:t>
            </w:r>
          </w:p>
        </w:tc>
        <w:tc>
          <w:tcPr>
            <w:tcW w:w="685" w:type="pct"/>
            <w:tcBorders>
              <w:top w:val="single" w:sz="4" w:space="0" w:color="auto"/>
              <w:left w:val="single" w:sz="4" w:space="0" w:color="auto"/>
              <w:bottom w:val="single" w:sz="4" w:space="0" w:color="auto"/>
              <w:right w:val="single" w:sz="4" w:space="0" w:color="auto"/>
            </w:tcBorders>
          </w:tcPr>
          <w:p w14:paraId="032A15ED" w14:textId="77777777" w:rsidR="008C2A35" w:rsidRDefault="008C2A35" w:rsidP="008C2A35">
            <w:pPr>
              <w:pStyle w:val="Tabletext1"/>
              <w:rPr>
                <w:rFonts w:eastAsiaTheme="minorHAnsi"/>
                <w:lang w:eastAsia="en-US"/>
              </w:rPr>
            </w:pPr>
            <w:r>
              <w:rPr>
                <w:rFonts w:eastAsiaTheme="minorHAnsi"/>
                <w:lang w:eastAsia="en-US"/>
              </w:rPr>
              <w:t>SBRT using MRIdian Linac system (ViewRay, Oakwood Village, OH)</w:t>
            </w:r>
          </w:p>
          <w:p w14:paraId="56FD8D3D" w14:textId="0097C88B" w:rsidR="008C2A35" w:rsidRDefault="008C2A35" w:rsidP="008C2A35">
            <w:pPr>
              <w:pStyle w:val="Tabletext1"/>
            </w:pPr>
            <w:r>
              <w:t>Patients received 45 to 50 Gy prescribed to at least 95% of the PTV in five fractions except for two patients who received 27-30 Gy in three fractions.</w:t>
            </w:r>
          </w:p>
        </w:tc>
        <w:tc>
          <w:tcPr>
            <w:tcW w:w="646" w:type="pct"/>
            <w:gridSpan w:val="2"/>
            <w:tcBorders>
              <w:top w:val="single" w:sz="4" w:space="0" w:color="auto"/>
              <w:left w:val="single" w:sz="4" w:space="0" w:color="auto"/>
              <w:bottom w:val="single" w:sz="4" w:space="0" w:color="auto"/>
              <w:right w:val="single" w:sz="4" w:space="0" w:color="auto"/>
            </w:tcBorders>
          </w:tcPr>
          <w:p w14:paraId="58204456" w14:textId="59F52CC0" w:rsidR="008C2A35" w:rsidRDefault="008C2A35" w:rsidP="008C2A35">
            <w:pPr>
              <w:pStyle w:val="Tabletext1"/>
            </w:pPr>
            <w:r>
              <w:t>NA</w:t>
            </w:r>
          </w:p>
        </w:tc>
        <w:tc>
          <w:tcPr>
            <w:tcW w:w="640" w:type="pct"/>
            <w:gridSpan w:val="2"/>
            <w:tcBorders>
              <w:top w:val="single" w:sz="4" w:space="0" w:color="auto"/>
              <w:left w:val="single" w:sz="4" w:space="0" w:color="auto"/>
              <w:bottom w:val="single" w:sz="4" w:space="0" w:color="auto"/>
              <w:right w:val="single" w:sz="4" w:space="0" w:color="auto"/>
            </w:tcBorders>
          </w:tcPr>
          <w:p w14:paraId="68EA75A6" w14:textId="2DC2B1B0" w:rsidR="008C2A35" w:rsidRDefault="008C2A35" w:rsidP="008C2A35">
            <w:pPr>
              <w:pStyle w:val="Tabletext1"/>
            </w:pPr>
            <w:r>
              <w:t>Toxicity</w:t>
            </w:r>
          </w:p>
        </w:tc>
        <w:tc>
          <w:tcPr>
            <w:tcW w:w="656" w:type="pct"/>
            <w:tcBorders>
              <w:top w:val="single" w:sz="4" w:space="0" w:color="auto"/>
              <w:left w:val="single" w:sz="4" w:space="0" w:color="auto"/>
              <w:bottom w:val="single" w:sz="4" w:space="0" w:color="auto"/>
              <w:right w:val="single" w:sz="4" w:space="0" w:color="auto"/>
            </w:tcBorders>
          </w:tcPr>
          <w:p w14:paraId="05B05C6A" w14:textId="212781E9" w:rsidR="008C2A35" w:rsidRDefault="008C2A35" w:rsidP="008C2A35">
            <w:pPr>
              <w:pStyle w:val="Tabletext1"/>
            </w:pPr>
            <w:r>
              <w:t>Toxicity information was obtained by reviewing radiation treatment completion notes and follow-up clinic visit notes.</w:t>
            </w:r>
          </w:p>
        </w:tc>
      </w:tr>
      <w:tr w:rsidR="008B6FC0" w:rsidRPr="00CE45B9" w14:paraId="42DFCFE8" w14:textId="77777777" w:rsidTr="008B6FC0">
        <w:trPr>
          <w:cantSplit/>
          <w:trHeight w:val="13"/>
        </w:trPr>
        <w:tc>
          <w:tcPr>
            <w:tcW w:w="444" w:type="pct"/>
            <w:tcBorders>
              <w:top w:val="single" w:sz="4" w:space="0" w:color="auto"/>
              <w:left w:val="single" w:sz="4" w:space="0" w:color="auto"/>
              <w:bottom w:val="single" w:sz="4" w:space="0" w:color="auto"/>
              <w:right w:val="single" w:sz="4" w:space="0" w:color="auto"/>
            </w:tcBorders>
          </w:tcPr>
          <w:p w14:paraId="3DFC9FA9" w14:textId="22E6D222" w:rsidR="008C2A35" w:rsidRDefault="00211285" w:rsidP="008C2A35">
            <w:pPr>
              <w:pStyle w:val="Tabletext1"/>
            </w:pPr>
            <w:hyperlink w:anchor="_ENREF_28" w:tooltip="Finazzi, 2020 #16" w:history="1">
              <w:r w:rsidR="001F781A">
                <w:fldChar w:fldCharType="begin"/>
              </w:r>
              <w:r w:rsidR="001F781A">
                <w:instrText xml:space="preserve"> ADDIN EN.CITE &lt;EndNote&gt;&lt;Cite AuthorYear="1"&gt;&lt;Author&gt;Finazzi&lt;/Author&gt;&lt;Year&gt;2020&lt;/Year&gt;&lt;RecNum&gt;16&lt;/RecNum&gt;&lt;DisplayText&gt;Finazzi,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1F781A">
                <w:fldChar w:fldCharType="separate"/>
              </w:r>
              <w:r w:rsidR="001F781A">
                <w:rPr>
                  <w:noProof/>
                </w:rPr>
                <w:t>Finazzi, Haasbeek, et al. (2020)</w:t>
              </w:r>
              <w:r w:rsidR="001F781A">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4C16AB14" w14:textId="77777777" w:rsidR="008C2A35" w:rsidRDefault="008C2A35" w:rsidP="008C2A35">
            <w:pPr>
              <w:pStyle w:val="Tabletext1"/>
            </w:pPr>
            <w:r>
              <w:t>Retrospective CS</w:t>
            </w:r>
          </w:p>
          <w:p w14:paraId="1F85E5D2" w14:textId="1CAE0C56" w:rsidR="008C2A35" w:rsidRPr="00097EDB" w:rsidRDefault="008C2A35" w:rsidP="008C2A35">
            <w:pPr>
              <w:pStyle w:val="Tabletext1"/>
            </w:pPr>
            <w:r>
              <w:t>May 2016 – November 2018</w:t>
            </w:r>
          </w:p>
        </w:tc>
        <w:tc>
          <w:tcPr>
            <w:tcW w:w="458" w:type="pct"/>
            <w:tcBorders>
              <w:top w:val="single" w:sz="4" w:space="0" w:color="auto"/>
              <w:left w:val="single" w:sz="4" w:space="0" w:color="auto"/>
              <w:bottom w:val="single" w:sz="4" w:space="0" w:color="auto"/>
              <w:right w:val="single" w:sz="4" w:space="0" w:color="auto"/>
            </w:tcBorders>
          </w:tcPr>
          <w:p w14:paraId="5C1C1290" w14:textId="77777777" w:rsidR="008C2A35" w:rsidRDefault="008C2A35" w:rsidP="008C2A35">
            <w:pPr>
              <w:pStyle w:val="Tabletext1"/>
            </w:pPr>
            <w:r>
              <w:t>Level IV</w:t>
            </w:r>
          </w:p>
          <w:p w14:paraId="3C00F78D" w14:textId="77777777" w:rsidR="008C2A35" w:rsidRDefault="008C2A35" w:rsidP="008C2A35">
            <w:pPr>
              <w:pStyle w:val="Tabletext1"/>
            </w:pPr>
            <w:r>
              <w:t>Good quality</w:t>
            </w:r>
          </w:p>
          <w:p w14:paraId="6ECE7171" w14:textId="77777777" w:rsidR="008C2A35" w:rsidRPr="00097EDB" w:rsidRDefault="008C2A35" w:rsidP="008C2A35">
            <w:pPr>
              <w:pStyle w:val="Tabletext1"/>
            </w:pPr>
          </w:p>
        </w:tc>
        <w:tc>
          <w:tcPr>
            <w:tcW w:w="379" w:type="pct"/>
            <w:tcBorders>
              <w:top w:val="single" w:sz="4" w:space="0" w:color="auto"/>
              <w:left w:val="single" w:sz="4" w:space="0" w:color="auto"/>
              <w:bottom w:val="single" w:sz="4" w:space="0" w:color="auto"/>
              <w:right w:val="single" w:sz="4" w:space="0" w:color="auto"/>
            </w:tcBorders>
          </w:tcPr>
          <w:p w14:paraId="0C25C2E1" w14:textId="77777777" w:rsidR="008C2A35" w:rsidRDefault="008C2A35" w:rsidP="008C2A35">
            <w:pPr>
              <w:pStyle w:val="Tabletext1"/>
            </w:pPr>
            <w:r>
              <w:t>The Netherlands</w:t>
            </w:r>
          </w:p>
          <w:p w14:paraId="00E2F92F" w14:textId="1FB1DF5F" w:rsidR="008C2A35" w:rsidRPr="00097EDB" w:rsidRDefault="008C2A35" w:rsidP="008C2A35">
            <w:pPr>
              <w:pStyle w:val="Tabletext1"/>
            </w:pPr>
            <w:r>
              <w:t>Median follow-up 21.7 months (95% CI, 19.9-28.1)</w:t>
            </w:r>
          </w:p>
        </w:tc>
        <w:tc>
          <w:tcPr>
            <w:tcW w:w="638" w:type="pct"/>
            <w:tcBorders>
              <w:top w:val="single" w:sz="4" w:space="0" w:color="auto"/>
              <w:left w:val="single" w:sz="4" w:space="0" w:color="auto"/>
              <w:bottom w:val="single" w:sz="4" w:space="0" w:color="auto"/>
              <w:right w:val="single" w:sz="4" w:space="0" w:color="auto"/>
            </w:tcBorders>
          </w:tcPr>
          <w:p w14:paraId="05D30ABE" w14:textId="77777777" w:rsidR="008C2A35" w:rsidRDefault="008C2A35" w:rsidP="008C2A35">
            <w:pPr>
              <w:pStyle w:val="Tabletext1"/>
            </w:pPr>
            <w:r>
              <w:t xml:space="preserve">N=50 </w:t>
            </w:r>
          </w:p>
          <w:p w14:paraId="0C4FDC97" w14:textId="77777777" w:rsidR="008C2A35" w:rsidRDefault="008C2A35" w:rsidP="008C2A35">
            <w:pPr>
              <w:pStyle w:val="Tabletext1"/>
            </w:pPr>
            <w:r>
              <w:t>Median age 68.5 years (range, 34-86)</w:t>
            </w:r>
          </w:p>
          <w:p w14:paraId="6ECE3DDB" w14:textId="77777777" w:rsidR="008C2A35" w:rsidRDefault="008C2A35" w:rsidP="008C2A35">
            <w:pPr>
              <w:pStyle w:val="Tabletext1"/>
            </w:pPr>
            <w:r>
              <w:t>Male 68%</w:t>
            </w:r>
          </w:p>
          <w:p w14:paraId="7927F2D1" w14:textId="77777777" w:rsidR="008C2A35" w:rsidRDefault="008C2A35" w:rsidP="008C2A35">
            <w:pPr>
              <w:pStyle w:val="Tabletext1"/>
            </w:pPr>
            <w:r>
              <w:t>primary lung cancer (n=29); lung metastases (n=21)</w:t>
            </w:r>
          </w:p>
          <w:p w14:paraId="1E7E40BD" w14:textId="433C4830" w:rsidR="008C2A35" w:rsidRPr="00097EDB" w:rsidRDefault="008C2A35" w:rsidP="008C2A35">
            <w:pPr>
              <w:pStyle w:val="Tabletext1"/>
            </w:pPr>
            <w:r>
              <w:t>At high risk to experience toxicity due to central tumour location (n=30), previous thoracic RT (n=17), interstitial lung disease (n=7)</w:t>
            </w:r>
          </w:p>
        </w:tc>
        <w:tc>
          <w:tcPr>
            <w:tcW w:w="685" w:type="pct"/>
            <w:tcBorders>
              <w:top w:val="single" w:sz="4" w:space="0" w:color="auto"/>
              <w:left w:val="single" w:sz="4" w:space="0" w:color="auto"/>
              <w:bottom w:val="single" w:sz="4" w:space="0" w:color="auto"/>
              <w:right w:val="single" w:sz="4" w:space="0" w:color="auto"/>
            </w:tcBorders>
          </w:tcPr>
          <w:p w14:paraId="37B26E84" w14:textId="77777777" w:rsidR="008C2A35" w:rsidRDefault="008C2A35" w:rsidP="008C2A35">
            <w:pPr>
              <w:pStyle w:val="Tabletext1"/>
            </w:pPr>
            <w:r>
              <w:t>Gated SBRT was delivered during repeated breath-holds under continuous MR guidance. MRIdian (ViewRay Inc, USA)</w:t>
            </w:r>
          </w:p>
          <w:p w14:paraId="53468DAD" w14:textId="77777777" w:rsidR="008C2A35" w:rsidRDefault="008C2A35" w:rsidP="008C2A35">
            <w:pPr>
              <w:pStyle w:val="Tabletext1"/>
            </w:pPr>
            <w:r>
              <w:t>Cobalt-60 system for 34 treatments, a MRIdian MR Linac</w:t>
            </w:r>
          </w:p>
          <w:p w14:paraId="54B609E0" w14:textId="77777777" w:rsidR="008C2A35" w:rsidRDefault="008C2A35" w:rsidP="008C2A35">
            <w:pPr>
              <w:pStyle w:val="Tabletext1"/>
            </w:pPr>
            <w:r>
              <w:t>for 18 treatments, and both units in 2 patients</w:t>
            </w:r>
          </w:p>
          <w:p w14:paraId="66A5C305" w14:textId="77777777" w:rsidR="008C2A35" w:rsidRDefault="008C2A35" w:rsidP="008C2A35">
            <w:pPr>
              <w:pStyle w:val="Tabletext1"/>
            </w:pPr>
            <w:r>
              <w:t>Dose 54-60Gy in 3-12 fractions</w:t>
            </w:r>
          </w:p>
          <w:p w14:paraId="6C866322" w14:textId="77777777" w:rsidR="008C2A35" w:rsidRDefault="008C2A35" w:rsidP="008C2A35">
            <w:pPr>
              <w:pStyle w:val="Tabletext1"/>
            </w:pPr>
          </w:p>
        </w:tc>
        <w:tc>
          <w:tcPr>
            <w:tcW w:w="646" w:type="pct"/>
            <w:gridSpan w:val="2"/>
            <w:tcBorders>
              <w:top w:val="single" w:sz="4" w:space="0" w:color="auto"/>
              <w:left w:val="single" w:sz="4" w:space="0" w:color="auto"/>
              <w:bottom w:val="single" w:sz="4" w:space="0" w:color="auto"/>
              <w:right w:val="single" w:sz="4" w:space="0" w:color="auto"/>
            </w:tcBorders>
          </w:tcPr>
          <w:p w14:paraId="7A95F7D6" w14:textId="00377F32" w:rsidR="008C2A35" w:rsidRDefault="008C2A35" w:rsidP="008C2A35">
            <w:pPr>
              <w:pStyle w:val="Tabletext1"/>
            </w:pPr>
            <w:r>
              <w:t>NA</w:t>
            </w:r>
          </w:p>
        </w:tc>
        <w:tc>
          <w:tcPr>
            <w:tcW w:w="640" w:type="pct"/>
            <w:gridSpan w:val="2"/>
            <w:tcBorders>
              <w:top w:val="single" w:sz="4" w:space="0" w:color="auto"/>
              <w:left w:val="single" w:sz="4" w:space="0" w:color="auto"/>
              <w:bottom w:val="single" w:sz="4" w:space="0" w:color="auto"/>
              <w:right w:val="single" w:sz="4" w:space="0" w:color="auto"/>
            </w:tcBorders>
          </w:tcPr>
          <w:p w14:paraId="6C17559D" w14:textId="77777777" w:rsidR="008C2A35" w:rsidRDefault="008C2A35" w:rsidP="008C2A35">
            <w:pPr>
              <w:pStyle w:val="Tabletext1"/>
              <w:rPr>
                <w:snapToGrid w:val="0"/>
              </w:rPr>
            </w:pPr>
            <w:r>
              <w:rPr>
                <w:snapToGrid w:val="0"/>
              </w:rPr>
              <w:t>OS</w:t>
            </w:r>
          </w:p>
          <w:p w14:paraId="563C4792" w14:textId="77777777" w:rsidR="008C2A35" w:rsidRDefault="008C2A35" w:rsidP="008C2A35">
            <w:pPr>
              <w:pStyle w:val="Tabletext1"/>
              <w:rPr>
                <w:snapToGrid w:val="0"/>
              </w:rPr>
            </w:pPr>
            <w:r>
              <w:rPr>
                <w:snapToGrid w:val="0"/>
              </w:rPr>
              <w:t>DFS</w:t>
            </w:r>
          </w:p>
          <w:p w14:paraId="619284AD" w14:textId="4C84AD87" w:rsidR="008C2A35" w:rsidRDefault="00BF4A29" w:rsidP="008C2A35">
            <w:pPr>
              <w:pStyle w:val="Tabletext1"/>
              <w:rPr>
                <w:snapToGrid w:val="0"/>
              </w:rPr>
            </w:pPr>
            <w:r>
              <w:rPr>
                <w:snapToGrid w:val="0"/>
              </w:rPr>
              <w:t>LC</w:t>
            </w:r>
          </w:p>
          <w:p w14:paraId="6651C54D" w14:textId="4CF8DC7B" w:rsidR="008C2A35" w:rsidRDefault="008C2A35" w:rsidP="008C2A35">
            <w:pPr>
              <w:pStyle w:val="Tabletext1"/>
            </w:pPr>
            <w:r>
              <w:rPr>
                <w:snapToGrid w:val="0"/>
              </w:rPr>
              <w:t>Toxicity</w:t>
            </w:r>
          </w:p>
        </w:tc>
        <w:tc>
          <w:tcPr>
            <w:tcW w:w="656" w:type="pct"/>
            <w:tcBorders>
              <w:top w:val="single" w:sz="4" w:space="0" w:color="auto"/>
              <w:left w:val="single" w:sz="4" w:space="0" w:color="auto"/>
              <w:bottom w:val="single" w:sz="4" w:space="0" w:color="auto"/>
              <w:right w:val="single" w:sz="4" w:space="0" w:color="auto"/>
            </w:tcBorders>
          </w:tcPr>
          <w:p w14:paraId="6A0AFEDA" w14:textId="4D71E439" w:rsidR="008C2A35" w:rsidRDefault="008C2A35" w:rsidP="008C2A35">
            <w:pPr>
              <w:pStyle w:val="Tabletext1"/>
            </w:pPr>
            <w:r>
              <w:t xml:space="preserve">Patients were followed for clinical outcomes and treatment related toxicities, with outcome information, including imaging studies, obtained from external institutions when necessary. Reported toxicities were verified by at least 2 radiation oncologists and scored using the </w:t>
            </w:r>
            <w:r w:rsidR="005831EB">
              <w:t>CTCAE</w:t>
            </w:r>
            <w:r>
              <w:t xml:space="preserve"> version 5.0.17 OS, DFS, and </w:t>
            </w:r>
            <w:r w:rsidR="00C12A38">
              <w:t>LC</w:t>
            </w:r>
            <w:r>
              <w:t xml:space="preserve"> were estimated using the Kaplan-Meier method</w:t>
            </w:r>
          </w:p>
        </w:tc>
      </w:tr>
      <w:tr w:rsidR="008B6FC0" w:rsidRPr="00CE45B9" w14:paraId="2E9F1C70" w14:textId="77777777" w:rsidTr="008B6FC0">
        <w:trPr>
          <w:cantSplit/>
          <w:trHeight w:val="13"/>
        </w:trPr>
        <w:tc>
          <w:tcPr>
            <w:tcW w:w="444" w:type="pct"/>
            <w:tcBorders>
              <w:top w:val="single" w:sz="4" w:space="0" w:color="auto"/>
              <w:left w:val="single" w:sz="4" w:space="0" w:color="auto"/>
              <w:bottom w:val="single" w:sz="4" w:space="0" w:color="auto"/>
              <w:right w:val="single" w:sz="4" w:space="0" w:color="auto"/>
            </w:tcBorders>
          </w:tcPr>
          <w:p w14:paraId="2B6A9626" w14:textId="0C183081" w:rsidR="008C2A35" w:rsidRDefault="00211285" w:rsidP="008C2A35">
            <w:pPr>
              <w:pStyle w:val="Tabletext1"/>
            </w:pPr>
            <w:hyperlink w:anchor="_ENREF_29" w:tooltip="Finazzi, 2020 #17" w:history="1">
              <w:r w:rsidR="001F781A">
                <w:fldChar w:fldCharType="begin"/>
              </w:r>
              <w:r w:rsidR="001F781A">
                <w:instrText xml:space="preserve"> ADDIN EN.CITE &lt;EndNote&gt;&lt;Cite AuthorYear="1"&gt;&lt;Author&gt;Finazzi&lt;/Author&gt;&lt;Year&gt;2020&lt;/Year&gt;&lt;RecNum&gt;17&lt;/RecNum&gt;&lt;DisplayText&gt;Finazzi, van Sornsen de Koste, et al. (2020)&lt;/DisplayText&gt;&lt;record&gt;&lt;rec-number&gt;17&lt;/rec-number&gt;&lt;foreign-keys&gt;&lt;key app="EN" db-id="sx5wsdwv795wvue959xxw0ptaewvdezxxp05" timestamp="1604454186"&gt;17&lt;/key&gt;&lt;/foreign-keys&gt;&lt;ref-type name="Journal Article"&gt;17&lt;/ref-type&gt;&lt;contributors&gt;&lt;authors&gt;&lt;author&gt;Finazzi, T.&lt;/author&gt;&lt;author&gt;van Sornsen de Koste, J. R.&lt;/author&gt;&lt;author&gt;Palacios, M. A.&lt;/author&gt;&lt;author&gt;Spoelstra, F. O. B.&lt;/author&gt;&lt;author&gt;Slotman, B. J.&lt;/author&gt;&lt;author&gt;Haasbeek, C. J. A.&lt;/author&gt;&lt;author&gt;Senan, S.&lt;/author&gt;&lt;/authors&gt;&lt;/contributors&gt;&lt;titles&gt;&lt;title&gt;Delivery of magnetic resonance-guided single-fraction stereotactic lung radiotherapy&lt;/title&gt;&lt;secondary-title&gt;Physics and Imaging in Radiation Oncology&lt;/secondary-title&gt;&lt;/titles&gt;&lt;pages&gt;17-23&lt;/pages&gt;&lt;volume&gt;14&lt;/volume&gt;&lt;dates&gt;&lt;year&gt;2020&lt;/year&gt;&lt;/dates&gt;&lt;accession-num&gt;2005948675&lt;/accession-num&gt;&lt;urls&gt;&lt;related-urls&gt;&lt;url&gt;https://www.journals.elsevier.com/physics-and-imaging-in-radiation-oncology/http://ezproxy.library.usyd.edu.au/login?url=http://ovidsp.ovid.com/ovidweb.cgi?T=JS&amp;amp;CSC=Y&amp;amp;NEWS=N&amp;amp;PAGE=fulltext&amp;amp;D=emexb&amp;amp;AN=2005948675https://sydney.alma.exlibrisgroup.com/openurl/&lt;/url&gt;&lt;/related-urls&gt;&lt;/urls&gt;&lt;custom2&gt;single arm safety SBRT&lt;/custom2&gt;&lt;electronic-resource-num&gt;http://dx.doi.org/10.1016/j.phro.2020.05.002&lt;/electronic-resource-num&gt;&lt;/record&gt;&lt;/Cite&gt;&lt;/EndNote&gt;</w:instrText>
              </w:r>
              <w:r w:rsidR="001F781A">
                <w:fldChar w:fldCharType="separate"/>
              </w:r>
              <w:r w:rsidR="001F781A">
                <w:rPr>
                  <w:noProof/>
                </w:rPr>
                <w:t>Finazzi, van Sornsen de Koste, et al. (2020)</w:t>
              </w:r>
              <w:r w:rsidR="001F781A">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1763AC7E" w14:textId="77777777" w:rsidR="008C2A35" w:rsidRDefault="008C2A35" w:rsidP="008C2A35">
            <w:pPr>
              <w:pStyle w:val="Tabletext1"/>
            </w:pPr>
            <w:r>
              <w:t>Prospective</w:t>
            </w:r>
            <w:r w:rsidRPr="00D546B5">
              <w:t xml:space="preserve"> CS</w:t>
            </w:r>
          </w:p>
          <w:p w14:paraId="65DD0ACE" w14:textId="77777777" w:rsidR="008C2A35" w:rsidRPr="00D546B5" w:rsidRDefault="008C2A35" w:rsidP="008C2A35">
            <w:pPr>
              <w:pStyle w:val="Tabletext1"/>
            </w:pPr>
            <w:r>
              <w:t>October 2017-November 2019</w:t>
            </w:r>
          </w:p>
          <w:p w14:paraId="330F0B5E" w14:textId="77777777" w:rsidR="008C2A35" w:rsidRPr="00097EDB" w:rsidRDefault="008C2A35" w:rsidP="008C2A35">
            <w:pPr>
              <w:pStyle w:val="Tabletext1"/>
            </w:pPr>
          </w:p>
        </w:tc>
        <w:tc>
          <w:tcPr>
            <w:tcW w:w="458" w:type="pct"/>
            <w:tcBorders>
              <w:top w:val="single" w:sz="4" w:space="0" w:color="auto"/>
              <w:left w:val="single" w:sz="4" w:space="0" w:color="auto"/>
              <w:bottom w:val="single" w:sz="4" w:space="0" w:color="auto"/>
              <w:right w:val="single" w:sz="4" w:space="0" w:color="auto"/>
            </w:tcBorders>
          </w:tcPr>
          <w:p w14:paraId="6BF4610B" w14:textId="77777777" w:rsidR="008C2A35" w:rsidRDefault="008C2A35" w:rsidP="008C2A35">
            <w:pPr>
              <w:pStyle w:val="Tabletext1"/>
            </w:pPr>
            <w:r>
              <w:t>Level IV</w:t>
            </w:r>
          </w:p>
          <w:p w14:paraId="6333EDA3" w14:textId="193BC588" w:rsidR="008C2A35" w:rsidRPr="00097EDB" w:rsidRDefault="008C2A35" w:rsidP="008C2A35">
            <w:pPr>
              <w:pStyle w:val="Tabletext1"/>
            </w:pPr>
            <w:r>
              <w:t>Fair quality</w:t>
            </w:r>
          </w:p>
        </w:tc>
        <w:tc>
          <w:tcPr>
            <w:tcW w:w="379" w:type="pct"/>
            <w:tcBorders>
              <w:top w:val="single" w:sz="4" w:space="0" w:color="auto"/>
              <w:left w:val="single" w:sz="4" w:space="0" w:color="auto"/>
              <w:bottom w:val="single" w:sz="4" w:space="0" w:color="auto"/>
              <w:right w:val="single" w:sz="4" w:space="0" w:color="auto"/>
            </w:tcBorders>
          </w:tcPr>
          <w:p w14:paraId="2515A07D" w14:textId="77777777" w:rsidR="008C2A35" w:rsidRDefault="008C2A35" w:rsidP="008C2A35">
            <w:pPr>
              <w:pStyle w:val="Tabletext1"/>
            </w:pPr>
            <w:r>
              <w:t>The Netherlands</w:t>
            </w:r>
          </w:p>
          <w:p w14:paraId="5A3073E9" w14:textId="49BAAA16" w:rsidR="008C2A35" w:rsidRPr="00097EDB" w:rsidRDefault="008C2A35" w:rsidP="008C2A35">
            <w:pPr>
              <w:pStyle w:val="Tabletext1"/>
            </w:pPr>
            <w:r>
              <w:t>Median follow-up 5 months (range, 2-12 months)</w:t>
            </w:r>
          </w:p>
        </w:tc>
        <w:tc>
          <w:tcPr>
            <w:tcW w:w="638" w:type="pct"/>
            <w:tcBorders>
              <w:top w:val="single" w:sz="4" w:space="0" w:color="auto"/>
              <w:left w:val="single" w:sz="4" w:space="0" w:color="auto"/>
              <w:bottom w:val="single" w:sz="4" w:space="0" w:color="auto"/>
              <w:right w:val="single" w:sz="4" w:space="0" w:color="auto"/>
            </w:tcBorders>
          </w:tcPr>
          <w:p w14:paraId="191BDD32" w14:textId="77777777" w:rsidR="008C2A35" w:rsidRDefault="008C2A35" w:rsidP="008C2A35">
            <w:pPr>
              <w:pStyle w:val="Tabletext1"/>
            </w:pPr>
            <w:r>
              <w:t>N=10</w:t>
            </w:r>
          </w:p>
          <w:p w14:paraId="5D017A6A" w14:textId="77777777" w:rsidR="008C2A35" w:rsidRDefault="008C2A35" w:rsidP="008C2A35">
            <w:pPr>
              <w:pStyle w:val="Tabletext1"/>
            </w:pPr>
            <w:r>
              <w:t>Median age 73 years (range, 58-80 years)</w:t>
            </w:r>
          </w:p>
          <w:p w14:paraId="0FDB887D" w14:textId="5A1E9B6D" w:rsidR="008C2A35" w:rsidRPr="00097EDB" w:rsidRDefault="008C2A35" w:rsidP="008C2A35">
            <w:pPr>
              <w:pStyle w:val="Tabletext1"/>
            </w:pPr>
            <w:r>
              <w:t>Patients with early</w:t>
            </w:r>
            <w:r w:rsidR="000916FF">
              <w:t>-</w:t>
            </w:r>
            <w:r>
              <w:t>stage lung cancer</w:t>
            </w:r>
          </w:p>
        </w:tc>
        <w:tc>
          <w:tcPr>
            <w:tcW w:w="685" w:type="pct"/>
            <w:tcBorders>
              <w:top w:val="single" w:sz="4" w:space="0" w:color="auto"/>
              <w:left w:val="single" w:sz="4" w:space="0" w:color="auto"/>
              <w:bottom w:val="single" w:sz="4" w:space="0" w:color="auto"/>
              <w:right w:val="single" w:sz="4" w:space="0" w:color="auto"/>
            </w:tcBorders>
          </w:tcPr>
          <w:p w14:paraId="740FEAE4" w14:textId="5D11ADF7" w:rsidR="008C2A35" w:rsidRDefault="008C2A35" w:rsidP="008C2A35">
            <w:pPr>
              <w:pStyle w:val="Tabletext1"/>
            </w:pPr>
            <w:r>
              <w:t>Single-fraction SBRT on the MRIdian MR-linac (ViewRay Inc., USA).</w:t>
            </w:r>
          </w:p>
        </w:tc>
        <w:tc>
          <w:tcPr>
            <w:tcW w:w="646" w:type="pct"/>
            <w:gridSpan w:val="2"/>
            <w:tcBorders>
              <w:top w:val="single" w:sz="4" w:space="0" w:color="auto"/>
              <w:left w:val="single" w:sz="4" w:space="0" w:color="auto"/>
              <w:bottom w:val="single" w:sz="4" w:space="0" w:color="auto"/>
              <w:right w:val="single" w:sz="4" w:space="0" w:color="auto"/>
            </w:tcBorders>
          </w:tcPr>
          <w:p w14:paraId="21B3119C" w14:textId="0A4BD033" w:rsidR="008C2A35" w:rsidRDefault="008C2A35" w:rsidP="008C2A35">
            <w:pPr>
              <w:pStyle w:val="Tabletext1"/>
            </w:pPr>
            <w:r>
              <w:t>NA</w:t>
            </w:r>
          </w:p>
        </w:tc>
        <w:tc>
          <w:tcPr>
            <w:tcW w:w="640" w:type="pct"/>
            <w:gridSpan w:val="2"/>
            <w:tcBorders>
              <w:top w:val="single" w:sz="4" w:space="0" w:color="auto"/>
              <w:left w:val="single" w:sz="4" w:space="0" w:color="auto"/>
              <w:bottom w:val="single" w:sz="4" w:space="0" w:color="auto"/>
              <w:right w:val="single" w:sz="4" w:space="0" w:color="auto"/>
            </w:tcBorders>
          </w:tcPr>
          <w:p w14:paraId="6DB74CFC" w14:textId="197EE47C" w:rsidR="008C2A35" w:rsidRDefault="008C2A35" w:rsidP="008C2A35">
            <w:pPr>
              <w:pStyle w:val="Tabletext1"/>
            </w:pPr>
            <w:r>
              <w:rPr>
                <w:snapToGrid w:val="0"/>
              </w:rPr>
              <w:t>Toxicity</w:t>
            </w:r>
            <w:r>
              <w:rPr>
                <w:snapToGrid w:val="0"/>
              </w:rPr>
              <w:br/>
              <w:t>Local recurrence</w:t>
            </w:r>
          </w:p>
        </w:tc>
        <w:tc>
          <w:tcPr>
            <w:tcW w:w="656" w:type="pct"/>
            <w:tcBorders>
              <w:top w:val="single" w:sz="4" w:space="0" w:color="auto"/>
              <w:left w:val="single" w:sz="4" w:space="0" w:color="auto"/>
              <w:bottom w:val="single" w:sz="4" w:space="0" w:color="auto"/>
              <w:right w:val="single" w:sz="4" w:space="0" w:color="auto"/>
            </w:tcBorders>
          </w:tcPr>
          <w:p w14:paraId="2C114C0B" w14:textId="2066A72D" w:rsidR="008C2A35" w:rsidRDefault="008C2A35" w:rsidP="008C2A35">
            <w:pPr>
              <w:pStyle w:val="Tabletext1"/>
            </w:pPr>
            <w:r>
              <w:t xml:space="preserve">Toxicities were scored by at least two radiation oncologists, and graded using the CTCAE version 5.0  </w:t>
            </w:r>
          </w:p>
        </w:tc>
      </w:tr>
      <w:tr w:rsidR="008B6FC0" w:rsidRPr="00CE45B9" w14:paraId="0F875158" w14:textId="77777777" w:rsidTr="008B6FC0">
        <w:trPr>
          <w:cantSplit/>
          <w:trHeight w:val="13"/>
        </w:trPr>
        <w:tc>
          <w:tcPr>
            <w:tcW w:w="444" w:type="pct"/>
            <w:tcBorders>
              <w:top w:val="single" w:sz="4" w:space="0" w:color="auto"/>
              <w:left w:val="single" w:sz="4" w:space="0" w:color="auto"/>
              <w:bottom w:val="single" w:sz="4" w:space="0" w:color="auto"/>
              <w:right w:val="single" w:sz="4" w:space="0" w:color="auto"/>
            </w:tcBorders>
          </w:tcPr>
          <w:p w14:paraId="7548CA14" w14:textId="170989A6" w:rsidR="007C2672" w:rsidRPr="00097EDB" w:rsidRDefault="00211285" w:rsidP="006C7E7E">
            <w:pPr>
              <w:pStyle w:val="Tabletext1"/>
            </w:pPr>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047D62AC" w14:textId="77777777" w:rsidR="007C2672" w:rsidRDefault="007C2672" w:rsidP="006C7E7E">
            <w:pPr>
              <w:pStyle w:val="Tabletext1"/>
            </w:pPr>
            <w:r w:rsidRPr="00097EDB">
              <w:t>Prospective CS</w:t>
            </w:r>
          </w:p>
          <w:p w14:paraId="593F0845" w14:textId="77777777" w:rsidR="007C2672" w:rsidRPr="00097EDB" w:rsidRDefault="007C2672" w:rsidP="006C7E7E">
            <w:pPr>
              <w:pStyle w:val="Tabletext1"/>
            </w:pPr>
            <w:r>
              <w:t>NR</w:t>
            </w:r>
          </w:p>
        </w:tc>
        <w:tc>
          <w:tcPr>
            <w:tcW w:w="458" w:type="pct"/>
            <w:tcBorders>
              <w:top w:val="single" w:sz="4" w:space="0" w:color="auto"/>
              <w:left w:val="single" w:sz="4" w:space="0" w:color="auto"/>
              <w:bottom w:val="single" w:sz="4" w:space="0" w:color="auto"/>
              <w:right w:val="single" w:sz="4" w:space="0" w:color="auto"/>
            </w:tcBorders>
          </w:tcPr>
          <w:p w14:paraId="622D2A36" w14:textId="77777777" w:rsidR="007C2672" w:rsidRDefault="007C2672" w:rsidP="006C7E7E">
            <w:pPr>
              <w:pStyle w:val="Tabletext1"/>
            </w:pPr>
            <w:r w:rsidRPr="00097EDB">
              <w:t>Level IV</w:t>
            </w:r>
          </w:p>
          <w:p w14:paraId="79B95013" w14:textId="77777777" w:rsidR="007C2672" w:rsidRPr="00097EDB" w:rsidRDefault="007C2672" w:rsidP="006C7E7E">
            <w:pPr>
              <w:pStyle w:val="Tabletext1"/>
            </w:pPr>
            <w:r>
              <w:t>Good quality</w:t>
            </w:r>
          </w:p>
        </w:tc>
        <w:tc>
          <w:tcPr>
            <w:tcW w:w="379" w:type="pct"/>
            <w:tcBorders>
              <w:top w:val="single" w:sz="4" w:space="0" w:color="auto"/>
              <w:left w:val="single" w:sz="4" w:space="0" w:color="auto"/>
              <w:bottom w:val="single" w:sz="4" w:space="0" w:color="auto"/>
              <w:right w:val="single" w:sz="4" w:space="0" w:color="auto"/>
            </w:tcBorders>
          </w:tcPr>
          <w:p w14:paraId="5541EFC6" w14:textId="77777777" w:rsidR="007C2672" w:rsidRPr="00097EDB" w:rsidRDefault="007C2672" w:rsidP="006C7E7E">
            <w:pPr>
              <w:pStyle w:val="Tabletext1"/>
            </w:pPr>
            <w:r w:rsidRPr="00097EDB">
              <w:t>USA</w:t>
            </w:r>
          </w:p>
          <w:p w14:paraId="5D9856F8" w14:textId="77777777" w:rsidR="007C2672" w:rsidRPr="00097EDB" w:rsidRDefault="007C2672" w:rsidP="006C7E7E">
            <w:pPr>
              <w:pStyle w:val="Tabletext1"/>
            </w:pPr>
            <w:r w:rsidRPr="00097EDB">
              <w:t>Median follow-up: 15 months (range 4–22 mos)</w:t>
            </w:r>
          </w:p>
        </w:tc>
        <w:tc>
          <w:tcPr>
            <w:tcW w:w="638" w:type="pct"/>
            <w:tcBorders>
              <w:top w:val="single" w:sz="4" w:space="0" w:color="auto"/>
              <w:left w:val="single" w:sz="4" w:space="0" w:color="auto"/>
              <w:bottom w:val="single" w:sz="4" w:space="0" w:color="auto"/>
              <w:right w:val="single" w:sz="4" w:space="0" w:color="auto"/>
            </w:tcBorders>
          </w:tcPr>
          <w:p w14:paraId="384D5258" w14:textId="77777777" w:rsidR="007C2672" w:rsidRPr="00097EDB" w:rsidRDefault="007C2672" w:rsidP="006C7E7E">
            <w:pPr>
              <w:pStyle w:val="Tabletext1"/>
            </w:pPr>
            <w:r w:rsidRPr="00097EDB">
              <w:t>N=20</w:t>
            </w:r>
          </w:p>
          <w:p w14:paraId="095CC32D" w14:textId="77777777" w:rsidR="007C2672" w:rsidRPr="00097EDB" w:rsidRDefault="007C2672" w:rsidP="006C7E7E">
            <w:pPr>
              <w:pStyle w:val="Tabletext1"/>
            </w:pPr>
            <w:r w:rsidRPr="00097EDB">
              <w:t>Median age 64 (range 48-79)</w:t>
            </w:r>
          </w:p>
          <w:p w14:paraId="46B85A95" w14:textId="77777777" w:rsidR="007C2672" w:rsidRPr="00097EDB" w:rsidRDefault="007C2672" w:rsidP="006C7E7E">
            <w:pPr>
              <w:pStyle w:val="Tabletext1"/>
            </w:pPr>
            <w:r w:rsidRPr="00097EDB">
              <w:t>Patients with oligometastatic or</w:t>
            </w:r>
          </w:p>
          <w:p w14:paraId="2977D9AD" w14:textId="77777777" w:rsidR="007C2672" w:rsidRPr="00097EDB" w:rsidRDefault="007C2672" w:rsidP="006C7E7E">
            <w:pPr>
              <w:pStyle w:val="Tabletext1"/>
            </w:pPr>
            <w:r w:rsidRPr="00097EDB">
              <w:t>unresectable primary liver or non-liver-abdominal malignancies</w:t>
            </w:r>
            <w:r>
              <w:t xml:space="preserve"> </w:t>
            </w:r>
            <w:r w:rsidRPr="00097EDB">
              <w:t>who were considered technical and clinical candidates for SBRT</w:t>
            </w:r>
          </w:p>
        </w:tc>
        <w:tc>
          <w:tcPr>
            <w:tcW w:w="685" w:type="pct"/>
            <w:tcBorders>
              <w:top w:val="single" w:sz="4" w:space="0" w:color="auto"/>
              <w:left w:val="single" w:sz="4" w:space="0" w:color="auto"/>
              <w:bottom w:val="single" w:sz="4" w:space="0" w:color="auto"/>
              <w:right w:val="single" w:sz="4" w:space="0" w:color="auto"/>
            </w:tcBorders>
          </w:tcPr>
          <w:p w14:paraId="7B577F1A" w14:textId="334ABA5F" w:rsidR="00997609" w:rsidRDefault="00E964A4" w:rsidP="006C7E7E">
            <w:pPr>
              <w:pStyle w:val="Tabletext1"/>
            </w:pPr>
            <w:r>
              <w:t>SBRT</w:t>
            </w:r>
            <w:r w:rsidR="007C2672" w:rsidRPr="00C817D8">
              <w:t xml:space="preserve"> using the </w:t>
            </w:r>
            <w:r w:rsidR="007C2672">
              <w:t>tri-</w:t>
            </w:r>
            <w:r w:rsidR="007C2672" w:rsidRPr="00C97874">
              <w:rPr>
                <w:vertAlign w:val="superscript"/>
              </w:rPr>
              <w:t>60</w:t>
            </w:r>
            <w:r w:rsidR="007C2672">
              <w:t>Co MRI guided system called MRIdian</w:t>
            </w:r>
            <w:r w:rsidR="007C2672" w:rsidRPr="00C97874">
              <w:rPr>
                <w:vertAlign w:val="superscript"/>
              </w:rPr>
              <w:t>TM</w:t>
            </w:r>
            <w:r w:rsidR="007C2672">
              <w:t xml:space="preserve"> </w:t>
            </w:r>
            <w:r w:rsidR="00997609">
              <w:t>(ViewRay Inc., Cleveland, United States)</w:t>
            </w:r>
          </w:p>
          <w:p w14:paraId="75E689A0" w14:textId="66B3FA1C" w:rsidR="007C2672" w:rsidRDefault="007C2672" w:rsidP="006C7E7E">
            <w:pPr>
              <w:pStyle w:val="Tabletext1"/>
            </w:pPr>
          </w:p>
          <w:p w14:paraId="283ABFC7" w14:textId="77777777" w:rsidR="007C2672" w:rsidRPr="00CE45B9" w:rsidRDefault="007C2672" w:rsidP="006C7E7E">
            <w:pPr>
              <w:pStyle w:val="Tabletext1"/>
            </w:pPr>
            <w:r>
              <w:t>Prescribed dose for all plans was 50 Gy/5 fractions</w:t>
            </w:r>
          </w:p>
        </w:tc>
        <w:tc>
          <w:tcPr>
            <w:tcW w:w="646" w:type="pct"/>
            <w:gridSpan w:val="2"/>
            <w:tcBorders>
              <w:top w:val="single" w:sz="4" w:space="0" w:color="auto"/>
              <w:left w:val="single" w:sz="4" w:space="0" w:color="auto"/>
              <w:bottom w:val="single" w:sz="4" w:space="0" w:color="auto"/>
              <w:right w:val="single" w:sz="4" w:space="0" w:color="auto"/>
            </w:tcBorders>
          </w:tcPr>
          <w:p w14:paraId="70DC0A7C" w14:textId="77777777" w:rsidR="007C2672" w:rsidRPr="00CE45B9" w:rsidRDefault="007C2672" w:rsidP="006C7E7E">
            <w:pPr>
              <w:pStyle w:val="Tabletext1"/>
            </w:pPr>
            <w:r>
              <w:t>NA</w:t>
            </w:r>
          </w:p>
        </w:tc>
        <w:tc>
          <w:tcPr>
            <w:tcW w:w="640" w:type="pct"/>
            <w:gridSpan w:val="2"/>
            <w:tcBorders>
              <w:top w:val="single" w:sz="4" w:space="0" w:color="auto"/>
              <w:left w:val="single" w:sz="4" w:space="0" w:color="auto"/>
              <w:bottom w:val="single" w:sz="4" w:space="0" w:color="auto"/>
              <w:right w:val="single" w:sz="4" w:space="0" w:color="auto"/>
            </w:tcBorders>
          </w:tcPr>
          <w:p w14:paraId="448B250B" w14:textId="77777777" w:rsidR="007C2672" w:rsidRDefault="007C2672" w:rsidP="006C7E7E">
            <w:pPr>
              <w:pStyle w:val="Tabletext1"/>
            </w:pPr>
            <w:r>
              <w:t xml:space="preserve">Toxicity </w:t>
            </w:r>
          </w:p>
          <w:p w14:paraId="2918E35A" w14:textId="3F46F813" w:rsidR="007C2672" w:rsidRDefault="00BF4A29" w:rsidP="006C7E7E">
            <w:pPr>
              <w:pStyle w:val="Tabletext1"/>
            </w:pPr>
            <w:r>
              <w:t>QoL</w:t>
            </w:r>
          </w:p>
          <w:p w14:paraId="3AD6AAB1" w14:textId="7659B83D" w:rsidR="007C2672" w:rsidRDefault="00BF4A29" w:rsidP="006C7E7E">
            <w:pPr>
              <w:pStyle w:val="Tabletext1"/>
              <w:rPr>
                <w:snapToGrid w:val="0"/>
              </w:rPr>
            </w:pPr>
            <w:r>
              <w:rPr>
                <w:snapToGrid w:val="0"/>
              </w:rPr>
              <w:t>PFS</w:t>
            </w:r>
          </w:p>
          <w:p w14:paraId="585F2E94" w14:textId="2BB359F3" w:rsidR="007C2672" w:rsidRPr="00C05607" w:rsidRDefault="008C2A35" w:rsidP="006C7E7E">
            <w:pPr>
              <w:pStyle w:val="Tabletext1"/>
            </w:pPr>
            <w:r>
              <w:rPr>
                <w:snapToGrid w:val="0"/>
              </w:rPr>
              <w:t>O</w:t>
            </w:r>
            <w:r w:rsidR="00BF4A29">
              <w:rPr>
                <w:snapToGrid w:val="0"/>
              </w:rPr>
              <w:t>S</w:t>
            </w:r>
          </w:p>
        </w:tc>
        <w:tc>
          <w:tcPr>
            <w:tcW w:w="656" w:type="pct"/>
            <w:tcBorders>
              <w:top w:val="single" w:sz="4" w:space="0" w:color="auto"/>
              <w:left w:val="single" w:sz="4" w:space="0" w:color="auto"/>
              <w:bottom w:val="single" w:sz="4" w:space="0" w:color="auto"/>
              <w:right w:val="single" w:sz="4" w:space="0" w:color="auto"/>
            </w:tcBorders>
          </w:tcPr>
          <w:p w14:paraId="568ABB48" w14:textId="721530D7" w:rsidR="007C2672" w:rsidRDefault="007C2672" w:rsidP="006C7E7E">
            <w:pPr>
              <w:pStyle w:val="Tabletext1"/>
            </w:pPr>
            <w:r>
              <w:t>Treatment response assessed using RECIST</w:t>
            </w:r>
          </w:p>
          <w:p w14:paraId="31FF8A7D" w14:textId="3D6C50E6" w:rsidR="00774741" w:rsidRDefault="00774741" w:rsidP="006C7E7E">
            <w:pPr>
              <w:pStyle w:val="Tabletext1"/>
            </w:pPr>
            <w:r>
              <w:t xml:space="preserve">Patient-reported </w:t>
            </w:r>
            <w:r w:rsidR="008C2A35">
              <w:t>Q</w:t>
            </w:r>
            <w:r w:rsidR="005831EB">
              <w:t>o</w:t>
            </w:r>
            <w:r w:rsidR="008C2A35">
              <w:t>L</w:t>
            </w:r>
            <w:r>
              <w:t xml:space="preserve"> scores at zero, six, and 26 weeks post-treatment using EORTC QLQ-C30 Version 3.0.</w:t>
            </w:r>
          </w:p>
          <w:p w14:paraId="233F98FE" w14:textId="77777777" w:rsidR="007C2672" w:rsidRDefault="007C2672" w:rsidP="006C7E7E">
            <w:pPr>
              <w:pStyle w:val="Tabletext1"/>
            </w:pPr>
            <w:r>
              <w:t>Survival outcomes were prospectively assessed at 12 and 26 weeks post-treatment and subsequently through chart review and routine clinical appointments.</w:t>
            </w:r>
          </w:p>
          <w:p w14:paraId="59DD07F6" w14:textId="77777777" w:rsidR="007C2672" w:rsidRPr="00CE45B9" w:rsidRDefault="007C2672" w:rsidP="006C7E7E">
            <w:pPr>
              <w:pStyle w:val="Tabletext1"/>
            </w:pPr>
            <w:r>
              <w:t>Acute toxicities were assessed prospectively by clinical research coordinators and late toxicities were assessed through routine care and chart review.</w:t>
            </w:r>
          </w:p>
        </w:tc>
      </w:tr>
      <w:tr w:rsidR="008B6FC0" w:rsidRPr="00CE45B9" w14:paraId="74CEEC46" w14:textId="77777777" w:rsidTr="008B6FC0">
        <w:trPr>
          <w:cantSplit/>
          <w:trHeight w:val="319"/>
        </w:trPr>
        <w:tc>
          <w:tcPr>
            <w:tcW w:w="444" w:type="pct"/>
            <w:tcBorders>
              <w:top w:val="single" w:sz="4" w:space="0" w:color="auto"/>
              <w:left w:val="single" w:sz="4" w:space="0" w:color="auto"/>
              <w:bottom w:val="single" w:sz="4" w:space="0" w:color="auto"/>
              <w:right w:val="single" w:sz="4" w:space="0" w:color="auto"/>
            </w:tcBorders>
          </w:tcPr>
          <w:p w14:paraId="554862CD" w14:textId="63F27567" w:rsidR="007C2672" w:rsidRPr="00CE45B9" w:rsidRDefault="00211285" w:rsidP="006C7E7E">
            <w:pPr>
              <w:pStyle w:val="Tabletext1"/>
            </w:pPr>
            <w:hyperlink w:anchor="_ENREF_48" w:tooltip="Kluter, 2020 #20" w:history="1">
              <w:r w:rsidR="008B6FC0">
                <w:fldChar w:fldCharType="begin"/>
              </w:r>
              <w:r w:rsidR="008B6FC0">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fldChar w:fldCharType="separate"/>
              </w:r>
              <w:r w:rsidR="008B6FC0">
                <w:rPr>
                  <w:noProof/>
                </w:rPr>
                <w:t>Kluter et al. (2020)</w:t>
              </w:r>
              <w:r w:rsidR="008B6FC0">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442B6E3D" w14:textId="77777777" w:rsidR="008C2A35" w:rsidRPr="00D546B5" w:rsidRDefault="008C2A35" w:rsidP="008C2A35">
            <w:pPr>
              <w:pStyle w:val="Tabletext1"/>
            </w:pPr>
            <w:r>
              <w:t>Prospective</w:t>
            </w:r>
            <w:r w:rsidRPr="00D546B5">
              <w:t xml:space="preserve"> CS</w:t>
            </w:r>
          </w:p>
          <w:p w14:paraId="5130E23E" w14:textId="77777777" w:rsidR="008C2A35" w:rsidRPr="00D546B5" w:rsidRDefault="008C2A35" w:rsidP="008C2A35">
            <w:pPr>
              <w:pStyle w:val="Tabletext1"/>
            </w:pPr>
            <w:r w:rsidRPr="00D546B5">
              <w:t>April 2018-April 2019</w:t>
            </w:r>
          </w:p>
          <w:p w14:paraId="77713797" w14:textId="02437F2D" w:rsidR="007C2672" w:rsidRPr="00CE45B9" w:rsidRDefault="007C2672" w:rsidP="006C7E7E">
            <w:pPr>
              <w:pStyle w:val="Tabletext1"/>
            </w:pPr>
          </w:p>
        </w:tc>
        <w:tc>
          <w:tcPr>
            <w:tcW w:w="458" w:type="pct"/>
            <w:tcBorders>
              <w:top w:val="single" w:sz="4" w:space="0" w:color="auto"/>
              <w:left w:val="single" w:sz="4" w:space="0" w:color="auto"/>
              <w:bottom w:val="single" w:sz="4" w:space="0" w:color="auto"/>
              <w:right w:val="single" w:sz="4" w:space="0" w:color="auto"/>
            </w:tcBorders>
          </w:tcPr>
          <w:p w14:paraId="4D6E9F81" w14:textId="77777777" w:rsidR="007C2672" w:rsidRDefault="007C2672" w:rsidP="006C7E7E">
            <w:pPr>
              <w:pStyle w:val="Tabletext1"/>
            </w:pPr>
            <w:r>
              <w:t>Level IV</w:t>
            </w:r>
          </w:p>
          <w:p w14:paraId="27E9F740" w14:textId="2E3818CA" w:rsidR="007C2672" w:rsidRPr="00CE45B9" w:rsidRDefault="008C2A35" w:rsidP="006C7E7E">
            <w:pPr>
              <w:pStyle w:val="Tabletext1"/>
            </w:pPr>
            <w:r>
              <w:t>Good</w:t>
            </w:r>
            <w:r w:rsidR="007C2672">
              <w:t xml:space="preserve"> quality</w:t>
            </w:r>
          </w:p>
        </w:tc>
        <w:tc>
          <w:tcPr>
            <w:tcW w:w="379" w:type="pct"/>
            <w:tcBorders>
              <w:top w:val="single" w:sz="4" w:space="0" w:color="auto"/>
              <w:left w:val="single" w:sz="4" w:space="0" w:color="auto"/>
              <w:bottom w:val="single" w:sz="4" w:space="0" w:color="auto"/>
              <w:right w:val="single" w:sz="4" w:space="0" w:color="auto"/>
            </w:tcBorders>
          </w:tcPr>
          <w:p w14:paraId="391BBF8C" w14:textId="77777777" w:rsidR="008C2A35" w:rsidRPr="00D546B5" w:rsidRDefault="008C2A35" w:rsidP="008C2A35">
            <w:pPr>
              <w:pStyle w:val="Tabletext1"/>
            </w:pPr>
            <w:r w:rsidRPr="00D546B5">
              <w:t>Germany</w:t>
            </w:r>
          </w:p>
          <w:p w14:paraId="1D9BD31D" w14:textId="7890203E" w:rsidR="007C2672" w:rsidRPr="00CE45B9" w:rsidRDefault="008C2A35" w:rsidP="006C7E7E">
            <w:pPr>
              <w:pStyle w:val="Tabletext1"/>
            </w:pPr>
            <w:r>
              <w:t>Follow-up NR</w:t>
            </w:r>
          </w:p>
        </w:tc>
        <w:tc>
          <w:tcPr>
            <w:tcW w:w="638" w:type="pct"/>
            <w:tcBorders>
              <w:top w:val="single" w:sz="4" w:space="0" w:color="auto"/>
              <w:left w:val="single" w:sz="4" w:space="0" w:color="auto"/>
              <w:bottom w:val="single" w:sz="4" w:space="0" w:color="auto"/>
              <w:right w:val="single" w:sz="4" w:space="0" w:color="auto"/>
            </w:tcBorders>
          </w:tcPr>
          <w:p w14:paraId="4C31E82E" w14:textId="77777777" w:rsidR="008C2A35" w:rsidRPr="00D546B5" w:rsidRDefault="008C2A35" w:rsidP="008C2A35">
            <w:pPr>
              <w:pStyle w:val="Tabletext1"/>
            </w:pPr>
            <w:r w:rsidRPr="00D546B5">
              <w:t>N=43</w:t>
            </w:r>
          </w:p>
          <w:p w14:paraId="31A4F7B7" w14:textId="77777777" w:rsidR="008C2A35" w:rsidRPr="00D546B5" w:rsidRDefault="008C2A35" w:rsidP="008C2A35">
            <w:pPr>
              <w:pStyle w:val="Tabletext1"/>
            </w:pPr>
            <w:r w:rsidRPr="00D546B5">
              <w:t>Mean age 64 years (range 32-87)</w:t>
            </w:r>
          </w:p>
          <w:p w14:paraId="20BFFA81" w14:textId="77777777" w:rsidR="008C2A35" w:rsidRDefault="008C2A35" w:rsidP="008C2A35">
            <w:pPr>
              <w:pStyle w:val="Tabletext1"/>
            </w:pPr>
            <w:r w:rsidRPr="00D546B5">
              <w:t>Male 58%</w:t>
            </w:r>
          </w:p>
          <w:p w14:paraId="3C944E20" w14:textId="7FF9E43A" w:rsidR="007C2672" w:rsidRPr="00CE45B9" w:rsidRDefault="008C2A35" w:rsidP="006C7E7E">
            <w:pPr>
              <w:pStyle w:val="Tabletext1"/>
            </w:pPr>
            <w:r>
              <w:t>Various cancer types</w:t>
            </w:r>
          </w:p>
        </w:tc>
        <w:tc>
          <w:tcPr>
            <w:tcW w:w="685" w:type="pct"/>
            <w:tcBorders>
              <w:top w:val="single" w:sz="4" w:space="0" w:color="auto"/>
              <w:left w:val="single" w:sz="4" w:space="0" w:color="auto"/>
              <w:bottom w:val="single" w:sz="4" w:space="0" w:color="auto"/>
              <w:right w:val="single" w:sz="4" w:space="0" w:color="auto"/>
            </w:tcBorders>
          </w:tcPr>
          <w:p w14:paraId="30B57C35" w14:textId="77777777" w:rsidR="008C2A35" w:rsidRDefault="008C2A35" w:rsidP="008C2A35">
            <w:pPr>
              <w:pStyle w:val="Tabletext1"/>
            </w:pPr>
            <w:r w:rsidRPr="00D546B5">
              <w:t>MRIdian Linac® system (ViewRay</w:t>
            </w:r>
            <w:r>
              <w:t xml:space="preserve"> </w:t>
            </w:r>
            <w:r w:rsidRPr="00D546B5">
              <w:t>Inc.; Oakwood, USA), which combines a 0.35T MR scanner</w:t>
            </w:r>
            <w:r>
              <w:t xml:space="preserve"> </w:t>
            </w:r>
            <w:r w:rsidRPr="00D546B5">
              <w:t>with a 6-MV linear accelerator with 20/43 patients treated with SBRT</w:t>
            </w:r>
            <w:r>
              <w:t>. Unclear how other 23 patients were treated.</w:t>
            </w:r>
          </w:p>
          <w:p w14:paraId="3D6ACFE6" w14:textId="77777777" w:rsidR="008C2A35" w:rsidRDefault="008C2A35" w:rsidP="008C2A35">
            <w:pPr>
              <w:pStyle w:val="Tabletext1"/>
            </w:pPr>
            <w:r>
              <w:t>Mean dose 37Gy (range 4-66)</w:t>
            </w:r>
          </w:p>
          <w:p w14:paraId="4DD663DE" w14:textId="45B691CE" w:rsidR="007C2672" w:rsidRPr="00CE45B9" w:rsidRDefault="008C2A35" w:rsidP="006C7E7E">
            <w:pPr>
              <w:pStyle w:val="Tabletext1"/>
            </w:pPr>
            <w:r>
              <w:t>Mean fractions: 9 (range 2-33)</w:t>
            </w:r>
          </w:p>
        </w:tc>
        <w:tc>
          <w:tcPr>
            <w:tcW w:w="646" w:type="pct"/>
            <w:gridSpan w:val="2"/>
            <w:tcBorders>
              <w:top w:val="single" w:sz="4" w:space="0" w:color="auto"/>
              <w:left w:val="single" w:sz="4" w:space="0" w:color="auto"/>
              <w:bottom w:val="single" w:sz="4" w:space="0" w:color="auto"/>
              <w:right w:val="single" w:sz="4" w:space="0" w:color="auto"/>
            </w:tcBorders>
          </w:tcPr>
          <w:p w14:paraId="34C22C1E" w14:textId="77777777" w:rsidR="007C2672" w:rsidRPr="00CE45B9" w:rsidRDefault="007C2672" w:rsidP="006C7E7E">
            <w:pPr>
              <w:pStyle w:val="Tabletext1"/>
            </w:pPr>
            <w:r>
              <w:t>NA</w:t>
            </w:r>
          </w:p>
        </w:tc>
        <w:tc>
          <w:tcPr>
            <w:tcW w:w="640" w:type="pct"/>
            <w:gridSpan w:val="2"/>
            <w:tcBorders>
              <w:top w:val="single" w:sz="4" w:space="0" w:color="auto"/>
              <w:left w:val="single" w:sz="4" w:space="0" w:color="auto"/>
              <w:bottom w:val="single" w:sz="4" w:space="0" w:color="auto"/>
              <w:right w:val="single" w:sz="4" w:space="0" w:color="auto"/>
            </w:tcBorders>
          </w:tcPr>
          <w:p w14:paraId="18234707" w14:textId="2D781B9B" w:rsidR="007C2672" w:rsidRPr="00CE45B9" w:rsidRDefault="008C2A35" w:rsidP="006C7E7E">
            <w:pPr>
              <w:pStyle w:val="Tabletext1"/>
            </w:pPr>
            <w:r>
              <w:rPr>
                <w:snapToGrid w:val="0"/>
              </w:rPr>
              <w:t>Patient reported outcomes</w:t>
            </w:r>
            <w:r>
              <w:rPr>
                <w:snapToGrid w:val="0"/>
              </w:rPr>
              <w:br/>
              <w:t>Toxicity</w:t>
            </w:r>
          </w:p>
        </w:tc>
        <w:tc>
          <w:tcPr>
            <w:tcW w:w="656" w:type="pct"/>
            <w:tcBorders>
              <w:top w:val="single" w:sz="4" w:space="0" w:color="auto"/>
              <w:left w:val="single" w:sz="4" w:space="0" w:color="auto"/>
              <w:bottom w:val="single" w:sz="4" w:space="0" w:color="auto"/>
              <w:right w:val="single" w:sz="4" w:space="0" w:color="auto"/>
            </w:tcBorders>
          </w:tcPr>
          <w:p w14:paraId="1C68A000" w14:textId="73C7CDDD" w:rsidR="007C2672" w:rsidRPr="00CE45B9" w:rsidRDefault="008C2A35" w:rsidP="006C7E7E">
            <w:pPr>
              <w:pStyle w:val="Tabletext1"/>
              <w:ind w:left="34"/>
            </w:pPr>
            <w:r>
              <w:t>Patient-reported acceptance of the whole treatment procedure was documented using an in-</w:t>
            </w:r>
            <w:r w:rsidRPr="002D0AC8">
              <w:t>house</w:t>
            </w:r>
            <w:r>
              <w:t xml:space="preserve"> developed patient- reported outcome questionnaire (PRO-Q) which was completed after the first fraction, weekly during the treatment, and after the last fraction. Items were scored using a five-point scale with higher score indicating more concern.</w:t>
            </w:r>
          </w:p>
        </w:tc>
      </w:tr>
      <w:tr w:rsidR="008B6FC0" w:rsidRPr="00CE45B9" w14:paraId="5823E08B" w14:textId="77777777" w:rsidTr="008B6FC0">
        <w:trPr>
          <w:cantSplit/>
          <w:trHeight w:val="319"/>
        </w:trPr>
        <w:tc>
          <w:tcPr>
            <w:tcW w:w="444" w:type="pct"/>
            <w:tcBorders>
              <w:top w:val="single" w:sz="4" w:space="0" w:color="auto"/>
              <w:left w:val="single" w:sz="4" w:space="0" w:color="auto"/>
              <w:bottom w:val="single" w:sz="4" w:space="0" w:color="auto"/>
              <w:right w:val="single" w:sz="4" w:space="0" w:color="auto"/>
            </w:tcBorders>
          </w:tcPr>
          <w:p w14:paraId="09995A6E" w14:textId="678ED0EC" w:rsidR="008C2A35" w:rsidRDefault="00211285" w:rsidP="008C2A35">
            <w:pPr>
              <w:pStyle w:val="Tabletext1"/>
            </w:pPr>
            <w:hyperlink w:anchor="_ENREF_60" w:tooltip="Rosenberg, 2019 #25" w:history="1">
              <w:r w:rsidR="008B6FC0">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instrText xml:space="preserve"> ADDIN EN.CITE </w:instrText>
              </w:r>
              <w:r w:rsidR="008B6FC0">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instrText xml:space="preserve"> ADDIN EN.CITE.DATA </w:instrText>
              </w:r>
              <w:r w:rsidR="008B6FC0">
                <w:fldChar w:fldCharType="end"/>
              </w:r>
              <w:r w:rsidR="008B6FC0">
                <w:fldChar w:fldCharType="separate"/>
              </w:r>
              <w:r w:rsidR="008B6FC0">
                <w:rPr>
                  <w:noProof/>
                </w:rPr>
                <w:t>Rosenberg et al. (2019)</w:t>
              </w:r>
              <w:r w:rsidR="008B6FC0">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6818FAA3" w14:textId="77777777" w:rsidR="008C2A35" w:rsidRDefault="008C2A35" w:rsidP="008C2A35">
            <w:pPr>
              <w:pStyle w:val="Tabletext1"/>
            </w:pPr>
            <w:r>
              <w:t>Prospective Coh</w:t>
            </w:r>
          </w:p>
          <w:p w14:paraId="5B2ED0F3" w14:textId="21544018" w:rsidR="008C2A35" w:rsidRDefault="008C2A35" w:rsidP="008C2A35">
            <w:pPr>
              <w:pStyle w:val="Tabletext1"/>
            </w:pPr>
            <w:r w:rsidRPr="00FD2B6D">
              <w:t>2014-</w:t>
            </w:r>
            <w:r>
              <w:t>2017</w:t>
            </w:r>
          </w:p>
        </w:tc>
        <w:tc>
          <w:tcPr>
            <w:tcW w:w="458" w:type="pct"/>
            <w:tcBorders>
              <w:top w:val="single" w:sz="4" w:space="0" w:color="auto"/>
              <w:left w:val="single" w:sz="4" w:space="0" w:color="auto"/>
              <w:bottom w:val="single" w:sz="4" w:space="0" w:color="auto"/>
              <w:right w:val="single" w:sz="4" w:space="0" w:color="auto"/>
            </w:tcBorders>
          </w:tcPr>
          <w:p w14:paraId="382B9C61" w14:textId="77777777" w:rsidR="008C2A35" w:rsidRPr="00FD4D28" w:rsidRDefault="008C2A35" w:rsidP="008C2A35">
            <w:pPr>
              <w:pStyle w:val="Tabletext1"/>
            </w:pPr>
            <w:r w:rsidRPr="00FD4D28">
              <w:t>Level III</w:t>
            </w:r>
          </w:p>
          <w:p w14:paraId="2E12F3D0" w14:textId="7C1B0FE6" w:rsidR="008C2A35" w:rsidRDefault="008C2A35" w:rsidP="008C2A35">
            <w:pPr>
              <w:pStyle w:val="Tabletext1"/>
            </w:pPr>
            <w:r w:rsidRPr="00FD4D28">
              <w:t>Good quality</w:t>
            </w:r>
          </w:p>
        </w:tc>
        <w:tc>
          <w:tcPr>
            <w:tcW w:w="379" w:type="pct"/>
            <w:tcBorders>
              <w:top w:val="single" w:sz="4" w:space="0" w:color="auto"/>
              <w:left w:val="single" w:sz="4" w:space="0" w:color="auto"/>
              <w:bottom w:val="single" w:sz="4" w:space="0" w:color="auto"/>
              <w:right w:val="single" w:sz="4" w:space="0" w:color="auto"/>
            </w:tcBorders>
          </w:tcPr>
          <w:p w14:paraId="28203DDE" w14:textId="353DE284" w:rsidR="008C2A35" w:rsidRDefault="008C2A35" w:rsidP="008C2A35">
            <w:pPr>
              <w:pStyle w:val="Tabletext1"/>
            </w:pPr>
            <w:r>
              <w:t>USA, Median follow-up: 21.2 months</w:t>
            </w:r>
          </w:p>
        </w:tc>
        <w:tc>
          <w:tcPr>
            <w:tcW w:w="638" w:type="pct"/>
            <w:tcBorders>
              <w:top w:val="single" w:sz="4" w:space="0" w:color="auto"/>
              <w:left w:val="single" w:sz="4" w:space="0" w:color="auto"/>
              <w:bottom w:val="single" w:sz="4" w:space="0" w:color="auto"/>
              <w:right w:val="single" w:sz="4" w:space="0" w:color="auto"/>
            </w:tcBorders>
          </w:tcPr>
          <w:p w14:paraId="2227B474" w14:textId="77777777" w:rsidR="008C2A35" w:rsidRDefault="008C2A35" w:rsidP="008C2A35">
            <w:pPr>
              <w:pStyle w:val="Tabletext1"/>
            </w:pPr>
            <w:r>
              <w:t xml:space="preserve">N=26, </w:t>
            </w:r>
          </w:p>
          <w:p w14:paraId="77F2362D" w14:textId="0DF465B0" w:rsidR="008C2A35" w:rsidRDefault="008C2A35" w:rsidP="008C2A35">
            <w:pPr>
              <w:pStyle w:val="Tabletext1"/>
            </w:pPr>
            <w:r>
              <w:t xml:space="preserve">Median age: 70 (range 30-90) years, 65% males, </w:t>
            </w:r>
            <w:r w:rsidR="00C12A38">
              <w:t>at</w:t>
            </w:r>
            <w:r>
              <w:t xml:space="preserve"> 3 institutions, patients with </w:t>
            </w:r>
            <w:r w:rsidR="00C12A38">
              <w:t>HCC</w:t>
            </w:r>
            <w:r>
              <w:t xml:space="preserve"> of liver or metastatic tumours to the liver for which surgery was not appropriate.</w:t>
            </w:r>
          </w:p>
        </w:tc>
        <w:tc>
          <w:tcPr>
            <w:tcW w:w="685" w:type="pct"/>
            <w:tcBorders>
              <w:top w:val="single" w:sz="4" w:space="0" w:color="auto"/>
              <w:left w:val="single" w:sz="4" w:space="0" w:color="auto"/>
              <w:bottom w:val="single" w:sz="4" w:space="0" w:color="auto"/>
              <w:right w:val="single" w:sz="4" w:space="0" w:color="auto"/>
            </w:tcBorders>
          </w:tcPr>
          <w:p w14:paraId="592C54F9" w14:textId="77777777" w:rsidR="008C2A35" w:rsidRDefault="008C2A35" w:rsidP="008C2A35">
            <w:pPr>
              <w:pStyle w:val="Tabletext1"/>
            </w:pPr>
            <w:r>
              <w:t xml:space="preserve">0.35-T MR-guided SBRT with a tri-source </w:t>
            </w:r>
            <w:r w:rsidRPr="00C97874">
              <w:rPr>
                <w:vertAlign w:val="superscript"/>
              </w:rPr>
              <w:t>60</w:t>
            </w:r>
            <w:r>
              <w:t>Co therapy source, called MRIdian system</w:t>
            </w:r>
          </w:p>
          <w:p w14:paraId="221555F5" w14:textId="6AD9593B" w:rsidR="008C2A35" w:rsidRDefault="008C2A35" w:rsidP="008C2A35">
            <w:pPr>
              <w:pStyle w:val="Tabletext1"/>
            </w:pPr>
            <w:r>
              <w:t>Prescription dose to PTV: median 50 Gy (30-60), Median Dose per fraction: 10 (6-12), Median dose to liver: 12.7 Gy (3.2-21.9</w:t>
            </w:r>
            <w:r w:rsidR="00C12A38">
              <w:t>),</w:t>
            </w:r>
            <w:r>
              <w:t xml:space="preserve"> total fractions not reported </w:t>
            </w:r>
          </w:p>
        </w:tc>
        <w:tc>
          <w:tcPr>
            <w:tcW w:w="646" w:type="pct"/>
            <w:gridSpan w:val="2"/>
            <w:tcBorders>
              <w:top w:val="single" w:sz="4" w:space="0" w:color="auto"/>
              <w:left w:val="single" w:sz="4" w:space="0" w:color="auto"/>
              <w:bottom w:val="single" w:sz="4" w:space="0" w:color="auto"/>
              <w:right w:val="single" w:sz="4" w:space="0" w:color="auto"/>
            </w:tcBorders>
          </w:tcPr>
          <w:p w14:paraId="278F6A5A" w14:textId="5CA0DA44" w:rsidR="008C2A35" w:rsidRDefault="008C2A35" w:rsidP="008C2A35">
            <w:pPr>
              <w:pStyle w:val="Tabletext1"/>
            </w:pPr>
            <w:r>
              <w:t>No comparator</w:t>
            </w:r>
          </w:p>
        </w:tc>
        <w:tc>
          <w:tcPr>
            <w:tcW w:w="640" w:type="pct"/>
            <w:gridSpan w:val="2"/>
            <w:tcBorders>
              <w:top w:val="single" w:sz="4" w:space="0" w:color="auto"/>
              <w:left w:val="single" w:sz="4" w:space="0" w:color="auto"/>
              <w:bottom w:val="single" w:sz="4" w:space="0" w:color="auto"/>
              <w:right w:val="single" w:sz="4" w:space="0" w:color="auto"/>
            </w:tcBorders>
          </w:tcPr>
          <w:p w14:paraId="21E2471C" w14:textId="77777777" w:rsidR="008C2A35" w:rsidRDefault="008C2A35" w:rsidP="008C2A35">
            <w:pPr>
              <w:pStyle w:val="Tabletext1"/>
            </w:pPr>
            <w:r>
              <w:t xml:space="preserve">Toxicity </w:t>
            </w:r>
          </w:p>
          <w:p w14:paraId="00CEBFF0" w14:textId="77777777" w:rsidR="008C2A35" w:rsidRDefault="008C2A35" w:rsidP="008C2A35">
            <w:pPr>
              <w:pStyle w:val="Tabletext1"/>
            </w:pPr>
            <w:r>
              <w:t>Freedom from local progression</w:t>
            </w:r>
          </w:p>
          <w:p w14:paraId="43EFCA13" w14:textId="16A60799" w:rsidR="008C2A35" w:rsidRDefault="008C2A35" w:rsidP="008C2A35">
            <w:pPr>
              <w:pStyle w:val="Tabletext1"/>
              <w:rPr>
                <w:snapToGrid w:val="0"/>
              </w:rPr>
            </w:pPr>
            <w:r>
              <w:t xml:space="preserve">Overall survival </w:t>
            </w:r>
          </w:p>
        </w:tc>
        <w:tc>
          <w:tcPr>
            <w:tcW w:w="656" w:type="pct"/>
            <w:tcBorders>
              <w:top w:val="single" w:sz="4" w:space="0" w:color="auto"/>
              <w:left w:val="single" w:sz="4" w:space="0" w:color="auto"/>
              <w:bottom w:val="single" w:sz="4" w:space="0" w:color="auto"/>
              <w:right w:val="single" w:sz="4" w:space="0" w:color="auto"/>
            </w:tcBorders>
          </w:tcPr>
          <w:p w14:paraId="61280A66" w14:textId="223E5206" w:rsidR="008C2A35" w:rsidRDefault="008C2A35" w:rsidP="008C2A35">
            <w:pPr>
              <w:pStyle w:val="Tabletext1"/>
            </w:pPr>
            <w:r>
              <w:t xml:space="preserve">Freedom from local progression and overall survival were analysed with Kaplan-Meier and a c2 test. Toxicity was determined using National Cancer Institute </w:t>
            </w:r>
            <w:r w:rsidR="005831EB">
              <w:t>CTCAE</w:t>
            </w:r>
            <w:r>
              <w:t xml:space="preserve"> Version 4 as a chart review with a focus on grade 3 or higher toxicity</w:t>
            </w:r>
          </w:p>
        </w:tc>
      </w:tr>
      <w:tr w:rsidR="008B6FC0" w:rsidRPr="00CE45B9" w14:paraId="66CAC537" w14:textId="77777777" w:rsidTr="008B6FC0">
        <w:trPr>
          <w:cantSplit/>
          <w:trHeight w:val="319"/>
        </w:trPr>
        <w:tc>
          <w:tcPr>
            <w:tcW w:w="444" w:type="pct"/>
            <w:tcBorders>
              <w:top w:val="single" w:sz="4" w:space="0" w:color="auto"/>
              <w:left w:val="single" w:sz="4" w:space="0" w:color="auto"/>
              <w:bottom w:val="single" w:sz="4" w:space="0" w:color="auto"/>
              <w:right w:val="single" w:sz="4" w:space="0" w:color="auto"/>
            </w:tcBorders>
          </w:tcPr>
          <w:p w14:paraId="414B362F" w14:textId="6CF1EC23" w:rsidR="007C2672" w:rsidRPr="00CE45B9" w:rsidRDefault="00211285" w:rsidP="006C7E7E">
            <w:pPr>
              <w:pStyle w:val="Tabletext1"/>
            </w:pPr>
            <w:hyperlink w:anchor="_ENREF_61" w:tooltip="Rudra, 2019 #22" w:history="1">
              <w:r w:rsidR="008B6FC0">
                <w:fldChar w:fldCharType="begin"/>
              </w:r>
              <w:r w:rsidR="008B6FC0">
                <w:instrText xml:space="preserve"> ADDIN EN.CITE &lt;EndNote&gt;&lt;Cite AuthorYear="1"&gt;&lt;Author&gt;Rudra&lt;/Author&gt;&lt;Year&gt;2019&lt;/Year&gt;&lt;RecNum&gt;22&lt;/RecNum&gt;&lt;DisplayText&gt;Rudra et al. (2019)&lt;/DisplayText&gt;&lt;record&gt;&lt;rec-number&gt;22&lt;/rec-number&gt;&lt;foreign-keys&gt;&lt;key app="EN" db-id="sx5wsdwv795wvue959xxw0ptaewvdezxxp05" timestamp="1604454187"&gt;22&lt;/key&gt;&lt;/foreign-keys&gt;&lt;ref-type name="Journal Article"&gt;17&lt;/ref-type&gt;&lt;contributors&gt;&lt;authors&gt;&lt;author&gt;Rudra, S.&lt;/author&gt;&lt;author&gt;Jiang, N.&lt;/author&gt;&lt;author&gt;Rosenberg, S. A.&lt;/author&gt;&lt;author&gt;Olsen, J. R.&lt;/author&gt;&lt;author&gt;Roach, M. C.&lt;/author&gt;&lt;author&gt;Wan, L.&lt;/author&gt;&lt;author&gt;Portelance, L.&lt;/author&gt;&lt;author&gt;Mellon, E. A.&lt;/author&gt;&lt;author&gt;Bruynzeel, A.&lt;/author&gt;&lt;author&gt;Lagerwaard, F.&lt;/author&gt;&lt;author&gt;Bassetti, M. F.&lt;/author&gt;&lt;author&gt;Parikh, P. J.&lt;/author&gt;&lt;author&gt;Lee, P. P.&lt;/author&gt;&lt;/authors&gt;&lt;/contributors&gt;&lt;titles&gt;&lt;title&gt;Using adaptive magnetic resonance image-guided radiation therapy for treatment of inoperable pancreatic cancer&lt;/title&gt;&lt;secondary-title&gt;Cancer Med&lt;/secondary-title&gt;&lt;/titles&gt;&lt;pages&gt;2123-2132&lt;/pages&gt;&lt;volume&gt;8&lt;/volume&gt;&lt;number&gt;5&lt;/number&gt;&lt;dates&gt;&lt;year&gt;2019&lt;/year&gt;&lt;/dates&gt;&lt;accession-num&gt;30932367&lt;/accession-num&gt;&lt;urls&gt;&lt;related-urls&gt;&lt;url&gt;http://ezproxy.library.usyd.edu.au/login?url=http://ovidsp.ovid.com/ovidweb.cgi?T=JS&amp;amp;CSC=Y&amp;amp;NEWS=N&amp;amp;PAGE=fulltext&amp;amp;D=medl&amp;amp;AN=30932367https://sydney.alma.exlibrisgroup.com/openurl/61USYD_INST/61USYD_INST:sydney?sid=OVID:medline&amp;amp;id=pmid:30932367&amp;amp;id=doi:10.1002&lt;/url&gt;&lt;url&gt;https://www.ncbi.nlm.nih.gov/pmc/articles/PMC6536981/pdf/CAM4-8-2123.pdf&lt;/url&gt;&lt;/related-urls&gt;&lt;/urls&gt;&lt;custom2&gt;Include- Single Arm, Safety&lt;/custom2&gt;&lt;electronic-resource-num&gt;https://dx.doi.org/10.1002/cam4.2100&lt;/electronic-resource-num&gt;&lt;/record&gt;&lt;/Cite&gt;&lt;/EndNote&gt;</w:instrText>
              </w:r>
              <w:r w:rsidR="008B6FC0">
                <w:fldChar w:fldCharType="separate"/>
              </w:r>
              <w:r w:rsidR="008B6FC0">
                <w:rPr>
                  <w:noProof/>
                </w:rPr>
                <w:t>Rudra et al. (2019)</w:t>
              </w:r>
              <w:r w:rsidR="008B6FC0">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7D6A938B" w14:textId="77777777" w:rsidR="007C2672" w:rsidRDefault="007C2672" w:rsidP="006C7E7E">
            <w:pPr>
              <w:pStyle w:val="Tabletext1"/>
            </w:pPr>
            <w:r>
              <w:t>Retrospective Coh</w:t>
            </w:r>
          </w:p>
          <w:p w14:paraId="7CAB3FF7" w14:textId="77777777" w:rsidR="007C2672" w:rsidRPr="00CE45B9" w:rsidRDefault="007C2672" w:rsidP="006C7E7E">
            <w:pPr>
              <w:pStyle w:val="Tabletext1"/>
            </w:pPr>
            <w:r>
              <w:t>2014-2016</w:t>
            </w:r>
          </w:p>
        </w:tc>
        <w:tc>
          <w:tcPr>
            <w:tcW w:w="458" w:type="pct"/>
            <w:tcBorders>
              <w:top w:val="single" w:sz="4" w:space="0" w:color="auto"/>
              <w:left w:val="single" w:sz="4" w:space="0" w:color="auto"/>
              <w:bottom w:val="single" w:sz="4" w:space="0" w:color="auto"/>
              <w:right w:val="single" w:sz="4" w:space="0" w:color="auto"/>
            </w:tcBorders>
          </w:tcPr>
          <w:p w14:paraId="50C1EC54" w14:textId="77777777" w:rsidR="007C2672" w:rsidRDefault="007C2672" w:rsidP="006C7E7E">
            <w:pPr>
              <w:pStyle w:val="Tabletext1"/>
            </w:pPr>
            <w:r>
              <w:t>Level III/IV</w:t>
            </w:r>
          </w:p>
          <w:p w14:paraId="3A942743" w14:textId="15D6FE4C" w:rsidR="007C2672" w:rsidRPr="00CE45B9" w:rsidRDefault="007C2672" w:rsidP="006C7E7E">
            <w:pPr>
              <w:pStyle w:val="Tabletext1"/>
            </w:pPr>
            <w:r>
              <w:t>Poor quality</w:t>
            </w:r>
          </w:p>
        </w:tc>
        <w:tc>
          <w:tcPr>
            <w:tcW w:w="379" w:type="pct"/>
            <w:tcBorders>
              <w:top w:val="single" w:sz="4" w:space="0" w:color="auto"/>
              <w:left w:val="single" w:sz="4" w:space="0" w:color="auto"/>
              <w:bottom w:val="single" w:sz="4" w:space="0" w:color="auto"/>
              <w:right w:val="single" w:sz="4" w:space="0" w:color="auto"/>
            </w:tcBorders>
          </w:tcPr>
          <w:p w14:paraId="60B2F986" w14:textId="77777777" w:rsidR="007C2672" w:rsidRDefault="007C2672" w:rsidP="006C7E7E">
            <w:pPr>
              <w:pStyle w:val="Tabletext1"/>
            </w:pPr>
            <w:r>
              <w:t>USA,</w:t>
            </w:r>
          </w:p>
          <w:p w14:paraId="4D1B6EC2" w14:textId="77777777" w:rsidR="007C2672" w:rsidRDefault="007C2672" w:rsidP="006C7E7E">
            <w:pPr>
              <w:pStyle w:val="Tabletext1"/>
            </w:pPr>
            <w:r>
              <w:t>Multi-centre</w:t>
            </w:r>
          </w:p>
          <w:p w14:paraId="3074E397" w14:textId="77777777" w:rsidR="007C2672" w:rsidRPr="00CE45B9" w:rsidRDefault="007C2672" w:rsidP="006C7E7E">
            <w:pPr>
              <w:pStyle w:val="Tabletext1"/>
            </w:pPr>
            <w:r>
              <w:t>Median follow-up: 17 months</w:t>
            </w:r>
          </w:p>
        </w:tc>
        <w:tc>
          <w:tcPr>
            <w:tcW w:w="638" w:type="pct"/>
            <w:tcBorders>
              <w:top w:val="single" w:sz="4" w:space="0" w:color="auto"/>
              <w:left w:val="single" w:sz="4" w:space="0" w:color="auto"/>
              <w:bottom w:val="single" w:sz="4" w:space="0" w:color="auto"/>
              <w:right w:val="single" w:sz="4" w:space="0" w:color="auto"/>
            </w:tcBorders>
          </w:tcPr>
          <w:p w14:paraId="0F4BECE7" w14:textId="77777777" w:rsidR="007C2672" w:rsidRDefault="007C2672" w:rsidP="006C7E7E">
            <w:pPr>
              <w:pStyle w:val="Tabletext1"/>
            </w:pPr>
            <w:r>
              <w:t>N= 44 (high dose, n= 24; standard dose, n=20)</w:t>
            </w:r>
          </w:p>
          <w:p w14:paraId="6ECC139C" w14:textId="77777777" w:rsidR="007C2672" w:rsidRDefault="007C2672" w:rsidP="006C7E7E">
            <w:pPr>
              <w:pStyle w:val="Tabletext1"/>
            </w:pPr>
            <w:r>
              <w:t>Median age 66 (range 47-85)</w:t>
            </w:r>
          </w:p>
          <w:p w14:paraId="261942A2" w14:textId="77777777" w:rsidR="007C2672" w:rsidRDefault="007C2672" w:rsidP="006C7E7E">
            <w:pPr>
              <w:pStyle w:val="Tabletext1"/>
            </w:pPr>
            <w:r>
              <w:t>59.1% male, 40.9% female</w:t>
            </w:r>
          </w:p>
          <w:p w14:paraId="321DF72D" w14:textId="77777777" w:rsidR="007C2672" w:rsidRPr="00CE45B9" w:rsidRDefault="007C2672" w:rsidP="006C7E7E">
            <w:pPr>
              <w:pStyle w:val="Tabletext1"/>
            </w:pPr>
            <w:r>
              <w:rPr>
                <w:snapToGrid w:val="0"/>
              </w:rPr>
              <w:t>P</w:t>
            </w:r>
            <w:r w:rsidRPr="00524A7A">
              <w:rPr>
                <w:snapToGrid w:val="0"/>
              </w:rPr>
              <w:t xml:space="preserve">atients </w:t>
            </w:r>
            <w:r>
              <w:rPr>
                <w:snapToGrid w:val="0"/>
              </w:rPr>
              <w:t xml:space="preserve">with </w:t>
            </w:r>
            <w:r w:rsidRPr="00524A7A">
              <w:rPr>
                <w:snapToGrid w:val="0"/>
              </w:rPr>
              <w:t>biopsy</w:t>
            </w:r>
            <w:r w:rsidRPr="00524A7A">
              <w:rPr>
                <w:rFonts w:ascii="Cambria Math" w:hAnsi="Cambria Math" w:cs="Cambria Math"/>
                <w:snapToGrid w:val="0"/>
              </w:rPr>
              <w:t>‐</w:t>
            </w:r>
            <w:r w:rsidRPr="00524A7A">
              <w:rPr>
                <w:snapToGrid w:val="0"/>
              </w:rPr>
              <w:t>proven, inoperable, pancreatic cancer</w:t>
            </w:r>
          </w:p>
        </w:tc>
        <w:tc>
          <w:tcPr>
            <w:tcW w:w="685" w:type="pct"/>
            <w:tcBorders>
              <w:top w:val="single" w:sz="4" w:space="0" w:color="auto"/>
              <w:left w:val="single" w:sz="4" w:space="0" w:color="auto"/>
              <w:bottom w:val="single" w:sz="4" w:space="0" w:color="auto"/>
              <w:right w:val="single" w:sz="4" w:space="0" w:color="auto"/>
            </w:tcBorders>
          </w:tcPr>
          <w:p w14:paraId="3862D872" w14:textId="74F7F578" w:rsidR="0064318D" w:rsidRDefault="008C2A35" w:rsidP="006C7E7E">
            <w:pPr>
              <w:pStyle w:val="Tabletext1"/>
            </w:pPr>
            <w:r>
              <w:t>MR</w:t>
            </w:r>
            <w:r w:rsidR="000916FF">
              <w:t>-IG</w:t>
            </w:r>
            <w:r>
              <w:t>RT</w:t>
            </w:r>
            <w:r w:rsidR="007C2672">
              <w:t xml:space="preserve"> (ViewRay MRIdian System, Oakwood Village, OH) with concurrent chemotherapy in all but two patients</w:t>
            </w:r>
            <w:r w:rsidR="00997609">
              <w:t xml:space="preserve">. </w:t>
            </w:r>
            <w:r w:rsidR="0064318D">
              <w:t>C</w:t>
            </w:r>
            <w:r w:rsidR="00997609">
              <w:t>onventional fractionated</w:t>
            </w:r>
            <w:r w:rsidR="0064318D">
              <w:t xml:space="preserve"> (n=13): </w:t>
            </w:r>
            <w:r w:rsidR="0064318D" w:rsidRPr="0064318D">
              <w:t>40</w:t>
            </w:r>
            <w:r w:rsidR="0064318D" w:rsidRPr="0064318D">
              <w:rPr>
                <w:rFonts w:ascii="Cambria Math" w:hAnsi="Cambria Math" w:cs="Cambria Math"/>
              </w:rPr>
              <w:t>‐</w:t>
            </w:r>
            <w:r w:rsidR="0064318D" w:rsidRPr="0064318D">
              <w:t>55 Gy in 25</w:t>
            </w:r>
            <w:r w:rsidR="0064318D" w:rsidRPr="0064318D">
              <w:rPr>
                <w:rFonts w:ascii="Cambria Math" w:hAnsi="Cambria Math" w:cs="Cambria Math"/>
              </w:rPr>
              <w:t>‐</w:t>
            </w:r>
            <w:r w:rsidR="0064318D" w:rsidRPr="0064318D">
              <w:t>28 fractions</w:t>
            </w:r>
            <w:r w:rsidR="0064318D">
              <w:t>; C</w:t>
            </w:r>
            <w:r w:rsidR="00997609">
              <w:t>onventional SBRT</w:t>
            </w:r>
            <w:r w:rsidR="0064318D">
              <w:t xml:space="preserve"> (n=6): </w:t>
            </w:r>
            <w:r w:rsidR="0064318D" w:rsidRPr="0064318D">
              <w:t>30</w:t>
            </w:r>
            <w:r w:rsidR="0064318D" w:rsidRPr="0064318D">
              <w:rPr>
                <w:rFonts w:ascii="Cambria Math" w:hAnsi="Cambria Math" w:cs="Cambria Math"/>
              </w:rPr>
              <w:t>‐</w:t>
            </w:r>
            <w:r w:rsidR="0064318D" w:rsidRPr="0064318D">
              <w:t>35 Gy in 5 fractions</w:t>
            </w:r>
            <w:r w:rsidR="0064318D">
              <w:t>;</w:t>
            </w:r>
          </w:p>
          <w:p w14:paraId="79613B47" w14:textId="77777777" w:rsidR="0064318D" w:rsidRDefault="0064318D" w:rsidP="006C7E7E">
            <w:pPr>
              <w:pStyle w:val="Tabletext1"/>
            </w:pPr>
            <w:r>
              <w:t>H</w:t>
            </w:r>
            <w:r w:rsidR="00997609">
              <w:t>igh-dose SBRT</w:t>
            </w:r>
            <w:r>
              <w:t xml:space="preserve"> (n=16): </w:t>
            </w:r>
            <w:r w:rsidRPr="0064318D">
              <w:t>40</w:t>
            </w:r>
            <w:r w:rsidRPr="0064318D">
              <w:rPr>
                <w:rFonts w:ascii="Cambria Math" w:hAnsi="Cambria Math" w:cs="Cambria Math"/>
              </w:rPr>
              <w:t>‐</w:t>
            </w:r>
            <w:r w:rsidRPr="0064318D">
              <w:t>52 Gy in 5 fractions</w:t>
            </w:r>
            <w:r>
              <w:t>;</w:t>
            </w:r>
          </w:p>
          <w:p w14:paraId="42A04746" w14:textId="305F524D" w:rsidR="007C2672" w:rsidRPr="00CE45B9" w:rsidRDefault="0064318D" w:rsidP="006C7E7E">
            <w:pPr>
              <w:pStyle w:val="Tabletext1"/>
            </w:pPr>
            <w:r>
              <w:t>H</w:t>
            </w:r>
            <w:r w:rsidR="00997609">
              <w:t>ypo fractionated</w:t>
            </w:r>
            <w:r>
              <w:t xml:space="preserve"> (n=9): </w:t>
            </w:r>
            <w:r w:rsidRPr="0064318D">
              <w:t>50</w:t>
            </w:r>
            <w:r w:rsidRPr="0064318D">
              <w:rPr>
                <w:rFonts w:ascii="Cambria Math" w:hAnsi="Cambria Math" w:cs="Cambria Math"/>
              </w:rPr>
              <w:t>‐</w:t>
            </w:r>
            <w:r w:rsidRPr="0064318D">
              <w:t>67.5 Gy in 10</w:t>
            </w:r>
            <w:r w:rsidRPr="0064318D">
              <w:rPr>
                <w:rFonts w:ascii="Cambria Math" w:hAnsi="Cambria Math" w:cs="Cambria Math"/>
              </w:rPr>
              <w:t>‐</w:t>
            </w:r>
            <w:r w:rsidRPr="0064318D">
              <w:t>15 fractions</w:t>
            </w:r>
            <w:r>
              <w:t>.</w:t>
            </w:r>
          </w:p>
        </w:tc>
        <w:tc>
          <w:tcPr>
            <w:tcW w:w="646" w:type="pct"/>
            <w:gridSpan w:val="2"/>
            <w:tcBorders>
              <w:top w:val="single" w:sz="4" w:space="0" w:color="auto"/>
              <w:left w:val="single" w:sz="4" w:space="0" w:color="auto"/>
              <w:bottom w:val="single" w:sz="4" w:space="0" w:color="auto"/>
              <w:right w:val="single" w:sz="4" w:space="0" w:color="auto"/>
            </w:tcBorders>
          </w:tcPr>
          <w:p w14:paraId="19DB1EAD" w14:textId="77777777" w:rsidR="007C2672" w:rsidRPr="00CE45B9" w:rsidRDefault="007C2672" w:rsidP="006C7E7E">
            <w:pPr>
              <w:pStyle w:val="Tabletext1"/>
            </w:pPr>
            <w:r>
              <w:t>NA</w:t>
            </w:r>
          </w:p>
        </w:tc>
        <w:tc>
          <w:tcPr>
            <w:tcW w:w="640" w:type="pct"/>
            <w:gridSpan w:val="2"/>
            <w:tcBorders>
              <w:top w:val="single" w:sz="4" w:space="0" w:color="auto"/>
              <w:left w:val="single" w:sz="4" w:space="0" w:color="auto"/>
              <w:bottom w:val="single" w:sz="4" w:space="0" w:color="auto"/>
              <w:right w:val="single" w:sz="4" w:space="0" w:color="auto"/>
            </w:tcBorders>
          </w:tcPr>
          <w:p w14:paraId="063488F3" w14:textId="77777777" w:rsidR="007C2672" w:rsidRPr="00CE45B9" w:rsidRDefault="007C2672" w:rsidP="006C7E7E">
            <w:pPr>
              <w:pStyle w:val="Tabletext1"/>
            </w:pPr>
            <w:r>
              <w:rPr>
                <w:snapToGrid w:val="0"/>
              </w:rPr>
              <w:t>Acute gastrointestinal toxicity</w:t>
            </w:r>
          </w:p>
        </w:tc>
        <w:tc>
          <w:tcPr>
            <w:tcW w:w="656" w:type="pct"/>
            <w:tcBorders>
              <w:top w:val="single" w:sz="4" w:space="0" w:color="auto"/>
              <w:left w:val="single" w:sz="4" w:space="0" w:color="auto"/>
              <w:bottom w:val="single" w:sz="4" w:space="0" w:color="auto"/>
              <w:right w:val="single" w:sz="4" w:space="0" w:color="auto"/>
            </w:tcBorders>
          </w:tcPr>
          <w:p w14:paraId="28768B4D" w14:textId="77777777" w:rsidR="007C2672" w:rsidRPr="00CE45B9" w:rsidRDefault="007C2672" w:rsidP="006C7E7E">
            <w:pPr>
              <w:pStyle w:val="Tabletext1"/>
            </w:pPr>
            <w:r>
              <w:t>All time to endpoint calculations were performed from start date of RT. Acute GI toxicity was graded based on the Common Terminology Criteria for Adverse Events version 4 and recorded from start of RT until 6 weeks after completion of RT.</w:t>
            </w:r>
          </w:p>
        </w:tc>
      </w:tr>
      <w:tr w:rsidR="008B6FC0" w:rsidRPr="00CE45B9" w14:paraId="6DF04C77" w14:textId="77777777" w:rsidTr="008B6FC0">
        <w:trPr>
          <w:cantSplit/>
          <w:trHeight w:val="319"/>
        </w:trPr>
        <w:tc>
          <w:tcPr>
            <w:tcW w:w="444" w:type="pct"/>
            <w:tcBorders>
              <w:top w:val="single" w:sz="4" w:space="0" w:color="auto"/>
              <w:left w:val="single" w:sz="4" w:space="0" w:color="auto"/>
              <w:bottom w:val="single" w:sz="4" w:space="0" w:color="auto"/>
              <w:right w:val="single" w:sz="4" w:space="0" w:color="auto"/>
            </w:tcBorders>
          </w:tcPr>
          <w:p w14:paraId="275532B6" w14:textId="17FCE4F7" w:rsidR="008C2A35" w:rsidRDefault="00211285" w:rsidP="008C2A35">
            <w:pPr>
              <w:pStyle w:val="Tabletext1"/>
            </w:pPr>
            <w:hyperlink w:anchor="_ENREF_70" w:tooltip="Tetar, 2018 #26" w:history="1">
              <w:r w:rsidR="001F781A">
                <w:rPr>
                  <w:snapToGrid w:val="0"/>
                </w:rPr>
                <w:fldChar w:fldCharType="begin"/>
              </w:r>
              <w:r w:rsidR="001F781A">
                <w:rPr>
                  <w:snapToGrid w:val="0"/>
                </w:rPr>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rPr>
                  <w:snapToGrid w:val="0"/>
                </w:rPr>
                <w:fldChar w:fldCharType="separate"/>
              </w:r>
              <w:r w:rsidR="001F781A">
                <w:rPr>
                  <w:noProof/>
                  <w:snapToGrid w:val="0"/>
                </w:rPr>
                <w:t>S. Tetar et al. (2018)</w:t>
              </w:r>
              <w:r w:rsidR="001F781A">
                <w:rPr>
                  <w:snapToGrid w:val="0"/>
                </w:rPr>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0A8745FD" w14:textId="32CE3C96" w:rsidR="008C2A35" w:rsidRDefault="008C2A35" w:rsidP="008C2A35">
            <w:pPr>
              <w:pStyle w:val="Tabletext1"/>
            </w:pPr>
            <w:r>
              <w:t>Prospective Coh, May 2016 to August 2017</w:t>
            </w:r>
          </w:p>
        </w:tc>
        <w:tc>
          <w:tcPr>
            <w:tcW w:w="458" w:type="pct"/>
            <w:tcBorders>
              <w:top w:val="single" w:sz="4" w:space="0" w:color="auto"/>
              <w:left w:val="single" w:sz="4" w:space="0" w:color="auto"/>
              <w:bottom w:val="single" w:sz="4" w:space="0" w:color="auto"/>
              <w:right w:val="single" w:sz="4" w:space="0" w:color="auto"/>
            </w:tcBorders>
          </w:tcPr>
          <w:p w14:paraId="2CF7079B" w14:textId="77777777" w:rsidR="008C2A35" w:rsidRPr="00FD4D28" w:rsidRDefault="008C2A35" w:rsidP="008C2A35">
            <w:pPr>
              <w:pStyle w:val="Tabletext1"/>
            </w:pPr>
            <w:r w:rsidRPr="00FD4D28">
              <w:t>Level III</w:t>
            </w:r>
          </w:p>
          <w:p w14:paraId="0294B489" w14:textId="1BEB993B" w:rsidR="008C2A35" w:rsidRDefault="008C2A35" w:rsidP="008C2A35">
            <w:pPr>
              <w:pStyle w:val="Tabletext1"/>
            </w:pPr>
            <w:r w:rsidRPr="00FD4D28">
              <w:t>Good quality</w:t>
            </w:r>
          </w:p>
        </w:tc>
        <w:tc>
          <w:tcPr>
            <w:tcW w:w="379" w:type="pct"/>
            <w:tcBorders>
              <w:top w:val="single" w:sz="4" w:space="0" w:color="auto"/>
              <w:left w:val="single" w:sz="4" w:space="0" w:color="auto"/>
              <w:bottom w:val="single" w:sz="4" w:space="0" w:color="auto"/>
              <w:right w:val="single" w:sz="4" w:space="0" w:color="auto"/>
            </w:tcBorders>
          </w:tcPr>
          <w:p w14:paraId="1DDE9309" w14:textId="386230B2" w:rsidR="008C2A35" w:rsidRDefault="008C2A35" w:rsidP="008C2A35">
            <w:pPr>
              <w:pStyle w:val="Tabletext1"/>
            </w:pPr>
            <w:r>
              <w:t>The Netherlands, Median follow-up: 21.2 months</w:t>
            </w:r>
          </w:p>
        </w:tc>
        <w:tc>
          <w:tcPr>
            <w:tcW w:w="638" w:type="pct"/>
            <w:tcBorders>
              <w:top w:val="single" w:sz="4" w:space="0" w:color="auto"/>
              <w:left w:val="single" w:sz="4" w:space="0" w:color="auto"/>
              <w:bottom w:val="single" w:sz="4" w:space="0" w:color="auto"/>
              <w:right w:val="single" w:sz="4" w:space="0" w:color="auto"/>
            </w:tcBorders>
          </w:tcPr>
          <w:p w14:paraId="29F2E259" w14:textId="77777777" w:rsidR="008C2A35" w:rsidRDefault="008C2A35" w:rsidP="008C2A35">
            <w:pPr>
              <w:pStyle w:val="Tabletext1"/>
            </w:pPr>
            <w:r>
              <w:t xml:space="preserve">N=150, </w:t>
            </w:r>
          </w:p>
          <w:p w14:paraId="65E24752" w14:textId="77777777" w:rsidR="008C2A35" w:rsidRDefault="008C2A35" w:rsidP="008C2A35">
            <w:pPr>
              <w:pStyle w:val="Tabletext1"/>
            </w:pPr>
            <w:r>
              <w:t>Median age 69 (35-92) years, 114 males (76%), majority prostatic tumour, exclude claustrophobic patients</w:t>
            </w:r>
          </w:p>
          <w:p w14:paraId="7EBB7AA3" w14:textId="34D71092" w:rsidR="008C2A35" w:rsidRDefault="008C2A35" w:rsidP="008C2A35">
            <w:pPr>
              <w:pStyle w:val="Tabletext1"/>
            </w:pPr>
            <w:r>
              <w:t>Patients with claustrophobia are excluded.</w:t>
            </w:r>
          </w:p>
        </w:tc>
        <w:tc>
          <w:tcPr>
            <w:tcW w:w="685" w:type="pct"/>
            <w:tcBorders>
              <w:top w:val="single" w:sz="4" w:space="0" w:color="auto"/>
              <w:left w:val="single" w:sz="4" w:space="0" w:color="auto"/>
              <w:bottom w:val="single" w:sz="4" w:space="0" w:color="auto"/>
              <w:right w:val="single" w:sz="4" w:space="0" w:color="auto"/>
            </w:tcBorders>
          </w:tcPr>
          <w:p w14:paraId="39A38D94" w14:textId="77777777" w:rsidR="008C2A35" w:rsidRDefault="008C2A35" w:rsidP="008C2A35">
            <w:pPr>
              <w:pStyle w:val="Tabletext1"/>
            </w:pPr>
            <w:r>
              <w:t>MRIdian® system (ViewRay, Inc., Mountain View, CA), which combines a split 0.35 Tesla (T)</w:t>
            </w:r>
          </w:p>
          <w:p w14:paraId="527B26C1" w14:textId="77777777" w:rsidR="008C2A35" w:rsidRDefault="008C2A35" w:rsidP="008C2A35">
            <w:pPr>
              <w:pStyle w:val="Tabletext1"/>
            </w:pPr>
            <w:r>
              <w:t xml:space="preserve">MR scanner with </w:t>
            </w:r>
            <w:r w:rsidRPr="00C97874">
              <w:rPr>
                <w:vertAlign w:val="superscript"/>
              </w:rPr>
              <w:t>60</w:t>
            </w:r>
            <w:r>
              <w:t>Co therapy, provided with SMART delivery.</w:t>
            </w:r>
          </w:p>
          <w:p w14:paraId="598A9899" w14:textId="77777777" w:rsidR="008C2A35" w:rsidRDefault="008C2A35" w:rsidP="008C2A35">
            <w:pPr>
              <w:pStyle w:val="Tabletext1"/>
            </w:pPr>
            <w:r>
              <w:t>Dose not reported.</w:t>
            </w:r>
          </w:p>
          <w:p w14:paraId="795CC329" w14:textId="350D014C" w:rsidR="008C2A35" w:rsidRDefault="008C2A35" w:rsidP="008C2A35">
            <w:pPr>
              <w:pStyle w:val="Tabletext1"/>
            </w:pPr>
            <w:r>
              <w:t>Most patients were treated using a five-fraction stereotactic scheme, except for several lung and liver lesions that received eight to 12 fractions.</w:t>
            </w:r>
          </w:p>
        </w:tc>
        <w:tc>
          <w:tcPr>
            <w:tcW w:w="646" w:type="pct"/>
            <w:gridSpan w:val="2"/>
            <w:tcBorders>
              <w:top w:val="single" w:sz="4" w:space="0" w:color="auto"/>
              <w:left w:val="single" w:sz="4" w:space="0" w:color="auto"/>
              <w:bottom w:val="single" w:sz="4" w:space="0" w:color="auto"/>
              <w:right w:val="single" w:sz="4" w:space="0" w:color="auto"/>
            </w:tcBorders>
          </w:tcPr>
          <w:p w14:paraId="76B7F726" w14:textId="4EF780AC" w:rsidR="008C2A35" w:rsidRDefault="008C2A35" w:rsidP="008C2A35">
            <w:pPr>
              <w:pStyle w:val="Tabletext1"/>
            </w:pPr>
            <w:r>
              <w:t>No comparator</w:t>
            </w:r>
          </w:p>
        </w:tc>
        <w:tc>
          <w:tcPr>
            <w:tcW w:w="640" w:type="pct"/>
            <w:gridSpan w:val="2"/>
            <w:tcBorders>
              <w:top w:val="single" w:sz="4" w:space="0" w:color="auto"/>
              <w:left w:val="single" w:sz="4" w:space="0" w:color="auto"/>
              <w:bottom w:val="single" w:sz="4" w:space="0" w:color="auto"/>
              <w:right w:val="single" w:sz="4" w:space="0" w:color="auto"/>
            </w:tcBorders>
          </w:tcPr>
          <w:p w14:paraId="0A91655E" w14:textId="08102BF1" w:rsidR="008C2A35" w:rsidRDefault="008C2A35" w:rsidP="008C2A35">
            <w:pPr>
              <w:pStyle w:val="Tabletext1"/>
              <w:rPr>
                <w:snapToGrid w:val="0"/>
              </w:rPr>
            </w:pPr>
            <w:r>
              <w:t>Patient reported outcomes related to the MRI guided radiotherapy procedure</w:t>
            </w:r>
          </w:p>
        </w:tc>
        <w:tc>
          <w:tcPr>
            <w:tcW w:w="656" w:type="pct"/>
            <w:tcBorders>
              <w:top w:val="single" w:sz="4" w:space="0" w:color="auto"/>
              <w:left w:val="single" w:sz="4" w:space="0" w:color="auto"/>
              <w:bottom w:val="single" w:sz="4" w:space="0" w:color="auto"/>
              <w:right w:val="single" w:sz="4" w:space="0" w:color="auto"/>
            </w:tcBorders>
          </w:tcPr>
          <w:p w14:paraId="6F726DC7" w14:textId="77777777" w:rsidR="008C2A35" w:rsidRDefault="008C2A35" w:rsidP="008C2A35">
            <w:pPr>
              <w:pStyle w:val="Tabletext1"/>
            </w:pPr>
            <w:r>
              <w:t>Mean scores compared using ANOVA.</w:t>
            </w:r>
          </w:p>
          <w:p w14:paraId="06EA84AB" w14:textId="13EA5219" w:rsidR="008C2A35" w:rsidRDefault="008C2A35" w:rsidP="008C2A35">
            <w:pPr>
              <w:pStyle w:val="Tabletext1"/>
            </w:pPr>
            <w:r>
              <w:t>Response from patients gathered using an in-house PRO-Q including questions on potential MR-related complaints and experiences,</w:t>
            </w:r>
          </w:p>
        </w:tc>
      </w:tr>
      <w:tr w:rsidR="008B6FC0" w:rsidRPr="00CE45B9" w14:paraId="248F5457" w14:textId="77777777" w:rsidTr="008B6FC0">
        <w:trPr>
          <w:cantSplit/>
          <w:trHeight w:val="319"/>
        </w:trPr>
        <w:tc>
          <w:tcPr>
            <w:tcW w:w="444" w:type="pct"/>
            <w:tcBorders>
              <w:top w:val="single" w:sz="4" w:space="0" w:color="auto"/>
              <w:left w:val="single" w:sz="4" w:space="0" w:color="auto"/>
              <w:bottom w:val="single" w:sz="4" w:space="0" w:color="auto"/>
              <w:right w:val="single" w:sz="4" w:space="0" w:color="auto"/>
            </w:tcBorders>
          </w:tcPr>
          <w:p w14:paraId="0BFCAA52" w14:textId="5BE8A115" w:rsidR="007C2672" w:rsidRDefault="00211285" w:rsidP="006C7E7E">
            <w:pPr>
              <w:pStyle w:val="Tabletext1"/>
            </w:pPr>
            <w:hyperlink w:anchor="_ENREF_71" w:tooltip="Tetar, 2019 #23" w:history="1">
              <w:r w:rsidR="001F781A">
                <w:fldChar w:fldCharType="begin"/>
              </w:r>
              <w:r w:rsidR="001F781A">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1F781A">
                <w:fldChar w:fldCharType="separate"/>
              </w:r>
              <w:r w:rsidR="001F781A">
                <w:rPr>
                  <w:noProof/>
                </w:rPr>
                <w:t>S. U. Tetar et al. (2019)</w:t>
              </w:r>
              <w:r w:rsidR="001F781A">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771ECF5F" w14:textId="77777777" w:rsidR="007C2672" w:rsidRDefault="007C2672" w:rsidP="006C7E7E">
            <w:pPr>
              <w:pStyle w:val="Tabletext1"/>
            </w:pPr>
            <w:r>
              <w:t>Retrospective CS</w:t>
            </w:r>
          </w:p>
          <w:p w14:paraId="74066991" w14:textId="77777777" w:rsidR="007C2672" w:rsidRDefault="007C2672" w:rsidP="006C7E7E">
            <w:pPr>
              <w:pStyle w:val="Tabletext1"/>
            </w:pPr>
            <w:r>
              <w:t>May 2016-June 2018</w:t>
            </w:r>
          </w:p>
        </w:tc>
        <w:tc>
          <w:tcPr>
            <w:tcW w:w="458" w:type="pct"/>
            <w:tcBorders>
              <w:top w:val="single" w:sz="4" w:space="0" w:color="auto"/>
              <w:left w:val="single" w:sz="4" w:space="0" w:color="auto"/>
              <w:bottom w:val="single" w:sz="4" w:space="0" w:color="auto"/>
              <w:right w:val="single" w:sz="4" w:space="0" w:color="auto"/>
            </w:tcBorders>
          </w:tcPr>
          <w:p w14:paraId="350CDBD5" w14:textId="77777777" w:rsidR="007C2672" w:rsidRDefault="007C2672" w:rsidP="006C7E7E">
            <w:pPr>
              <w:pStyle w:val="Tabletext1"/>
            </w:pPr>
            <w:r>
              <w:t>Level IV</w:t>
            </w:r>
          </w:p>
          <w:p w14:paraId="495A5378" w14:textId="77777777" w:rsidR="007C2672" w:rsidRDefault="007C2672" w:rsidP="006C7E7E">
            <w:pPr>
              <w:pStyle w:val="Tabletext1"/>
            </w:pPr>
            <w:r>
              <w:t>Poor quality</w:t>
            </w:r>
          </w:p>
        </w:tc>
        <w:tc>
          <w:tcPr>
            <w:tcW w:w="379" w:type="pct"/>
            <w:tcBorders>
              <w:top w:val="single" w:sz="4" w:space="0" w:color="auto"/>
              <w:left w:val="single" w:sz="4" w:space="0" w:color="auto"/>
              <w:bottom w:val="single" w:sz="4" w:space="0" w:color="auto"/>
              <w:right w:val="single" w:sz="4" w:space="0" w:color="auto"/>
            </w:tcBorders>
          </w:tcPr>
          <w:p w14:paraId="2940FB50" w14:textId="77777777" w:rsidR="007C2672" w:rsidRDefault="007C2672" w:rsidP="006C7E7E">
            <w:pPr>
              <w:pStyle w:val="Tabletext1"/>
            </w:pPr>
            <w:r>
              <w:t>The Netherlands</w:t>
            </w:r>
          </w:p>
          <w:p w14:paraId="3CF5E1F0" w14:textId="77777777" w:rsidR="007C2672" w:rsidRDefault="007C2672" w:rsidP="006C7E7E">
            <w:pPr>
              <w:pStyle w:val="Tabletext1"/>
            </w:pPr>
            <w:r>
              <w:t>Follow-up NR</w:t>
            </w:r>
          </w:p>
        </w:tc>
        <w:tc>
          <w:tcPr>
            <w:tcW w:w="638" w:type="pct"/>
            <w:tcBorders>
              <w:top w:val="single" w:sz="4" w:space="0" w:color="auto"/>
              <w:left w:val="single" w:sz="4" w:space="0" w:color="auto"/>
              <w:bottom w:val="single" w:sz="4" w:space="0" w:color="auto"/>
              <w:right w:val="single" w:sz="4" w:space="0" w:color="auto"/>
            </w:tcBorders>
          </w:tcPr>
          <w:p w14:paraId="3FE97EAB" w14:textId="77777777" w:rsidR="007C2672" w:rsidRDefault="007C2672" w:rsidP="006C7E7E">
            <w:pPr>
              <w:pStyle w:val="Tabletext1"/>
            </w:pPr>
            <w:r>
              <w:t>N=140</w:t>
            </w:r>
          </w:p>
          <w:p w14:paraId="7BAD2EB9" w14:textId="77777777" w:rsidR="007C2672" w:rsidRDefault="007C2672" w:rsidP="006C7E7E">
            <w:pPr>
              <w:pStyle w:val="Tabletext1"/>
            </w:pPr>
            <w:r>
              <w:t>Age NR</w:t>
            </w:r>
          </w:p>
          <w:p w14:paraId="3DE66FC9" w14:textId="7678B01B" w:rsidR="007C2672" w:rsidRDefault="007C2672" w:rsidP="006C7E7E">
            <w:pPr>
              <w:pStyle w:val="Tabletext1"/>
            </w:pPr>
            <w:r w:rsidRPr="00EF6443">
              <w:t xml:space="preserve">All patients treated with </w:t>
            </w:r>
            <w:r w:rsidR="008C2A35" w:rsidRPr="00EF6443">
              <w:t>MR</w:t>
            </w:r>
            <w:r w:rsidR="00D04C06">
              <w:t>-IG</w:t>
            </w:r>
            <w:r w:rsidR="008C2A35" w:rsidRPr="00EF6443">
              <w:t>RT</w:t>
            </w:r>
            <w:r w:rsidRPr="00EF6443">
              <w:t xml:space="preserve"> for prostate cancer</w:t>
            </w:r>
          </w:p>
        </w:tc>
        <w:tc>
          <w:tcPr>
            <w:tcW w:w="685" w:type="pct"/>
            <w:tcBorders>
              <w:top w:val="single" w:sz="4" w:space="0" w:color="auto"/>
              <w:left w:val="single" w:sz="4" w:space="0" w:color="auto"/>
              <w:bottom w:val="single" w:sz="4" w:space="0" w:color="auto"/>
              <w:right w:val="single" w:sz="4" w:space="0" w:color="auto"/>
            </w:tcBorders>
          </w:tcPr>
          <w:p w14:paraId="4C5B402B" w14:textId="79F7A51C" w:rsidR="007C2672" w:rsidRDefault="00997609" w:rsidP="006C7E7E">
            <w:pPr>
              <w:pStyle w:val="Tabletext1"/>
            </w:pPr>
            <w:r>
              <w:t xml:space="preserve">SBRT using </w:t>
            </w:r>
            <w:r w:rsidR="008C2A35">
              <w:t>MR</w:t>
            </w:r>
            <w:r w:rsidR="00D04C06">
              <w:t>-IG</w:t>
            </w:r>
            <w:r w:rsidR="008C2A35">
              <w:t>RT</w:t>
            </w:r>
            <w:r w:rsidR="007C2672">
              <w:t xml:space="preserve"> </w:t>
            </w:r>
          </w:p>
          <w:p w14:paraId="791D8A0B" w14:textId="77777777" w:rsidR="007C2672" w:rsidRDefault="007C2672" w:rsidP="006C7E7E">
            <w:pPr>
              <w:pStyle w:val="Tabletext1"/>
            </w:pPr>
            <w:r>
              <w:t>initially with the tri-</w:t>
            </w:r>
            <w:r w:rsidRPr="00997609">
              <w:rPr>
                <w:vertAlign w:val="superscript"/>
              </w:rPr>
              <w:t>60</w:t>
            </w:r>
            <w:r w:rsidR="00997609">
              <w:rPr>
                <w:vertAlign w:val="superscript"/>
              </w:rPr>
              <w:t xml:space="preserve"> </w:t>
            </w:r>
            <w:r>
              <w:t>Co system</w:t>
            </w:r>
            <w:r w:rsidR="00997609">
              <w:t xml:space="preserve"> </w:t>
            </w:r>
            <w:r>
              <w:t>(n=130), currently with the MR-Linac (n=10)</w:t>
            </w:r>
          </w:p>
          <w:p w14:paraId="62C001AA" w14:textId="129752C6" w:rsidR="00024A77" w:rsidRDefault="00024A77" w:rsidP="006C7E7E">
            <w:pPr>
              <w:pStyle w:val="Tabletext1"/>
            </w:pPr>
            <w:r>
              <w:t>Most patients were treated with 5 fractions of 7.25 Gy per fraction delivered on the prostate with a simultaneous integrated</w:t>
            </w:r>
            <w:r w:rsidR="00CB18C2">
              <w:t xml:space="preserve"> </w:t>
            </w:r>
            <w:r>
              <w:t>sparing (SIS) of the urethra with a dose of 32.5 Gy in 5 fractions (6.5 Gy</w:t>
            </w:r>
            <w:r w:rsidR="00CB18C2">
              <w:t xml:space="preserve"> </w:t>
            </w:r>
            <w:r>
              <w:t>per fraction). In some cases (n=10) with tumour near the urethra, the</w:t>
            </w:r>
            <w:r w:rsidR="00CB18C2">
              <w:t xml:space="preserve"> </w:t>
            </w:r>
            <w:r>
              <w:t>SBRT was delivered in fractions of 7 Gy up to a total dose of 35 Gy</w:t>
            </w:r>
            <w:r w:rsidR="00CB18C2">
              <w:t xml:space="preserve"> </w:t>
            </w:r>
            <w:r>
              <w:t>without urethral sparing.</w:t>
            </w:r>
          </w:p>
        </w:tc>
        <w:tc>
          <w:tcPr>
            <w:tcW w:w="646" w:type="pct"/>
            <w:gridSpan w:val="2"/>
            <w:tcBorders>
              <w:top w:val="single" w:sz="4" w:space="0" w:color="auto"/>
              <w:left w:val="single" w:sz="4" w:space="0" w:color="auto"/>
              <w:bottom w:val="single" w:sz="4" w:space="0" w:color="auto"/>
              <w:right w:val="single" w:sz="4" w:space="0" w:color="auto"/>
            </w:tcBorders>
          </w:tcPr>
          <w:p w14:paraId="7B0CB743" w14:textId="77777777" w:rsidR="007C2672" w:rsidRDefault="007C2672" w:rsidP="006C7E7E">
            <w:pPr>
              <w:pStyle w:val="Tabletext1"/>
            </w:pPr>
            <w:r>
              <w:t>NA</w:t>
            </w:r>
          </w:p>
        </w:tc>
        <w:tc>
          <w:tcPr>
            <w:tcW w:w="640" w:type="pct"/>
            <w:gridSpan w:val="2"/>
            <w:tcBorders>
              <w:top w:val="single" w:sz="4" w:space="0" w:color="auto"/>
              <w:left w:val="single" w:sz="4" w:space="0" w:color="auto"/>
              <w:bottom w:val="single" w:sz="4" w:space="0" w:color="auto"/>
              <w:right w:val="single" w:sz="4" w:space="0" w:color="auto"/>
            </w:tcBorders>
          </w:tcPr>
          <w:p w14:paraId="31DF83BF" w14:textId="77777777" w:rsidR="007C2672" w:rsidRDefault="007C2672" w:rsidP="006C7E7E">
            <w:pPr>
              <w:pStyle w:val="Tabletext1"/>
              <w:rPr>
                <w:snapToGrid w:val="0"/>
              </w:rPr>
            </w:pPr>
            <w:r>
              <w:rPr>
                <w:snapToGrid w:val="0"/>
              </w:rPr>
              <w:t>Patient reported experiences</w:t>
            </w:r>
          </w:p>
        </w:tc>
        <w:tc>
          <w:tcPr>
            <w:tcW w:w="656" w:type="pct"/>
            <w:tcBorders>
              <w:top w:val="single" w:sz="4" w:space="0" w:color="auto"/>
              <w:left w:val="single" w:sz="4" w:space="0" w:color="auto"/>
              <w:bottom w:val="single" w:sz="4" w:space="0" w:color="auto"/>
              <w:right w:val="single" w:sz="4" w:space="0" w:color="auto"/>
            </w:tcBorders>
          </w:tcPr>
          <w:p w14:paraId="66CDFA58" w14:textId="1AA4020C" w:rsidR="007C2672" w:rsidRDefault="007C2672" w:rsidP="006C7E7E">
            <w:pPr>
              <w:pStyle w:val="Tabletext1"/>
            </w:pPr>
            <w:r>
              <w:t xml:space="preserve">An in-house developed PRO-Q. Included questions on potential MR-related complaints and experiences, such as anxiety, temperature, and noise. These items could be scored on a 4- point scale as: “not at all”, “a little”, “moderate”, and “very much”. PRO-Qs </w:t>
            </w:r>
            <w:r w:rsidRPr="002D0AC8">
              <w:t>were</w:t>
            </w:r>
            <w:r>
              <w:t xml:space="preserve"> collected once, immediately following the last </w:t>
            </w:r>
            <w:r w:rsidR="008C2A35">
              <w:t>MR</w:t>
            </w:r>
            <w:r w:rsidR="00D04C06">
              <w:t>-IG</w:t>
            </w:r>
            <w:r w:rsidR="008C2A35">
              <w:t>RT</w:t>
            </w:r>
          </w:p>
          <w:p w14:paraId="0709F882" w14:textId="77777777" w:rsidR="007C2672" w:rsidRDefault="007C2672" w:rsidP="006C7E7E">
            <w:pPr>
              <w:pStyle w:val="Tabletext1"/>
              <w:ind w:left="34"/>
            </w:pPr>
            <w:r>
              <w:t>fraction, taking the completion of the PRO-Q on average 5 min.</w:t>
            </w:r>
          </w:p>
        </w:tc>
      </w:tr>
      <w:tr w:rsidR="008B6FC0" w:rsidRPr="00CE45B9" w14:paraId="61364210" w14:textId="77777777" w:rsidTr="008B6FC0">
        <w:trPr>
          <w:cantSplit/>
          <w:trHeight w:val="319"/>
        </w:trPr>
        <w:tc>
          <w:tcPr>
            <w:tcW w:w="444" w:type="pct"/>
            <w:tcBorders>
              <w:top w:val="single" w:sz="4" w:space="0" w:color="auto"/>
              <w:left w:val="single" w:sz="4" w:space="0" w:color="auto"/>
              <w:bottom w:val="single" w:sz="4" w:space="0" w:color="auto"/>
              <w:right w:val="single" w:sz="4" w:space="0" w:color="auto"/>
            </w:tcBorders>
          </w:tcPr>
          <w:p w14:paraId="29A36187" w14:textId="06789C2B" w:rsidR="007C2672" w:rsidRDefault="00211285" w:rsidP="006C7E7E">
            <w:pPr>
              <w:pStyle w:val="Tabletext1"/>
            </w:pPr>
            <w:hyperlink w:anchor="_ENREF_77" w:tooltip="van de Schoot, 2019 #85" w:history="1">
              <w:r w:rsidR="008B6FC0">
                <w:fldChar w:fldCharType="begin"/>
              </w:r>
              <w:r w:rsidR="008B6FC0">
                <w:instrText xml:space="preserve"> ADDIN EN.CITE &lt;EndNote&gt;&lt;Cite AuthorYear="1"&gt;&lt;Author&gt;van de Schoot&lt;/Author&gt;&lt;Year&gt;2019&lt;/Year&gt;&lt;RecNum&gt;85&lt;/RecNum&gt;&lt;DisplayText&gt;van de Schoot et al. (2019)&lt;/DisplayText&gt;&lt;record&gt;&lt;rec-number&gt;85&lt;/rec-number&gt;&lt;foreign-keys&gt;&lt;key app="EN" db-id="sx5wsdwv795wvue959xxw0ptaewvdezxxp05" timestamp="1604961079"&gt;85&lt;/key&gt;&lt;/foreign-keys&gt;&lt;ref-type name="Journal Article"&gt;17&lt;/ref-type&gt;&lt;contributors&gt;&lt;authors&gt;&lt;author&gt;van de Schoot, A. J. A. J.&lt;/author&gt;&lt;author&gt;van den Wollenberg, W.&lt;/author&gt;&lt;author&gt;Carbaat, C.&lt;/author&gt;&lt;author&gt;de Ruiter, P.&lt;/author&gt;&lt;author&gt;Nowee, M. E.&lt;/author&gt;&lt;author&gt;Pos, F.&lt;/author&gt;&lt;author&gt;van Triest, B.&lt;/author&gt;&lt;author&gt;Sonke, J. J.&lt;/author&gt;&lt;author&gt;Janssen, T. M.&lt;/author&gt;&lt;/authors&gt;&lt;/contributors&gt;&lt;titles&gt;&lt;title&gt;Evaluation of plan quality in radiotherapy planning with an MR-linac&lt;/title&gt;&lt;secondary-title&gt;Physics and Imaging in Radiation Oncology&lt;/secondary-title&gt;&lt;/titles&gt;&lt;pages&gt;19-24&lt;/pages&gt;&lt;volume&gt;10&lt;/volume&gt;&lt;dates&gt;&lt;year&gt;2019&lt;/year&gt;&lt;/dates&gt;&lt;accession-num&gt;2001862328&lt;/accession-num&gt;&lt;urls&gt;&lt;related-urls&gt;&lt;url&gt;https://www.journals.elsevier.com/physics-and-imaging-in-radiation-oncology/http://ezproxy.library.usyd.edu.au/login?url=http://ovidsp.ovid.com/ovidweb.cgi?T=JS&amp;amp;CSC=Y&amp;amp;NEWS=N&amp;amp;PAGE=fulltext&amp;amp;D=emexa&amp;amp;AN=2001862328https://sydney.alma.exlibrisgroup.com/openurl/&lt;/url&gt;&lt;/related-urls&gt;&lt;/urls&gt;&lt;electronic-resource-num&gt;http://dx.doi.org/10.1016/j.phro.2019.04.004&lt;/electronic-resource-num&gt;&lt;/record&gt;&lt;/Cite&gt;&lt;/EndNote&gt;</w:instrText>
              </w:r>
              <w:r w:rsidR="008B6FC0">
                <w:fldChar w:fldCharType="separate"/>
              </w:r>
              <w:r w:rsidR="008B6FC0">
                <w:rPr>
                  <w:noProof/>
                </w:rPr>
                <w:t>van de Schoot et al. (2019)</w:t>
              </w:r>
              <w:r w:rsidR="008B6FC0">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659890F5" w14:textId="3BD98FBE" w:rsidR="007C2672" w:rsidRPr="00D546B5" w:rsidRDefault="008C2A35" w:rsidP="006C7E7E">
            <w:pPr>
              <w:pStyle w:val="Tabletext1"/>
            </w:pPr>
            <w:r>
              <w:t>Retrospective review</w:t>
            </w:r>
          </w:p>
        </w:tc>
        <w:tc>
          <w:tcPr>
            <w:tcW w:w="458" w:type="pct"/>
            <w:tcBorders>
              <w:top w:val="single" w:sz="4" w:space="0" w:color="auto"/>
              <w:left w:val="single" w:sz="4" w:space="0" w:color="auto"/>
              <w:bottom w:val="single" w:sz="4" w:space="0" w:color="auto"/>
              <w:right w:val="single" w:sz="4" w:space="0" w:color="auto"/>
            </w:tcBorders>
          </w:tcPr>
          <w:p w14:paraId="246C36BB" w14:textId="77777777" w:rsidR="008C2A35" w:rsidRDefault="008C2A35" w:rsidP="008C2A35">
            <w:pPr>
              <w:pStyle w:val="Tabletext1"/>
            </w:pPr>
            <w:r>
              <w:t>Level III-3</w:t>
            </w:r>
          </w:p>
          <w:p w14:paraId="30149FB8" w14:textId="667C5B14" w:rsidR="007C2672" w:rsidRPr="00D546B5" w:rsidRDefault="008C2A35" w:rsidP="006C7E7E">
            <w:pPr>
              <w:pStyle w:val="Tabletext1"/>
            </w:pPr>
            <w:r>
              <w:t>NA</w:t>
            </w:r>
          </w:p>
        </w:tc>
        <w:tc>
          <w:tcPr>
            <w:tcW w:w="379" w:type="pct"/>
            <w:tcBorders>
              <w:top w:val="single" w:sz="4" w:space="0" w:color="auto"/>
              <w:left w:val="single" w:sz="4" w:space="0" w:color="auto"/>
              <w:bottom w:val="single" w:sz="4" w:space="0" w:color="auto"/>
              <w:right w:val="single" w:sz="4" w:space="0" w:color="auto"/>
            </w:tcBorders>
          </w:tcPr>
          <w:p w14:paraId="4BBF027B" w14:textId="77777777" w:rsidR="008C2A35" w:rsidRDefault="008C2A35" w:rsidP="008C2A35">
            <w:pPr>
              <w:pStyle w:val="Tabletext1"/>
            </w:pPr>
            <w:r>
              <w:t>The Netherlands</w:t>
            </w:r>
          </w:p>
          <w:p w14:paraId="0FAF2993" w14:textId="79CEF7F4" w:rsidR="007C2672" w:rsidRPr="00D546B5" w:rsidRDefault="007C2672" w:rsidP="006C7E7E">
            <w:pPr>
              <w:pStyle w:val="Tabletext1"/>
            </w:pPr>
            <w:r>
              <w:t>Follow-up</w:t>
            </w:r>
            <w:r w:rsidR="008C2A35">
              <w:t>: NA</w:t>
            </w:r>
          </w:p>
        </w:tc>
        <w:tc>
          <w:tcPr>
            <w:tcW w:w="638" w:type="pct"/>
            <w:tcBorders>
              <w:top w:val="single" w:sz="4" w:space="0" w:color="auto"/>
              <w:left w:val="single" w:sz="4" w:space="0" w:color="auto"/>
              <w:bottom w:val="single" w:sz="4" w:space="0" w:color="auto"/>
              <w:right w:val="single" w:sz="4" w:space="0" w:color="auto"/>
            </w:tcBorders>
          </w:tcPr>
          <w:p w14:paraId="72D0D0F4" w14:textId="140B5297" w:rsidR="00B316B3" w:rsidRPr="00D546B5" w:rsidRDefault="008C2A35" w:rsidP="006C7E7E">
            <w:pPr>
              <w:pStyle w:val="Tabletext1"/>
            </w:pPr>
            <w:r>
              <w:t>N= 16 (8 rectal and 8 prostate) who received radiotherapy on conventional CBCT-linac</w:t>
            </w:r>
          </w:p>
        </w:tc>
        <w:tc>
          <w:tcPr>
            <w:tcW w:w="685" w:type="pct"/>
            <w:tcBorders>
              <w:top w:val="single" w:sz="4" w:space="0" w:color="auto"/>
              <w:left w:val="single" w:sz="4" w:space="0" w:color="auto"/>
              <w:bottom w:val="single" w:sz="4" w:space="0" w:color="auto"/>
              <w:right w:val="single" w:sz="4" w:space="0" w:color="auto"/>
            </w:tcBorders>
          </w:tcPr>
          <w:p w14:paraId="4FED105C" w14:textId="116C2394" w:rsidR="001A6235" w:rsidRPr="00D546B5" w:rsidRDefault="008C2A35" w:rsidP="006C7E7E">
            <w:pPr>
              <w:pStyle w:val="Tabletext1"/>
            </w:pPr>
            <w:r>
              <w:t>MR-linac treatment plans were generated using Monaco 5.4 (Elekta AB, Stockholm, Sweden), a version of the Monaco TPS developed for MR-linac treatment planning. Target and OAR dose criteria, as well as margins, were identical to those for the clinical plans. All MR-linac plans were created using a 9-beam step-and shoot IMRT technique. MR-linac plan optimisation was started using a predefined set of objectives and objective values were individually optimized to achieve PTV coverage while minimizing OAR dose. MR-linac dose calculation was performed on a uniform 3mm dose grid with an overall 1% Monte Carlo statistical uncertainty.</w:t>
            </w:r>
          </w:p>
        </w:tc>
        <w:tc>
          <w:tcPr>
            <w:tcW w:w="646" w:type="pct"/>
            <w:gridSpan w:val="2"/>
            <w:tcBorders>
              <w:top w:val="single" w:sz="4" w:space="0" w:color="auto"/>
              <w:left w:val="single" w:sz="4" w:space="0" w:color="auto"/>
              <w:bottom w:val="single" w:sz="4" w:space="0" w:color="auto"/>
              <w:right w:val="single" w:sz="4" w:space="0" w:color="auto"/>
            </w:tcBorders>
          </w:tcPr>
          <w:p w14:paraId="54996CAB" w14:textId="7C9DAB7F" w:rsidR="007C2672" w:rsidRDefault="008C2A35" w:rsidP="006C7E7E">
            <w:pPr>
              <w:pStyle w:val="Tabletext1"/>
            </w:pPr>
            <w:r w:rsidRPr="00F45DF6">
              <w:t>Clinical treatment planning for a conventional linac was performed</w:t>
            </w:r>
            <w:r>
              <w:t xml:space="preserve"> </w:t>
            </w:r>
            <w:r w:rsidRPr="00F45DF6">
              <w:t>using Pinnacle3 9.10 (Philips, Best, the Netherlands). According to departmental</w:t>
            </w:r>
            <w:r>
              <w:t xml:space="preserve"> </w:t>
            </w:r>
            <w:r w:rsidRPr="00F45DF6">
              <w:t>protocols, clinical plans for both rectal cancer (25×2.0 Gy)</w:t>
            </w:r>
            <w:r>
              <w:t xml:space="preserve"> </w:t>
            </w:r>
            <w:r w:rsidRPr="00F45DF6">
              <w:t>and prostate cancer (19×3.4 Gy) used a VMAT delivery technique.</w:t>
            </w:r>
            <w:r>
              <w:t xml:space="preserve"> </w:t>
            </w:r>
            <w:r w:rsidRPr="00F45DF6">
              <w:t>Plan optimi</w:t>
            </w:r>
            <w:r>
              <w:t>s</w:t>
            </w:r>
            <w:r w:rsidRPr="00F45DF6">
              <w:t>ation objectives were individually optimized in order to</w:t>
            </w:r>
            <w:r>
              <w:t xml:space="preserve"> </w:t>
            </w:r>
            <w:r w:rsidRPr="00F45DF6">
              <w:t>minimize OAR dose while maintaining PTV dose constraints. For rectal</w:t>
            </w:r>
            <w:r>
              <w:t xml:space="preserve"> </w:t>
            </w:r>
            <w:r w:rsidRPr="00F45DF6">
              <w:t>cancer patients, a single dose level treatment technique was used.</w:t>
            </w:r>
            <w:r>
              <w:t xml:space="preserve"> </w:t>
            </w:r>
            <w:r w:rsidRPr="00F45DF6">
              <w:t>Prostate cancer patients were treated using SIB with prescribed doses of</w:t>
            </w:r>
            <w:r>
              <w:t xml:space="preserve"> </w:t>
            </w:r>
            <w:r w:rsidRPr="00F45DF6">
              <w:t>57.8 Gy and 64.6 Gy.</w:t>
            </w:r>
          </w:p>
        </w:tc>
        <w:tc>
          <w:tcPr>
            <w:tcW w:w="640" w:type="pct"/>
            <w:gridSpan w:val="2"/>
            <w:tcBorders>
              <w:top w:val="single" w:sz="4" w:space="0" w:color="auto"/>
              <w:left w:val="single" w:sz="4" w:space="0" w:color="auto"/>
              <w:bottom w:val="single" w:sz="4" w:space="0" w:color="auto"/>
              <w:right w:val="single" w:sz="4" w:space="0" w:color="auto"/>
            </w:tcBorders>
          </w:tcPr>
          <w:p w14:paraId="1CEAAE65" w14:textId="211F7EFF" w:rsidR="007C2672" w:rsidRDefault="00705F56" w:rsidP="006C7E7E">
            <w:pPr>
              <w:pStyle w:val="Tabletext1"/>
              <w:rPr>
                <w:snapToGrid w:val="0"/>
              </w:rPr>
            </w:pPr>
            <w:r>
              <w:rPr>
                <w:snapToGrid w:val="0"/>
              </w:rPr>
              <w:t>Dosimetric parameters</w:t>
            </w:r>
          </w:p>
        </w:tc>
        <w:tc>
          <w:tcPr>
            <w:tcW w:w="656" w:type="pct"/>
            <w:tcBorders>
              <w:top w:val="single" w:sz="4" w:space="0" w:color="auto"/>
              <w:left w:val="single" w:sz="4" w:space="0" w:color="auto"/>
              <w:bottom w:val="single" w:sz="4" w:space="0" w:color="auto"/>
              <w:right w:val="single" w:sz="4" w:space="0" w:color="auto"/>
            </w:tcBorders>
          </w:tcPr>
          <w:p w14:paraId="47C912F5" w14:textId="5191998E" w:rsidR="008C2A35" w:rsidRDefault="008C2A35" w:rsidP="008C2A35">
            <w:pPr>
              <w:pStyle w:val="Tabletext1"/>
            </w:pPr>
            <w:r>
              <w:t>MR-linac plans were compared with clinical plans using dose-volume histogram (DVH) parameters. Since all plans were normalized to identical target coverage (V95%), the mean dose (Dmean) and the near maximum dose (D1%) of the PTV (rectum) or the PTV64.6Gy (prostate), were measures of the homogeneity of the dose distribution in the target.</w:t>
            </w:r>
            <w:r w:rsidR="00D04C06">
              <w:t xml:space="preserve"> </w:t>
            </w:r>
            <w:r>
              <w:t>Dose to surrounding OARs was evaluated using criteria defined in local protocols. Integral dose differences were determined by calculating the mean dose to the patient (EXT Dmean). Given the applied plan normalisation, the Dmean and D1% of the patient excluding the 2.0 cm uniformly expanded PTV (EXT – PTV2cm) were determined to verify dose fall-off differences.</w:t>
            </w:r>
          </w:p>
          <w:p w14:paraId="72311D19" w14:textId="07E92988" w:rsidR="007C2672" w:rsidRDefault="008C2A35" w:rsidP="006C7E7E">
            <w:pPr>
              <w:pStyle w:val="Tabletext1"/>
            </w:pPr>
            <w:r>
              <w:t xml:space="preserve">For the prostate plans the normal tissue </w:t>
            </w:r>
            <w:r>
              <w:lastRenderedPageBreak/>
              <w:t>complication probability (NTCP) was calculated for grade 2 and higher late rectal bleeding toxicity using the QUANTEC-recommended Lyman-Kutcher-Burman model with parameters n=0.09, m=0.13, and TD50=76.9 Gy.</w:t>
            </w:r>
          </w:p>
        </w:tc>
      </w:tr>
      <w:tr w:rsidR="008B6FC0" w:rsidRPr="00CE45B9" w14:paraId="4D86839B" w14:textId="77777777" w:rsidTr="008B6FC0">
        <w:trPr>
          <w:cantSplit/>
          <w:trHeight w:val="13"/>
        </w:trPr>
        <w:tc>
          <w:tcPr>
            <w:tcW w:w="444" w:type="pct"/>
            <w:tcBorders>
              <w:top w:val="single" w:sz="4" w:space="0" w:color="auto"/>
              <w:left w:val="single" w:sz="4" w:space="0" w:color="auto"/>
              <w:bottom w:val="single" w:sz="4" w:space="0" w:color="auto"/>
              <w:right w:val="single" w:sz="4" w:space="0" w:color="auto"/>
            </w:tcBorders>
          </w:tcPr>
          <w:p w14:paraId="4AAE4F5D" w14:textId="5C0BC28F" w:rsidR="00844ADC" w:rsidRDefault="00211285" w:rsidP="006C7E7E">
            <w:pPr>
              <w:pStyle w:val="Tabletext1"/>
              <w:rPr>
                <w:snapToGrid w:val="0"/>
              </w:rPr>
            </w:pPr>
            <w:hyperlink w:anchor="_ENREF_84" w:tooltip="Winkel, 2018 #82" w:history="1">
              <w:r w:rsidR="008B6FC0">
                <w:rPr>
                  <w:snapToGrid w:val="0"/>
                </w:rPr>
                <w:fldChar w:fldCharType="begin"/>
              </w:r>
              <w:r w:rsidR="008B6FC0">
                <w:rPr>
                  <w:snapToGrid w:val="0"/>
                </w:rPr>
                <w:instrText xml:space="preserve"> ADDIN EN.CITE &lt;EndNote&gt;&lt;Cite AuthorYear="1"&gt;&lt;Author&gt;Winkel&lt;/Author&gt;&lt;Year&gt;2018&lt;/Year&gt;&lt;RecNum&gt;82&lt;/RecNum&gt;&lt;DisplayText&gt;Winkel et al. (2018)&lt;/DisplayText&gt;&lt;record&gt;&lt;rec-number&gt;82&lt;/rec-number&gt;&lt;foreign-keys&gt;&lt;key app="EN" db-id="sx5wsdwv795wvue959xxw0ptaewvdezxxp05" timestamp="1604876399"&gt;82&lt;/key&gt;&lt;/foreign-keys&gt;&lt;ref-type name="Journal Article"&gt;17&lt;/ref-type&gt;&lt;contributors&gt;&lt;authors&gt;&lt;author&gt;Winkel, D.&lt;/author&gt;&lt;author&gt;Kroon, P. S.&lt;/author&gt;&lt;author&gt;Werensteijn-Honingh, A. M.&lt;/author&gt;&lt;author&gt;Bol, G. H.&lt;/author&gt;&lt;author&gt;Raaymakers, B. W.&lt;/author&gt;&lt;author&gt;Jurgenliemk-Schulz, I. M.&lt;/author&gt;&lt;/authors&gt;&lt;/contributors&gt;&lt;titles&gt;&lt;title&gt;Simulated dosimetric impact of online replanning for stereotactic body radiation therapy of lymph node oligometastases on the 1.5T MR-linac&lt;/title&gt;&lt;secondary-title&gt;Acta Oncol&lt;/secondary-title&gt;&lt;/titles&gt;&lt;pages&gt;1705-1712&lt;/pages&gt;&lt;volume&gt;57&lt;/volume&gt;&lt;number&gt;12&lt;/number&gt;&lt;dates&gt;&lt;year&gt;2018&lt;/year&gt;&lt;/dates&gt;&lt;accession-num&gt;30280631&lt;/accession-num&gt;&lt;urls&gt;&lt;related-urls&gt;&lt;url&gt;http://ezproxy.library.usyd.edu.au/login?url=http://ovidsp.ovid.com/ovidweb.cgi?T=JS&amp;amp;CSC=Y&amp;amp;NEWS=N&amp;amp;PAGE=fulltext&amp;amp;D=med15&amp;amp;AN=30280631https://sydney.alma.exlibrisgroup.com/openurl/61USYD_INST/61USYD_INST:sydney?sid=OVID:medline&amp;amp;id=pmid:30280631&amp;amp;id=doi:10.108&lt;/url&gt;&lt;url&gt;https://www.tandfonline.com/doi/pdf/10.1080/0284186X.2018.1512152?needAccess=true&lt;/url&gt;&lt;/related-urls&gt;&lt;/urls&gt;&lt;electronic-resource-num&gt;https://dx.doi.org/10.1080/0284186X.2018.1512152&lt;/electronic-resource-num&gt;&lt;/record&gt;&lt;/Cite&gt;&lt;/EndNote&gt;</w:instrText>
              </w:r>
              <w:r w:rsidR="008B6FC0">
                <w:rPr>
                  <w:snapToGrid w:val="0"/>
                </w:rPr>
                <w:fldChar w:fldCharType="separate"/>
              </w:r>
              <w:r w:rsidR="008B6FC0">
                <w:rPr>
                  <w:noProof/>
                  <w:snapToGrid w:val="0"/>
                </w:rPr>
                <w:t>Winkel et al. (2018)</w:t>
              </w:r>
              <w:r w:rsidR="008B6FC0">
                <w:rPr>
                  <w:snapToGrid w:val="0"/>
                </w:rPr>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1C27773B" w14:textId="1773C7E0" w:rsidR="00844ADC" w:rsidRDefault="00E67D57" w:rsidP="006C7E7E">
            <w:pPr>
              <w:pStyle w:val="Tabletext1"/>
            </w:pPr>
            <w:r>
              <w:t>Retrospective review</w:t>
            </w:r>
          </w:p>
        </w:tc>
        <w:tc>
          <w:tcPr>
            <w:tcW w:w="458" w:type="pct"/>
            <w:tcBorders>
              <w:top w:val="single" w:sz="4" w:space="0" w:color="auto"/>
              <w:left w:val="single" w:sz="4" w:space="0" w:color="auto"/>
              <w:bottom w:val="single" w:sz="4" w:space="0" w:color="auto"/>
              <w:right w:val="single" w:sz="4" w:space="0" w:color="auto"/>
            </w:tcBorders>
          </w:tcPr>
          <w:p w14:paraId="6D9C8F2C" w14:textId="77777777" w:rsidR="00844ADC" w:rsidRDefault="00D85C1E" w:rsidP="006C7E7E">
            <w:pPr>
              <w:pStyle w:val="Tabletext1"/>
            </w:pPr>
            <w:r>
              <w:t>Level II</w:t>
            </w:r>
            <w:r w:rsidR="000D448E">
              <w:t>I-3</w:t>
            </w:r>
          </w:p>
          <w:p w14:paraId="3115E11C" w14:textId="2E5E97EA" w:rsidR="00844ADC" w:rsidRPr="00FD4D28" w:rsidRDefault="00EF75B8" w:rsidP="006C7E7E">
            <w:pPr>
              <w:pStyle w:val="Tabletext1"/>
            </w:pPr>
            <w:r>
              <w:t>NA</w:t>
            </w:r>
          </w:p>
        </w:tc>
        <w:tc>
          <w:tcPr>
            <w:tcW w:w="379" w:type="pct"/>
            <w:tcBorders>
              <w:top w:val="single" w:sz="4" w:space="0" w:color="auto"/>
              <w:left w:val="single" w:sz="4" w:space="0" w:color="auto"/>
              <w:bottom w:val="single" w:sz="4" w:space="0" w:color="auto"/>
              <w:right w:val="single" w:sz="4" w:space="0" w:color="auto"/>
            </w:tcBorders>
          </w:tcPr>
          <w:p w14:paraId="738D80F4" w14:textId="77777777" w:rsidR="00844ADC" w:rsidRDefault="000D448E" w:rsidP="006C7E7E">
            <w:pPr>
              <w:pStyle w:val="Tabletext1"/>
            </w:pPr>
            <w:r>
              <w:t>The Netherlands</w:t>
            </w:r>
          </w:p>
          <w:p w14:paraId="2F69BE5F" w14:textId="697D9BDC" w:rsidR="00844ADC" w:rsidRDefault="000D448E" w:rsidP="006C7E7E">
            <w:pPr>
              <w:pStyle w:val="Tabletext1"/>
            </w:pPr>
            <w:r>
              <w:t>Follow-up: NA</w:t>
            </w:r>
          </w:p>
        </w:tc>
        <w:tc>
          <w:tcPr>
            <w:tcW w:w="638" w:type="pct"/>
            <w:tcBorders>
              <w:top w:val="single" w:sz="4" w:space="0" w:color="auto"/>
              <w:left w:val="single" w:sz="4" w:space="0" w:color="auto"/>
              <w:bottom w:val="single" w:sz="4" w:space="0" w:color="auto"/>
              <w:right w:val="single" w:sz="4" w:space="0" w:color="auto"/>
            </w:tcBorders>
          </w:tcPr>
          <w:p w14:paraId="06B91C21" w14:textId="549AE05C" w:rsidR="00844ADC" w:rsidRDefault="000D448E" w:rsidP="006C7E7E">
            <w:pPr>
              <w:pStyle w:val="Tabletext1"/>
            </w:pPr>
            <w:r>
              <w:t xml:space="preserve">N= </w:t>
            </w:r>
            <w:r w:rsidR="00D60D66">
              <w:t>17 pelvic and para-aortic pathological lymph nodes were included from five female patients with locally advanced cervical cancer</w:t>
            </w:r>
          </w:p>
        </w:tc>
        <w:tc>
          <w:tcPr>
            <w:tcW w:w="689" w:type="pct"/>
            <w:gridSpan w:val="2"/>
            <w:tcBorders>
              <w:top w:val="single" w:sz="4" w:space="0" w:color="auto"/>
              <w:left w:val="single" w:sz="4" w:space="0" w:color="auto"/>
              <w:bottom w:val="single" w:sz="4" w:space="0" w:color="auto"/>
              <w:right w:val="single" w:sz="4" w:space="0" w:color="auto"/>
            </w:tcBorders>
          </w:tcPr>
          <w:p w14:paraId="0678DAC2" w14:textId="4A4B4BE7" w:rsidR="00844ADC" w:rsidRDefault="000A7FDF" w:rsidP="006C7E7E">
            <w:pPr>
              <w:pStyle w:val="Tabletext1"/>
            </w:pPr>
            <w:r>
              <w:t>To simulate replanning in a full-online workflow for the MRlinac, one new fully optimized treatment plans was created for each lymph node using daily target and OAR definitions based on the simulated daily patient anatomy. The used beam angles for online replanning were equal to those in the pre-treatment plan. For these plans, a PTV margin of 3mm was applied, simulating the good visibility of lymph nodes on MRI. As the 1.5T MR-linac only allows for movement in superior–inferior direction, the isocenter is fixed in the center of the bore for the other directions. The isocenter position in the superior–inferior direction is set as close to center of the PTV as possible.</w:t>
            </w:r>
          </w:p>
        </w:tc>
        <w:tc>
          <w:tcPr>
            <w:tcW w:w="646" w:type="pct"/>
            <w:gridSpan w:val="2"/>
            <w:tcBorders>
              <w:top w:val="single" w:sz="4" w:space="0" w:color="auto"/>
              <w:left w:val="single" w:sz="4" w:space="0" w:color="auto"/>
              <w:bottom w:val="single" w:sz="4" w:space="0" w:color="auto"/>
              <w:right w:val="single" w:sz="4" w:space="0" w:color="auto"/>
            </w:tcBorders>
          </w:tcPr>
          <w:p w14:paraId="656D03DD" w14:textId="13FB916C" w:rsidR="00844ADC" w:rsidRDefault="00BF7EE3" w:rsidP="006C7E7E">
            <w:pPr>
              <w:pStyle w:val="Tabletext1"/>
            </w:pPr>
            <w:r>
              <w:t>To simulate the daily anatomy, a MRI dataset obtained at least one week into</w:t>
            </w:r>
            <w:r w:rsidR="000168BA">
              <w:t xml:space="preserve"> treatment was used. The target and the OARs were manually contoured. Electron density information was considered by matching and deforming the initial planning CT to the MRI data. CBCT-based online correction </w:t>
            </w:r>
            <w:r w:rsidR="00123212">
              <w:t>was</w:t>
            </w:r>
            <w:r w:rsidR="000168BA">
              <w:t xml:space="preserve"> performed by matching using a 0.5 cm mask around the GTV or a clipbox with nearby structures for lymph nodes with good or poor visibility, respectively. </w:t>
            </w:r>
            <w:r w:rsidR="00123212">
              <w:t>T</w:t>
            </w:r>
            <w:r w:rsidR="000168BA">
              <w:t>he reference point of this correction is equal to the center of the PTV and placed the plan isocenter at the center of the PTV according to the daily anatomy.</w:t>
            </w:r>
          </w:p>
        </w:tc>
        <w:tc>
          <w:tcPr>
            <w:tcW w:w="638" w:type="pct"/>
            <w:tcBorders>
              <w:top w:val="single" w:sz="4" w:space="0" w:color="auto"/>
              <w:left w:val="single" w:sz="4" w:space="0" w:color="auto"/>
              <w:bottom w:val="single" w:sz="4" w:space="0" w:color="auto"/>
              <w:right w:val="single" w:sz="4" w:space="0" w:color="auto"/>
            </w:tcBorders>
          </w:tcPr>
          <w:p w14:paraId="223A28C0" w14:textId="5ECBB695" w:rsidR="00844ADC" w:rsidRDefault="00705F56" w:rsidP="006C7E7E">
            <w:pPr>
              <w:pStyle w:val="Tabletext1"/>
            </w:pPr>
            <w:r>
              <w:rPr>
                <w:snapToGrid w:val="0"/>
              </w:rPr>
              <w:t>Dosimetric parameters</w:t>
            </w:r>
          </w:p>
        </w:tc>
        <w:tc>
          <w:tcPr>
            <w:tcW w:w="654" w:type="pct"/>
            <w:tcBorders>
              <w:top w:val="single" w:sz="4" w:space="0" w:color="auto"/>
              <w:left w:val="single" w:sz="4" w:space="0" w:color="auto"/>
              <w:bottom w:val="single" w:sz="4" w:space="0" w:color="auto"/>
              <w:right w:val="single" w:sz="4" w:space="0" w:color="auto"/>
            </w:tcBorders>
          </w:tcPr>
          <w:p w14:paraId="2C3A2412" w14:textId="1F74CD6D" w:rsidR="00844ADC" w:rsidRDefault="00B73348" w:rsidP="006C7E7E">
            <w:pPr>
              <w:pStyle w:val="Tabletext1"/>
            </w:pPr>
            <w:r>
              <w:t>All plans were generated with a prescribed dose of 57 Gy to 95% of the PTV using the Monaco treatment planning software (TPS) research version 5.19.03d by Elekta AB (Stockholm, Sweden). To eliminated differences in machine characteristics all plans</w:t>
            </w:r>
            <w:r w:rsidR="00123212">
              <w:t xml:space="preserve"> were created</w:t>
            </w:r>
            <w:r>
              <w:t xml:space="preserve"> with the 7MV FFF beam model of the Elekta MR-linac and the 1.5 T magnetic field in superior– inferior patient direction which is present when treatingpatients on the MR-linac.</w:t>
            </w:r>
          </w:p>
        </w:tc>
      </w:tr>
      <w:tr w:rsidR="008B6FC0" w:rsidRPr="00CE45B9" w14:paraId="717D224A" w14:textId="77777777" w:rsidTr="008B6FC0">
        <w:trPr>
          <w:cantSplit/>
          <w:trHeight w:val="13"/>
        </w:trPr>
        <w:tc>
          <w:tcPr>
            <w:tcW w:w="444" w:type="pct"/>
            <w:tcBorders>
              <w:top w:val="single" w:sz="4" w:space="0" w:color="auto"/>
              <w:left w:val="single" w:sz="4" w:space="0" w:color="auto"/>
              <w:bottom w:val="single" w:sz="4" w:space="0" w:color="auto"/>
              <w:right w:val="single" w:sz="4" w:space="0" w:color="auto"/>
            </w:tcBorders>
          </w:tcPr>
          <w:p w14:paraId="58CE6C5B" w14:textId="4A33D6D8" w:rsidR="000A7FDF" w:rsidRDefault="00211285" w:rsidP="006C7E7E">
            <w:pPr>
              <w:pStyle w:val="Tabletext1"/>
              <w:rPr>
                <w:snapToGrid w:val="0"/>
              </w:rPr>
            </w:pPr>
            <w:hyperlink w:anchor="_ENREF_83" w:tooltip="Winkel, 2020 #91" w:history="1">
              <w:r w:rsidR="008B6FC0">
                <w:rPr>
                  <w:snapToGrid w:val="0"/>
                </w:rPr>
                <w:fldChar w:fldCharType="begin"/>
              </w:r>
              <w:r w:rsidR="008B6FC0">
                <w:rPr>
                  <w:snapToGrid w:val="0"/>
                </w:rPr>
                <w:instrText xml:space="preserve"> ADDIN EN.CITE &lt;EndNote&gt;&lt;Cite AuthorYear="1"&gt;&lt;Author&gt;Winkel&lt;/Author&gt;&lt;Year&gt;2020&lt;/Year&gt;&lt;RecNum&gt;91&lt;/RecNum&gt;&lt;DisplayText&gt;Winkel et al. (2020)&lt;/DisplayText&gt;&lt;record&gt;&lt;rec-number&gt;91&lt;/rec-number&gt;&lt;foreign-keys&gt;&lt;key app="EN" db-id="sx5wsdwv795wvue959xxw0ptaewvdezxxp05" timestamp="1607576001"&gt;91&lt;/key&gt;&lt;/foreign-keys&gt;&lt;ref-type name="Journal Article"&gt;17&lt;/ref-type&gt;&lt;contributors&gt;&lt;authors&gt;&lt;author&gt;Winkel, D.&lt;/author&gt;&lt;author&gt;Bol, G. H.&lt;/author&gt;&lt;author&gt;Werensteijn-Honingh, A. M.&lt;/author&gt;&lt;author&gt;Intven, M. P. W.&lt;/author&gt;&lt;author&gt;Eppinga, W. S. C.&lt;/author&gt;&lt;author&gt;Hes, J.&lt;/author&gt;&lt;author&gt;Snoeren, L. M. W.&lt;/author&gt;&lt;author&gt;Sikkes, G. G.&lt;/author&gt;&lt;author&gt;Gadellaa-van Hooijdonk, C. G. M.&lt;/author&gt;&lt;author&gt;Raaymakers, B. W.&lt;/author&gt;&lt;author&gt;Jürgenliemk-Schulz, I. M.&lt;/author&gt;&lt;author&gt;Kroon, P. S.&lt;/author&gt;&lt;/authors&gt;&lt;/contributors&gt;&lt;auth-address&gt;Department of Radiotherapy, University Medical Center, Utrecht, The Netherlands. Electronic address: d.winkel-2@umcutrecht.nl.&amp;#xD;Department of Radiotherapy, University Medical Center, Utrecht, The Netherlands.&lt;/auth-address&gt;&lt;titles&gt;&lt;title&gt;Target coverage and dose criteria based evaluation of the first clinical 1.5T MR-linac SBRT treatments of lymph node oligometastases compared with conventional CBCT-linac treatment&lt;/title&gt;&lt;secondary-title&gt;Radiother Oncol&lt;/secondary-title&gt;&lt;/titles&gt;&lt;pages&gt;118-125&lt;/pages&gt;&lt;volume&gt;146&lt;/volume&gt;&lt;edition&gt;2020/03/09&lt;/edition&gt;&lt;keywords&gt;&lt;keyword&gt;Lymph node oligometastases&lt;/keyword&gt;&lt;keyword&gt;MR-linac&lt;/keyword&gt;&lt;keyword&gt;MRI-guided radiotherapy&lt;/keyword&gt;&lt;keyword&gt;Online plan adaptation&lt;/keyword&gt;&lt;keyword&gt;Radiotherapy&lt;/keyword&gt;&lt;/keywords&gt;&lt;dates&gt;&lt;year&gt;2020&lt;/year&gt;&lt;pub-dates&gt;&lt;date&gt;May&lt;/date&gt;&lt;/pub-dates&gt;&lt;/dates&gt;&lt;isbn&gt;0167-8140&lt;/isbn&gt;&lt;accession-num&gt;32146257&lt;/accession-num&gt;&lt;urls&gt;&lt;/urls&gt;&lt;electronic-resource-num&gt;10.1016/j.radonc.2020.02.011&lt;/electronic-resource-num&gt;&lt;remote-database-provider&gt;NLM&lt;/remote-database-provider&gt;&lt;language&gt;eng&lt;/language&gt;&lt;/record&gt;&lt;/Cite&gt;&lt;/EndNote&gt;</w:instrText>
              </w:r>
              <w:r w:rsidR="008B6FC0">
                <w:rPr>
                  <w:snapToGrid w:val="0"/>
                </w:rPr>
                <w:fldChar w:fldCharType="separate"/>
              </w:r>
              <w:r w:rsidR="008B6FC0">
                <w:rPr>
                  <w:noProof/>
                  <w:snapToGrid w:val="0"/>
                </w:rPr>
                <w:t>Winkel et al. (2020)</w:t>
              </w:r>
              <w:r w:rsidR="008B6FC0">
                <w:rPr>
                  <w:snapToGrid w:val="0"/>
                </w:rPr>
                <w:fldChar w:fldCharType="end"/>
              </w:r>
            </w:hyperlink>
          </w:p>
        </w:tc>
        <w:tc>
          <w:tcPr>
            <w:tcW w:w="455" w:type="pct"/>
            <w:tcBorders>
              <w:top w:val="single" w:sz="4" w:space="0" w:color="auto"/>
              <w:left w:val="single" w:sz="4" w:space="0" w:color="auto"/>
              <w:bottom w:val="single" w:sz="4" w:space="0" w:color="auto"/>
              <w:right w:val="single" w:sz="4" w:space="0" w:color="auto"/>
            </w:tcBorders>
          </w:tcPr>
          <w:p w14:paraId="0CBF9098" w14:textId="7F5A3BD1" w:rsidR="008C2A35" w:rsidRDefault="00C12A38" w:rsidP="008C2A35">
            <w:pPr>
              <w:pStyle w:val="Tabletext1"/>
            </w:pPr>
            <w:r>
              <w:t>Retrospective review</w:t>
            </w:r>
          </w:p>
          <w:p w14:paraId="021FB8D4" w14:textId="7F5A3BD1" w:rsidR="000A7FDF" w:rsidRDefault="00C12A38" w:rsidP="006C7E7E">
            <w:pPr>
              <w:pStyle w:val="Tabletext1"/>
            </w:pPr>
            <w:r>
              <w:t>Since August 2018</w:t>
            </w:r>
          </w:p>
        </w:tc>
        <w:tc>
          <w:tcPr>
            <w:tcW w:w="458" w:type="pct"/>
            <w:tcBorders>
              <w:top w:val="single" w:sz="4" w:space="0" w:color="auto"/>
              <w:left w:val="single" w:sz="4" w:space="0" w:color="auto"/>
              <w:bottom w:val="single" w:sz="4" w:space="0" w:color="auto"/>
              <w:right w:val="single" w:sz="4" w:space="0" w:color="auto"/>
            </w:tcBorders>
          </w:tcPr>
          <w:p w14:paraId="319ECCC1" w14:textId="7F5A3BD1" w:rsidR="00C12A38" w:rsidRDefault="00C12A38" w:rsidP="00C12A38">
            <w:pPr>
              <w:pStyle w:val="Tabletext1"/>
            </w:pPr>
            <w:r>
              <w:t>Level III-3</w:t>
            </w:r>
          </w:p>
          <w:p w14:paraId="1602415C" w14:textId="7F5A3BD1" w:rsidR="000A7FDF" w:rsidRDefault="00C12A38" w:rsidP="006C7E7E">
            <w:pPr>
              <w:pStyle w:val="Tabletext1"/>
            </w:pPr>
            <w:r>
              <w:t>NA</w:t>
            </w:r>
          </w:p>
        </w:tc>
        <w:tc>
          <w:tcPr>
            <w:tcW w:w="379" w:type="pct"/>
            <w:tcBorders>
              <w:top w:val="single" w:sz="4" w:space="0" w:color="auto"/>
              <w:left w:val="single" w:sz="4" w:space="0" w:color="auto"/>
              <w:bottom w:val="single" w:sz="4" w:space="0" w:color="auto"/>
              <w:right w:val="single" w:sz="4" w:space="0" w:color="auto"/>
            </w:tcBorders>
          </w:tcPr>
          <w:p w14:paraId="63AAFB9A" w14:textId="77777777" w:rsidR="00F92933" w:rsidRDefault="00F92933" w:rsidP="00F92933">
            <w:pPr>
              <w:pStyle w:val="Tabletext1"/>
            </w:pPr>
            <w:r>
              <w:t>The Netherlands</w:t>
            </w:r>
          </w:p>
          <w:p w14:paraId="6F921D92" w14:textId="31831DC2" w:rsidR="000A7FDF" w:rsidRDefault="00F92933" w:rsidP="006C7E7E">
            <w:pPr>
              <w:pStyle w:val="Tabletext1"/>
            </w:pPr>
            <w:r>
              <w:t>Follow-up: NA</w:t>
            </w:r>
          </w:p>
        </w:tc>
        <w:tc>
          <w:tcPr>
            <w:tcW w:w="638" w:type="pct"/>
            <w:tcBorders>
              <w:top w:val="single" w:sz="4" w:space="0" w:color="auto"/>
              <w:left w:val="single" w:sz="4" w:space="0" w:color="auto"/>
              <w:bottom w:val="single" w:sz="4" w:space="0" w:color="auto"/>
              <w:right w:val="single" w:sz="4" w:space="0" w:color="auto"/>
            </w:tcBorders>
          </w:tcPr>
          <w:p w14:paraId="53854EE4" w14:textId="23B925BC" w:rsidR="000A7FDF" w:rsidRDefault="00685969" w:rsidP="006C7E7E">
            <w:pPr>
              <w:pStyle w:val="Tabletext1"/>
            </w:pPr>
            <w:r>
              <w:t>N= 20 patients with metastases in the pelvic and para-aortic region (n=14 single oligometastasis, n=6 2-3 metastases)</w:t>
            </w:r>
          </w:p>
        </w:tc>
        <w:tc>
          <w:tcPr>
            <w:tcW w:w="689" w:type="pct"/>
            <w:gridSpan w:val="2"/>
            <w:tcBorders>
              <w:top w:val="single" w:sz="4" w:space="0" w:color="auto"/>
              <w:left w:val="single" w:sz="4" w:space="0" w:color="auto"/>
              <w:bottom w:val="single" w:sz="4" w:space="0" w:color="auto"/>
              <w:right w:val="single" w:sz="4" w:space="0" w:color="auto"/>
            </w:tcBorders>
          </w:tcPr>
          <w:p w14:paraId="3C306D8D" w14:textId="6A3DECDC" w:rsidR="000A7FDF" w:rsidRDefault="002514B3" w:rsidP="006C7E7E">
            <w:pPr>
              <w:pStyle w:val="Tabletext1"/>
            </w:pPr>
            <w:r w:rsidRPr="002514B3">
              <w:t>1.5T MR-linac with a prescribed</w:t>
            </w:r>
            <w:r>
              <w:t xml:space="preserve"> </w:t>
            </w:r>
            <w:r w:rsidRPr="002514B3">
              <w:t>dose of 5</w:t>
            </w:r>
            <w:r>
              <w:t xml:space="preserve"> x </w:t>
            </w:r>
            <w:r w:rsidRPr="002514B3">
              <w:t>7</w:t>
            </w:r>
            <w:r>
              <w:t xml:space="preserve"> </w:t>
            </w:r>
            <w:r w:rsidRPr="002514B3">
              <w:t>Gy to 95% of the PTV</w:t>
            </w:r>
            <w:r w:rsidR="00BB1B8F">
              <w:t xml:space="preserve">. </w:t>
            </w:r>
            <w:r w:rsidR="00BB1B8F" w:rsidRPr="00BB1B8F">
              <w:t xml:space="preserve">For each patient, a </w:t>
            </w:r>
            <w:r w:rsidR="00BB1B8F">
              <w:t>6</w:t>
            </w:r>
            <w:r w:rsidR="00BB1B8F" w:rsidRPr="00BB1B8F">
              <w:t xml:space="preserve">-, </w:t>
            </w:r>
            <w:r w:rsidR="00BB1B8F">
              <w:t xml:space="preserve">7- </w:t>
            </w:r>
            <w:r w:rsidR="00BB1B8F" w:rsidRPr="00BB1B8F">
              <w:t>or</w:t>
            </w:r>
            <w:r w:rsidR="00BB1B8F">
              <w:t xml:space="preserve"> 10</w:t>
            </w:r>
            <w:r w:rsidR="00BB1B8F" w:rsidRPr="00BB1B8F">
              <w:t>-beam MR-linac IMRT pre-treatment plan was created with a</w:t>
            </w:r>
            <w:r w:rsidR="00BB1B8F">
              <w:t xml:space="preserve"> </w:t>
            </w:r>
            <w:r w:rsidR="00BB1B8F" w:rsidRPr="00BB1B8F">
              <w:t>GTV-PTV margin of 3mm</w:t>
            </w:r>
            <w:r w:rsidR="00BB1B8F">
              <w:t xml:space="preserve"> </w:t>
            </w:r>
            <w:r w:rsidR="00BB1B8F" w:rsidRPr="00BB1B8F">
              <w:t>using Monaco TPS (Elekta AB, Stockholm,</w:t>
            </w:r>
            <w:r w:rsidR="00BB1B8F">
              <w:t xml:space="preserve"> </w:t>
            </w:r>
            <w:r w:rsidR="00BB1B8F" w:rsidRPr="00BB1B8F">
              <w:t>Sweden)</w:t>
            </w:r>
            <w:r w:rsidR="00BB1B8F">
              <w:t xml:space="preserve">. </w:t>
            </w:r>
          </w:p>
        </w:tc>
        <w:tc>
          <w:tcPr>
            <w:tcW w:w="646" w:type="pct"/>
            <w:gridSpan w:val="2"/>
            <w:tcBorders>
              <w:top w:val="single" w:sz="4" w:space="0" w:color="auto"/>
              <w:left w:val="single" w:sz="4" w:space="0" w:color="auto"/>
              <w:bottom w:val="single" w:sz="4" w:space="0" w:color="auto"/>
              <w:right w:val="single" w:sz="4" w:space="0" w:color="auto"/>
            </w:tcBorders>
          </w:tcPr>
          <w:p w14:paraId="28E78334" w14:textId="09ED44A1" w:rsidR="000A7FDF" w:rsidRPr="00F45DF6" w:rsidRDefault="00705F56" w:rsidP="006C7E7E">
            <w:pPr>
              <w:pStyle w:val="Tabletext1"/>
              <w:rPr>
                <w:b/>
              </w:rPr>
            </w:pPr>
            <w:r>
              <w:rPr>
                <w:bCs/>
              </w:rPr>
              <w:t xml:space="preserve">A </w:t>
            </w:r>
            <w:r w:rsidRPr="00705F56">
              <w:rPr>
                <w:bCs/>
              </w:rPr>
              <w:t>CBCT-linac</w:t>
            </w:r>
            <w:r>
              <w:rPr>
                <w:bCs/>
              </w:rPr>
              <w:t xml:space="preserve"> </w:t>
            </w:r>
            <w:r w:rsidRPr="00705F56">
              <w:rPr>
                <w:bCs/>
              </w:rPr>
              <w:t>VMAT back-up plan was created for each patient. A PTV margin of 8 mm was used</w:t>
            </w:r>
            <w:r>
              <w:rPr>
                <w:bCs/>
              </w:rPr>
              <w:t xml:space="preserve"> </w:t>
            </w:r>
            <w:r w:rsidRPr="00705F56">
              <w:rPr>
                <w:bCs/>
              </w:rPr>
              <w:t>for poorly visible lymph nodes and 3 mm for visible lymph nodes. For patients with multiple lymph node oligometastases, the</w:t>
            </w:r>
            <w:r>
              <w:rPr>
                <w:bCs/>
              </w:rPr>
              <w:t xml:space="preserve"> </w:t>
            </w:r>
            <w:r w:rsidRPr="00705F56">
              <w:rPr>
                <w:bCs/>
              </w:rPr>
              <w:t xml:space="preserve">plans consisted of one, two or three PTV’s. </w:t>
            </w:r>
            <w:r>
              <w:rPr>
                <w:bCs/>
              </w:rPr>
              <w:t>A</w:t>
            </w:r>
            <w:r w:rsidRPr="00705F56">
              <w:rPr>
                <w:bCs/>
              </w:rPr>
              <w:t xml:space="preserve"> medical physicist and radiation oncologist decided on one or two</w:t>
            </w:r>
            <w:r>
              <w:rPr>
                <w:bCs/>
              </w:rPr>
              <w:t xml:space="preserve"> </w:t>
            </w:r>
            <w:r w:rsidRPr="00705F56">
              <w:rPr>
                <w:bCs/>
              </w:rPr>
              <w:t>separate plans, placement of the isocenter, depending on the specific</w:t>
            </w:r>
            <w:r>
              <w:rPr>
                <w:bCs/>
              </w:rPr>
              <w:t xml:space="preserve"> </w:t>
            </w:r>
            <w:r w:rsidRPr="00705F56">
              <w:rPr>
                <w:bCs/>
              </w:rPr>
              <w:t>anatomical situation of the patient and PTV margins</w:t>
            </w:r>
            <w:r>
              <w:rPr>
                <w:bCs/>
              </w:rPr>
              <w:t xml:space="preserve">. </w:t>
            </w:r>
            <w:r w:rsidRPr="00705F56">
              <w:rPr>
                <w:bCs/>
              </w:rPr>
              <w:t>OAR dose was lowered as much as possible, while maintaining a</w:t>
            </w:r>
            <w:r>
              <w:rPr>
                <w:bCs/>
              </w:rPr>
              <w:t xml:space="preserve"> </w:t>
            </w:r>
            <w:r w:rsidRPr="00705F56">
              <w:rPr>
                <w:bCs/>
              </w:rPr>
              <w:t>sufficient PTV coverage of V</w:t>
            </w:r>
            <w:r w:rsidRPr="00705F56">
              <w:rPr>
                <w:bCs/>
                <w:vertAlign w:val="subscript"/>
              </w:rPr>
              <w:t>35Gy</w:t>
            </w:r>
            <w:r w:rsidRPr="00705F56">
              <w:rPr>
                <w:bCs/>
              </w:rPr>
              <w:t xml:space="preserve"> &gt; 95% and a D</w:t>
            </w:r>
            <w:r w:rsidRPr="00705F56">
              <w:rPr>
                <w:bCs/>
                <w:vertAlign w:val="subscript"/>
              </w:rPr>
              <w:t>max</w:t>
            </w:r>
            <w:r w:rsidRPr="00705F56">
              <w:rPr>
                <w:bCs/>
              </w:rPr>
              <w:t xml:space="preserve"> between 120–135%. Clinical dose criteria for the OARs were based on the UK</w:t>
            </w:r>
            <w:r>
              <w:rPr>
                <w:bCs/>
              </w:rPr>
              <w:t xml:space="preserve"> </w:t>
            </w:r>
            <w:r w:rsidRPr="00705F56">
              <w:rPr>
                <w:bCs/>
              </w:rPr>
              <w:t>SABR consortium guidelines (2016)</w:t>
            </w:r>
            <w:r>
              <w:rPr>
                <w:bCs/>
              </w:rPr>
              <w:t>.</w:t>
            </w:r>
          </w:p>
        </w:tc>
        <w:tc>
          <w:tcPr>
            <w:tcW w:w="638" w:type="pct"/>
            <w:tcBorders>
              <w:top w:val="single" w:sz="4" w:space="0" w:color="auto"/>
              <w:left w:val="single" w:sz="4" w:space="0" w:color="auto"/>
              <w:bottom w:val="single" w:sz="4" w:space="0" w:color="auto"/>
              <w:right w:val="single" w:sz="4" w:space="0" w:color="auto"/>
            </w:tcBorders>
          </w:tcPr>
          <w:p w14:paraId="54A13895" w14:textId="378B4488" w:rsidR="000A7FDF" w:rsidRDefault="00705F56" w:rsidP="006C7E7E">
            <w:pPr>
              <w:pStyle w:val="Tabletext1"/>
            </w:pPr>
            <w:r>
              <w:rPr>
                <w:snapToGrid w:val="0"/>
              </w:rPr>
              <w:t>Dosimetric parameters</w:t>
            </w:r>
          </w:p>
        </w:tc>
        <w:tc>
          <w:tcPr>
            <w:tcW w:w="654" w:type="pct"/>
            <w:tcBorders>
              <w:top w:val="single" w:sz="4" w:space="0" w:color="auto"/>
              <w:left w:val="single" w:sz="4" w:space="0" w:color="auto"/>
              <w:bottom w:val="single" w:sz="4" w:space="0" w:color="auto"/>
              <w:right w:val="single" w:sz="4" w:space="0" w:color="auto"/>
            </w:tcBorders>
          </w:tcPr>
          <w:p w14:paraId="48048C09" w14:textId="01F3106A" w:rsidR="000A7FDF" w:rsidRDefault="00705F56" w:rsidP="006C7E7E">
            <w:pPr>
              <w:pStyle w:val="Tabletext1"/>
            </w:pPr>
            <w:r w:rsidRPr="00705F56">
              <w:t>The differences in target coverage between the clinically delivered</w:t>
            </w:r>
            <w:r>
              <w:t xml:space="preserve"> </w:t>
            </w:r>
            <w:r w:rsidRPr="00705F56">
              <w:t>MR-linac and the CBCT-linac plans were compared for each</w:t>
            </w:r>
            <w:r>
              <w:t xml:space="preserve"> </w:t>
            </w:r>
            <w:r w:rsidRPr="00705F56">
              <w:t>treatment session. Additionally, the plans were evaluated based</w:t>
            </w:r>
            <w:r>
              <w:t xml:space="preserve"> </w:t>
            </w:r>
            <w:r w:rsidRPr="00705F56">
              <w:t>on the clinical dose criteria for the target coverage and OAR dose.</w:t>
            </w:r>
            <w:r>
              <w:t xml:space="preserve"> </w:t>
            </w:r>
            <w:r w:rsidRPr="00705F56">
              <w:t>The CBCT-linac plan was recalculated on the daily MRI and using</w:t>
            </w:r>
            <w:r>
              <w:t xml:space="preserve"> </w:t>
            </w:r>
            <w:r w:rsidRPr="00705F56">
              <w:t>the contours from the online treatment.</w:t>
            </w:r>
          </w:p>
        </w:tc>
      </w:tr>
    </w:tbl>
    <w:p w14:paraId="1ACE8742" w14:textId="6C4B3730" w:rsidR="00223BAD" w:rsidRPr="000916FF" w:rsidRDefault="00013B09" w:rsidP="00223BAD">
      <w:pPr>
        <w:pStyle w:val="Tablenotes0"/>
      </w:pPr>
      <w:bookmarkStart w:id="817" w:name="_Ref192056948"/>
      <w:bookmarkStart w:id="818" w:name="_Ref169423889"/>
      <w:r>
        <w:lastRenderedPageBreak/>
        <w:t xml:space="preserve">CBCT=cone-beam computed tomography; </w:t>
      </w:r>
      <w:r w:rsidR="00C26EE4">
        <w:t xml:space="preserve">CI=confidence interval; </w:t>
      </w:r>
      <w:r w:rsidR="00223BAD">
        <w:t>Coh</w:t>
      </w:r>
      <w:r w:rsidR="008C2A35">
        <w:t>=</w:t>
      </w:r>
      <w:r w:rsidR="00223BAD">
        <w:t xml:space="preserve">cohort; </w:t>
      </w:r>
      <w:r>
        <w:t xml:space="preserve">CS=case series; </w:t>
      </w:r>
      <w:r w:rsidR="00223BAD" w:rsidRPr="000916FF">
        <w:t>CT</w:t>
      </w:r>
      <w:r w:rsidR="008C2A35" w:rsidRPr="000916FF">
        <w:t>=</w:t>
      </w:r>
      <w:r w:rsidR="00223BAD" w:rsidRPr="000916FF">
        <w:t xml:space="preserve">computed tomography; </w:t>
      </w:r>
      <w:r w:rsidR="005831EB" w:rsidRPr="000916FF">
        <w:t xml:space="preserve">CTCAE=Common Terminology Criteria for Adverse Events; </w:t>
      </w:r>
      <w:r w:rsidR="00847946" w:rsidRPr="000916FF">
        <w:t xml:space="preserve">DVH=dose volume histogram; </w:t>
      </w:r>
      <w:r w:rsidR="00BF4A29" w:rsidRPr="000916FF">
        <w:t>EORTC QLQ-C30=</w:t>
      </w:r>
      <w:r w:rsidR="00BF4A29" w:rsidRPr="00BF4A29">
        <w:t xml:space="preserve"> </w:t>
      </w:r>
      <w:r w:rsidR="00BF4A29">
        <w:t xml:space="preserve">European Organization for Research and Treatment of Cancer Core Quality of Life Questionnaire; </w:t>
      </w:r>
      <w:r w:rsidR="00D04C06" w:rsidRPr="000916FF">
        <w:t xml:space="preserve">FFF=flattening filter free; </w:t>
      </w:r>
      <w:r w:rsidRPr="000916FF">
        <w:t xml:space="preserve">GTV=gross tumour volume; </w:t>
      </w:r>
      <w:r w:rsidR="00D04C06" w:rsidRPr="000916FF">
        <w:t xml:space="preserve">Gy=Gray; </w:t>
      </w:r>
      <w:r w:rsidR="00685969">
        <w:t xml:space="preserve">HCC=hepatocellular carcinoma; </w:t>
      </w:r>
      <w:r w:rsidR="00C26EE4" w:rsidRPr="000916FF">
        <w:t>HU=Hounsfield unit;</w:t>
      </w:r>
      <w:r w:rsidR="00D04C06" w:rsidRPr="000916FF">
        <w:t xml:space="preserve"> </w:t>
      </w:r>
      <w:r w:rsidR="00C26EE4" w:rsidRPr="000916FF">
        <w:t xml:space="preserve">IMRT=image-guided radiation therapy; LC=local control; </w:t>
      </w:r>
      <w:r w:rsidR="00223BAD" w:rsidRPr="000916FF">
        <w:t>LINAC</w:t>
      </w:r>
      <w:r w:rsidR="008C2A35" w:rsidRPr="000916FF">
        <w:t>=</w:t>
      </w:r>
      <w:r w:rsidR="00223BAD" w:rsidRPr="000916FF">
        <w:t xml:space="preserve">linear accelerator; </w:t>
      </w:r>
      <w:r w:rsidRPr="000916FF">
        <w:t xml:space="preserve">MR=magnetic resonance; </w:t>
      </w:r>
      <w:r w:rsidR="00D04C06" w:rsidRPr="000916FF">
        <w:t xml:space="preserve">MRI=magnetic resonance imaging; MR-IGRT=magnetic resonance-guided radiation therapy; </w:t>
      </w:r>
      <w:r w:rsidRPr="000916FF">
        <w:t xml:space="preserve">NA=not assessed; </w:t>
      </w:r>
      <w:r w:rsidR="00D04C06" w:rsidRPr="000916FF">
        <w:t>NR=not reported; OAR=organs at risk</w:t>
      </w:r>
      <w:r w:rsidRPr="000916FF">
        <w:t xml:space="preserve">; </w:t>
      </w:r>
      <w:r w:rsidR="00823B1F" w:rsidRPr="000916FF">
        <w:t xml:space="preserve">OS=overall survival; PFS=progression-free survival; </w:t>
      </w:r>
      <w:r w:rsidR="008C2A35" w:rsidRPr="000916FF">
        <w:t xml:space="preserve">PRO-Q=patient reported outcomes questionnaire; PTV=planned target volume; </w:t>
      </w:r>
      <w:r w:rsidR="004972E9" w:rsidRPr="000916FF">
        <w:t xml:space="preserve">QoL=quality of life; </w:t>
      </w:r>
      <w:r w:rsidR="000916FF" w:rsidRPr="000916FF">
        <w:t xml:space="preserve">RECIST=Response Evaluation Criteria in Solid Tumours; </w:t>
      </w:r>
      <w:r w:rsidR="00823B1F" w:rsidRPr="000916FF">
        <w:t xml:space="preserve">RT=radiation therapy; </w:t>
      </w:r>
      <w:r w:rsidR="00223BAD" w:rsidRPr="000916FF">
        <w:t>SABR</w:t>
      </w:r>
      <w:r w:rsidR="008C2A35" w:rsidRPr="000916FF">
        <w:t>=</w:t>
      </w:r>
      <w:r w:rsidR="00223BAD" w:rsidRPr="000916FF">
        <w:t xml:space="preserve">stereotactic ablative radiotherapy; </w:t>
      </w:r>
      <w:r w:rsidR="00BF4A29" w:rsidRPr="000916FF">
        <w:t xml:space="preserve">SBRT=stereotactic </w:t>
      </w:r>
      <w:r w:rsidR="004972E9" w:rsidRPr="000916FF">
        <w:t xml:space="preserve">body radiation therapy; </w:t>
      </w:r>
      <w:r w:rsidR="00223BAD" w:rsidRPr="000916FF">
        <w:t>SD</w:t>
      </w:r>
      <w:r w:rsidR="008C2A35" w:rsidRPr="000916FF">
        <w:t>=</w:t>
      </w:r>
      <w:r w:rsidR="00223BAD" w:rsidRPr="000916FF">
        <w:t xml:space="preserve">standard deviation; </w:t>
      </w:r>
      <w:r w:rsidR="00847946" w:rsidRPr="000916FF">
        <w:t xml:space="preserve">SMART=stereotactic MR-guided adaptive radiation therapy; </w:t>
      </w:r>
      <w:r w:rsidR="00223BAD" w:rsidRPr="000916FF">
        <w:t>tri-</w:t>
      </w:r>
      <w:r w:rsidR="00223BAD" w:rsidRPr="000916FF">
        <w:rPr>
          <w:vertAlign w:val="superscript"/>
        </w:rPr>
        <w:t>60</w:t>
      </w:r>
      <w:r w:rsidR="00223BAD" w:rsidRPr="000916FF">
        <w:t>Co</w:t>
      </w:r>
      <w:r w:rsidR="008C2A35" w:rsidRPr="000916FF">
        <w:t>=</w:t>
      </w:r>
      <w:r w:rsidR="00223BAD" w:rsidRPr="000916FF">
        <w:t>tri-</w:t>
      </w:r>
      <w:r w:rsidR="00223BAD" w:rsidRPr="000916FF">
        <w:rPr>
          <w:vertAlign w:val="superscript"/>
        </w:rPr>
        <w:t>60</w:t>
      </w:r>
      <w:r w:rsidR="00223BAD" w:rsidRPr="000916FF">
        <w:t>Co magnetic-resonance image guided system</w:t>
      </w:r>
      <w:r w:rsidR="00C26EE4" w:rsidRPr="000916FF">
        <w:t>; UW-QOL=University of Washington Quality of Life instrument; VMAT=volumetric modulated arc therapy</w:t>
      </w:r>
    </w:p>
    <w:p w14:paraId="0D73E63A" w14:textId="166C65EE" w:rsidR="00C771BF" w:rsidRPr="00183E4D" w:rsidRDefault="00FA3C68" w:rsidP="00CE2A67">
      <w:pPr>
        <w:pStyle w:val="Tablenotes0"/>
      </w:pPr>
      <w:r w:rsidRPr="00183E4D">
        <w:rPr>
          <w:vertAlign w:val="superscript"/>
        </w:rPr>
        <w:t>a</w:t>
      </w:r>
      <w:r w:rsidRPr="00183E4D">
        <w:t xml:space="preserve"> </w:t>
      </w:r>
      <w:r>
        <w:t>source:</w:t>
      </w:r>
      <w:r w:rsidRPr="00183E4D">
        <w:t xml:space="preserve"> </w:t>
      </w:r>
      <w:r w:rsidRPr="008C2A35">
        <w:t>see NHMRC hierarchy of evidence</w:t>
      </w:r>
      <w:r w:rsidRPr="000916FF">
        <w:rPr>
          <w:rStyle w:val="Hyperlink"/>
          <w:color w:val="auto"/>
          <w:u w:val="none"/>
        </w:rPr>
        <w:t xml:space="preserve">; </w:t>
      </w:r>
      <w:r w:rsidR="009E6851" w:rsidRPr="00183E4D">
        <w:rPr>
          <w:vertAlign w:val="superscript"/>
        </w:rPr>
        <w:t>b</w:t>
      </w:r>
      <w:r w:rsidR="009E6851" w:rsidRPr="00183E4D">
        <w:t xml:space="preserve"> risk of bias as it relates to primary outcomes of the systematic review</w:t>
      </w:r>
    </w:p>
    <w:p w14:paraId="3254056E" w14:textId="77777777" w:rsidR="00855ADC" w:rsidRDefault="00855ADC">
      <w:pPr>
        <w:spacing w:after="0"/>
        <w:rPr>
          <w:b/>
          <w:smallCaps/>
          <w:sz w:val="44"/>
        </w:rPr>
      </w:pPr>
      <w:r>
        <w:br w:type="page"/>
      </w:r>
    </w:p>
    <w:p w14:paraId="5C6115F1" w14:textId="0B263166" w:rsidR="00855ADC" w:rsidRDefault="00855ADC" w:rsidP="00855ADC">
      <w:pPr>
        <w:pStyle w:val="Heading1"/>
        <w:jc w:val="both"/>
      </w:pPr>
      <w:bookmarkStart w:id="819" w:name="_Ref421017583"/>
      <w:bookmarkStart w:id="820" w:name="_Ref421017580"/>
      <w:bookmarkStart w:id="821" w:name="_Toc59018832"/>
      <w:bookmarkStart w:id="822" w:name="_Toc59020376"/>
      <w:bookmarkStart w:id="823" w:name="_Toc59439597"/>
      <w:bookmarkStart w:id="824" w:name="_Toc89857869"/>
      <w:r>
        <w:lastRenderedPageBreak/>
        <w:t xml:space="preserve">Appendix </w:t>
      </w:r>
      <w:r w:rsidR="00211285">
        <w:fldChar w:fldCharType="begin"/>
      </w:r>
      <w:r w:rsidR="00211285">
        <w:instrText xml:space="preserve"> SEQ Appendix \* ALPHABETIC </w:instrText>
      </w:r>
      <w:r w:rsidR="00211285">
        <w:fldChar w:fldCharType="separate"/>
      </w:r>
      <w:r w:rsidR="00451350">
        <w:rPr>
          <w:noProof/>
        </w:rPr>
        <w:t>D</w:t>
      </w:r>
      <w:r w:rsidR="00211285">
        <w:rPr>
          <w:noProof/>
        </w:rPr>
        <w:fldChar w:fldCharType="end"/>
      </w:r>
      <w:bookmarkEnd w:id="819"/>
      <w:r>
        <w:tab/>
        <w:t>Evidence Profile Tables</w:t>
      </w:r>
      <w:bookmarkEnd w:id="820"/>
      <w:bookmarkEnd w:id="821"/>
      <w:bookmarkEnd w:id="822"/>
      <w:bookmarkEnd w:id="823"/>
      <w:bookmarkEnd w:id="824"/>
      <w:r>
        <w:t xml:space="preserve"> </w:t>
      </w:r>
    </w:p>
    <w:p w14:paraId="3B47A7FB" w14:textId="5C5A314C" w:rsidR="003D46D9" w:rsidRDefault="003D46D9" w:rsidP="00341093">
      <w:pPr>
        <w:pStyle w:val="Caption"/>
        <w:keepNext/>
      </w:pPr>
      <w:bookmarkStart w:id="825" w:name="_Ref421016257"/>
      <w:bookmarkStart w:id="826" w:name="_Toc89857957"/>
      <w:r>
        <w:t xml:space="preserve">Table </w:t>
      </w:r>
      <w:r w:rsidR="00211285">
        <w:fldChar w:fldCharType="begin"/>
      </w:r>
      <w:r w:rsidR="00211285">
        <w:instrText xml:space="preserve"> SEQ Table \* ARABIC </w:instrText>
      </w:r>
      <w:r w:rsidR="00211285">
        <w:fldChar w:fldCharType="separate"/>
      </w:r>
      <w:r w:rsidR="00451350">
        <w:rPr>
          <w:noProof/>
        </w:rPr>
        <w:t>86</w:t>
      </w:r>
      <w:r w:rsidR="00211285">
        <w:rPr>
          <w:noProof/>
        </w:rPr>
        <w:fldChar w:fldCharType="end"/>
      </w:r>
      <w:bookmarkEnd w:id="825"/>
      <w:r>
        <w:tab/>
        <w:t xml:space="preserve">Evidence profile table for </w:t>
      </w:r>
      <w:r w:rsidR="0065615F">
        <w:t>MR-IGRT</w:t>
      </w:r>
      <w:bookmarkEnd w:id="826"/>
      <w:r>
        <w:t xml:space="preserve"> </w:t>
      </w:r>
    </w:p>
    <w:tbl>
      <w:tblPr>
        <w:tblStyle w:val="TableGrid1"/>
        <w:tblW w:w="4610" w:type="pct"/>
        <w:tblLook w:val="04A0" w:firstRow="1" w:lastRow="0" w:firstColumn="1" w:lastColumn="0" w:noHBand="0" w:noVBand="1"/>
        <w:tblCaption w:val="Evidence profile table example 1"/>
        <w:tblDescription w:val="Evidence profile table example 1"/>
      </w:tblPr>
      <w:tblGrid>
        <w:gridCol w:w="1130"/>
        <w:gridCol w:w="1701"/>
        <w:gridCol w:w="2223"/>
        <w:gridCol w:w="2223"/>
        <w:gridCol w:w="2223"/>
        <w:gridCol w:w="2223"/>
        <w:gridCol w:w="2223"/>
      </w:tblGrid>
      <w:tr w:rsidR="008F7570" w:rsidRPr="00183E4D" w14:paraId="0F34D75C" w14:textId="77777777" w:rsidTr="008B6FC0">
        <w:trPr>
          <w:cnfStyle w:val="100000000000" w:firstRow="1" w:lastRow="0" w:firstColumn="0" w:lastColumn="0" w:oddVBand="0" w:evenVBand="0" w:oddHBand="0" w:evenHBand="0" w:firstRowFirstColumn="0" w:firstRowLastColumn="0" w:lastRowFirstColumn="0" w:lastRowLastColumn="0"/>
          <w:cantSplit/>
          <w:trHeight w:val="788"/>
          <w:tblHeader/>
        </w:trPr>
        <w:tc>
          <w:tcPr>
            <w:tcW w:w="405" w:type="pct"/>
            <w:tcBorders>
              <w:top w:val="single" w:sz="4" w:space="0" w:color="auto"/>
              <w:left w:val="single" w:sz="4" w:space="0" w:color="auto"/>
              <w:bottom w:val="single" w:sz="4" w:space="0" w:color="auto"/>
              <w:right w:val="single" w:sz="4" w:space="0" w:color="auto"/>
            </w:tcBorders>
          </w:tcPr>
          <w:p w14:paraId="30FE8CC6" w14:textId="77777777" w:rsidR="008F7570" w:rsidRPr="00183E4D" w:rsidRDefault="008F7570" w:rsidP="00471F66">
            <w:pPr>
              <w:pStyle w:val="TableHeading"/>
              <w:ind w:left="-16"/>
            </w:pPr>
            <w:r>
              <w:t xml:space="preserve">Outcome </w:t>
            </w:r>
          </w:p>
        </w:tc>
        <w:tc>
          <w:tcPr>
            <w:tcW w:w="610" w:type="pct"/>
            <w:tcBorders>
              <w:top w:val="single" w:sz="4" w:space="0" w:color="auto"/>
              <w:left w:val="single" w:sz="4" w:space="0" w:color="auto"/>
              <w:bottom w:val="single" w:sz="4" w:space="0" w:color="auto"/>
              <w:right w:val="single" w:sz="4" w:space="0" w:color="auto"/>
            </w:tcBorders>
          </w:tcPr>
          <w:p w14:paraId="306B5B67" w14:textId="77777777" w:rsidR="008F7570" w:rsidRPr="00183E4D" w:rsidRDefault="008F7570" w:rsidP="00471F66">
            <w:pPr>
              <w:pStyle w:val="TableHeading"/>
              <w:ind w:left="-16"/>
            </w:pPr>
            <w:r>
              <w:t>No. of participants No of studies and study design</w:t>
            </w:r>
          </w:p>
        </w:tc>
        <w:tc>
          <w:tcPr>
            <w:tcW w:w="797" w:type="pct"/>
            <w:tcBorders>
              <w:top w:val="single" w:sz="4" w:space="0" w:color="auto"/>
              <w:left w:val="single" w:sz="4" w:space="0" w:color="auto"/>
              <w:bottom w:val="single" w:sz="4" w:space="0" w:color="auto"/>
              <w:right w:val="single" w:sz="4" w:space="0" w:color="auto"/>
            </w:tcBorders>
          </w:tcPr>
          <w:p w14:paraId="219E3F3C" w14:textId="77777777" w:rsidR="008F7570" w:rsidRPr="005C061E" w:rsidRDefault="008F7570" w:rsidP="00471F66">
            <w:pPr>
              <w:pStyle w:val="TableHeading"/>
              <w:ind w:left="-16"/>
            </w:pPr>
            <w:r w:rsidRPr="005C061E">
              <w:t>Risk of bias</w:t>
            </w:r>
          </w:p>
        </w:tc>
        <w:tc>
          <w:tcPr>
            <w:tcW w:w="797" w:type="pct"/>
            <w:tcBorders>
              <w:top w:val="single" w:sz="4" w:space="0" w:color="auto"/>
              <w:left w:val="single" w:sz="4" w:space="0" w:color="auto"/>
              <w:bottom w:val="single" w:sz="4" w:space="0" w:color="auto"/>
              <w:right w:val="single" w:sz="4" w:space="0" w:color="auto"/>
            </w:tcBorders>
          </w:tcPr>
          <w:p w14:paraId="4EEC98D8" w14:textId="77777777" w:rsidR="008F7570" w:rsidRPr="00183E4D" w:rsidRDefault="008F7570" w:rsidP="00471F66">
            <w:pPr>
              <w:pStyle w:val="TableHeading"/>
              <w:ind w:left="-16"/>
            </w:pPr>
            <w:r>
              <w:t>Inconsistency</w:t>
            </w:r>
          </w:p>
        </w:tc>
        <w:tc>
          <w:tcPr>
            <w:tcW w:w="797" w:type="pct"/>
            <w:tcBorders>
              <w:top w:val="single" w:sz="4" w:space="0" w:color="auto"/>
              <w:left w:val="single" w:sz="4" w:space="0" w:color="auto"/>
              <w:bottom w:val="single" w:sz="4" w:space="0" w:color="auto"/>
              <w:right w:val="single" w:sz="4" w:space="0" w:color="auto"/>
            </w:tcBorders>
          </w:tcPr>
          <w:p w14:paraId="65B06B36" w14:textId="77777777" w:rsidR="008F7570" w:rsidRPr="005C061E" w:rsidRDefault="008F7570" w:rsidP="00471F66">
            <w:pPr>
              <w:pStyle w:val="TableHeading"/>
              <w:ind w:left="-16"/>
            </w:pPr>
            <w:r w:rsidRPr="005C061E">
              <w:t>Indirectness</w:t>
            </w:r>
          </w:p>
        </w:tc>
        <w:tc>
          <w:tcPr>
            <w:tcW w:w="797" w:type="pct"/>
            <w:tcBorders>
              <w:top w:val="single" w:sz="4" w:space="0" w:color="auto"/>
              <w:left w:val="single" w:sz="4" w:space="0" w:color="auto"/>
              <w:bottom w:val="single" w:sz="4" w:space="0" w:color="auto"/>
              <w:right w:val="single" w:sz="4" w:space="0" w:color="auto"/>
            </w:tcBorders>
          </w:tcPr>
          <w:p w14:paraId="3C0DE12A" w14:textId="77777777" w:rsidR="008F7570" w:rsidRPr="00183E4D" w:rsidRDefault="008F7570" w:rsidP="00471F66">
            <w:pPr>
              <w:pStyle w:val="TableHeading"/>
              <w:ind w:left="-16"/>
            </w:pPr>
            <w:r>
              <w:t>Imprecision</w:t>
            </w:r>
          </w:p>
        </w:tc>
        <w:tc>
          <w:tcPr>
            <w:tcW w:w="797" w:type="pct"/>
            <w:tcBorders>
              <w:top w:val="single" w:sz="4" w:space="0" w:color="auto"/>
              <w:left w:val="single" w:sz="4" w:space="0" w:color="auto"/>
              <w:bottom w:val="single" w:sz="4" w:space="0" w:color="auto"/>
              <w:right w:val="single" w:sz="4" w:space="0" w:color="auto"/>
            </w:tcBorders>
          </w:tcPr>
          <w:p w14:paraId="7B83ED55" w14:textId="4BA2A4C2" w:rsidR="008F7570" w:rsidRPr="00183E4D" w:rsidRDefault="008F7570" w:rsidP="00471F66">
            <w:pPr>
              <w:pStyle w:val="TableHeading"/>
              <w:ind w:left="-16"/>
            </w:pPr>
            <w:r>
              <w:t xml:space="preserve">Other considerations </w:t>
            </w:r>
            <w:r w:rsidR="005A077F">
              <w:t>(publication bias)</w:t>
            </w:r>
          </w:p>
        </w:tc>
      </w:tr>
      <w:tr w:rsidR="008F7570" w:rsidRPr="00183E4D" w14:paraId="16AD3275" w14:textId="77777777" w:rsidTr="008B6FC0">
        <w:trPr>
          <w:cantSplit/>
          <w:trHeight w:val="319"/>
        </w:trPr>
        <w:tc>
          <w:tcPr>
            <w:tcW w:w="405" w:type="pct"/>
            <w:tcBorders>
              <w:top w:val="single" w:sz="4" w:space="0" w:color="auto"/>
              <w:left w:val="single" w:sz="4" w:space="0" w:color="auto"/>
              <w:bottom w:val="single" w:sz="4" w:space="0" w:color="auto"/>
              <w:right w:val="single" w:sz="4" w:space="0" w:color="auto"/>
            </w:tcBorders>
          </w:tcPr>
          <w:p w14:paraId="79369319" w14:textId="77777777" w:rsidR="008F7570" w:rsidRPr="00095FA2" w:rsidRDefault="008F7570" w:rsidP="00471F66">
            <w:pPr>
              <w:pStyle w:val="Tabletext1"/>
            </w:pPr>
            <w:r w:rsidRPr="00095FA2">
              <w:t>Toxicity</w:t>
            </w:r>
          </w:p>
        </w:tc>
        <w:tc>
          <w:tcPr>
            <w:tcW w:w="610" w:type="pct"/>
            <w:tcBorders>
              <w:top w:val="single" w:sz="4" w:space="0" w:color="auto"/>
              <w:left w:val="single" w:sz="4" w:space="0" w:color="auto"/>
              <w:bottom w:val="single" w:sz="4" w:space="0" w:color="auto"/>
              <w:right w:val="single" w:sz="4" w:space="0" w:color="auto"/>
            </w:tcBorders>
          </w:tcPr>
          <w:p w14:paraId="3DB62C81" w14:textId="77777777" w:rsidR="008F7570" w:rsidRDefault="008F7570" w:rsidP="00471F66">
            <w:pPr>
              <w:pStyle w:val="Tabletext1"/>
            </w:pPr>
            <w:r w:rsidRPr="00095FA2">
              <w:t>211 participants (1 matched cohort study and 7 case series</w:t>
            </w:r>
            <w:r>
              <w:t>)</w:t>
            </w:r>
          </w:p>
          <w:p w14:paraId="10D6259C" w14:textId="77777777" w:rsidR="008F7570" w:rsidRDefault="008F7570" w:rsidP="00471F66">
            <w:pPr>
              <w:pStyle w:val="Tabletext1"/>
            </w:pPr>
          </w:p>
          <w:p w14:paraId="026D95DC" w14:textId="77777777" w:rsidR="008F7570" w:rsidRPr="00D375A7" w:rsidRDefault="008F7570" w:rsidP="00471F66">
            <w:pPr>
              <w:pStyle w:val="Tabletext1"/>
              <w:rPr>
                <w:b/>
                <w:bCs/>
              </w:rPr>
            </w:pPr>
            <w:r>
              <w:rPr>
                <w:b/>
                <w:bCs/>
              </w:rPr>
              <w:t>Very low quality evidence</w:t>
            </w:r>
          </w:p>
        </w:tc>
        <w:tc>
          <w:tcPr>
            <w:tcW w:w="797" w:type="pct"/>
            <w:tcBorders>
              <w:top w:val="single" w:sz="4" w:space="0" w:color="auto"/>
              <w:left w:val="single" w:sz="4" w:space="0" w:color="auto"/>
              <w:bottom w:val="single" w:sz="4" w:space="0" w:color="auto"/>
              <w:right w:val="single" w:sz="4" w:space="0" w:color="auto"/>
            </w:tcBorders>
          </w:tcPr>
          <w:p w14:paraId="411AD7A3" w14:textId="7574EF4C" w:rsidR="008F7570" w:rsidRDefault="008F7570" w:rsidP="00471F66">
            <w:pPr>
              <w:pStyle w:val="Tabletext1"/>
            </w:pPr>
            <w:r>
              <w:t>Good quality</w:t>
            </w:r>
            <w:r w:rsidR="00340B35">
              <w:t xml:space="preserve"> </w:t>
            </w:r>
            <w:r>
              <w:t>-</w:t>
            </w:r>
            <w:r w:rsidR="00340B35">
              <w:t xml:space="preserve"> </w:t>
            </w:r>
            <w:r>
              <w:t>2 studies</w:t>
            </w:r>
          </w:p>
          <w:p w14:paraId="3DCF6355" w14:textId="75C4CA67" w:rsidR="008F7570" w:rsidRDefault="008F7570" w:rsidP="00471F66">
            <w:pPr>
              <w:pStyle w:val="Tabletext1"/>
            </w:pPr>
            <w:r>
              <w:t>Fair quality -</w:t>
            </w:r>
            <w:r w:rsidR="00340B35">
              <w:t xml:space="preserve"> </w:t>
            </w:r>
            <w:r>
              <w:t>4 studies</w:t>
            </w:r>
          </w:p>
          <w:p w14:paraId="58227990" w14:textId="1995C3D6" w:rsidR="008F7570" w:rsidRDefault="008F7570" w:rsidP="00471F66">
            <w:pPr>
              <w:pStyle w:val="Tabletext1"/>
            </w:pPr>
            <w:r>
              <w:t>Poor quality -</w:t>
            </w:r>
            <w:r w:rsidR="00340B35">
              <w:t xml:space="preserve"> </w:t>
            </w:r>
            <w:r>
              <w:t xml:space="preserve">2 studies </w:t>
            </w:r>
          </w:p>
          <w:p w14:paraId="3D9E604E" w14:textId="77777777" w:rsidR="008F7570" w:rsidRDefault="008F7570" w:rsidP="00471F66">
            <w:pPr>
              <w:pStyle w:val="Tabletext1"/>
            </w:pPr>
          </w:p>
          <w:p w14:paraId="7FE165C0" w14:textId="77777777" w:rsidR="008F7570" w:rsidRPr="00BA4DB3" w:rsidRDefault="008F7570" w:rsidP="00471F66">
            <w:pPr>
              <w:pStyle w:val="Tabletext1"/>
              <w:rPr>
                <w:b/>
                <w:bCs/>
              </w:rPr>
            </w:pPr>
            <w:r w:rsidRPr="00485421">
              <w:rPr>
                <w:b/>
                <w:bCs/>
              </w:rPr>
              <w:t>Some concern</w:t>
            </w:r>
          </w:p>
        </w:tc>
        <w:tc>
          <w:tcPr>
            <w:tcW w:w="797" w:type="pct"/>
            <w:tcBorders>
              <w:top w:val="single" w:sz="4" w:space="0" w:color="auto"/>
              <w:left w:val="single" w:sz="4" w:space="0" w:color="auto"/>
              <w:bottom w:val="single" w:sz="4" w:space="0" w:color="auto"/>
              <w:right w:val="single" w:sz="4" w:space="0" w:color="auto"/>
            </w:tcBorders>
          </w:tcPr>
          <w:p w14:paraId="050979A7" w14:textId="77777777" w:rsidR="008F7570" w:rsidRDefault="008F7570" w:rsidP="00471F66">
            <w:pPr>
              <w:pStyle w:val="Tabletext1"/>
            </w:pPr>
            <w:r>
              <w:t>Magnitude of effect could not be determined in non-comparative studies.</w:t>
            </w:r>
          </w:p>
          <w:p w14:paraId="578CBBBB" w14:textId="77777777" w:rsidR="008F7570" w:rsidRDefault="008F7570" w:rsidP="00471F66">
            <w:pPr>
              <w:pStyle w:val="Tabletext1"/>
            </w:pPr>
            <w:r>
              <w:t>Grade ≥3 toxicities were reported in 2 studies</w:t>
            </w:r>
          </w:p>
          <w:p w14:paraId="4D0ADA63" w14:textId="77777777" w:rsidR="008F7570" w:rsidRDefault="008F7570" w:rsidP="00471F66">
            <w:pPr>
              <w:pStyle w:val="Tabletext1"/>
            </w:pPr>
          </w:p>
          <w:p w14:paraId="3468DF8F" w14:textId="77777777" w:rsidR="008F7570" w:rsidRPr="00106BA2" w:rsidRDefault="008F7570" w:rsidP="00471F66">
            <w:pPr>
              <w:pStyle w:val="Tabletext1"/>
              <w:rPr>
                <w:b/>
                <w:bCs/>
              </w:rPr>
            </w:pPr>
            <w:r w:rsidRPr="00106BA2">
              <w:rPr>
                <w:b/>
                <w:bCs/>
              </w:rPr>
              <w:t>Serious concern</w:t>
            </w:r>
          </w:p>
        </w:tc>
        <w:tc>
          <w:tcPr>
            <w:tcW w:w="797" w:type="pct"/>
            <w:tcBorders>
              <w:top w:val="single" w:sz="4" w:space="0" w:color="auto"/>
              <w:left w:val="single" w:sz="4" w:space="0" w:color="auto"/>
              <w:bottom w:val="single" w:sz="4" w:space="0" w:color="auto"/>
              <w:right w:val="single" w:sz="4" w:space="0" w:color="auto"/>
            </w:tcBorders>
          </w:tcPr>
          <w:p w14:paraId="36553163" w14:textId="77777777" w:rsidR="008F7570" w:rsidRDefault="008F7570" w:rsidP="00471F66">
            <w:pPr>
              <w:pStyle w:val="Tabletext1"/>
            </w:pPr>
            <w:r>
              <w:t>Differences in populations, interventions, outcome measures and follow-up durations</w:t>
            </w:r>
          </w:p>
          <w:p w14:paraId="7D5484E5" w14:textId="0B2225BA" w:rsidR="008F7570" w:rsidRDefault="00211285" w:rsidP="00471F66">
            <w:pPr>
              <w:pStyle w:val="Tabletext1"/>
            </w:pP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r w:rsidR="008F7570">
              <w:t xml:space="preserve"> (comparative study) reported a surrogate outcome for toxicity</w:t>
            </w:r>
          </w:p>
          <w:p w14:paraId="2E7B2E8B" w14:textId="77777777" w:rsidR="008F7570" w:rsidRDefault="008F7570" w:rsidP="00471F66">
            <w:pPr>
              <w:pStyle w:val="Tabletext1"/>
            </w:pPr>
          </w:p>
          <w:p w14:paraId="46B54CF5" w14:textId="77777777" w:rsidR="008F7570" w:rsidRPr="0059147F" w:rsidRDefault="008F7570" w:rsidP="00471F66">
            <w:pPr>
              <w:pStyle w:val="Tabletext1"/>
              <w:rPr>
                <w:b/>
                <w:bCs/>
              </w:rPr>
            </w:pPr>
            <w:r w:rsidRPr="00442526">
              <w:rPr>
                <w:b/>
                <w:bCs/>
              </w:rPr>
              <w:t>Serious concern</w:t>
            </w:r>
          </w:p>
        </w:tc>
        <w:tc>
          <w:tcPr>
            <w:tcW w:w="797" w:type="pct"/>
            <w:tcBorders>
              <w:top w:val="single" w:sz="4" w:space="0" w:color="auto"/>
              <w:left w:val="single" w:sz="4" w:space="0" w:color="auto"/>
              <w:bottom w:val="single" w:sz="4" w:space="0" w:color="auto"/>
              <w:right w:val="single" w:sz="4" w:space="0" w:color="auto"/>
            </w:tcBorders>
          </w:tcPr>
          <w:p w14:paraId="34563144" w14:textId="77777777" w:rsidR="008F7570" w:rsidRDefault="008F7570" w:rsidP="00471F66">
            <w:pPr>
              <w:pStyle w:val="Tabletext1"/>
            </w:pPr>
            <w:r>
              <w:t>Small numbers of patients evaluated in the studies</w:t>
            </w:r>
          </w:p>
          <w:p w14:paraId="69ACC482" w14:textId="77777777" w:rsidR="008F7570" w:rsidRDefault="008F7570" w:rsidP="00471F66">
            <w:pPr>
              <w:pStyle w:val="Tabletext1"/>
            </w:pPr>
          </w:p>
          <w:p w14:paraId="23FBA205" w14:textId="77777777" w:rsidR="008F7570" w:rsidRPr="00442526" w:rsidRDefault="008F7570" w:rsidP="00471F66">
            <w:pPr>
              <w:pStyle w:val="Tabletext1"/>
              <w:rPr>
                <w:b/>
                <w:bCs/>
              </w:rPr>
            </w:pPr>
            <w:r w:rsidRPr="00442526">
              <w:rPr>
                <w:b/>
                <w:bCs/>
              </w:rPr>
              <w:t xml:space="preserve">Serious concern </w:t>
            </w:r>
          </w:p>
        </w:tc>
        <w:tc>
          <w:tcPr>
            <w:tcW w:w="797" w:type="pct"/>
            <w:tcBorders>
              <w:top w:val="single" w:sz="4" w:space="0" w:color="auto"/>
              <w:left w:val="single" w:sz="4" w:space="0" w:color="auto"/>
              <w:bottom w:val="single" w:sz="4" w:space="0" w:color="auto"/>
              <w:right w:val="single" w:sz="4" w:space="0" w:color="auto"/>
            </w:tcBorders>
          </w:tcPr>
          <w:p w14:paraId="078357C9" w14:textId="77777777" w:rsidR="008F7570" w:rsidRDefault="008F7570" w:rsidP="00471F66">
            <w:pPr>
              <w:pStyle w:val="Tabletext1"/>
            </w:pPr>
            <w:r>
              <w:t>Not suspected, the search for studies was comprehensive</w:t>
            </w:r>
          </w:p>
          <w:p w14:paraId="54CB75D0" w14:textId="77777777" w:rsidR="008F7570" w:rsidRDefault="008F7570" w:rsidP="00471F66">
            <w:pPr>
              <w:pStyle w:val="Tabletext1"/>
            </w:pPr>
          </w:p>
          <w:p w14:paraId="1C738475" w14:textId="77777777" w:rsidR="008F7570" w:rsidRPr="0059147F" w:rsidRDefault="008F7570" w:rsidP="00471F66">
            <w:pPr>
              <w:pStyle w:val="Tabletext1"/>
              <w:rPr>
                <w:b/>
              </w:rPr>
            </w:pPr>
            <w:r>
              <w:rPr>
                <w:b/>
              </w:rPr>
              <w:t>No concern</w:t>
            </w:r>
          </w:p>
        </w:tc>
      </w:tr>
      <w:tr w:rsidR="008F7570" w:rsidRPr="00183E4D" w14:paraId="4F7C01E7" w14:textId="77777777" w:rsidTr="008B6FC0">
        <w:trPr>
          <w:cantSplit/>
          <w:trHeight w:val="319"/>
        </w:trPr>
        <w:tc>
          <w:tcPr>
            <w:tcW w:w="405" w:type="pct"/>
            <w:tcBorders>
              <w:top w:val="single" w:sz="4" w:space="0" w:color="auto"/>
              <w:left w:val="single" w:sz="4" w:space="0" w:color="auto"/>
              <w:bottom w:val="single" w:sz="4" w:space="0" w:color="auto"/>
              <w:right w:val="single" w:sz="4" w:space="0" w:color="auto"/>
            </w:tcBorders>
          </w:tcPr>
          <w:p w14:paraId="0D755D97" w14:textId="77777777" w:rsidR="008F7570" w:rsidRPr="00FF5543" w:rsidRDefault="008F7570" w:rsidP="00471F66">
            <w:pPr>
              <w:pStyle w:val="Tabletext1"/>
            </w:pPr>
            <w:r>
              <w:t>Patient tolerance</w:t>
            </w:r>
          </w:p>
        </w:tc>
        <w:tc>
          <w:tcPr>
            <w:tcW w:w="610" w:type="pct"/>
            <w:tcBorders>
              <w:top w:val="single" w:sz="4" w:space="0" w:color="auto"/>
              <w:left w:val="single" w:sz="4" w:space="0" w:color="auto"/>
              <w:bottom w:val="single" w:sz="4" w:space="0" w:color="auto"/>
              <w:right w:val="single" w:sz="4" w:space="0" w:color="auto"/>
            </w:tcBorders>
          </w:tcPr>
          <w:p w14:paraId="6A942E56" w14:textId="77777777" w:rsidR="008F7570" w:rsidRDefault="008F7570" w:rsidP="00471F66">
            <w:pPr>
              <w:pStyle w:val="Tabletext1"/>
            </w:pPr>
            <w:r>
              <w:t>194 participants (2 case series)*</w:t>
            </w:r>
          </w:p>
          <w:p w14:paraId="51C29A31" w14:textId="77777777" w:rsidR="008F7570" w:rsidRDefault="008F7570" w:rsidP="00471F66">
            <w:pPr>
              <w:pStyle w:val="Tabletext1"/>
            </w:pPr>
          </w:p>
          <w:p w14:paraId="31A23ACB" w14:textId="77777777" w:rsidR="008F7570" w:rsidRPr="00FF5543" w:rsidRDefault="008F7570" w:rsidP="00471F66">
            <w:pPr>
              <w:pStyle w:val="Tabletext1"/>
            </w:pPr>
            <w:r>
              <w:rPr>
                <w:b/>
                <w:bCs/>
              </w:rPr>
              <w:t>Very low quality evidence</w:t>
            </w:r>
          </w:p>
        </w:tc>
        <w:tc>
          <w:tcPr>
            <w:tcW w:w="797" w:type="pct"/>
            <w:tcBorders>
              <w:top w:val="single" w:sz="4" w:space="0" w:color="auto"/>
              <w:left w:val="single" w:sz="4" w:space="0" w:color="auto"/>
              <w:bottom w:val="single" w:sz="4" w:space="0" w:color="auto"/>
              <w:right w:val="single" w:sz="4" w:space="0" w:color="auto"/>
            </w:tcBorders>
          </w:tcPr>
          <w:p w14:paraId="37B6544A" w14:textId="380E0060" w:rsidR="008F7570" w:rsidRDefault="008F7570" w:rsidP="00471F66">
            <w:pPr>
              <w:pStyle w:val="Tabletext1"/>
            </w:pPr>
            <w:r>
              <w:t>Fair quality</w:t>
            </w:r>
            <w:r w:rsidR="00340B35">
              <w:t xml:space="preserve"> </w:t>
            </w:r>
            <w:r>
              <w:t xml:space="preserve">- </w:t>
            </w:r>
            <w:hyperlink w:anchor="_ENREF_48" w:tooltip="Kluter, 2020 #20" w:history="1">
              <w:r w:rsidR="008B6FC0">
                <w:fldChar w:fldCharType="begin"/>
              </w:r>
              <w:r w:rsidR="008B6FC0">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fldChar w:fldCharType="separate"/>
              </w:r>
              <w:r w:rsidR="008B6FC0">
                <w:rPr>
                  <w:noProof/>
                </w:rPr>
                <w:t>Kluter et al. (2020)</w:t>
              </w:r>
              <w:r w:rsidR="008B6FC0">
                <w:fldChar w:fldCharType="end"/>
              </w:r>
            </w:hyperlink>
          </w:p>
          <w:p w14:paraId="68CC6CDA" w14:textId="0C31385F" w:rsidR="008F7570" w:rsidRDefault="008F7570" w:rsidP="00471F66">
            <w:pPr>
              <w:pStyle w:val="Tabletext1"/>
            </w:pPr>
            <w:r>
              <w:t>Poor quality</w:t>
            </w:r>
            <w:r w:rsidR="00340B35">
              <w:t xml:space="preserve"> </w:t>
            </w:r>
            <w:r>
              <w:t xml:space="preserve">-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p>
          <w:p w14:paraId="0578DC76" w14:textId="77777777" w:rsidR="008F7570" w:rsidRDefault="008F7570" w:rsidP="00471F66">
            <w:pPr>
              <w:pStyle w:val="Tabletext1"/>
            </w:pPr>
          </w:p>
          <w:p w14:paraId="08AE589D" w14:textId="77777777" w:rsidR="008F7570" w:rsidRPr="0059147F" w:rsidRDefault="008F7570" w:rsidP="00471F66">
            <w:pPr>
              <w:pStyle w:val="Tabletext1"/>
              <w:rPr>
                <w:b/>
                <w:bCs/>
              </w:rPr>
            </w:pPr>
            <w:r w:rsidRPr="00485421">
              <w:rPr>
                <w:b/>
                <w:bCs/>
              </w:rPr>
              <w:t>Some concern</w:t>
            </w:r>
          </w:p>
        </w:tc>
        <w:tc>
          <w:tcPr>
            <w:tcW w:w="797" w:type="pct"/>
            <w:tcBorders>
              <w:top w:val="single" w:sz="4" w:space="0" w:color="auto"/>
              <w:left w:val="single" w:sz="4" w:space="0" w:color="auto"/>
              <w:bottom w:val="single" w:sz="4" w:space="0" w:color="auto"/>
              <w:right w:val="single" w:sz="4" w:space="0" w:color="auto"/>
            </w:tcBorders>
          </w:tcPr>
          <w:p w14:paraId="238A25ED" w14:textId="77777777" w:rsidR="008F7570" w:rsidRDefault="008F7570" w:rsidP="00471F66">
            <w:pPr>
              <w:pStyle w:val="Tabletext1"/>
            </w:pPr>
            <w:r>
              <w:t>Magnitude of effect could not be determined as studies were non-comparative</w:t>
            </w:r>
          </w:p>
          <w:p w14:paraId="05DDB2FE" w14:textId="574C51A7" w:rsidR="008F7570" w:rsidRDefault="008F7570" w:rsidP="00471F66">
            <w:pPr>
              <w:pStyle w:val="Tabletext1"/>
            </w:pPr>
            <w:r>
              <w:t xml:space="preserve">In </w:t>
            </w:r>
            <w:hyperlink w:anchor="_ENREF_48" w:tooltip="Kluter, 2020 #20" w:history="1">
              <w:r w:rsidR="008B6FC0">
                <w:fldChar w:fldCharType="begin"/>
              </w:r>
              <w:r w:rsidR="008B6FC0">
                <w:instrText xml:space="preserve"> ADDIN EN.CITE &lt;EndNote&gt;&lt;Cite AuthorYear="1"&gt;&lt;Author&gt;Kluter&lt;/Author&gt;&lt;Year&gt;2020&lt;/Year&gt;&lt;RecNum&gt;20&lt;/RecNum&gt;&lt;DisplayText&gt;Kluter et al. (2020)&lt;/DisplayText&gt;&lt;record&gt;&lt;rec-number&gt;20&lt;/rec-number&gt;&lt;foreign-keys&gt;&lt;key app="EN" db-id="sx5wsdwv795wvue959xxw0ptaewvdezxxp05" timestamp="1604454186"&gt;20&lt;/key&gt;&lt;/foreign-keys&gt;&lt;ref-type name="Journal Article"&gt;17&lt;/ref-type&gt;&lt;contributors&gt;&lt;authors&gt;&lt;author&gt;Kluter, S.&lt;/author&gt;&lt;author&gt;Katayama, S.&lt;/author&gt;&lt;author&gt;Spindeldreier, C. K.&lt;/author&gt;&lt;author&gt;Koerber, S. A.&lt;/author&gt;&lt;author&gt;Major, G.&lt;/author&gt;&lt;author&gt;Alber, M.&lt;/author&gt;&lt;author&gt;Akbaba, S.&lt;/author&gt;&lt;author&gt;Debus, J.&lt;/author&gt;&lt;author&gt;Horner-Rieber, J.&lt;/author&gt;&lt;/authors&gt;&lt;/contributors&gt;&lt;titles&gt;&lt;title&gt;First prospective clinical evaluation of feasibility and patient acceptance of magnetic resonance-guided radiotherapy in Germany&lt;/title&gt;&lt;secondary-title&gt;Strahlentherapie und Onkologie&lt;/secondary-title&gt;&lt;/titles&gt;&lt;pages&gt;691-698&lt;/pages&gt;&lt;volume&gt;196&lt;/volume&gt;&lt;number&gt;8&lt;/number&gt;&lt;dates&gt;&lt;year&gt;2020&lt;/year&gt;&lt;/dates&gt;&lt;accession-num&gt;2004170220&lt;/accession-num&gt;&lt;urls&gt;&lt;related-urls&gt;&lt;url&gt;http://www.springerlink.com/content/103711/http://ezproxy.library.usyd.edu.au/login?url=http://ovidsp.ovid.com/ovidweb.cgi?T=JS&amp;amp;CSC=Y&amp;amp;NEWS=N&amp;amp;PAGE=fulltext&amp;amp;D=emexb&amp;amp;AN=2004170220https://sydney.alma.exlibrisgroup.com/openurl/61USYD_INST/61USYD_INST:sydney?si&lt;/url&gt;&lt;url&gt;https://www.ncbi.nlm.nih.gov/pmc/articles/PMC7385000/pdf/66_2020_Article_1578.pdf&lt;/url&gt;&lt;url&gt;https://link.springer.com/content/pdf/10.1007/s00066-020-01578-z.pdf&lt;/url&gt;&lt;/related-urls&gt;&lt;/urls&gt;&lt;custom2&gt;Include- Safety Single Arm&lt;/custom2&gt;&lt;electronic-resource-num&gt;http://dx.doi.org/10.1007/s00066-020-01578-z&lt;/electronic-resource-num&gt;&lt;/record&gt;&lt;/Cite&gt;&lt;/EndNote&gt;</w:instrText>
              </w:r>
              <w:r w:rsidR="008B6FC0">
                <w:fldChar w:fldCharType="separate"/>
              </w:r>
              <w:r w:rsidR="008B6FC0">
                <w:rPr>
                  <w:noProof/>
                </w:rPr>
                <w:t>Kluter et al. (2020)</w:t>
              </w:r>
              <w:r w:rsidR="008B6FC0">
                <w:fldChar w:fldCharType="end"/>
              </w:r>
            </w:hyperlink>
            <w:r>
              <w:t>, 65% reported an MR-IGRT related complaint</w:t>
            </w:r>
          </w:p>
          <w:p w14:paraId="25286F1A" w14:textId="25E555E7" w:rsidR="008F7570" w:rsidRDefault="008F7570" w:rsidP="00471F66">
            <w:pPr>
              <w:pStyle w:val="Tabletext1"/>
            </w:pPr>
            <w:r>
              <w:t xml:space="preserve">In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t>, 80% reported an MR-IGRT related complaint</w:t>
            </w:r>
          </w:p>
          <w:p w14:paraId="1B3AEE19" w14:textId="77777777" w:rsidR="008F7570" w:rsidRDefault="008F7570" w:rsidP="00471F66">
            <w:pPr>
              <w:pStyle w:val="Tabletext1"/>
            </w:pPr>
          </w:p>
          <w:p w14:paraId="3ECCEAA8" w14:textId="77777777" w:rsidR="008F7570" w:rsidRPr="00FF5543" w:rsidRDefault="008F7570" w:rsidP="00471F66">
            <w:pPr>
              <w:pStyle w:val="Tabletext1"/>
            </w:pPr>
            <w:r w:rsidRPr="00106BA2">
              <w:rPr>
                <w:b/>
                <w:bCs/>
              </w:rPr>
              <w:t>Serious concern</w:t>
            </w:r>
          </w:p>
        </w:tc>
        <w:tc>
          <w:tcPr>
            <w:tcW w:w="797" w:type="pct"/>
            <w:tcBorders>
              <w:top w:val="single" w:sz="4" w:space="0" w:color="auto"/>
              <w:left w:val="single" w:sz="4" w:space="0" w:color="auto"/>
              <w:bottom w:val="single" w:sz="4" w:space="0" w:color="auto"/>
              <w:right w:val="single" w:sz="4" w:space="0" w:color="auto"/>
            </w:tcBorders>
          </w:tcPr>
          <w:p w14:paraId="56530400" w14:textId="77777777" w:rsidR="008F7570" w:rsidRDefault="008F7570" w:rsidP="00471F66">
            <w:pPr>
              <w:pStyle w:val="Tabletext1"/>
            </w:pPr>
            <w:r>
              <w:t>Both studies included mixed cancer populations</w:t>
            </w:r>
          </w:p>
          <w:p w14:paraId="49CD4D17" w14:textId="77777777" w:rsidR="008F7570" w:rsidRDefault="008F7570" w:rsidP="00471F66">
            <w:pPr>
              <w:pStyle w:val="Tabletext1"/>
            </w:pPr>
            <w:r>
              <w:t>Differences in interventions, setting, outcome measures</w:t>
            </w:r>
          </w:p>
          <w:p w14:paraId="64134412" w14:textId="77777777" w:rsidR="008F7570" w:rsidRDefault="008F7570" w:rsidP="00471F66">
            <w:pPr>
              <w:pStyle w:val="Tabletext1"/>
            </w:pPr>
          </w:p>
          <w:p w14:paraId="522742C6" w14:textId="77777777" w:rsidR="008F7570" w:rsidRPr="00FF5543" w:rsidRDefault="008F7570" w:rsidP="00471F66">
            <w:pPr>
              <w:pStyle w:val="Tabletext1"/>
            </w:pPr>
            <w:r w:rsidRPr="00442526">
              <w:rPr>
                <w:b/>
                <w:bCs/>
              </w:rPr>
              <w:t>Serious concern</w:t>
            </w:r>
          </w:p>
        </w:tc>
        <w:tc>
          <w:tcPr>
            <w:tcW w:w="797" w:type="pct"/>
            <w:tcBorders>
              <w:top w:val="single" w:sz="4" w:space="0" w:color="auto"/>
              <w:left w:val="single" w:sz="4" w:space="0" w:color="auto"/>
              <w:bottom w:val="single" w:sz="4" w:space="0" w:color="auto"/>
              <w:right w:val="single" w:sz="4" w:space="0" w:color="auto"/>
            </w:tcBorders>
          </w:tcPr>
          <w:p w14:paraId="473996C6" w14:textId="77777777" w:rsidR="008F7570" w:rsidRDefault="008F7570" w:rsidP="00471F66">
            <w:pPr>
              <w:pStyle w:val="Tabletext1"/>
            </w:pPr>
            <w:r>
              <w:t>Small numbers of patients evaluated in the studies</w:t>
            </w:r>
          </w:p>
          <w:p w14:paraId="0759F28A" w14:textId="77777777" w:rsidR="008F7570" w:rsidRDefault="008F7570" w:rsidP="00471F66">
            <w:pPr>
              <w:pStyle w:val="Tabletext1"/>
            </w:pPr>
          </w:p>
          <w:p w14:paraId="20BA4BFC" w14:textId="77777777" w:rsidR="008F7570" w:rsidRPr="00FF5543" w:rsidRDefault="008F7570" w:rsidP="00471F66">
            <w:pPr>
              <w:pStyle w:val="Tabletext1"/>
            </w:pPr>
            <w:r w:rsidRPr="00442526">
              <w:rPr>
                <w:b/>
                <w:bCs/>
              </w:rPr>
              <w:t xml:space="preserve">Serious concern </w:t>
            </w:r>
          </w:p>
        </w:tc>
        <w:tc>
          <w:tcPr>
            <w:tcW w:w="797" w:type="pct"/>
            <w:tcBorders>
              <w:top w:val="single" w:sz="4" w:space="0" w:color="auto"/>
              <w:left w:val="single" w:sz="4" w:space="0" w:color="auto"/>
              <w:bottom w:val="single" w:sz="4" w:space="0" w:color="auto"/>
              <w:right w:val="single" w:sz="4" w:space="0" w:color="auto"/>
            </w:tcBorders>
          </w:tcPr>
          <w:p w14:paraId="2601D0B3" w14:textId="77777777" w:rsidR="008F7570" w:rsidRDefault="008F7570" w:rsidP="00471F66">
            <w:pPr>
              <w:pStyle w:val="Tabletext1"/>
            </w:pPr>
            <w:r>
              <w:t>Not suspected, the search for studies was comprehensive</w:t>
            </w:r>
          </w:p>
          <w:p w14:paraId="2EB027D0" w14:textId="77777777" w:rsidR="008F7570" w:rsidRDefault="008F7570" w:rsidP="00471F66">
            <w:pPr>
              <w:pStyle w:val="Tabletext1"/>
            </w:pPr>
          </w:p>
          <w:p w14:paraId="36F426A9" w14:textId="77777777" w:rsidR="008F7570" w:rsidRPr="00FF5543" w:rsidRDefault="008F7570" w:rsidP="00471F66">
            <w:pPr>
              <w:pStyle w:val="Tabletext1"/>
            </w:pPr>
            <w:r>
              <w:rPr>
                <w:b/>
              </w:rPr>
              <w:t>No concern</w:t>
            </w:r>
          </w:p>
        </w:tc>
      </w:tr>
      <w:tr w:rsidR="008F7570" w:rsidRPr="00183E4D" w14:paraId="110C1F26" w14:textId="77777777" w:rsidTr="008B6FC0">
        <w:trPr>
          <w:cantSplit/>
          <w:trHeight w:val="319"/>
        </w:trPr>
        <w:tc>
          <w:tcPr>
            <w:tcW w:w="405" w:type="pct"/>
            <w:tcBorders>
              <w:top w:val="single" w:sz="4" w:space="0" w:color="auto"/>
              <w:left w:val="single" w:sz="4" w:space="0" w:color="auto"/>
              <w:bottom w:val="single" w:sz="4" w:space="0" w:color="auto"/>
              <w:right w:val="single" w:sz="4" w:space="0" w:color="auto"/>
            </w:tcBorders>
          </w:tcPr>
          <w:p w14:paraId="6361D2F5" w14:textId="77777777" w:rsidR="008F7570" w:rsidRPr="00FF5543" w:rsidRDefault="008F7570" w:rsidP="00471F66">
            <w:pPr>
              <w:pStyle w:val="Tabletext1"/>
            </w:pPr>
            <w:r>
              <w:lastRenderedPageBreak/>
              <w:t xml:space="preserve">Survival </w:t>
            </w:r>
          </w:p>
        </w:tc>
        <w:tc>
          <w:tcPr>
            <w:tcW w:w="610" w:type="pct"/>
            <w:tcBorders>
              <w:top w:val="single" w:sz="4" w:space="0" w:color="auto"/>
              <w:left w:val="single" w:sz="4" w:space="0" w:color="auto"/>
              <w:bottom w:val="single" w:sz="4" w:space="0" w:color="auto"/>
              <w:right w:val="single" w:sz="4" w:space="0" w:color="auto"/>
            </w:tcBorders>
          </w:tcPr>
          <w:p w14:paraId="3AE6EB41" w14:textId="77777777" w:rsidR="008F7570" w:rsidRDefault="008F7570" w:rsidP="00471F66">
            <w:pPr>
              <w:pStyle w:val="Tabletext1"/>
            </w:pPr>
            <w:r>
              <w:t>114 participants (4 case series)</w:t>
            </w:r>
          </w:p>
          <w:p w14:paraId="47DBE5D1" w14:textId="77777777" w:rsidR="008F7570" w:rsidRDefault="008F7570" w:rsidP="00471F66">
            <w:pPr>
              <w:pStyle w:val="Tabletext1"/>
            </w:pPr>
          </w:p>
          <w:p w14:paraId="5A0C6E86" w14:textId="77777777" w:rsidR="008F7570" w:rsidRPr="00FF5543" w:rsidRDefault="008F7570" w:rsidP="00471F66">
            <w:pPr>
              <w:pStyle w:val="Tabletext1"/>
            </w:pPr>
            <w:r>
              <w:rPr>
                <w:b/>
                <w:bCs/>
              </w:rPr>
              <w:t>Very low quality evidence</w:t>
            </w:r>
          </w:p>
        </w:tc>
        <w:tc>
          <w:tcPr>
            <w:tcW w:w="797" w:type="pct"/>
            <w:tcBorders>
              <w:top w:val="single" w:sz="4" w:space="0" w:color="auto"/>
              <w:left w:val="single" w:sz="4" w:space="0" w:color="auto"/>
              <w:bottom w:val="single" w:sz="4" w:space="0" w:color="auto"/>
              <w:right w:val="single" w:sz="4" w:space="0" w:color="auto"/>
            </w:tcBorders>
          </w:tcPr>
          <w:p w14:paraId="29F8DE3A" w14:textId="7DE3B5B2" w:rsidR="008F7570" w:rsidRDefault="008F7570" w:rsidP="00471F66">
            <w:pPr>
              <w:pStyle w:val="Tabletext1"/>
            </w:pPr>
            <w:r>
              <w:t>Good quality</w:t>
            </w:r>
            <w:r w:rsidR="00340B35">
              <w:t xml:space="preserve"> </w:t>
            </w:r>
            <w:r>
              <w:t xml:space="preserve">- </w:t>
            </w:r>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r>
              <w:t xml:space="preserve">, </w:t>
            </w:r>
            <w:hyperlink w:anchor="_ENREF_21" w:tooltip="Chen, 2018 #24" w:history="1">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 </w:instrText>
              </w:r>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EN.CITE.DATA </w:instrText>
              </w:r>
              <w:r w:rsidR="008B6FC0">
                <w:fldChar w:fldCharType="end"/>
              </w:r>
              <w:r w:rsidR="008B6FC0">
                <w:fldChar w:fldCharType="separate"/>
              </w:r>
              <w:r w:rsidR="008B6FC0">
                <w:rPr>
                  <w:noProof/>
                </w:rPr>
                <w:t>Chen et al. (2018)</w:t>
              </w:r>
              <w:r w:rsidR="008B6FC0">
                <w:fldChar w:fldCharType="end"/>
              </w:r>
            </w:hyperlink>
          </w:p>
          <w:p w14:paraId="4B721EDA" w14:textId="5A561D28" w:rsidR="008F7570" w:rsidRDefault="008F7570" w:rsidP="00471F66">
            <w:pPr>
              <w:pStyle w:val="Tabletext1"/>
            </w:pPr>
            <w:r>
              <w:t>Fair quality</w:t>
            </w:r>
            <w:r w:rsidR="00340B35">
              <w:t xml:space="preserve"> </w:t>
            </w:r>
            <w:r>
              <w:t xml:space="preserve">- </w:t>
            </w:r>
            <w:hyperlink w:anchor="_ENREF_28" w:tooltip="Finazzi, 2020 #16" w:history="1">
              <w:r w:rsidR="001F781A">
                <w:fldChar w:fldCharType="begin"/>
              </w:r>
              <w:r w:rsidR="001F781A">
                <w:instrText xml:space="preserve"> ADDIN EN.CITE &lt;EndNote&gt;&lt;Cite AuthorYear="1"&gt;&lt;Author&gt;Finazzi&lt;/Author&gt;&lt;Year&gt;2020&lt;/Year&gt;&lt;RecNum&gt;16&lt;/RecNum&gt;&lt;DisplayText&gt;Finazzi, Haasbeek, et al. (2020)&lt;/DisplayText&gt;&lt;record&gt;&lt;rec-number&gt;16&lt;/rec-number&gt;&lt;foreign-keys&gt;&lt;key app="EN" db-id="sx5wsdwv795wvue959xxw0ptaewvdezxxp05" timestamp="1604454185"&gt;16&lt;/key&gt;&lt;/foreign-keys&gt;&lt;ref-type name="Journal Article"&gt;17&lt;/ref-type&gt;&lt;contributors&gt;&lt;authors&gt;&lt;author&gt;Finazzi, T.&lt;/author&gt;&lt;author&gt;Haasbeek, C. J. A.&lt;/author&gt;&lt;author&gt;Spoelstra, F. O. B.&lt;/author&gt;&lt;author&gt;Palacios, M. A.&lt;/author&gt;&lt;author&gt;Admiraal, M. A.&lt;/author&gt;&lt;author&gt;Bruynzeel, A. M. E.&lt;/author&gt;&lt;author&gt;Slotman, B. J.&lt;/author&gt;&lt;author&gt;Lagerwaard, F. J.&lt;/author&gt;&lt;author&gt;Senan, S.&lt;/author&gt;&lt;/authors&gt;&lt;/contributors&gt;&lt;titles&gt;&lt;title&gt;Clinical Outcomes of Stereotactic MR-Guided Adaptive Radiation Therapy for High-Risk Lung Tumors&lt;/title&gt;&lt;secondary-title&gt;International Journal of Radiation Oncology Biology Physics&lt;/secondary-title&gt;&lt;/titles&gt;&lt;pages&gt;270-278&lt;/pages&gt;&lt;volume&gt;107&lt;/volume&gt;&lt;number&gt;2&lt;/number&gt;&lt;dates&gt;&lt;year&gt;2020&lt;/year&gt;&lt;/dates&gt;&lt;accession-num&gt;2005243657&lt;/accession-num&gt;&lt;urls&gt;&lt;related-urls&gt;&lt;url&gt;http://www.elsevier.com/locate/ijrobphttp://ezproxy.library.usyd.edu.au/login?url=http://ovidsp.ovid.com/ovidweb.cgi?T=JS&amp;amp;CSC=Y&amp;amp;NEWS=N&amp;amp;PAGE=fulltext&amp;amp;D=emexb&amp;amp;AN=2005243657https://sydney.alma.exlibrisgroup.com/openurl/61USYD_INST/61USYD_INST:sydney?sid=OVID&lt;/url&gt;&lt;/related-urls&gt;&lt;/urls&gt;&lt;custom2&gt;single arm safety SBRT&lt;/custom2&gt;&lt;electronic-resource-num&gt;http://dx.doi.org/10.1016/j.ijrobp.2020.02.025&lt;/electronic-resource-num&gt;&lt;/record&gt;&lt;/Cite&gt;&lt;/EndNote&gt;</w:instrText>
              </w:r>
              <w:r w:rsidR="001F781A">
                <w:fldChar w:fldCharType="separate"/>
              </w:r>
              <w:r w:rsidR="001F781A">
                <w:rPr>
                  <w:noProof/>
                </w:rPr>
                <w:t>Finazzi, Haasbeek, et al. (2020)</w:t>
              </w:r>
              <w:r w:rsidR="001F781A">
                <w:fldChar w:fldCharType="end"/>
              </w:r>
            </w:hyperlink>
            <w:r>
              <w:t xml:space="preserve">, </w:t>
            </w:r>
            <w:hyperlink w:anchor="_ENREF_60" w:tooltip="Rosenberg, 2019 #25" w:history="1">
              <w:r w:rsidR="008B6FC0">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instrText xml:space="preserve"> ADDIN EN.CITE </w:instrText>
              </w:r>
              <w:r w:rsidR="008B6FC0">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instrText xml:space="preserve"> ADDIN EN.CITE.DATA </w:instrText>
              </w:r>
              <w:r w:rsidR="008B6FC0">
                <w:fldChar w:fldCharType="end"/>
              </w:r>
              <w:r w:rsidR="008B6FC0">
                <w:fldChar w:fldCharType="separate"/>
              </w:r>
              <w:r w:rsidR="008B6FC0">
                <w:rPr>
                  <w:noProof/>
                </w:rPr>
                <w:t>Rosenberg et al. (2019)</w:t>
              </w:r>
              <w:r w:rsidR="008B6FC0">
                <w:fldChar w:fldCharType="end"/>
              </w:r>
            </w:hyperlink>
          </w:p>
          <w:p w14:paraId="74166B7B" w14:textId="77777777" w:rsidR="008F7570" w:rsidRDefault="008F7570" w:rsidP="00471F66">
            <w:pPr>
              <w:pStyle w:val="Tabletext1"/>
            </w:pPr>
          </w:p>
          <w:p w14:paraId="1B26492B" w14:textId="77777777" w:rsidR="008F7570" w:rsidRDefault="008F7570" w:rsidP="00471F66">
            <w:pPr>
              <w:pStyle w:val="Tabletext1"/>
            </w:pPr>
            <w:r w:rsidRPr="00485421">
              <w:rPr>
                <w:b/>
                <w:bCs/>
              </w:rPr>
              <w:t>Some concern</w:t>
            </w:r>
          </w:p>
          <w:p w14:paraId="26D1B749" w14:textId="77777777" w:rsidR="008F7570" w:rsidRPr="00FF5543" w:rsidRDefault="008F7570" w:rsidP="00471F66">
            <w:pPr>
              <w:pStyle w:val="Tabletext1"/>
            </w:pPr>
          </w:p>
        </w:tc>
        <w:tc>
          <w:tcPr>
            <w:tcW w:w="797" w:type="pct"/>
            <w:tcBorders>
              <w:top w:val="single" w:sz="4" w:space="0" w:color="auto"/>
              <w:left w:val="single" w:sz="4" w:space="0" w:color="auto"/>
              <w:bottom w:val="single" w:sz="4" w:space="0" w:color="auto"/>
              <w:right w:val="single" w:sz="4" w:space="0" w:color="auto"/>
            </w:tcBorders>
          </w:tcPr>
          <w:p w14:paraId="56713BFE" w14:textId="77777777" w:rsidR="008F7570" w:rsidRDefault="008F7570" w:rsidP="00471F66">
            <w:pPr>
              <w:pStyle w:val="Tabletext1"/>
            </w:pPr>
            <w:r>
              <w:t>Magnitude of effect could not be determined as studies were non-comparative</w:t>
            </w:r>
          </w:p>
          <w:p w14:paraId="51175C42" w14:textId="77777777" w:rsidR="008F7570" w:rsidRDefault="008F7570" w:rsidP="00471F66">
            <w:pPr>
              <w:pStyle w:val="Tabletext1"/>
            </w:pPr>
          </w:p>
          <w:p w14:paraId="083B39C7" w14:textId="77777777" w:rsidR="008F7570" w:rsidRPr="00FF5543" w:rsidRDefault="008F7570" w:rsidP="00471F66">
            <w:pPr>
              <w:pStyle w:val="Tabletext1"/>
            </w:pPr>
            <w:r w:rsidRPr="00106BA2">
              <w:rPr>
                <w:b/>
                <w:bCs/>
              </w:rPr>
              <w:t>Serious concern</w:t>
            </w:r>
          </w:p>
        </w:tc>
        <w:tc>
          <w:tcPr>
            <w:tcW w:w="797" w:type="pct"/>
            <w:tcBorders>
              <w:top w:val="single" w:sz="4" w:space="0" w:color="auto"/>
              <w:left w:val="single" w:sz="4" w:space="0" w:color="auto"/>
              <w:bottom w:val="single" w:sz="4" w:space="0" w:color="auto"/>
              <w:right w:val="single" w:sz="4" w:space="0" w:color="auto"/>
            </w:tcBorders>
          </w:tcPr>
          <w:p w14:paraId="63244D0D" w14:textId="157CBC8B" w:rsidR="008F7570" w:rsidRDefault="008F7570" w:rsidP="00471F66">
            <w:pPr>
              <w:pStyle w:val="Tabletext1"/>
            </w:pPr>
            <w:r>
              <w:t>Differences in populations (unresectable abdominal</w:t>
            </w:r>
            <w:r w:rsidR="003F2C8F">
              <w:t xml:space="preserve"> </w:t>
            </w:r>
            <w:r>
              <w:t xml:space="preserve">- </w:t>
            </w:r>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r>
              <w:t>, lung</w:t>
            </w:r>
            <w:r w:rsidR="003F2C8F">
              <w:t xml:space="preserve"> </w:t>
            </w:r>
            <w:r>
              <w:t xml:space="preserve">- </w:t>
            </w:r>
            <w:hyperlink w:anchor="_ENREF_29" w:tooltip="Finazzi, 2020 #17" w:history="1">
              <w:r w:rsidR="001F781A">
                <w:fldChar w:fldCharType="begin"/>
              </w:r>
              <w:r w:rsidR="001F781A">
                <w:instrText xml:space="preserve"> ADDIN EN.CITE &lt;EndNote&gt;&lt;Cite AuthorYear="1"&gt;&lt;Author&gt;Finazzi&lt;/Author&gt;&lt;Year&gt;2020&lt;/Year&gt;&lt;RecNum&gt;17&lt;/RecNum&gt;&lt;DisplayText&gt;Finazzi, van Sornsen de Koste, et al. (2020)&lt;/DisplayText&gt;&lt;record&gt;&lt;rec-number&gt;17&lt;/rec-number&gt;&lt;foreign-keys&gt;&lt;key app="EN" db-id="sx5wsdwv795wvue959xxw0ptaewvdezxxp05" timestamp="1604454186"&gt;17&lt;/key&gt;&lt;/foreign-keys&gt;&lt;ref-type name="Journal Article"&gt;17&lt;/ref-type&gt;&lt;contributors&gt;&lt;authors&gt;&lt;author&gt;Finazzi, T.&lt;/author&gt;&lt;author&gt;van Sornsen de Koste, J. R.&lt;/author&gt;&lt;author&gt;Palacios, M. A.&lt;/author&gt;&lt;author&gt;Spoelstra, F. O. B.&lt;/author&gt;&lt;author&gt;Slotman, B. J.&lt;/author&gt;&lt;author&gt;Haasbeek, C. J. A.&lt;/author&gt;&lt;author&gt;Senan, S.&lt;/author&gt;&lt;/authors&gt;&lt;/contributors&gt;&lt;titles&gt;&lt;title&gt;Delivery of magnetic resonance-guided single-fraction stereotactic lung radiotherapy&lt;/title&gt;&lt;secondary-title&gt;Physics and Imaging in Radiation Oncology&lt;/secondary-title&gt;&lt;/titles&gt;&lt;pages&gt;17-23&lt;/pages&gt;&lt;volume&gt;14&lt;/volume&gt;&lt;dates&gt;&lt;year&gt;2020&lt;/year&gt;&lt;/dates&gt;&lt;accession-num&gt;2005948675&lt;/accession-num&gt;&lt;urls&gt;&lt;related-urls&gt;&lt;url&gt;https://www.journals.elsevier.com/physics-and-imaging-in-radiation-oncology/http://ezproxy.library.usyd.edu.au/login?url=http://ovidsp.ovid.com/ovidweb.cgi?T=JS&amp;amp;CSC=Y&amp;amp;NEWS=N&amp;amp;PAGE=fulltext&amp;amp;D=emexb&amp;amp;AN=2005948675https://sydney.alma.exlibrisgroup.com/openurl/&lt;/url&gt;&lt;/related-urls&gt;&lt;/urls&gt;&lt;custom2&gt;single arm safety SBRT&lt;/custom2&gt;&lt;electronic-resource-num&gt;http://dx.doi.org/10.1016/j.phro.2020.05.002&lt;/electronic-resource-num&gt;&lt;/record&gt;&lt;/Cite&gt;&lt;/EndNote&gt;</w:instrText>
              </w:r>
              <w:r w:rsidR="001F781A">
                <w:fldChar w:fldCharType="separate"/>
              </w:r>
              <w:r w:rsidR="001F781A">
                <w:rPr>
                  <w:noProof/>
                </w:rPr>
                <w:t>Finazzi, van Sornsen de Koste, et al. (2020)</w:t>
              </w:r>
              <w:r w:rsidR="001F781A">
                <w:fldChar w:fldCharType="end"/>
              </w:r>
            </w:hyperlink>
            <w:r>
              <w:t>, head and neck</w:t>
            </w:r>
            <w:r w:rsidR="003F2C8F">
              <w:t xml:space="preserve"> </w:t>
            </w:r>
            <w:r>
              <w:t xml:space="preserve">- </w:t>
            </w:r>
            <w:hyperlink w:anchor="_ENREF_21" w:tooltip="Chen, 2018 #24" w:history="1">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 </w:instrText>
              </w:r>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EN.CITE.DATA </w:instrText>
              </w:r>
              <w:r w:rsidR="008B6FC0">
                <w:fldChar w:fldCharType="end"/>
              </w:r>
              <w:r w:rsidR="008B6FC0">
                <w:fldChar w:fldCharType="separate"/>
              </w:r>
              <w:r w:rsidR="008B6FC0">
                <w:rPr>
                  <w:noProof/>
                </w:rPr>
                <w:t>Chen et al. (2018)</w:t>
              </w:r>
              <w:r w:rsidR="008B6FC0">
                <w:fldChar w:fldCharType="end"/>
              </w:r>
            </w:hyperlink>
            <w:r>
              <w:t>, liver</w:t>
            </w:r>
            <w:r w:rsidR="003F2C8F">
              <w:t xml:space="preserve"> </w:t>
            </w:r>
            <w:r>
              <w:t xml:space="preserve">- </w:t>
            </w:r>
            <w:hyperlink w:anchor="_ENREF_60" w:tooltip="Rosenberg, 2019 #25" w:history="1">
              <w:r w:rsidR="008B6FC0">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instrText xml:space="preserve"> ADDIN EN.CITE </w:instrText>
              </w:r>
              <w:r w:rsidR="008B6FC0">
                <w:fldChar w:fldCharType="begin">
                  <w:fldData xml:space="preserve">PEVuZE5vdGU+PENpdGUgQXV0aG9yWWVhcj0iMSI+PEF1dGhvcj5Sb3NlbmJlcmc8L0F1dGhvcj48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</w:fldData>
                </w:fldChar>
              </w:r>
              <w:r w:rsidR="008B6FC0">
                <w:instrText xml:space="preserve"> ADDIN EN.CITE.DATA </w:instrText>
              </w:r>
              <w:r w:rsidR="008B6FC0">
                <w:fldChar w:fldCharType="end"/>
              </w:r>
              <w:r w:rsidR="008B6FC0">
                <w:fldChar w:fldCharType="separate"/>
              </w:r>
              <w:r w:rsidR="008B6FC0">
                <w:rPr>
                  <w:noProof/>
                </w:rPr>
                <w:t>Rosenberg et al. (2019)</w:t>
              </w:r>
              <w:r w:rsidR="008B6FC0">
                <w:fldChar w:fldCharType="end"/>
              </w:r>
            </w:hyperlink>
            <w:r>
              <w:t>), interventions, outcome measures and follow-up durations</w:t>
            </w:r>
          </w:p>
          <w:p w14:paraId="02ACC9B0" w14:textId="77777777" w:rsidR="008F7570" w:rsidRDefault="008F7570" w:rsidP="00471F66">
            <w:pPr>
              <w:pStyle w:val="Tabletext1"/>
            </w:pPr>
          </w:p>
          <w:p w14:paraId="39C20FDF" w14:textId="77777777" w:rsidR="008F7570" w:rsidRPr="00FF5543" w:rsidRDefault="008F7570" w:rsidP="00471F66">
            <w:pPr>
              <w:pStyle w:val="Tabletext1"/>
            </w:pPr>
            <w:r w:rsidRPr="00442526">
              <w:rPr>
                <w:b/>
                <w:bCs/>
              </w:rPr>
              <w:t>Serious concern</w:t>
            </w:r>
          </w:p>
        </w:tc>
        <w:tc>
          <w:tcPr>
            <w:tcW w:w="797" w:type="pct"/>
            <w:tcBorders>
              <w:top w:val="single" w:sz="4" w:space="0" w:color="auto"/>
              <w:left w:val="single" w:sz="4" w:space="0" w:color="auto"/>
              <w:bottom w:val="single" w:sz="4" w:space="0" w:color="auto"/>
              <w:right w:val="single" w:sz="4" w:space="0" w:color="auto"/>
            </w:tcBorders>
          </w:tcPr>
          <w:p w14:paraId="64E7BAEC" w14:textId="77777777" w:rsidR="008F7570" w:rsidRDefault="008F7570" w:rsidP="00471F66">
            <w:pPr>
              <w:pStyle w:val="Tabletext1"/>
            </w:pPr>
            <w:r>
              <w:t>Small numbers of patients evaluated in the studies</w:t>
            </w:r>
          </w:p>
          <w:p w14:paraId="28FAE992" w14:textId="77777777" w:rsidR="008F7570" w:rsidRDefault="008F7570" w:rsidP="00471F66">
            <w:pPr>
              <w:pStyle w:val="Tabletext1"/>
            </w:pPr>
          </w:p>
          <w:p w14:paraId="3CDF46DA" w14:textId="77777777" w:rsidR="008F7570" w:rsidRPr="00FF5543" w:rsidRDefault="008F7570" w:rsidP="00471F66">
            <w:pPr>
              <w:pStyle w:val="Tabletext1"/>
            </w:pPr>
            <w:r w:rsidRPr="00442526">
              <w:rPr>
                <w:b/>
                <w:bCs/>
              </w:rPr>
              <w:t xml:space="preserve">Serious concern </w:t>
            </w:r>
          </w:p>
        </w:tc>
        <w:tc>
          <w:tcPr>
            <w:tcW w:w="797" w:type="pct"/>
            <w:tcBorders>
              <w:top w:val="single" w:sz="4" w:space="0" w:color="auto"/>
              <w:left w:val="single" w:sz="4" w:space="0" w:color="auto"/>
              <w:bottom w:val="single" w:sz="4" w:space="0" w:color="auto"/>
              <w:right w:val="single" w:sz="4" w:space="0" w:color="auto"/>
            </w:tcBorders>
          </w:tcPr>
          <w:p w14:paraId="5CADF79B" w14:textId="77777777" w:rsidR="008F7570" w:rsidRDefault="008F7570" w:rsidP="00471F66">
            <w:pPr>
              <w:pStyle w:val="Tabletext1"/>
            </w:pPr>
            <w:r>
              <w:t>Not suspected, the search for studies was comprehensive</w:t>
            </w:r>
          </w:p>
          <w:p w14:paraId="1900CA0E" w14:textId="77777777" w:rsidR="008F7570" w:rsidRDefault="008F7570" w:rsidP="00471F66">
            <w:pPr>
              <w:pStyle w:val="Tabletext1"/>
            </w:pPr>
          </w:p>
          <w:p w14:paraId="4E543F45" w14:textId="77777777" w:rsidR="008F7570" w:rsidRPr="00FF5543" w:rsidRDefault="008F7570" w:rsidP="00471F66">
            <w:pPr>
              <w:pStyle w:val="Tabletext1"/>
            </w:pPr>
            <w:r>
              <w:rPr>
                <w:b/>
              </w:rPr>
              <w:t>No concern</w:t>
            </w:r>
          </w:p>
        </w:tc>
      </w:tr>
      <w:tr w:rsidR="008F7570" w:rsidRPr="00183E4D" w14:paraId="2466C8DB" w14:textId="77777777" w:rsidTr="008B6FC0">
        <w:trPr>
          <w:cantSplit/>
          <w:trHeight w:val="319"/>
        </w:trPr>
        <w:tc>
          <w:tcPr>
            <w:tcW w:w="405" w:type="pct"/>
            <w:tcBorders>
              <w:top w:val="single" w:sz="4" w:space="0" w:color="auto"/>
              <w:left w:val="single" w:sz="4" w:space="0" w:color="auto"/>
              <w:bottom w:val="single" w:sz="4" w:space="0" w:color="auto"/>
              <w:right w:val="single" w:sz="4" w:space="0" w:color="auto"/>
            </w:tcBorders>
          </w:tcPr>
          <w:p w14:paraId="1913A98F" w14:textId="77777777" w:rsidR="008F7570" w:rsidRDefault="008F7570" w:rsidP="00471F66">
            <w:pPr>
              <w:pStyle w:val="Tabletext1"/>
            </w:pPr>
            <w:r>
              <w:t>Quality of life</w:t>
            </w:r>
          </w:p>
        </w:tc>
        <w:tc>
          <w:tcPr>
            <w:tcW w:w="610" w:type="pct"/>
            <w:tcBorders>
              <w:top w:val="single" w:sz="4" w:space="0" w:color="auto"/>
              <w:left w:val="single" w:sz="4" w:space="0" w:color="auto"/>
              <w:bottom w:val="single" w:sz="4" w:space="0" w:color="auto"/>
              <w:right w:val="single" w:sz="4" w:space="0" w:color="auto"/>
            </w:tcBorders>
          </w:tcPr>
          <w:p w14:paraId="225C81A2" w14:textId="77777777" w:rsidR="008F7570" w:rsidRDefault="008F7570" w:rsidP="00471F66">
            <w:pPr>
              <w:pStyle w:val="Tabletext1"/>
            </w:pPr>
            <w:r>
              <w:t>63 participants (3 case series)</w:t>
            </w:r>
          </w:p>
          <w:p w14:paraId="51E5DD8C" w14:textId="77777777" w:rsidR="008F7570" w:rsidRDefault="008F7570" w:rsidP="00471F66">
            <w:pPr>
              <w:pStyle w:val="Tabletext1"/>
            </w:pPr>
          </w:p>
          <w:p w14:paraId="7A711873" w14:textId="77777777" w:rsidR="008F7570" w:rsidRPr="00FF5543" w:rsidRDefault="008F7570" w:rsidP="00471F66">
            <w:pPr>
              <w:pStyle w:val="Tabletext1"/>
            </w:pPr>
            <w:r>
              <w:rPr>
                <w:b/>
                <w:bCs/>
              </w:rPr>
              <w:t>Very low quality evidence</w:t>
            </w:r>
          </w:p>
        </w:tc>
        <w:tc>
          <w:tcPr>
            <w:tcW w:w="797" w:type="pct"/>
            <w:tcBorders>
              <w:top w:val="single" w:sz="4" w:space="0" w:color="auto"/>
              <w:left w:val="single" w:sz="4" w:space="0" w:color="auto"/>
              <w:bottom w:val="single" w:sz="4" w:space="0" w:color="auto"/>
              <w:right w:val="single" w:sz="4" w:space="0" w:color="auto"/>
            </w:tcBorders>
          </w:tcPr>
          <w:p w14:paraId="5FC3F6C0" w14:textId="29E96BD9" w:rsidR="008F7570" w:rsidRDefault="008F7570" w:rsidP="00471F66">
            <w:pPr>
              <w:pStyle w:val="Tabletext1"/>
            </w:pPr>
            <w:r>
              <w:t>Good quality</w:t>
            </w:r>
            <w:r w:rsidR="00526170">
              <w:t xml:space="preserve"> </w:t>
            </w:r>
            <w:r>
              <w:t xml:space="preserve">- </w:t>
            </w:r>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r>
              <w:t xml:space="preserve">, </w:t>
            </w:r>
            <w:hyperlink w:anchor="_ENREF_21" w:tooltip="Chen, 2018 #24" w:history="1">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 </w:instrText>
              </w:r>
              <w:r w:rsidR="008B6FC0">
                <w:fldChar w:fldCharType="begin">
                  <w:fldData xml:space="preserve">PEVuZE5vdGU+PENpdGUgQXV0aG9yWWVhcj0iMSI+PEF1dGhvcj5DaGVuPC9BdXRob3I+PFllYXI+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</w:fldData>
                </w:fldChar>
              </w:r>
              <w:r w:rsidR="008B6FC0">
                <w:instrText xml:space="preserve"> ADDIN EN.CITE.DATA </w:instrText>
              </w:r>
              <w:r w:rsidR="008B6FC0">
                <w:fldChar w:fldCharType="end"/>
              </w:r>
              <w:r w:rsidR="008B6FC0">
                <w:fldChar w:fldCharType="separate"/>
              </w:r>
              <w:r w:rsidR="008B6FC0">
                <w:rPr>
                  <w:noProof/>
                </w:rPr>
                <w:t>Chen et al. (2018)</w:t>
              </w:r>
              <w:r w:rsidR="008B6FC0">
                <w:fldChar w:fldCharType="end"/>
              </w:r>
            </w:hyperlink>
          </w:p>
          <w:p w14:paraId="7BDE1111" w14:textId="7ADB20BF" w:rsidR="008F7570" w:rsidRDefault="008F7570" w:rsidP="00471F66">
            <w:pPr>
              <w:pStyle w:val="Tabletext1"/>
            </w:pPr>
            <w:r>
              <w:t>Fair quality</w:t>
            </w:r>
            <w:r w:rsidR="00526170">
              <w:t xml:space="preserve"> </w:t>
            </w:r>
            <w:r>
              <w:t xml:space="preserve">-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p>
          <w:p w14:paraId="1141B9E8" w14:textId="77777777" w:rsidR="008F7570" w:rsidRDefault="008F7570" w:rsidP="00471F66">
            <w:pPr>
              <w:pStyle w:val="Tabletext1"/>
            </w:pPr>
          </w:p>
          <w:p w14:paraId="2185AF28" w14:textId="77777777" w:rsidR="008F7570" w:rsidRPr="0053790F" w:rsidRDefault="008F7570" w:rsidP="00471F66">
            <w:pPr>
              <w:pStyle w:val="Tabletext1"/>
              <w:rPr>
                <w:b/>
                <w:bCs/>
              </w:rPr>
            </w:pPr>
            <w:r w:rsidRPr="0053790F">
              <w:rPr>
                <w:b/>
                <w:bCs/>
              </w:rPr>
              <w:t>No concern</w:t>
            </w:r>
          </w:p>
        </w:tc>
        <w:tc>
          <w:tcPr>
            <w:tcW w:w="797" w:type="pct"/>
            <w:tcBorders>
              <w:top w:val="single" w:sz="4" w:space="0" w:color="auto"/>
              <w:left w:val="single" w:sz="4" w:space="0" w:color="auto"/>
              <w:bottom w:val="single" w:sz="4" w:space="0" w:color="auto"/>
              <w:right w:val="single" w:sz="4" w:space="0" w:color="auto"/>
            </w:tcBorders>
          </w:tcPr>
          <w:p w14:paraId="209D5C03" w14:textId="77777777" w:rsidR="008F7570" w:rsidRDefault="008F7570" w:rsidP="00471F66">
            <w:pPr>
              <w:pStyle w:val="Tabletext1"/>
            </w:pPr>
            <w:r>
              <w:t>Magnitude of effect could not be determined as studies were non-comparative</w:t>
            </w:r>
          </w:p>
          <w:p w14:paraId="4FDFA7B2" w14:textId="77777777" w:rsidR="008F7570" w:rsidRDefault="008F7570" w:rsidP="00471F66">
            <w:pPr>
              <w:pStyle w:val="Tabletext1"/>
            </w:pPr>
          </w:p>
          <w:p w14:paraId="523131E0" w14:textId="77777777" w:rsidR="008F7570" w:rsidRPr="00FF5543" w:rsidRDefault="008F7570" w:rsidP="00471F66">
            <w:pPr>
              <w:pStyle w:val="Tabletext1"/>
            </w:pPr>
            <w:r w:rsidRPr="00106BA2">
              <w:rPr>
                <w:b/>
                <w:bCs/>
              </w:rPr>
              <w:t>Serious concern</w:t>
            </w:r>
          </w:p>
        </w:tc>
        <w:tc>
          <w:tcPr>
            <w:tcW w:w="797" w:type="pct"/>
            <w:tcBorders>
              <w:top w:val="single" w:sz="4" w:space="0" w:color="auto"/>
              <w:left w:val="single" w:sz="4" w:space="0" w:color="auto"/>
              <w:bottom w:val="single" w:sz="4" w:space="0" w:color="auto"/>
              <w:right w:val="single" w:sz="4" w:space="0" w:color="auto"/>
            </w:tcBorders>
          </w:tcPr>
          <w:p w14:paraId="445352E3" w14:textId="41A84B20" w:rsidR="008F7570" w:rsidRDefault="00211285" w:rsidP="00471F66">
            <w:pPr>
              <w:pStyle w:val="Tabletext1"/>
            </w:pPr>
            <w:hyperlink w:anchor="_ENREF_37" w:tooltip="Henke, 2018 #18" w:history="1">
              <w:r w:rsidR="008B6FC0">
                <w:fldChar w:fldCharType="begin"/>
              </w:r>
              <w:r w:rsidR="008B6FC0">
                <w:instrText xml:space="preserve"> ADDIN EN.CITE &lt;EndNote&gt;&lt;Cite AuthorYear="1"&gt;&lt;Author&gt;Henke&lt;/Author&gt;&lt;Year&gt;2018&lt;/Year&gt;&lt;RecNum&gt;18&lt;/RecNum&gt;&lt;DisplayText&gt;Henke et al. (2018)&lt;/DisplayText&gt;&lt;record&gt;&lt;rec-number&gt;18&lt;/rec-number&gt;&lt;foreign-keys&gt;&lt;key app="EN" db-id="sx5wsdwv795wvue959xxw0ptaewvdezxxp05" timestamp="1604454186"&gt;18&lt;/key&gt;&lt;/foreign-keys&gt;&lt;ref-type name="Journal Article"&gt;17&lt;/ref-type&gt;&lt;contributors&gt;&lt;authors&gt;&lt;author&gt;Henke, L.&lt;/author&gt;&lt;author&gt;Kashani, R.&lt;/author&gt;&lt;author&gt;Robinson, C.&lt;/author&gt;&lt;author&gt;Curcuru, A.&lt;/author&gt;&lt;author&gt;DeWees, T.&lt;/author&gt;&lt;author&gt;Bradley, J.&lt;/author&gt;&lt;author&gt;Green, O.&lt;/author&gt;&lt;author&gt;Michalski, J.&lt;/author&gt;&lt;author&gt;Mutic, S.&lt;/author&gt;&lt;author&gt;Parikh, P.&lt;/author&gt;&lt;author&gt;Olsen, J.&lt;/author&gt;&lt;/authors&gt;&lt;/contributors&gt;&lt;titles&gt;&lt;title&gt;Phase I trial of stereotactic MR-guided online adaptive radiation therapy (SMART) for the treatment of oligometastatic or unresectable primary malignancies of the abdomen&lt;/title&gt;&lt;secondary-title&gt;Radiother Oncol&lt;/secondary-title&gt;&lt;/titles&gt;&lt;pages&gt;519-526&lt;/pages&gt;&lt;volume&gt;126&lt;/volume&gt;&lt;number&gt;3&lt;/number&gt;&lt;dates&gt;&lt;year&gt;2018&lt;/year&gt;&lt;/dates&gt;&lt;accession-num&gt;29277446&lt;/accession-num&gt;&lt;urls&gt;&lt;related-urls&gt;&lt;url&gt;http://ezproxy.library.usyd.edu.au/login?url=http://ovidsp.ovid.com/ovidweb.cgi?T=JS&amp;amp;CSC=Y&amp;amp;NEWS=N&amp;amp;PAGE=fulltext&amp;amp;D=med15&amp;amp;AN=29277446https://sydney.alma.exlibrisgroup.com/openurl/61USYD_INST/61USYD_INST:sydney?sid=OVID:medline&amp;amp;id=pmid:29277446&amp;amp;id=doi:10.101&lt;/url&gt;&lt;/related-urls&gt;&lt;/urls&gt;&lt;custom2&gt;single arm safety SBRT&lt;/custom2&gt;&lt;electronic-resource-num&gt;https://dx.doi.org/10.1016/j.radonc.2017.11.032&lt;/electronic-resource-num&gt;&lt;/record&gt;&lt;/Cite&gt;&lt;/EndNote&gt;</w:instrText>
              </w:r>
              <w:r w:rsidR="008B6FC0">
                <w:fldChar w:fldCharType="separate"/>
              </w:r>
              <w:r w:rsidR="008B6FC0">
                <w:rPr>
                  <w:noProof/>
                </w:rPr>
                <w:t>Henke et al. (2018)</w:t>
              </w:r>
              <w:r w:rsidR="008B6FC0">
                <w:fldChar w:fldCharType="end"/>
              </w:r>
            </w:hyperlink>
            <w:r w:rsidR="003F2C8F">
              <w:t xml:space="preserve"> </w:t>
            </w:r>
            <w:r w:rsidR="008F7570">
              <w:t xml:space="preserve">and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r w:rsidR="003F2C8F">
              <w:t xml:space="preserve"> </w:t>
            </w:r>
            <w:r w:rsidR="008F7570">
              <w:t>used the same questionnaire. Both reported no differences in QoL over the course of treatment.</w:t>
            </w:r>
          </w:p>
          <w:p w14:paraId="4B9FB99D" w14:textId="77777777" w:rsidR="008F7570" w:rsidRDefault="008F7570" w:rsidP="00471F66">
            <w:pPr>
              <w:pStyle w:val="Tabletext1"/>
            </w:pPr>
          </w:p>
          <w:p w14:paraId="49A08C22" w14:textId="77777777" w:rsidR="008F7570" w:rsidRPr="0053790F" w:rsidRDefault="008F7570" w:rsidP="00471F66">
            <w:pPr>
              <w:pStyle w:val="Tabletext1"/>
              <w:rPr>
                <w:b/>
                <w:bCs/>
              </w:rPr>
            </w:pPr>
            <w:r w:rsidRPr="0053790F">
              <w:rPr>
                <w:b/>
                <w:bCs/>
              </w:rPr>
              <w:t>Some concern</w:t>
            </w:r>
          </w:p>
        </w:tc>
        <w:tc>
          <w:tcPr>
            <w:tcW w:w="797" w:type="pct"/>
            <w:tcBorders>
              <w:top w:val="single" w:sz="4" w:space="0" w:color="auto"/>
              <w:left w:val="single" w:sz="4" w:space="0" w:color="auto"/>
              <w:bottom w:val="single" w:sz="4" w:space="0" w:color="auto"/>
              <w:right w:val="single" w:sz="4" w:space="0" w:color="auto"/>
            </w:tcBorders>
          </w:tcPr>
          <w:p w14:paraId="2F2CD4DC" w14:textId="77777777" w:rsidR="008F7570" w:rsidRDefault="008F7570" w:rsidP="00471F66">
            <w:pPr>
              <w:pStyle w:val="Tabletext1"/>
            </w:pPr>
            <w:r>
              <w:t>Small numbers of patients evaluated in the studies</w:t>
            </w:r>
          </w:p>
          <w:p w14:paraId="65EED3F6" w14:textId="77777777" w:rsidR="008F7570" w:rsidRDefault="008F7570" w:rsidP="00471F66">
            <w:pPr>
              <w:pStyle w:val="Tabletext1"/>
            </w:pPr>
          </w:p>
          <w:p w14:paraId="16466E9E" w14:textId="77777777" w:rsidR="008F7570" w:rsidRPr="00FF5543" w:rsidRDefault="008F7570" w:rsidP="00471F66">
            <w:pPr>
              <w:pStyle w:val="Tabletext1"/>
            </w:pPr>
            <w:r w:rsidRPr="00442526">
              <w:rPr>
                <w:b/>
                <w:bCs/>
              </w:rPr>
              <w:t xml:space="preserve">Serious concern </w:t>
            </w:r>
          </w:p>
        </w:tc>
        <w:tc>
          <w:tcPr>
            <w:tcW w:w="797" w:type="pct"/>
            <w:tcBorders>
              <w:top w:val="single" w:sz="4" w:space="0" w:color="auto"/>
              <w:left w:val="single" w:sz="4" w:space="0" w:color="auto"/>
              <w:bottom w:val="single" w:sz="4" w:space="0" w:color="auto"/>
              <w:right w:val="single" w:sz="4" w:space="0" w:color="auto"/>
            </w:tcBorders>
          </w:tcPr>
          <w:p w14:paraId="270E6C9B" w14:textId="77777777" w:rsidR="008F7570" w:rsidRDefault="008F7570" w:rsidP="00471F66">
            <w:pPr>
              <w:pStyle w:val="Tabletext1"/>
            </w:pPr>
            <w:r>
              <w:t>Not suspected, the search for studies was comprehensive</w:t>
            </w:r>
          </w:p>
          <w:p w14:paraId="6F693B8A" w14:textId="77777777" w:rsidR="008F7570" w:rsidRDefault="008F7570" w:rsidP="00471F66">
            <w:pPr>
              <w:pStyle w:val="Tabletext1"/>
            </w:pPr>
          </w:p>
          <w:p w14:paraId="331E170B" w14:textId="77777777" w:rsidR="008F7570" w:rsidRPr="00FF5543" w:rsidRDefault="008F7570" w:rsidP="00471F66">
            <w:pPr>
              <w:pStyle w:val="Tabletext1"/>
            </w:pPr>
            <w:r>
              <w:rPr>
                <w:b/>
              </w:rPr>
              <w:t>No concern</w:t>
            </w:r>
          </w:p>
        </w:tc>
      </w:tr>
      <w:tr w:rsidR="0065615F" w:rsidRPr="00183E4D" w14:paraId="477556DA" w14:textId="77777777" w:rsidTr="008B6FC0">
        <w:trPr>
          <w:cantSplit/>
          <w:trHeight w:val="319"/>
        </w:trPr>
        <w:tc>
          <w:tcPr>
            <w:tcW w:w="405" w:type="pct"/>
            <w:tcBorders>
              <w:top w:val="single" w:sz="4" w:space="0" w:color="auto"/>
              <w:left w:val="single" w:sz="4" w:space="0" w:color="auto"/>
              <w:bottom w:val="single" w:sz="4" w:space="0" w:color="auto"/>
              <w:right w:val="single" w:sz="4" w:space="0" w:color="auto"/>
            </w:tcBorders>
          </w:tcPr>
          <w:p w14:paraId="16343475" w14:textId="77777777" w:rsidR="008F7570" w:rsidRDefault="008F7570" w:rsidP="00471F66">
            <w:pPr>
              <w:pStyle w:val="Tabletext1"/>
            </w:pPr>
            <w:r>
              <w:t>Dosimetric outcomes</w:t>
            </w:r>
          </w:p>
        </w:tc>
        <w:tc>
          <w:tcPr>
            <w:tcW w:w="610" w:type="pct"/>
            <w:tcBorders>
              <w:top w:val="single" w:sz="4" w:space="0" w:color="auto"/>
              <w:left w:val="single" w:sz="4" w:space="0" w:color="auto"/>
              <w:bottom w:val="single" w:sz="4" w:space="0" w:color="auto"/>
              <w:right w:val="single" w:sz="4" w:space="0" w:color="auto"/>
            </w:tcBorders>
          </w:tcPr>
          <w:p w14:paraId="6BCD1723" w14:textId="77777777" w:rsidR="008F7570" w:rsidRDefault="008F7570" w:rsidP="00471F66">
            <w:pPr>
              <w:pStyle w:val="Tabletext1"/>
            </w:pPr>
            <w:r>
              <w:t>37 participants (1 comparative cohort study, 2 planning studies)</w:t>
            </w:r>
          </w:p>
          <w:p w14:paraId="35FD811E" w14:textId="77777777" w:rsidR="008F7570" w:rsidRDefault="008F7570" w:rsidP="00471F66">
            <w:pPr>
              <w:pStyle w:val="Tabletext1"/>
            </w:pPr>
          </w:p>
          <w:p w14:paraId="594F28D9" w14:textId="77777777" w:rsidR="008F7570" w:rsidRPr="00FF5543" w:rsidRDefault="008F7570" w:rsidP="00471F66">
            <w:pPr>
              <w:pStyle w:val="Tabletext1"/>
            </w:pPr>
            <w:r>
              <w:rPr>
                <w:b/>
                <w:bCs/>
              </w:rPr>
              <w:t>Very low quality evidence</w:t>
            </w:r>
          </w:p>
        </w:tc>
        <w:tc>
          <w:tcPr>
            <w:tcW w:w="797" w:type="pct"/>
            <w:tcBorders>
              <w:top w:val="single" w:sz="4" w:space="0" w:color="auto"/>
              <w:left w:val="single" w:sz="4" w:space="0" w:color="auto"/>
              <w:bottom w:val="single" w:sz="4" w:space="0" w:color="auto"/>
              <w:right w:val="single" w:sz="4" w:space="0" w:color="auto"/>
            </w:tcBorders>
          </w:tcPr>
          <w:p w14:paraId="4CDEFB93" w14:textId="7056E1B0" w:rsidR="008F7570" w:rsidRDefault="008F7570" w:rsidP="00471F66">
            <w:pPr>
              <w:pStyle w:val="Tabletext1"/>
            </w:pPr>
            <w:r>
              <w:t>Fair quality</w:t>
            </w:r>
            <w:r w:rsidR="00526170">
              <w:t xml:space="preserve"> </w:t>
            </w:r>
            <w:r>
              <w:t xml:space="preserve">- </w:t>
            </w:r>
            <w:hyperlink w:anchor="_ENREF_46" w:tooltip="Kim, 2018 #19" w:history="1">
              <w:r w:rsidR="001F781A">
                <w:fldChar w:fldCharType="begin"/>
              </w:r>
              <w:r w:rsidR="001F781A">
                <w:instrText xml:space="preserve"> ADDIN EN.CITE &lt;EndNote&gt;&lt;Cite AuthorYear="1"&gt;&lt;Author&gt;Kim&lt;/Author&gt;&lt;Year&gt;2018&lt;/Year&gt;&lt;RecNum&gt;19&lt;/RecNum&gt;&lt;DisplayText&gt;E. Kim et al. (2018)&lt;/DisplayText&gt;&lt;record&gt;&lt;rec-number&gt;19&lt;/rec-number&gt;&lt;foreign-keys&gt;&lt;key app="EN" db-id="sx5wsdwv795wvue959xxw0ptaewvdezxxp05" timestamp="1604454186"&gt;19&lt;/key&gt;&lt;/foreign-keys&gt;&lt;ref-type name="Journal Article"&gt;17&lt;/ref-type&gt;&lt;contributors&gt;&lt;authors&gt;&lt;author&gt;Kim, E.&lt;/author&gt;&lt;author&gt;Wu, H. G.&lt;/author&gt;&lt;author&gt;Park, J. M.&lt;/author&gt;&lt;author&gt;Kim, J. I.&lt;/author&gt;&lt;author&gt;Kim, H. J.&lt;/author&gt;&lt;author&gt;Kang, H. C.&lt;/author&gt;&lt;/authors&gt;&lt;/contributors&gt;&lt;titles&gt;&lt;title&gt;Lung density change after SABR: A comparative study between tri-Co-60 magnetic resonance-guided system and linear accelerator&lt;/title&gt;&lt;secondary-title&gt;PLoS ONE&lt;/secondary-title&gt;&lt;/titles&gt;&lt;pages&gt;e0195196&lt;/pages&gt;&lt;volume&gt;13&lt;/volume&gt;&lt;number&gt;4&lt;/number&gt;&lt;dates&gt;&lt;year&gt;2018&lt;/year&gt;&lt;/dates&gt;&lt;accession-num&gt;29608606&lt;/accession-num&gt;&lt;urls&gt;&lt;related-urls&gt;&lt;url&gt;http://ezproxy.library.usyd.edu.au/login?url=http://ovidsp.ovid.com/ovidweb.cgi?T=JS&amp;amp;CSC=Y&amp;amp;NEWS=N&amp;amp;PAGE=fulltext&amp;amp;D=prem2&amp;amp;AN=29608606https://sydney.alma.exlibrisgroup.com/openurl/61USYD_INST/61USYD_INST:sydney?sid=OVID:medline&amp;amp;id=pmid:29608606&amp;amp;id=doi:10.137&lt;/url&gt;&lt;url&gt;https://www.ncbi.nlm.nih.gov/pmc/articles/PMC5880382/pdf/pone.0195196.pdf&lt;/url&gt;&lt;/related-urls&gt;&lt;/urls&gt;&lt;custom2&gt;Include&lt;/custom2&gt;&lt;electronic-resource-num&gt;https://dx.doi.org/10.1371/journal.pone.0195196&lt;/electronic-resource-num&gt;&lt;/record&gt;&lt;/Cite&gt;&lt;/EndNote&gt;</w:instrText>
              </w:r>
              <w:r w:rsidR="001F781A">
                <w:fldChar w:fldCharType="separate"/>
              </w:r>
              <w:r w:rsidR="001F781A">
                <w:rPr>
                  <w:noProof/>
                </w:rPr>
                <w:t>E. Kim et al. (2018)</w:t>
              </w:r>
              <w:r w:rsidR="001F781A">
                <w:fldChar w:fldCharType="end"/>
              </w:r>
            </w:hyperlink>
          </w:p>
          <w:p w14:paraId="21662214" w14:textId="77777777" w:rsidR="008F7570" w:rsidRDefault="008F7570" w:rsidP="00471F66">
            <w:pPr>
              <w:pStyle w:val="Tabletext1"/>
            </w:pPr>
          </w:p>
          <w:p w14:paraId="66360D6A" w14:textId="77777777" w:rsidR="008F7570" w:rsidRPr="00C35038" w:rsidRDefault="008F7570" w:rsidP="00471F66">
            <w:pPr>
              <w:pStyle w:val="Tabletext1"/>
              <w:rPr>
                <w:b/>
                <w:bCs/>
              </w:rPr>
            </w:pPr>
            <w:r w:rsidRPr="00C35038">
              <w:rPr>
                <w:b/>
                <w:bCs/>
              </w:rPr>
              <w:t>Some concern</w:t>
            </w:r>
          </w:p>
        </w:tc>
        <w:tc>
          <w:tcPr>
            <w:tcW w:w="797" w:type="pct"/>
            <w:tcBorders>
              <w:top w:val="single" w:sz="4" w:space="0" w:color="auto"/>
              <w:left w:val="single" w:sz="4" w:space="0" w:color="auto"/>
              <w:bottom w:val="single" w:sz="4" w:space="0" w:color="auto"/>
              <w:right w:val="single" w:sz="4" w:space="0" w:color="auto"/>
            </w:tcBorders>
          </w:tcPr>
          <w:p w14:paraId="42AD8588" w14:textId="77777777" w:rsidR="008F7570" w:rsidRDefault="008F7570" w:rsidP="00471F66">
            <w:pPr>
              <w:pStyle w:val="Tabletext1"/>
            </w:pPr>
            <w:r>
              <w:t>MR-IGRT plans had better or equivalent quality dosimetry variables</w:t>
            </w:r>
          </w:p>
          <w:p w14:paraId="15E88D13" w14:textId="77777777" w:rsidR="008F7570" w:rsidRDefault="008F7570" w:rsidP="00471F66">
            <w:pPr>
              <w:pStyle w:val="Tabletext1"/>
            </w:pPr>
          </w:p>
          <w:p w14:paraId="1578BD24" w14:textId="77777777" w:rsidR="008F7570" w:rsidRPr="00C35038" w:rsidRDefault="008F7570" w:rsidP="00471F66">
            <w:pPr>
              <w:pStyle w:val="Tabletext1"/>
              <w:rPr>
                <w:b/>
                <w:bCs/>
              </w:rPr>
            </w:pPr>
            <w:r w:rsidRPr="00C35038">
              <w:rPr>
                <w:b/>
                <w:bCs/>
              </w:rPr>
              <w:t>No concern</w:t>
            </w:r>
          </w:p>
        </w:tc>
        <w:tc>
          <w:tcPr>
            <w:tcW w:w="797" w:type="pct"/>
            <w:tcBorders>
              <w:top w:val="single" w:sz="4" w:space="0" w:color="auto"/>
              <w:left w:val="single" w:sz="4" w:space="0" w:color="auto"/>
              <w:bottom w:val="single" w:sz="4" w:space="0" w:color="auto"/>
              <w:right w:val="single" w:sz="4" w:space="0" w:color="auto"/>
            </w:tcBorders>
          </w:tcPr>
          <w:p w14:paraId="53FCBA23" w14:textId="77777777" w:rsidR="008F7570" w:rsidRDefault="008F7570" w:rsidP="00471F66">
            <w:pPr>
              <w:pStyle w:val="Tabletext1"/>
            </w:pPr>
            <w:r>
              <w:t>Differences in populations, interventions, outcome measures</w:t>
            </w:r>
          </w:p>
          <w:p w14:paraId="217DA310" w14:textId="77777777" w:rsidR="008F7570" w:rsidRDefault="008F7570" w:rsidP="00471F66">
            <w:pPr>
              <w:pStyle w:val="Tabletext1"/>
            </w:pPr>
          </w:p>
          <w:p w14:paraId="6BE56830" w14:textId="77777777" w:rsidR="008F7570" w:rsidRPr="00C35038" w:rsidRDefault="008F7570" w:rsidP="00471F66">
            <w:pPr>
              <w:pStyle w:val="Tabletext1"/>
              <w:rPr>
                <w:b/>
                <w:bCs/>
              </w:rPr>
            </w:pPr>
            <w:r w:rsidRPr="00C35038">
              <w:rPr>
                <w:b/>
                <w:bCs/>
              </w:rPr>
              <w:t>Some concern</w:t>
            </w:r>
          </w:p>
        </w:tc>
        <w:tc>
          <w:tcPr>
            <w:tcW w:w="797" w:type="pct"/>
            <w:tcBorders>
              <w:top w:val="single" w:sz="4" w:space="0" w:color="auto"/>
              <w:left w:val="single" w:sz="4" w:space="0" w:color="auto"/>
              <w:bottom w:val="single" w:sz="4" w:space="0" w:color="auto"/>
              <w:right w:val="single" w:sz="4" w:space="0" w:color="auto"/>
            </w:tcBorders>
          </w:tcPr>
          <w:p w14:paraId="5ADAEF4C" w14:textId="77777777" w:rsidR="008F7570" w:rsidRDefault="008F7570" w:rsidP="00471F66">
            <w:pPr>
              <w:pStyle w:val="Tabletext1"/>
            </w:pPr>
            <w:r>
              <w:t>Small numbers of patients evaluated in the studies</w:t>
            </w:r>
          </w:p>
          <w:p w14:paraId="1C1B2C2D" w14:textId="77777777" w:rsidR="008F7570" w:rsidRDefault="008F7570" w:rsidP="00471F66">
            <w:pPr>
              <w:pStyle w:val="Tabletext1"/>
            </w:pPr>
          </w:p>
          <w:p w14:paraId="597A6D99" w14:textId="77777777" w:rsidR="008F7570" w:rsidRPr="00FF5543" w:rsidRDefault="008F7570" w:rsidP="00471F66">
            <w:pPr>
              <w:pStyle w:val="Tabletext1"/>
            </w:pPr>
            <w:r w:rsidRPr="00442526">
              <w:rPr>
                <w:b/>
                <w:bCs/>
              </w:rPr>
              <w:t xml:space="preserve">Serious concern </w:t>
            </w:r>
          </w:p>
        </w:tc>
        <w:tc>
          <w:tcPr>
            <w:tcW w:w="797" w:type="pct"/>
            <w:tcBorders>
              <w:top w:val="single" w:sz="4" w:space="0" w:color="auto"/>
              <w:left w:val="single" w:sz="4" w:space="0" w:color="auto"/>
              <w:bottom w:val="single" w:sz="4" w:space="0" w:color="auto"/>
              <w:right w:val="single" w:sz="4" w:space="0" w:color="auto"/>
            </w:tcBorders>
          </w:tcPr>
          <w:p w14:paraId="48CB69B6" w14:textId="77777777" w:rsidR="008F7570" w:rsidRDefault="008F7570" w:rsidP="00471F66">
            <w:pPr>
              <w:pStyle w:val="Tabletext1"/>
            </w:pPr>
            <w:r>
              <w:t>Not suspected, the search for studies was comprehensive</w:t>
            </w:r>
          </w:p>
          <w:p w14:paraId="3EA350DF" w14:textId="77777777" w:rsidR="008F7570" w:rsidRDefault="008F7570" w:rsidP="00471F66">
            <w:pPr>
              <w:pStyle w:val="Tabletext1"/>
            </w:pPr>
          </w:p>
          <w:p w14:paraId="1A62481E" w14:textId="77777777" w:rsidR="008F7570" w:rsidRPr="00FF5543" w:rsidRDefault="008F7570" w:rsidP="00471F66">
            <w:pPr>
              <w:pStyle w:val="Tabletext1"/>
            </w:pPr>
            <w:r>
              <w:rPr>
                <w:b/>
              </w:rPr>
              <w:t>No concern</w:t>
            </w:r>
          </w:p>
        </w:tc>
      </w:tr>
    </w:tbl>
    <w:p w14:paraId="5453A6C3" w14:textId="526CF24B" w:rsidR="00BA13FE" w:rsidRDefault="001E78FF" w:rsidP="00A952DD">
      <w:pPr>
        <w:pStyle w:val="Tablenotes0"/>
        <w:spacing w:after="0"/>
        <w:jc w:val="left"/>
      </w:pPr>
      <w:r>
        <w:t>MR-IGRT</w:t>
      </w:r>
      <w:r w:rsidR="00CF5C14">
        <w:t>=</w:t>
      </w:r>
      <w:r>
        <w:t>magnetic resonance image guided radiation therapy; QoL</w:t>
      </w:r>
      <w:r w:rsidR="00CF5C14">
        <w:t>=</w:t>
      </w:r>
      <w:r>
        <w:t>quality of life</w:t>
      </w:r>
      <w:r w:rsidR="00A952DD">
        <w:br/>
        <w:t>*</w:t>
      </w:r>
      <w:hyperlink w:anchor="_ENREF_71" w:tooltip="Tetar, 2019 #23" w:history="1">
        <w:r w:rsidR="001F781A">
          <w:fldChar w:fldCharType="begin"/>
        </w:r>
        <w:r w:rsidR="001F781A">
          <w:instrText xml:space="preserve"> ADDIN EN.CITE &lt;EndNote&gt;&lt;Cite AuthorYear="1"&gt;&lt;Author&gt;Tetar&lt;/Author&gt;&lt;Year&gt;2019&lt;/Year&gt;&lt;RecNum&gt;23&lt;/RecNum&gt;&lt;DisplayText&gt;S. U. Tetar et al. (2019)&lt;/DisplayText&gt;&lt;record&gt;&lt;rec-number&gt;23&lt;/rec-number&gt;&lt;foreign-keys&gt;&lt;key app="EN" db-id="sx5wsdwv795wvue959xxw0ptaewvdezxxp05" timestamp="1604454187"&gt;23&lt;/key&gt;&lt;/foreign-keys&gt;&lt;ref-type name="Journal Article"&gt;17&lt;/ref-type&gt;&lt;contributors&gt;&lt;authors&gt;&lt;author&gt;Tetar, S. U.&lt;/author&gt;&lt;author&gt;Bruynzeel, A. M. E.&lt;/author&gt;&lt;author&gt;Lagerwaard, F. J.&lt;/author&gt;&lt;author&gt;Slotman, B. J.&lt;/author&gt;&lt;author&gt;Bohoudi, O.&lt;/author&gt;&lt;author&gt;Palacios, M. A.&lt;/author&gt;&lt;/authors&gt;&lt;/contributors&gt;&lt;titles&gt;&lt;title&gt;Clinical implementation of magnetic resonance imaging guided adaptive radiotherapy for localized prostate cancer&lt;/title&gt;&lt;secondary-title&gt;Physics and Imaging in Radiation Oncology&lt;/secondary-title&gt;&lt;/titles&gt;&lt;pages&gt;69-76&lt;/pages&gt;&lt;volume&gt;9&lt;/volume&gt;&lt;dates&gt;&lt;year&gt;2019&lt;/year&gt;&lt;/dates&gt;&lt;urls&gt;&lt;related-urls&gt;&lt;url&gt;https://www.journals.elsevier.com/physics-and-imaging-in-radiation-oncology/http://ezproxy.library.usyd.edu.au/login?url=http://ovidsp.ovid.com/ovidweb.cgi?T=JS&amp;amp;CSC=Y&amp;amp;NEWS=N&amp;amp;PAGE=fulltext&amp;amp;D=emexa&amp;amp;AN=2001658942https://sydney.alma.exlibrisgroup.com/openurl/&lt;/url&gt;&lt;/related-urls&gt;&lt;/urls&gt;&lt;custom2&gt;Include- Single arm, patient attitude&lt;/custom2&gt;&lt;electronic-resource-num&gt;http://dx.doi.org/10.1016/j.phro.2019.02.002&lt;/electronic-resource-num&gt;&lt;/record&gt;&lt;/Cite&gt;&lt;/EndNote&gt;</w:instrText>
        </w:r>
        <w:r w:rsidR="001F781A">
          <w:fldChar w:fldCharType="separate"/>
        </w:r>
        <w:r w:rsidR="001F781A">
          <w:rPr>
            <w:noProof/>
          </w:rPr>
          <w:t>S. U. Tetar et al. (2019)</w:t>
        </w:r>
        <w:r w:rsidR="001F781A">
          <w:fldChar w:fldCharType="end"/>
        </w:r>
      </w:hyperlink>
      <w:r w:rsidR="00526170">
        <w:t xml:space="preserve"> </w:t>
      </w:r>
      <w:r w:rsidR="00A952DD">
        <w:t xml:space="preserve">and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rsidR="00526170">
        <w:t xml:space="preserve"> </w:t>
      </w:r>
      <w:r w:rsidR="00A952DD">
        <w:t xml:space="preserve">likely included overlapping populations. </w:t>
      </w:r>
      <w:hyperlink w:anchor="_ENREF_70" w:tooltip="Tetar, 2018 #26" w:history="1">
        <w:r w:rsidR="001F781A">
          <w:fldChar w:fldCharType="begin"/>
        </w:r>
        <w:r w:rsidR="001F781A">
          <w:instrText xml:space="preserve"> ADDIN EN.CITE &lt;EndNote&gt;&lt;Cite AuthorYear="1"&gt;&lt;Author&gt;Tetar&lt;/Author&gt;&lt;Year&gt;2018&lt;/Year&gt;&lt;RecNum&gt;26&lt;/RecNum&gt;&lt;DisplayText&gt;S. Tetar et al. (2018)&lt;/DisplayText&gt;&lt;record&gt;&lt;rec-number&gt;26&lt;/rec-number&gt;&lt;foreign-keys&gt;&lt;key app="EN" db-id="sx5wsdwv795wvue959xxw0ptaewvdezxxp05" timestamp="1604454216"&gt;26&lt;/key&gt;&lt;/foreign-keys&gt;&lt;ref-type name="Journal Article"&gt;17&lt;/ref-type&gt;&lt;contributors&gt;&lt;authors&gt;&lt;author&gt;Tetar, S.&lt;/author&gt;&lt;author&gt;Bruynzeel, A.&lt;/author&gt;&lt;author&gt;Bakker, R.&lt;/author&gt;&lt;author&gt;Jeulink, M.&lt;/author&gt;&lt;author&gt;Slotman, B. J.&lt;/author&gt;&lt;author&gt;Oei, S.&lt;/author&gt;&lt;author&gt;Haasbeek, C.&lt;/author&gt;&lt;author&gt;De Jong, K.&lt;/author&gt;&lt;author&gt;Senan, S.&lt;/author&gt;&lt;author&gt;Lagerwaard, F.&lt;/author&gt;&lt;/authors&gt;&lt;/contributors&gt;&lt;auth-address&gt;Radiation Oncology, VU University Medical Center, Amsterdam, The Netherlands.&lt;/auth-address&gt;&lt;titles&gt;&lt;title&gt;Patient-reported Outcome Measurements on the Tolerance of Magnetic Resonance Imaging-guided Radiation Therapy&lt;/title&gt;&lt;secondary-title&gt;Cureus&lt;/secondary-title&gt;&lt;/titles&gt;&lt;pages&gt;e2236&lt;/pages&gt;&lt;volume&gt;10&lt;/volume&gt;&lt;number&gt;2&lt;/number&gt;&lt;edition&gt;2018/05/03&lt;/edition&gt;&lt;keywords&gt;&lt;keyword&gt;adaptive&lt;/keyword&gt;&lt;keyword&gt;implementation&lt;/keyword&gt;&lt;keyword&gt;mrgrt&lt;/keyword&gt;&lt;keyword&gt;patient tolerance&lt;/keyword&gt;&lt;keyword&gt;pro-q&lt;/keyword&gt;&lt;keyword&gt;smart&lt;/keyword&gt;&lt;keyword&gt;stereotactic&lt;/keyword&gt;&lt;keyword&gt;section.&lt;/keyword&gt;&lt;/keywords&gt;&lt;dates&gt;&lt;year&gt;2018&lt;/year&gt;&lt;pub-dates&gt;&lt;date&gt;Feb 27&lt;/date&gt;&lt;/pub-dates&gt;&lt;/dates&gt;&lt;isbn&gt;2168-8184 (Print)&amp;#xD;2168-8184 (Linking)&lt;/isbn&gt;&lt;accession-num&gt;29719739&lt;/accession-num&gt;&lt;urls&gt;&lt;related-urls&gt;&lt;url&gt;https://www.ncbi.nlm.nih.gov/pubmed/29719739&lt;/url&gt;&lt;url&gt;https://www.ncbi.nlm.nih.gov/pmc/articles/PMC5922504/pdf/cureus-0010-00000002236.pdf&lt;/url&gt;&lt;/related-urls&gt;&lt;/urls&gt;&lt;custom2&gt;PMC5922504&lt;/custom2&gt;&lt;electronic-resource-num&gt;10.7759/cureus.2236&lt;/electronic-resource-num&gt;&lt;/record&gt;&lt;/Cite&gt;&lt;/EndNote&gt;</w:instrText>
        </w:r>
        <w:r w:rsidR="001F781A">
          <w:fldChar w:fldCharType="separate"/>
        </w:r>
        <w:r w:rsidR="001F781A">
          <w:rPr>
            <w:noProof/>
          </w:rPr>
          <w:t>S. Tetar et al. (2018)</w:t>
        </w:r>
        <w:r w:rsidR="001F781A">
          <w:fldChar w:fldCharType="end"/>
        </w:r>
      </w:hyperlink>
      <w:r w:rsidR="00526170">
        <w:t xml:space="preserve"> </w:t>
      </w:r>
      <w:r w:rsidR="00A952DD">
        <w:t>only included in the summary table</w:t>
      </w:r>
    </w:p>
    <w:p w14:paraId="67A53A84" w14:textId="77777777" w:rsidR="0065615F" w:rsidRDefault="0065615F" w:rsidP="005C061E">
      <w:pPr>
        <w:pStyle w:val="Tablenotes0"/>
        <w:spacing w:after="0"/>
      </w:pPr>
    </w:p>
    <w:p w14:paraId="362639BD" w14:textId="77777777" w:rsidR="0065615F" w:rsidRPr="00855ADC" w:rsidRDefault="0065615F" w:rsidP="005C061E">
      <w:pPr>
        <w:pStyle w:val="Tablenotes0"/>
        <w:spacing w:after="0"/>
        <w:sectPr w:rsidR="0065615F" w:rsidRPr="00855ADC" w:rsidSect="00D3526F">
          <w:footerReference w:type="default" r:id="rId62"/>
          <w:pgSz w:w="16838" w:h="11906" w:orient="landscape"/>
          <w:pgMar w:top="1440" w:right="851" w:bottom="1440" w:left="851" w:header="720" w:footer="720" w:gutter="0"/>
          <w:paperSrc w:first="7" w:other="7"/>
          <w:cols w:space="720"/>
        </w:sectPr>
      </w:pPr>
    </w:p>
    <w:p w14:paraId="7381DB94" w14:textId="1B33E8EC" w:rsidR="007A7960" w:rsidRPr="00183E4D" w:rsidRDefault="00193B87" w:rsidP="00DF343F">
      <w:pPr>
        <w:pStyle w:val="Heading1"/>
        <w:jc w:val="both"/>
      </w:pPr>
      <w:bookmarkStart w:id="827" w:name="_Ref364237293"/>
      <w:bookmarkStart w:id="828" w:name="_Ref363131580"/>
      <w:bookmarkStart w:id="829" w:name="_Toc379118102"/>
      <w:bookmarkStart w:id="830" w:name="_Toc381796506"/>
      <w:bookmarkStart w:id="831" w:name="_Toc59018833"/>
      <w:bookmarkStart w:id="832" w:name="_Toc59020377"/>
      <w:bookmarkStart w:id="833" w:name="_Toc59439598"/>
      <w:bookmarkStart w:id="834" w:name="_Toc89857870"/>
      <w:r w:rsidRPr="00183E4D">
        <w:lastRenderedPageBreak/>
        <w:t xml:space="preserve">Appendix </w:t>
      </w:r>
      <w:r w:rsidR="00211285">
        <w:fldChar w:fldCharType="begin"/>
      </w:r>
      <w:r w:rsidR="00211285">
        <w:instrText xml:space="preserve"> SEQ Appendix \* ALPHABETIC </w:instrText>
      </w:r>
      <w:r w:rsidR="00211285">
        <w:fldChar w:fldCharType="separate"/>
      </w:r>
      <w:r w:rsidR="00451350">
        <w:rPr>
          <w:noProof/>
        </w:rPr>
        <w:t>E</w:t>
      </w:r>
      <w:r w:rsidR="00211285">
        <w:rPr>
          <w:noProof/>
        </w:rPr>
        <w:fldChar w:fldCharType="end"/>
      </w:r>
      <w:bookmarkEnd w:id="827"/>
      <w:r w:rsidR="00A40011" w:rsidRPr="00183E4D">
        <w:tab/>
      </w:r>
      <w:bookmarkEnd w:id="817"/>
      <w:bookmarkEnd w:id="828"/>
      <w:bookmarkEnd w:id="829"/>
      <w:bookmarkEnd w:id="830"/>
      <w:r w:rsidR="00591A6D" w:rsidRPr="00183E4D">
        <w:t xml:space="preserve">Excluded </w:t>
      </w:r>
      <w:r w:rsidR="0077418B" w:rsidRPr="00183E4D">
        <w:t>Studies</w:t>
      </w:r>
      <w:bookmarkEnd w:id="831"/>
      <w:bookmarkEnd w:id="832"/>
      <w:bookmarkEnd w:id="833"/>
      <w:bookmarkEnd w:id="834"/>
    </w:p>
    <w:tbl>
      <w:tblPr>
        <w:tblStyle w:val="TableGrid"/>
        <w:tblW w:w="0" w:type="auto"/>
        <w:tblLook w:val="04A0" w:firstRow="1" w:lastRow="0" w:firstColumn="1" w:lastColumn="0" w:noHBand="0" w:noVBand="1"/>
      </w:tblPr>
      <w:tblGrid>
        <w:gridCol w:w="4508"/>
        <w:gridCol w:w="4508"/>
      </w:tblGrid>
      <w:tr w:rsidR="00ED3EE0" w14:paraId="25F70B57" w14:textId="77777777" w:rsidTr="00AD310D">
        <w:tc>
          <w:tcPr>
            <w:tcW w:w="4508" w:type="dxa"/>
          </w:tcPr>
          <w:p w14:paraId="7F421312" w14:textId="539ED839" w:rsidR="00ED3EE0" w:rsidRPr="00982D2B" w:rsidRDefault="00ED3EE0" w:rsidP="00ED3EE0">
            <w:pPr>
              <w:pStyle w:val="Tabletext1"/>
              <w:ind w:left="33"/>
              <w:rPr>
                <w:b/>
                <w:bCs/>
              </w:rPr>
            </w:pPr>
            <w:r w:rsidRPr="00982D2B">
              <w:rPr>
                <w:b/>
                <w:bCs/>
              </w:rPr>
              <w:t>Study reference</w:t>
            </w:r>
          </w:p>
        </w:tc>
        <w:tc>
          <w:tcPr>
            <w:tcW w:w="4508" w:type="dxa"/>
          </w:tcPr>
          <w:p w14:paraId="24E2A595" w14:textId="65CC590E" w:rsidR="00ED3EE0" w:rsidRPr="00982D2B" w:rsidRDefault="00ED3EE0" w:rsidP="00ED3EE0">
            <w:pPr>
              <w:pStyle w:val="Tabletext1"/>
              <w:ind w:left="0"/>
              <w:rPr>
                <w:b/>
                <w:bCs/>
              </w:rPr>
            </w:pPr>
            <w:r w:rsidRPr="00982D2B">
              <w:rPr>
                <w:b/>
                <w:bCs/>
              </w:rPr>
              <w:t>Reason for study exclusion</w:t>
            </w:r>
          </w:p>
        </w:tc>
      </w:tr>
      <w:bookmarkEnd w:id="818"/>
      <w:tr w:rsidR="00AD310D" w14:paraId="3D99AD30" w14:textId="77777777" w:rsidTr="00AD310D">
        <w:tc>
          <w:tcPr>
            <w:tcW w:w="4508" w:type="dxa"/>
          </w:tcPr>
          <w:p w14:paraId="4B321F63" w14:textId="0E060217" w:rsidR="00AD310D" w:rsidRDefault="00ED3EE0" w:rsidP="00ED3EE0">
            <w:pPr>
              <w:pStyle w:val="Tabletext1"/>
              <w:ind w:left="33"/>
            </w:pPr>
            <w:r w:rsidRPr="00ED3EE0">
              <w:t>Acharya, S., Fischer-Valuck, B. W., Kashani, R., Parikh, P., Yang, D., Zhao, T., . . . Olsen, J. (2016). Online Magnetic Resonance Image Guided Adaptive Radiation Therapy: First Clinical Applications. Int J Radiat Oncol Biol Phys, 94(2), 394-403. doi:https://dx.doi.org/10.1016/j.ijrobp.2015.10.015</w:t>
            </w:r>
          </w:p>
        </w:tc>
        <w:tc>
          <w:tcPr>
            <w:tcW w:w="4508" w:type="dxa"/>
          </w:tcPr>
          <w:p w14:paraId="5CEAFA85" w14:textId="1A4B890B" w:rsidR="00AD310D" w:rsidRDefault="00ED3EE0" w:rsidP="00ED3EE0">
            <w:pPr>
              <w:pStyle w:val="Tabletext1"/>
              <w:ind w:left="0"/>
            </w:pPr>
            <w:r>
              <w:t>N=5</w:t>
            </w:r>
            <w:r w:rsidR="004B0FED">
              <w:t>,</w:t>
            </w:r>
            <w:r>
              <w:t xml:space="preserve"> considered to be too small </w:t>
            </w:r>
          </w:p>
        </w:tc>
      </w:tr>
      <w:tr w:rsidR="00AD310D" w14:paraId="766B6E45" w14:textId="77777777" w:rsidTr="00AD310D">
        <w:tc>
          <w:tcPr>
            <w:tcW w:w="4508" w:type="dxa"/>
          </w:tcPr>
          <w:p w14:paraId="3F4C11E2" w14:textId="7E42B9B2" w:rsidR="00AD310D" w:rsidRDefault="00982D2B" w:rsidP="00ED3EE0">
            <w:pPr>
              <w:pStyle w:val="Tabletext1"/>
              <w:ind w:left="33"/>
            </w:pPr>
            <w:r w:rsidRPr="00982D2B">
              <w:t>Cuccia, F., Mazzola, R., Nicosia, L., Figlia, V., Giaj-Levra, N., Ricchetti, F., . . . Alongi, F. (2020). Impact of hydrogel peri-rectal spacer insertion on prostate gland intra-fraction motion during 1.5 T MR-guided stereotactic body radiotherapy. Radiation Oncology, 15(1). doi:http://dx.doi.org/10.1186/s13014-020-01622-3</w:t>
            </w:r>
          </w:p>
        </w:tc>
        <w:tc>
          <w:tcPr>
            <w:tcW w:w="4508" w:type="dxa"/>
          </w:tcPr>
          <w:p w14:paraId="6456F114" w14:textId="317B64E7" w:rsidR="00AD310D" w:rsidRDefault="00982D2B" w:rsidP="00ED3EE0">
            <w:pPr>
              <w:pStyle w:val="Tabletext1"/>
              <w:ind w:left="0"/>
            </w:pPr>
            <w:r>
              <w:t xml:space="preserve">Duplicate, study population included in </w:t>
            </w:r>
            <w:hyperlink w:anchor="_ENREF_1" w:tooltip="Alongi, 2020 #13" w:history="1">
              <w:r w:rsidR="008B6FC0">
                <w:fldChar w:fldCharType="begin"/>
              </w:r>
              <w:r w:rsidR="008B6FC0">
                <w:instrText xml:space="preserve"> ADDIN EN.CITE &lt;EndNote&gt;&lt;Cite AuthorYear="1"&gt;&lt;Author&gt;Alongi&lt;/Author&gt;&lt;Year&gt;2020&lt;/Year&gt;&lt;RecNum&gt;13&lt;/RecNum&gt;&lt;DisplayText&gt;Alongi et al. (2020)&lt;/DisplayText&gt;&lt;record&gt;&lt;rec-number&gt;13&lt;/rec-number&gt;&lt;foreign-keys&gt;&lt;key app="EN" db-id="sx5wsdwv795wvue959xxw0ptaewvdezxxp05" timestamp="1604454185"&gt;13&lt;/key&gt;&lt;/foreign-keys&gt;&lt;ref-type name="Journal Article"&gt;17&lt;/ref-type&gt;&lt;contributors&gt;&lt;authors&gt;&lt;author&gt;Alongi, F.&lt;/author&gt;&lt;author&gt;Rigo, M.&lt;/author&gt;&lt;author&gt;Figlia, V.&lt;/author&gt;&lt;author&gt;Cuccia, F.&lt;/author&gt;&lt;author&gt;Giaj-Levra, N.&lt;/author&gt;&lt;author&gt;Nicosia, L.&lt;/author&gt;&lt;author&gt;Ricchetti, F.&lt;/author&gt;&lt;author&gt;Sicignano, G.&lt;/author&gt;&lt;author&gt;De Simone, A.&lt;/author&gt;&lt;author&gt;Naccarato, S.&lt;/author&gt;&lt;author&gt;Ruggieri, R.&lt;/author&gt;&lt;author&gt;Mazzola, R.&lt;/author&gt;&lt;/authors&gt;&lt;/contributors&gt;&lt;titles&gt;&lt;title&gt;1.5 T MR-guided and daily adapted SBRT for prostate cancer: Feasibility, preliminary clinical tolerability, quality of life and patient-reported outcomes during treatment&lt;/title&gt;&lt;secondary-title&gt;Radiation Oncology&lt;/secondary-title&gt;&lt;/titles&gt;&lt;volume&gt;15&lt;/volume&gt;&lt;number&gt;1&lt;/number&gt;&lt;dates&gt;&lt;year&gt;2020&lt;/year&gt;&lt;/dates&gt;&lt;accession-num&gt;631269449&lt;/accession-num&gt;&lt;urls&gt;&lt;related-urls&gt;&lt;url&gt;http://www.ro-journal.com/http://ezproxy.library.usyd.edu.au/login?url=http://ovidsp.ovid.com/ovidweb.cgi?T=JS&amp;amp;CSC=Y&amp;amp;NEWS=N&amp;amp;PAGE=fulltext&amp;amp;D=emexb&amp;amp;AN=631269449https://sydney.alma.exlibrisgroup.com/openurl/61USYD_INST/61USYD_INST:sydney?sid=OVID:embase&amp;amp;id=p&lt;/url&gt;&lt;url&gt;https://ro-journal.biomedcentral.com/track/pdf/10.1186/s13014-020-01510-w&lt;/url&gt;&lt;url&gt;https://ro-journal.biomedcentral.com/track/pdf/10.1186/s13014-020-01510-w.pdf&lt;/url&gt;&lt;/related-urls&gt;&lt;/urls&gt;&lt;custom2&gt;single arm safety SBRT&lt;/custom2&gt;&lt;electronic-resource-num&gt;http://dx.doi.org/10.1186/s13014-020-01510-w&lt;/electronic-resource-num&gt;&lt;/record&gt;&lt;/Cite&gt;&lt;/EndNote&gt;</w:instrText>
              </w:r>
              <w:r w:rsidR="008B6FC0">
                <w:fldChar w:fldCharType="separate"/>
              </w:r>
              <w:r w:rsidR="008B6FC0">
                <w:rPr>
                  <w:noProof/>
                </w:rPr>
                <w:t>Alongi et al. (2020)</w:t>
              </w:r>
              <w:r w:rsidR="008B6FC0">
                <w:fldChar w:fldCharType="end"/>
              </w:r>
            </w:hyperlink>
          </w:p>
        </w:tc>
      </w:tr>
    </w:tbl>
    <w:p w14:paraId="67D8C2F3" w14:textId="77777777" w:rsidR="001341F5" w:rsidRPr="00183E4D" w:rsidRDefault="001341F5" w:rsidP="00DF343F">
      <w:pPr>
        <w:jc w:val="both"/>
        <w:rPr>
          <w:rFonts w:eastAsiaTheme="minorHAnsi"/>
          <w:lang w:eastAsia="en-US"/>
        </w:rPr>
      </w:pPr>
      <w:r w:rsidRPr="00183E4D">
        <w:rPr>
          <w:rFonts w:eastAsiaTheme="minorHAnsi"/>
          <w:lang w:eastAsia="en-US"/>
        </w:rPr>
        <w:br w:type="page"/>
      </w:r>
    </w:p>
    <w:p w14:paraId="01BBDBF1" w14:textId="302BCEF4" w:rsidR="006C0851" w:rsidRPr="00183E4D" w:rsidRDefault="008F59A8" w:rsidP="00DF343F">
      <w:pPr>
        <w:pStyle w:val="Heading1"/>
        <w:jc w:val="both"/>
      </w:pPr>
      <w:bookmarkStart w:id="835" w:name="_Toc379118117"/>
      <w:bookmarkStart w:id="836" w:name="_Toc381796514"/>
      <w:bookmarkStart w:id="837" w:name="_Toc59018834"/>
      <w:bookmarkStart w:id="838" w:name="_Toc59020378"/>
      <w:bookmarkStart w:id="839" w:name="_Toc59439599"/>
      <w:bookmarkStart w:id="840" w:name="_Toc89857871"/>
      <w:r w:rsidRPr="00183E4D">
        <w:lastRenderedPageBreak/>
        <w:t>References</w:t>
      </w:r>
      <w:bookmarkEnd w:id="835"/>
      <w:bookmarkEnd w:id="836"/>
      <w:bookmarkEnd w:id="837"/>
      <w:bookmarkEnd w:id="838"/>
      <w:bookmarkEnd w:id="839"/>
      <w:bookmarkEnd w:id="840"/>
      <w:r w:rsidRPr="00183E4D">
        <w:t xml:space="preserve"> </w:t>
      </w:r>
      <w:r w:rsidR="007F6D38">
        <w:t xml:space="preserve">     </w:t>
      </w:r>
    </w:p>
    <w:p w14:paraId="271001E0" w14:textId="77777777" w:rsidR="008B6FC0" w:rsidRPr="008B6FC0" w:rsidRDefault="000C77B0" w:rsidP="008B6FC0">
      <w:pPr>
        <w:pStyle w:val="EndNoteBibliography"/>
        <w:spacing w:after="360"/>
      </w:pPr>
      <w:r>
        <w:rPr>
          <w:rFonts w:asciiTheme="minorHAnsi" w:hAnsiTheme="minorHAnsi"/>
        </w:rPr>
        <w:fldChar w:fldCharType="begin"/>
      </w:r>
      <w:r>
        <w:rPr>
          <w:rFonts w:asciiTheme="minorHAnsi" w:hAnsiTheme="minorHAnsi"/>
        </w:rPr>
        <w:instrText xml:space="preserve"> ADDIN EN.REFLIST </w:instrText>
      </w:r>
      <w:r>
        <w:rPr>
          <w:rFonts w:asciiTheme="minorHAnsi" w:hAnsiTheme="minorHAnsi"/>
        </w:rPr>
        <w:fldChar w:fldCharType="separate"/>
      </w:r>
      <w:bookmarkStart w:id="841" w:name="_ENREF_1"/>
      <w:r w:rsidR="008B6FC0" w:rsidRPr="008B6FC0">
        <w:t xml:space="preserve">Alongi, F., Rigo, M., Figlia, V., Cuccia, F., et al. (2020). 1.5 T MR-guided and daily adapted SBRT for prostate cancer: Feasibility, preliminary clinical tolerability, quality of life and patient-reported outcomes during treatment. </w:t>
      </w:r>
      <w:r w:rsidR="008B6FC0" w:rsidRPr="008B6FC0">
        <w:rPr>
          <w:i/>
        </w:rPr>
        <w:t>Radiation Oncology, 15</w:t>
      </w:r>
      <w:r w:rsidR="008B6FC0" w:rsidRPr="008B6FC0">
        <w:t>(1).</w:t>
      </w:r>
      <w:bookmarkEnd w:id="841"/>
    </w:p>
    <w:p w14:paraId="18AEE857" w14:textId="77777777" w:rsidR="008B6FC0" w:rsidRPr="008B6FC0" w:rsidRDefault="008B6FC0" w:rsidP="008B6FC0">
      <w:pPr>
        <w:pStyle w:val="EndNoteBibliography"/>
        <w:spacing w:after="360"/>
      </w:pPr>
      <w:bookmarkStart w:id="842" w:name="_ENREF_2"/>
      <w:r w:rsidRPr="008B6FC0">
        <w:t xml:space="preserve">Amendola, B., Amendola, M., Blanco, J. M., Perez, N., et al. (2017). Radiosurgery for liver metastases. A single institution experience. </w:t>
      </w:r>
      <w:r w:rsidRPr="008B6FC0">
        <w:rPr>
          <w:i/>
        </w:rPr>
        <w:t>Reports of Practical Oncology and Radiotherapy, 22</w:t>
      </w:r>
      <w:r w:rsidRPr="008B6FC0">
        <w:t>(2), 118-125.</w:t>
      </w:r>
      <w:bookmarkEnd w:id="842"/>
    </w:p>
    <w:p w14:paraId="4F4BFCFE" w14:textId="77777777" w:rsidR="008B6FC0" w:rsidRPr="008B6FC0" w:rsidRDefault="008B6FC0" w:rsidP="008B6FC0">
      <w:pPr>
        <w:pStyle w:val="EndNoteBibliography"/>
        <w:spacing w:after="360"/>
      </w:pPr>
      <w:bookmarkStart w:id="843" w:name="_ENREF_3"/>
      <w:r w:rsidRPr="008B6FC0">
        <w:t xml:space="preserve">Andratschke, N., Alheid, H., Allgauer, M., Becker, G., et al. (2018). The SBRT database initiative of the German Society for Radiation Oncology (DEGRO): patterns of care and outcome analysis of stereotactic body radiotherapy (SBRT) for liver oligometastases in 474 patients with 623 metastases. </w:t>
      </w:r>
      <w:r w:rsidRPr="008B6FC0">
        <w:rPr>
          <w:i/>
        </w:rPr>
        <w:t>BMC Cancer, 18</w:t>
      </w:r>
      <w:r w:rsidRPr="008B6FC0">
        <w:t>(1), 283.</w:t>
      </w:r>
      <w:bookmarkEnd w:id="843"/>
    </w:p>
    <w:p w14:paraId="376A4B18" w14:textId="77777777" w:rsidR="008B6FC0" w:rsidRPr="008B6FC0" w:rsidRDefault="008B6FC0" w:rsidP="008B6FC0">
      <w:pPr>
        <w:pStyle w:val="EndNoteBibliography"/>
        <w:spacing w:after="360"/>
      </w:pPr>
      <w:bookmarkStart w:id="844" w:name="_ENREF_4"/>
      <w:r w:rsidRPr="008B6FC0">
        <w:t xml:space="preserve">Appel, S., Bar, J., Alezra, D., Ben-Ayun, M., et al. (2020). Image-guidance triggered adaptive replanning of radiation therapy for locally advanced lung cancer: an evaluation of cases requiring plan adaptation. </w:t>
      </w:r>
      <w:r w:rsidRPr="008B6FC0">
        <w:rPr>
          <w:i/>
        </w:rPr>
        <w:t>Br J Radiol, 93</w:t>
      </w:r>
      <w:r w:rsidRPr="008B6FC0">
        <w:t>(1105), 20190743.</w:t>
      </w:r>
      <w:bookmarkEnd w:id="844"/>
    </w:p>
    <w:p w14:paraId="528DC49A" w14:textId="65DAB880" w:rsidR="008B6FC0" w:rsidRPr="008B6FC0" w:rsidRDefault="008B6FC0" w:rsidP="008B6FC0">
      <w:pPr>
        <w:pStyle w:val="EndNoteBibliography"/>
        <w:spacing w:after="360"/>
      </w:pPr>
      <w:bookmarkStart w:id="845" w:name="_ENREF_5"/>
      <w:r w:rsidRPr="008B6FC0">
        <w:t xml:space="preserve">Australian Institute of Health and Welfare (AIHW). (2019). Cancer in Australia 2019. Cat no. CAN 123. Retrieved from </w:t>
      </w:r>
      <w:hyperlink r:id="rId63" w:history="1">
        <w:r w:rsidRPr="008B6FC0">
          <w:rPr>
            <w:rStyle w:val="Hyperlink"/>
          </w:rPr>
          <w:t>https://www.aihw.gov.au/reports/cancer/cancer-in-australia-2019</w:t>
        </w:r>
        <w:bookmarkEnd w:id="845"/>
      </w:hyperlink>
    </w:p>
    <w:p w14:paraId="49A8F652" w14:textId="12E4E463" w:rsidR="008B6FC0" w:rsidRPr="008B6FC0" w:rsidRDefault="008B6FC0" w:rsidP="008B6FC0">
      <w:pPr>
        <w:pStyle w:val="EndNoteBibliography"/>
        <w:spacing w:after="360"/>
      </w:pPr>
      <w:bookmarkStart w:id="846" w:name="_ENREF_6"/>
      <w:r w:rsidRPr="008B6FC0">
        <w:t xml:space="preserve">Australian Institute of Health and Welfare (AIHW). (2020a). Cancer data in Australia. Cat. no. CAN 122. </w:t>
      </w:r>
      <w:r w:rsidRPr="008B6FC0">
        <w:rPr>
          <w:i/>
        </w:rPr>
        <w:t>Cat. no. CAN 122.</w:t>
      </w:r>
      <w:r w:rsidRPr="008B6FC0">
        <w:t xml:space="preserve"> Retrieved from </w:t>
      </w:r>
      <w:hyperlink r:id="rId64" w:history="1">
        <w:r w:rsidRPr="008B6FC0">
          <w:rPr>
            <w:rStyle w:val="Hyperlink"/>
          </w:rPr>
          <w:t>https://www.aihw.gov.au/reports/cancer/cancer-data-in-australia/contents/cancer-summary-data-visualisation</w:t>
        </w:r>
        <w:bookmarkEnd w:id="846"/>
      </w:hyperlink>
    </w:p>
    <w:p w14:paraId="1E10C072" w14:textId="721A744A" w:rsidR="008B6FC0" w:rsidRPr="008B6FC0" w:rsidRDefault="008B6FC0" w:rsidP="008B6FC0">
      <w:pPr>
        <w:pStyle w:val="EndNoteBibliography"/>
        <w:spacing w:after="360"/>
      </w:pPr>
      <w:bookmarkStart w:id="847" w:name="_ENREF_7"/>
      <w:r w:rsidRPr="008B6FC0">
        <w:t xml:space="preserve">Australian Institute of Health and Welfare (AIHW). (2020b). Radiotherapy in Australia 2018–19. Cat. no. HSE 248. Retrieved from </w:t>
      </w:r>
      <w:hyperlink r:id="rId65" w:history="1">
        <w:r w:rsidRPr="008B6FC0">
          <w:rPr>
            <w:rStyle w:val="Hyperlink"/>
          </w:rPr>
          <w:t>https://www.aihw.gov.au/reports/radiotherapy/radiotherapy-in-australia-2018-19</w:t>
        </w:r>
        <w:bookmarkEnd w:id="847"/>
      </w:hyperlink>
    </w:p>
    <w:p w14:paraId="3A01BA13" w14:textId="77777777" w:rsidR="008B6FC0" w:rsidRPr="008B6FC0" w:rsidRDefault="008B6FC0" w:rsidP="008B6FC0">
      <w:pPr>
        <w:pStyle w:val="EndNoteBibliography"/>
        <w:spacing w:after="360"/>
      </w:pPr>
      <w:bookmarkStart w:id="848" w:name="_ENREF_8"/>
      <w:r w:rsidRPr="008B6FC0">
        <w:t xml:space="preserve">Barney, B. M., Olivier, K. R., Macdonald, O. K., Fong de Los Santos, L. E., et al. (2012). Clinical outcomes and dosimetric considerations using stereotactic body radiotherapy for abdominopelvic tumors. </w:t>
      </w:r>
      <w:r w:rsidRPr="008B6FC0">
        <w:rPr>
          <w:i/>
        </w:rPr>
        <w:t>Am J Clin Oncol, 35</w:t>
      </w:r>
      <w:r w:rsidRPr="008B6FC0">
        <w:t>(6), 537-542.</w:t>
      </w:r>
      <w:bookmarkEnd w:id="848"/>
    </w:p>
    <w:p w14:paraId="5E4F2E01" w14:textId="77777777" w:rsidR="008B6FC0" w:rsidRPr="008B6FC0" w:rsidRDefault="008B6FC0" w:rsidP="008B6FC0">
      <w:pPr>
        <w:pStyle w:val="EndNoteBibliography"/>
        <w:spacing w:after="360"/>
      </w:pPr>
      <w:bookmarkStart w:id="849" w:name="_ENREF_9"/>
      <w:r w:rsidRPr="008B6FC0">
        <w:t xml:space="preserve">Barton, M. B., Jacob, S., Shafiq, J., Wong, K., et al. (2014). Estimating the demand for radiotherapy from the evidence: a review of changes from 2003 to 2012. </w:t>
      </w:r>
      <w:r w:rsidRPr="008B6FC0">
        <w:rPr>
          <w:i/>
        </w:rPr>
        <w:t>Radiother Oncol, 112</w:t>
      </w:r>
      <w:r w:rsidRPr="008B6FC0">
        <w:t>(1), 140-144.</w:t>
      </w:r>
      <w:bookmarkEnd w:id="849"/>
    </w:p>
    <w:p w14:paraId="34472884" w14:textId="77777777" w:rsidR="008B6FC0" w:rsidRPr="008B6FC0" w:rsidRDefault="008B6FC0" w:rsidP="008B6FC0">
      <w:pPr>
        <w:pStyle w:val="EndNoteBibliography"/>
        <w:spacing w:after="360"/>
      </w:pPr>
      <w:bookmarkStart w:id="850" w:name="_ENREF_10"/>
      <w:r w:rsidRPr="008B6FC0">
        <w:t xml:space="preserve">Baschnagel, A. M., Mangona, V. S., Robertson, J. M., Welsh, R. J., et al. (2013). Lung metastases treated with image-guided stereotactic body radiation therapy. </w:t>
      </w:r>
      <w:r w:rsidRPr="008B6FC0">
        <w:rPr>
          <w:i/>
        </w:rPr>
        <w:t>Clin Oncol (R Coll Radiol), 25</w:t>
      </w:r>
      <w:r w:rsidRPr="008B6FC0">
        <w:t>(4), 236-241.</w:t>
      </w:r>
      <w:bookmarkEnd w:id="850"/>
    </w:p>
    <w:p w14:paraId="2F95F7F0" w14:textId="77777777" w:rsidR="008B6FC0" w:rsidRPr="008B6FC0" w:rsidRDefault="008B6FC0" w:rsidP="008B6FC0">
      <w:pPr>
        <w:pStyle w:val="EndNoteBibliography"/>
        <w:spacing w:after="360"/>
      </w:pPr>
      <w:bookmarkStart w:id="851" w:name="_ENREF_11"/>
      <w:r w:rsidRPr="008B6FC0">
        <w:t xml:space="preserve">Becker-Schiebe, M., Abaci, A., Ahmad, T., &amp; Hoffmann, W. (2016). Reducing radiation-associated toxicity using online image guidance (IGRT) in prostate cancer patients undergoing dose-escalated radiation therapy. </w:t>
      </w:r>
      <w:r w:rsidRPr="008B6FC0">
        <w:rPr>
          <w:i/>
        </w:rPr>
        <w:t>Reports of Practical Oncology and Radiotherapy, 21</w:t>
      </w:r>
      <w:r w:rsidRPr="008B6FC0">
        <w:t>(3), 188-194.</w:t>
      </w:r>
      <w:bookmarkEnd w:id="851"/>
    </w:p>
    <w:p w14:paraId="25E09EE4" w14:textId="77777777" w:rsidR="008B6FC0" w:rsidRPr="008B6FC0" w:rsidRDefault="008B6FC0" w:rsidP="008B6FC0">
      <w:pPr>
        <w:pStyle w:val="EndNoteBibliography"/>
        <w:spacing w:after="360"/>
      </w:pPr>
      <w:bookmarkStart w:id="852" w:name="_ENREF_12"/>
      <w:r w:rsidRPr="008B6FC0">
        <w:lastRenderedPageBreak/>
        <w:t xml:space="preserve">Berlin, A., Cho, E., Kong, V., Howell, K. J., et al. (2015). Phase 2 trial of guideline-based postoperative image guided intensity modulated radiation therapy for prostate cancer: Toxicity, biochemical, and patient-reported health-related quality-of-life outcomes. </w:t>
      </w:r>
      <w:r w:rsidRPr="008B6FC0">
        <w:rPr>
          <w:i/>
        </w:rPr>
        <w:t>Pract Radiat Oncol, 5</w:t>
      </w:r>
      <w:r w:rsidRPr="008B6FC0">
        <w:t>(5), e473-e482.</w:t>
      </w:r>
      <w:bookmarkEnd w:id="852"/>
    </w:p>
    <w:p w14:paraId="268672A7" w14:textId="77777777" w:rsidR="008B6FC0" w:rsidRPr="008B6FC0" w:rsidRDefault="008B6FC0" w:rsidP="008B6FC0">
      <w:pPr>
        <w:pStyle w:val="EndNoteBibliography"/>
        <w:spacing w:after="360"/>
      </w:pPr>
      <w:bookmarkStart w:id="853" w:name="_ENREF_13"/>
      <w:r w:rsidRPr="008B6FC0">
        <w:t xml:space="preserve">Boda-Heggemann, J., Frauenfeld, A., Weiss, C., Simeonova, A., et al. (2014). Clinical outcome of hypofractionated breath-hold image-guided SABR of primary lung tumors and lung metastases. </w:t>
      </w:r>
      <w:r w:rsidRPr="008B6FC0">
        <w:rPr>
          <w:i/>
        </w:rPr>
        <w:t>Radiat, 9</w:t>
      </w:r>
      <w:r w:rsidRPr="008B6FC0">
        <w:t>, 10.</w:t>
      </w:r>
      <w:bookmarkEnd w:id="853"/>
    </w:p>
    <w:p w14:paraId="222D84D4" w14:textId="77777777" w:rsidR="008B6FC0" w:rsidRPr="008B6FC0" w:rsidRDefault="008B6FC0" w:rsidP="008B6FC0">
      <w:pPr>
        <w:pStyle w:val="EndNoteBibliography"/>
        <w:spacing w:after="360"/>
      </w:pPr>
      <w:bookmarkStart w:id="854" w:name="_ENREF_14"/>
      <w:r w:rsidRPr="008B6FC0">
        <w:t xml:space="preserve">Byrne, K., Hruby, G., Kneebone, A., Whalley, D., et al. (2017). Late Genitourinary Toxicity Outcomes in 300 Prostate Cancer Patients Treated With Dose-escalated Image-guided Intensity-modulated Radiotherapy. </w:t>
      </w:r>
      <w:r w:rsidRPr="008B6FC0">
        <w:rPr>
          <w:i/>
        </w:rPr>
        <w:t>Clinical Oncology, 29</w:t>
      </w:r>
      <w:r w:rsidRPr="008B6FC0">
        <w:t>(9), 617-625.</w:t>
      </w:r>
      <w:bookmarkEnd w:id="854"/>
    </w:p>
    <w:p w14:paraId="04C89B97" w14:textId="77777777" w:rsidR="008B6FC0" w:rsidRPr="008B6FC0" w:rsidRDefault="008B6FC0" w:rsidP="008B6FC0">
      <w:pPr>
        <w:pStyle w:val="EndNoteBibliography"/>
        <w:spacing w:after="360"/>
      </w:pPr>
      <w:bookmarkStart w:id="855" w:name="_ENREF_15"/>
      <w:r w:rsidRPr="008B6FC0">
        <w:t xml:space="preserve">Byun, S. J., Kim, Y. S., Ahn, H., &amp; Kim, C. S. (2018). Image-guided, whole-pelvic, intensity-modulated radiotherapy for biochemical recurrence following radical prostatectomy in high-risk prostate cancer patients. </w:t>
      </w:r>
      <w:r w:rsidRPr="008B6FC0">
        <w:rPr>
          <w:i/>
        </w:rPr>
        <w:t>PLoS ONE, 13</w:t>
      </w:r>
      <w:r w:rsidRPr="008B6FC0">
        <w:t>(1), e0190479.</w:t>
      </w:r>
      <w:bookmarkEnd w:id="855"/>
    </w:p>
    <w:p w14:paraId="5F88BB22" w14:textId="77777777" w:rsidR="008B6FC0" w:rsidRPr="008B6FC0" w:rsidRDefault="008B6FC0" w:rsidP="008B6FC0">
      <w:pPr>
        <w:pStyle w:val="EndNoteBibliography"/>
        <w:spacing w:after="360"/>
      </w:pPr>
      <w:bookmarkStart w:id="856" w:name="_ENREF_16"/>
      <w:r w:rsidRPr="008B6FC0">
        <w:t xml:space="preserve">Callan, L., Bauman, G., Chen, J., Lock, M., et al. (2019). A Phase I/II Trial of Fairly Brief Androgen Suppression and Stereotactic Radiation Therapy for High-Risk Prostate Cancer (FASTR-2): Preliminary Results and Toxicity Analysis. </w:t>
      </w:r>
      <w:r w:rsidRPr="008B6FC0">
        <w:rPr>
          <w:i/>
        </w:rPr>
        <w:t>Advances in Radiation Oncology, 4</w:t>
      </w:r>
      <w:r w:rsidRPr="008B6FC0">
        <w:t>(4), 668-673.</w:t>
      </w:r>
      <w:bookmarkEnd w:id="856"/>
    </w:p>
    <w:p w14:paraId="1855B3C8" w14:textId="7BEC4246" w:rsidR="008B6FC0" w:rsidRPr="008B6FC0" w:rsidRDefault="008B6FC0" w:rsidP="008B6FC0">
      <w:pPr>
        <w:pStyle w:val="EndNoteBibliography"/>
        <w:spacing w:after="360"/>
      </w:pPr>
      <w:bookmarkStart w:id="857" w:name="_ENREF_17"/>
      <w:r w:rsidRPr="008B6FC0">
        <w:t xml:space="preserve">Cancer Australia. (2020). Radiation Therapy. Retrieved from </w:t>
      </w:r>
      <w:hyperlink r:id="rId66" w:history="1">
        <w:r w:rsidRPr="008B6FC0">
          <w:rPr>
            <w:rStyle w:val="Hyperlink"/>
          </w:rPr>
          <w:t>https://www.canceraustralia.gov.au/affected-cancer/treatment/radiation-therapy</w:t>
        </w:r>
        <w:bookmarkEnd w:id="857"/>
      </w:hyperlink>
    </w:p>
    <w:p w14:paraId="043FA75A" w14:textId="31B78053" w:rsidR="008B6FC0" w:rsidRPr="008B6FC0" w:rsidRDefault="008B6FC0" w:rsidP="008B6FC0">
      <w:pPr>
        <w:pStyle w:val="EndNoteBibliography"/>
        <w:spacing w:after="360"/>
      </w:pPr>
      <w:bookmarkStart w:id="858" w:name="_ENREF_18"/>
      <w:r w:rsidRPr="008B6FC0">
        <w:t xml:space="preserve">Cancer Council Australia. (2019). Understanding Radiation Therapy- A guide for people with cancer, their familes and friends. Retrieved from </w:t>
      </w:r>
      <w:hyperlink r:id="rId67" w:history="1">
        <w:r w:rsidRPr="008B6FC0">
          <w:rPr>
            <w:rStyle w:val="Hyperlink"/>
          </w:rPr>
          <w:t>https://www.cancercouncil.com.au/cancer-information/cancer-treatment/radiation-therapy/</w:t>
        </w:r>
        <w:bookmarkEnd w:id="858"/>
      </w:hyperlink>
    </w:p>
    <w:p w14:paraId="736C8F47" w14:textId="77777777" w:rsidR="008B6FC0" w:rsidRPr="008B6FC0" w:rsidRDefault="008B6FC0" w:rsidP="008B6FC0">
      <w:pPr>
        <w:pStyle w:val="EndNoteBibliography"/>
        <w:spacing w:after="360"/>
      </w:pPr>
      <w:bookmarkStart w:id="859" w:name="_ENREF_19"/>
      <w:r w:rsidRPr="008B6FC0">
        <w:t xml:space="preserve">Carter, H. E., Martin, A., Schofield, D., Duchesne, G., et al. (2014). A decision model to estimate the cost-effectiveness of intensity modulated radiation therapy (IMRT) compared to three dimensional conformal radiation therapy (3DCRT) in patients receiving radiotherapy to the prostate bed. </w:t>
      </w:r>
      <w:r w:rsidRPr="008B6FC0">
        <w:rPr>
          <w:i/>
        </w:rPr>
        <w:t>Radiotherapy and Oncology, 112</w:t>
      </w:r>
      <w:r w:rsidRPr="008B6FC0">
        <w:t>(2), 187-193.</w:t>
      </w:r>
      <w:bookmarkEnd w:id="859"/>
    </w:p>
    <w:p w14:paraId="49935536" w14:textId="77777777" w:rsidR="008B6FC0" w:rsidRPr="008B6FC0" w:rsidRDefault="008B6FC0" w:rsidP="008B6FC0">
      <w:pPr>
        <w:pStyle w:val="EndNoteBibliography"/>
        <w:spacing w:after="360"/>
      </w:pPr>
      <w:bookmarkStart w:id="860" w:name="_ENREF_20"/>
      <w:r w:rsidRPr="008B6FC0">
        <w:t xml:space="preserve">Chan, K., &amp; Bhandari, M. (2011). Three-minute critical appraisal of a case series article. </w:t>
      </w:r>
      <w:r w:rsidRPr="008B6FC0">
        <w:rPr>
          <w:i/>
        </w:rPr>
        <w:t>Indian J Orthop, 45</w:t>
      </w:r>
      <w:r w:rsidRPr="008B6FC0">
        <w:t>(2), 103-104.</w:t>
      </w:r>
      <w:bookmarkEnd w:id="860"/>
    </w:p>
    <w:p w14:paraId="05168B59" w14:textId="77777777" w:rsidR="008B6FC0" w:rsidRPr="008B6FC0" w:rsidRDefault="008B6FC0" w:rsidP="008B6FC0">
      <w:pPr>
        <w:pStyle w:val="EndNoteBibliography"/>
        <w:spacing w:after="360"/>
      </w:pPr>
      <w:bookmarkStart w:id="861" w:name="_ENREF_21"/>
      <w:r w:rsidRPr="008B6FC0">
        <w:t xml:space="preserve">Chen, A. M., Hsu, S., Lamb, J., Yang, Y., et al. (2018). MRI-guided radiotherapy for head and neck cancer: initial clinical experience. </w:t>
      </w:r>
      <w:r w:rsidRPr="008B6FC0">
        <w:rPr>
          <w:i/>
        </w:rPr>
        <w:t>Clin Transl Oncol, 20</w:t>
      </w:r>
      <w:r w:rsidRPr="008B6FC0">
        <w:t>(2), 160-168.</w:t>
      </w:r>
      <w:bookmarkEnd w:id="861"/>
    </w:p>
    <w:p w14:paraId="1926BA11" w14:textId="77777777" w:rsidR="008B6FC0" w:rsidRPr="008B6FC0" w:rsidRDefault="008B6FC0" w:rsidP="008B6FC0">
      <w:pPr>
        <w:pStyle w:val="EndNoteBibliography"/>
        <w:spacing w:after="360"/>
      </w:pPr>
      <w:bookmarkStart w:id="862" w:name="_ENREF_22"/>
      <w:r w:rsidRPr="008B6FC0">
        <w:t xml:space="preserve">Chin, S., Eccles, C. L., McWilliam, A., Chuter, R., et al. (2020). Magnetic resonance-guided radiation therapy: A review. </w:t>
      </w:r>
      <w:r w:rsidRPr="008B6FC0">
        <w:rPr>
          <w:i/>
        </w:rPr>
        <w:t>J Med Imaging Radiat Oncol, 64</w:t>
      </w:r>
      <w:r w:rsidRPr="008B6FC0">
        <w:t>(1), 163-177.</w:t>
      </w:r>
      <w:bookmarkEnd w:id="862"/>
    </w:p>
    <w:p w14:paraId="6ECD3D50" w14:textId="77777777" w:rsidR="008B6FC0" w:rsidRPr="008B6FC0" w:rsidRDefault="008B6FC0" w:rsidP="008B6FC0">
      <w:pPr>
        <w:pStyle w:val="EndNoteBibliography"/>
        <w:spacing w:after="360"/>
      </w:pPr>
      <w:bookmarkStart w:id="863" w:name="_ENREF_23"/>
      <w:r w:rsidRPr="008B6FC0">
        <w:t xml:space="preserve">Correa, R., Navarro, I., Lobato, M., Otero, A., et al. (2020). Influence of the technique and comorbidities in hypofractionated radiotherapy for prostate cancer. </w:t>
      </w:r>
      <w:r w:rsidRPr="008B6FC0">
        <w:rPr>
          <w:i/>
        </w:rPr>
        <w:t>Clinical and Translational Oncology, 22</w:t>
      </w:r>
      <w:r w:rsidRPr="008B6FC0">
        <w:t>(3), 311-318.</w:t>
      </w:r>
      <w:bookmarkEnd w:id="863"/>
    </w:p>
    <w:p w14:paraId="39FDBD35" w14:textId="77777777" w:rsidR="008B6FC0" w:rsidRPr="008B6FC0" w:rsidRDefault="008B6FC0" w:rsidP="008B6FC0">
      <w:pPr>
        <w:pStyle w:val="EndNoteBibliography"/>
        <w:spacing w:after="360"/>
      </w:pPr>
      <w:bookmarkStart w:id="864" w:name="_ENREF_24"/>
      <w:r w:rsidRPr="008B6FC0">
        <w:lastRenderedPageBreak/>
        <w:t xml:space="preserve">Duffton, A., Sadozye, A., Devlin, L., MacLeod, N., et al. (2018). Safety and feasibility of prostate stereotactic ablative radiotherapy using multimodality imaging and flattening filter free. </w:t>
      </w:r>
      <w:r w:rsidRPr="008B6FC0">
        <w:rPr>
          <w:i/>
        </w:rPr>
        <w:t>Br J Radiol, 91</w:t>
      </w:r>
      <w:r w:rsidRPr="008B6FC0">
        <w:t>(1084), 20170625.</w:t>
      </w:r>
      <w:bookmarkEnd w:id="864"/>
    </w:p>
    <w:p w14:paraId="71435B6F" w14:textId="77777777" w:rsidR="008B6FC0" w:rsidRPr="008B6FC0" w:rsidRDefault="008B6FC0" w:rsidP="008B6FC0">
      <w:pPr>
        <w:pStyle w:val="EndNoteBibliography"/>
        <w:spacing w:after="360"/>
      </w:pPr>
      <w:bookmarkStart w:id="865" w:name="_ENREF_25"/>
      <w:r w:rsidRPr="008B6FC0">
        <w:t xml:space="preserve">Eldredge, H. B., Studenski, M., Keith, S. W., Trabulsi, E., et al. (2011). Post-prostatectomy image-guided radiation therapy: evaluation of toxicity and inter-fraction variation using online cone-beam CT. </w:t>
      </w:r>
      <w:r w:rsidRPr="008B6FC0">
        <w:rPr>
          <w:i/>
        </w:rPr>
        <w:t>J Med Imaging Radiat Oncol, 55</w:t>
      </w:r>
      <w:r w:rsidRPr="008B6FC0">
        <w:t>(5), 507-515.</w:t>
      </w:r>
      <w:bookmarkEnd w:id="865"/>
    </w:p>
    <w:p w14:paraId="3DD9EC25" w14:textId="77777777" w:rsidR="008B6FC0" w:rsidRPr="008B6FC0" w:rsidRDefault="008B6FC0" w:rsidP="008B6FC0">
      <w:pPr>
        <w:pStyle w:val="EndNoteBibliography"/>
        <w:spacing w:after="360"/>
      </w:pPr>
      <w:bookmarkStart w:id="866" w:name="_ENREF_26"/>
      <w:r w:rsidRPr="008B6FC0">
        <w:t xml:space="preserve">Faria, S., Petrucelli, M., Cury, F., Duclos, M., et al. (2016). Acute and late toxicity in high-risk prostate cancer patients treated with androgen suppression and hypofractionated radiotherapy (HypoRT) to the prostate and pelvic nodes. </w:t>
      </w:r>
      <w:r w:rsidRPr="008B6FC0">
        <w:rPr>
          <w:i/>
        </w:rPr>
        <w:t>Radiotherapy and oncology, 120</w:t>
      </w:r>
      <w:r w:rsidRPr="008B6FC0">
        <w:t>.</w:t>
      </w:r>
      <w:bookmarkEnd w:id="866"/>
    </w:p>
    <w:p w14:paraId="2DDB3122" w14:textId="77777777" w:rsidR="008B6FC0" w:rsidRPr="008B6FC0" w:rsidRDefault="008B6FC0" w:rsidP="008B6FC0">
      <w:pPr>
        <w:pStyle w:val="EndNoteBibliography"/>
        <w:spacing w:after="360"/>
      </w:pPr>
      <w:bookmarkStart w:id="867" w:name="_ENREF_27"/>
      <w:r w:rsidRPr="008B6FC0">
        <w:t xml:space="preserve">Feldman, A. M., Modh, A., Glide-Hurst, C., Chetty, I. J., et al. (2019). Real-time Magnetic Resonance-guided Liver Stereotactic Body Radiation Therapy: An Institutional Report Using a Magnetic Resonance-Linac System. </w:t>
      </w:r>
      <w:r w:rsidRPr="008B6FC0">
        <w:rPr>
          <w:i/>
        </w:rPr>
        <w:t>Cureus, 11</w:t>
      </w:r>
      <w:r w:rsidRPr="008B6FC0">
        <w:t>(9), e5774.</w:t>
      </w:r>
      <w:bookmarkEnd w:id="867"/>
    </w:p>
    <w:p w14:paraId="73D9EFE0" w14:textId="77777777" w:rsidR="008B6FC0" w:rsidRPr="008B6FC0" w:rsidRDefault="008B6FC0" w:rsidP="008B6FC0">
      <w:pPr>
        <w:pStyle w:val="EndNoteBibliography"/>
        <w:spacing w:after="360"/>
      </w:pPr>
      <w:bookmarkStart w:id="868" w:name="_ENREF_28"/>
      <w:r w:rsidRPr="008B6FC0">
        <w:t xml:space="preserve">Finazzi, T., Haasbeek, C. J. A., Spoelstra, F. O. B., Palacios, M. A., et al. (2020a). Clinical Outcomes of Stereotactic MR-Guided Adaptive Radiation Therapy for High-Risk Lung Tumors. </w:t>
      </w:r>
      <w:r w:rsidRPr="008B6FC0">
        <w:rPr>
          <w:i/>
        </w:rPr>
        <w:t>International Journal of Radiation Oncology Biology Physics, 107</w:t>
      </w:r>
      <w:r w:rsidRPr="008B6FC0">
        <w:t>(2), 270-278.</w:t>
      </w:r>
      <w:bookmarkEnd w:id="868"/>
    </w:p>
    <w:p w14:paraId="2CFA26A2" w14:textId="77777777" w:rsidR="008B6FC0" w:rsidRPr="008B6FC0" w:rsidRDefault="008B6FC0" w:rsidP="008B6FC0">
      <w:pPr>
        <w:pStyle w:val="EndNoteBibliography"/>
        <w:spacing w:after="360"/>
      </w:pPr>
      <w:bookmarkStart w:id="869" w:name="_ENREF_29"/>
      <w:r w:rsidRPr="008B6FC0">
        <w:t xml:space="preserve">Finazzi, T., van Sornsen de Koste, J. R., Palacios, M. A., Spoelstra, F. O. B., et al. (2020b). Delivery of magnetic resonance-guided single-fraction stereotactic lung radiotherapy. </w:t>
      </w:r>
      <w:r w:rsidRPr="008B6FC0">
        <w:rPr>
          <w:i/>
        </w:rPr>
        <w:t>Physics and Imaging in Radiation Oncology, 14</w:t>
      </w:r>
      <w:r w:rsidRPr="008B6FC0">
        <w:t>, 17-23.</w:t>
      </w:r>
      <w:bookmarkEnd w:id="869"/>
    </w:p>
    <w:p w14:paraId="204D0242" w14:textId="77777777" w:rsidR="008B6FC0" w:rsidRPr="008B6FC0" w:rsidRDefault="008B6FC0" w:rsidP="008B6FC0">
      <w:pPr>
        <w:pStyle w:val="EndNoteBibliography"/>
        <w:spacing w:after="360"/>
      </w:pPr>
      <w:bookmarkStart w:id="870" w:name="_ENREF_30"/>
      <w:r w:rsidRPr="008B6FC0">
        <w:t xml:space="preserve">Frakulli, R., Salvi, F., Balestrini, D., Parisi, A., et al. (2015). Stereotactic radiotherapy in the treatment of lung metastases from bone and soft-tissue sarcomas. </w:t>
      </w:r>
      <w:r w:rsidRPr="008B6FC0">
        <w:rPr>
          <w:i/>
        </w:rPr>
        <w:t>Anticancer Research, 35</w:t>
      </w:r>
      <w:r w:rsidRPr="008B6FC0">
        <w:t>(10), 5581-5586.</w:t>
      </w:r>
      <w:bookmarkEnd w:id="870"/>
    </w:p>
    <w:p w14:paraId="2E1FE4F1" w14:textId="77777777" w:rsidR="008B6FC0" w:rsidRPr="008B6FC0" w:rsidRDefault="008B6FC0" w:rsidP="008B6FC0">
      <w:pPr>
        <w:pStyle w:val="EndNoteBibliography"/>
        <w:spacing w:after="360"/>
      </w:pPr>
      <w:bookmarkStart w:id="871" w:name="_ENREF_31"/>
      <w:r w:rsidRPr="008B6FC0">
        <w:t xml:space="preserve">Girelli, G., Franco, P., Sciacero, P., Cante, D., et al. (2015). Image-guided Intensity-modulated Radiotherapy for Prostate Cancer Employing Hypofractionation and Simultaneous Integrated Boost: Results of a Consecutive Case Series with Focus on Erectile Function. </w:t>
      </w:r>
      <w:r w:rsidRPr="008B6FC0">
        <w:rPr>
          <w:i/>
        </w:rPr>
        <w:t>Anticancer Res, 35</w:t>
      </w:r>
      <w:r w:rsidRPr="008B6FC0">
        <w:t>(7), 4177-4182.</w:t>
      </w:r>
      <w:bookmarkEnd w:id="871"/>
    </w:p>
    <w:p w14:paraId="41E7658C" w14:textId="77777777" w:rsidR="008B6FC0" w:rsidRPr="008B6FC0" w:rsidRDefault="008B6FC0" w:rsidP="008B6FC0">
      <w:pPr>
        <w:pStyle w:val="EndNoteBibliography"/>
        <w:spacing w:after="360"/>
      </w:pPr>
      <w:bookmarkStart w:id="872" w:name="_ENREF_32"/>
      <w:r w:rsidRPr="008B6FC0">
        <w:t xml:space="preserve">Grills, I. S., Hope, A. J., Guckenberger, M., Kestin, L. L., et al. (2012). A collaborative analysis of stereotactic lung radiotherapy outcomes for early-stage non-small-cell lung cancer using daily online cone-beam computed tomography image-guided radiotherapy. </w:t>
      </w:r>
      <w:r w:rsidRPr="008B6FC0">
        <w:rPr>
          <w:i/>
        </w:rPr>
        <w:t>J Thorac Oncol, 7</w:t>
      </w:r>
      <w:r w:rsidRPr="008B6FC0">
        <w:t>(9), 1382-1393.</w:t>
      </w:r>
      <w:bookmarkEnd w:id="872"/>
    </w:p>
    <w:p w14:paraId="7DFF8389" w14:textId="77777777" w:rsidR="008B6FC0" w:rsidRPr="008B6FC0" w:rsidRDefault="008B6FC0" w:rsidP="008B6FC0">
      <w:pPr>
        <w:pStyle w:val="EndNoteBibliography"/>
        <w:spacing w:after="360"/>
      </w:pPr>
      <w:bookmarkStart w:id="873" w:name="_ENREF_33"/>
      <w:r w:rsidRPr="008B6FC0">
        <w:t xml:space="preserve">Guckenberger, M., Baier, K., Polat, B., Richter, A., et al. (2010a). Dose-response relationship for radiation-induced pneumonitis after pulmonary stereotactic body radiotherapy. </w:t>
      </w:r>
      <w:r w:rsidRPr="008B6FC0">
        <w:rPr>
          <w:i/>
        </w:rPr>
        <w:t>Radiother Oncol, 97</w:t>
      </w:r>
      <w:r w:rsidRPr="008B6FC0">
        <w:t>(1), 65-70.</w:t>
      </w:r>
      <w:bookmarkEnd w:id="873"/>
    </w:p>
    <w:p w14:paraId="6CD58CF5" w14:textId="77777777" w:rsidR="008B6FC0" w:rsidRPr="008B6FC0" w:rsidRDefault="008B6FC0" w:rsidP="008B6FC0">
      <w:pPr>
        <w:pStyle w:val="EndNoteBibliography"/>
        <w:spacing w:after="360"/>
      </w:pPr>
      <w:bookmarkStart w:id="874" w:name="_ENREF_34"/>
      <w:r w:rsidRPr="008B6FC0">
        <w:t xml:space="preserve">Guckenberger, M., Lawrenz, I., &amp; Flentje, M. (2014). Moderately hypofractionated radiotherapy for localized prostate cancer: long-term outcome using IMRT and volumetric IGRT. </w:t>
      </w:r>
      <w:r w:rsidRPr="008B6FC0">
        <w:rPr>
          <w:i/>
        </w:rPr>
        <w:t>Strahlenther Onkol, 190</w:t>
      </w:r>
      <w:r w:rsidRPr="008B6FC0">
        <w:t>(1), 48-53.</w:t>
      </w:r>
      <w:bookmarkEnd w:id="874"/>
    </w:p>
    <w:p w14:paraId="6A2A8E78" w14:textId="77777777" w:rsidR="008B6FC0" w:rsidRPr="008B6FC0" w:rsidRDefault="008B6FC0" w:rsidP="008B6FC0">
      <w:pPr>
        <w:pStyle w:val="EndNoteBibliography"/>
        <w:spacing w:after="360"/>
      </w:pPr>
      <w:bookmarkStart w:id="875" w:name="_ENREF_35"/>
      <w:r w:rsidRPr="008B6FC0">
        <w:t xml:space="preserve">Guckenberger, M., Ok, S., Polat, B., Sweeney, R. A., et al. (2010b). Toxicity after intensity-modulated, image-guided radiotherapy for prostate cancer. </w:t>
      </w:r>
      <w:r w:rsidRPr="008B6FC0">
        <w:rPr>
          <w:i/>
        </w:rPr>
        <w:t>Strahlenther Onkol, 186</w:t>
      </w:r>
      <w:r w:rsidRPr="008B6FC0">
        <w:t>(10), 535-543.</w:t>
      </w:r>
      <w:bookmarkEnd w:id="875"/>
    </w:p>
    <w:p w14:paraId="4062E230" w14:textId="77777777" w:rsidR="008B6FC0" w:rsidRPr="008B6FC0" w:rsidRDefault="008B6FC0" w:rsidP="008B6FC0">
      <w:pPr>
        <w:pStyle w:val="EndNoteBibliography"/>
        <w:spacing w:after="360"/>
      </w:pPr>
      <w:bookmarkStart w:id="876" w:name="_ENREF_36"/>
      <w:r w:rsidRPr="008B6FC0">
        <w:lastRenderedPageBreak/>
        <w:t xml:space="preserve">Hall, W. A., Paulson, E. S., van der Heide, U. A., Fuller, C. D., et al. (2019). The transformation of radiation oncology using real-time magnetic resonance guidance: A review. </w:t>
      </w:r>
      <w:r w:rsidRPr="008B6FC0">
        <w:rPr>
          <w:i/>
        </w:rPr>
        <w:t>European Journal of Cancer, 122</w:t>
      </w:r>
      <w:r w:rsidRPr="008B6FC0">
        <w:t>, 42-52.</w:t>
      </w:r>
      <w:bookmarkEnd w:id="876"/>
    </w:p>
    <w:p w14:paraId="1F972FCC" w14:textId="77777777" w:rsidR="008B6FC0" w:rsidRPr="008B6FC0" w:rsidRDefault="008B6FC0" w:rsidP="008B6FC0">
      <w:pPr>
        <w:pStyle w:val="EndNoteBibliography"/>
        <w:spacing w:after="360"/>
      </w:pPr>
      <w:bookmarkStart w:id="877" w:name="_ENREF_37"/>
      <w:r w:rsidRPr="008B6FC0">
        <w:t xml:space="preserve">Henke, L., Kashani, R., Robinson, C., Curcuru, A., et al. (2018). Phase I trial of stereotactic MR-guided online adaptive radiation therapy (SMART) for the treatment of oligometastatic or unresectable primary malignancies of the abdomen. </w:t>
      </w:r>
      <w:r w:rsidRPr="008B6FC0">
        <w:rPr>
          <w:i/>
        </w:rPr>
        <w:t>Radiother Oncol, 126</w:t>
      </w:r>
      <w:r w:rsidRPr="008B6FC0">
        <w:t>(3), 519-526.</w:t>
      </w:r>
      <w:bookmarkEnd w:id="877"/>
    </w:p>
    <w:p w14:paraId="63487B79" w14:textId="77777777" w:rsidR="008B6FC0" w:rsidRPr="008B6FC0" w:rsidRDefault="008B6FC0" w:rsidP="008B6FC0">
      <w:pPr>
        <w:pStyle w:val="EndNoteBibliography"/>
        <w:spacing w:after="360"/>
      </w:pPr>
      <w:bookmarkStart w:id="878" w:name="_ENREF_38"/>
      <w:r w:rsidRPr="008B6FC0">
        <w:t xml:space="preserve">Hopper, A. B., Sandhu, A. P. S., Parsons, J. K., Rose, B., et al. (2018). Salvage image guided radiation therapy to the prostate after cryotherapy failure. </w:t>
      </w:r>
      <w:r w:rsidRPr="008B6FC0">
        <w:rPr>
          <w:i/>
        </w:rPr>
        <w:t>Advances in Radiation Oncology, 3</w:t>
      </w:r>
      <w:r w:rsidRPr="008B6FC0">
        <w:t>(1), 52-56.</w:t>
      </w:r>
      <w:bookmarkEnd w:id="878"/>
    </w:p>
    <w:p w14:paraId="2C3DFC23" w14:textId="77777777" w:rsidR="008B6FC0" w:rsidRPr="008B6FC0" w:rsidRDefault="008B6FC0" w:rsidP="008B6FC0">
      <w:pPr>
        <w:pStyle w:val="EndNoteBibliography"/>
        <w:spacing w:after="360"/>
      </w:pPr>
      <w:bookmarkStart w:id="879" w:name="_ENREF_39"/>
      <w:r w:rsidRPr="008B6FC0">
        <w:t xml:space="preserve">Ingrosso, G., Carosi, A., Cristino, D. D., Ponti, E., et al. (2018). Volumetric image-guided conformal radiotherapy for localized prostate cancer: Analysis of dosimetric and clinical factors affecting acute and late toxicity. </w:t>
      </w:r>
      <w:r w:rsidRPr="008B6FC0">
        <w:rPr>
          <w:i/>
        </w:rPr>
        <w:t>Reports of Practical Oncology and Radiotherapy, 23</w:t>
      </w:r>
      <w:r w:rsidRPr="008B6FC0">
        <w:t>(5), 315-321.</w:t>
      </w:r>
      <w:bookmarkEnd w:id="879"/>
    </w:p>
    <w:p w14:paraId="36858E3A" w14:textId="77777777" w:rsidR="008B6FC0" w:rsidRPr="008B6FC0" w:rsidRDefault="008B6FC0" w:rsidP="008B6FC0">
      <w:pPr>
        <w:pStyle w:val="EndNoteBibliography"/>
        <w:spacing w:after="360"/>
      </w:pPr>
      <w:bookmarkStart w:id="880" w:name="_ENREF_40"/>
      <w:r w:rsidRPr="008B6FC0">
        <w:t xml:space="preserve">Ingrosso, G., Carosi, A., di Cristino, D., Ponti, E., et al. (2017). Volumetric image-guided highly conformal radiotherapy of the prostate bed: Toxicity analysis. </w:t>
      </w:r>
      <w:r w:rsidRPr="008B6FC0">
        <w:rPr>
          <w:i/>
        </w:rPr>
        <w:t>Reports of Practical Oncology and Radiotherapy, 22</w:t>
      </w:r>
      <w:r w:rsidRPr="008B6FC0">
        <w:t>(1), 64-70.</w:t>
      </w:r>
      <w:bookmarkEnd w:id="880"/>
    </w:p>
    <w:p w14:paraId="41AC230E" w14:textId="77777777" w:rsidR="008B6FC0" w:rsidRPr="008B6FC0" w:rsidRDefault="008B6FC0" w:rsidP="008B6FC0">
      <w:pPr>
        <w:pStyle w:val="EndNoteBibliography"/>
        <w:spacing w:after="360"/>
      </w:pPr>
      <w:bookmarkStart w:id="881" w:name="_ENREF_41"/>
      <w:r w:rsidRPr="008B6FC0">
        <w:t xml:space="preserve">Ishii, K., Ogino, R., Hosokawa, Y., Fujioka, C., et al. (2016). Comparison of dosimetric parameters and acute toxicity after whole-pelvic vs prostate-only volumetric-modulated arc therapy with daily image guidance for prostate cancer. </w:t>
      </w:r>
      <w:r w:rsidRPr="008B6FC0">
        <w:rPr>
          <w:i/>
        </w:rPr>
        <w:t>Br J Radiol, 89</w:t>
      </w:r>
      <w:r w:rsidRPr="008B6FC0">
        <w:t>(1062), 20150930.</w:t>
      </w:r>
      <w:bookmarkEnd w:id="881"/>
    </w:p>
    <w:p w14:paraId="00813910" w14:textId="77777777" w:rsidR="008B6FC0" w:rsidRPr="008B6FC0" w:rsidRDefault="008B6FC0" w:rsidP="008B6FC0">
      <w:pPr>
        <w:pStyle w:val="EndNoteBibliography"/>
        <w:spacing w:after="360"/>
      </w:pPr>
      <w:bookmarkStart w:id="882" w:name="_ENREF_42"/>
      <w:r w:rsidRPr="008B6FC0">
        <w:t xml:space="preserve">Keall, P., Nguyen, D. T., O'Brien, R., Hewson, E., et al. (2020). Real-Time Image Guided Ablative Prostate Cancer Radiation Therapy: Results From the TROG 15.01 SPARK Trial. </w:t>
      </w:r>
      <w:r w:rsidRPr="008B6FC0">
        <w:rPr>
          <w:i/>
        </w:rPr>
        <w:t>International Journal of Radiation Oncology Biology Physics, 107</w:t>
      </w:r>
      <w:r w:rsidRPr="008B6FC0">
        <w:t>(3), 530-538.</w:t>
      </w:r>
      <w:bookmarkEnd w:id="882"/>
    </w:p>
    <w:p w14:paraId="0AE857D2" w14:textId="77777777" w:rsidR="008B6FC0" w:rsidRPr="008B6FC0" w:rsidRDefault="008B6FC0" w:rsidP="008B6FC0">
      <w:pPr>
        <w:pStyle w:val="EndNoteBibliography"/>
        <w:spacing w:after="360"/>
      </w:pPr>
      <w:bookmarkStart w:id="883" w:name="_ENREF_43"/>
      <w:r w:rsidRPr="008B6FC0">
        <w:t xml:space="preserve">Kerkmeijer, L. G., Fuller, C. D., Verkooijen, H. M., Verheij, M., et al. (2016). The MRI-Linear Accelerator Consortium: Evidence-Based Clinical Introduction of an Innovation in Radiation Oncology Connecting Researchers, Methodology, Data Collection, Quality Assurance, and Technical Development. </w:t>
      </w:r>
      <w:r w:rsidRPr="008B6FC0">
        <w:rPr>
          <w:i/>
        </w:rPr>
        <w:t>Front Oncol, 6</w:t>
      </w:r>
      <w:r w:rsidRPr="008B6FC0">
        <w:t>, 215.</w:t>
      </w:r>
      <w:bookmarkEnd w:id="883"/>
    </w:p>
    <w:p w14:paraId="4243E5B4" w14:textId="77777777" w:rsidR="008B6FC0" w:rsidRPr="008B6FC0" w:rsidRDefault="008B6FC0" w:rsidP="008B6FC0">
      <w:pPr>
        <w:pStyle w:val="EndNoteBibliography"/>
        <w:spacing w:after="360"/>
      </w:pPr>
      <w:bookmarkStart w:id="884" w:name="_ENREF_44"/>
      <w:r w:rsidRPr="008B6FC0">
        <w:t xml:space="preserve">Kestin, L., Grills, I., Guckenberger, M., Belderbos, J., et al. (2014). Dose-response relationship with clinical outcome for lung stereotactic body radiotherapy (SBRT) delivered via online image guidance. </w:t>
      </w:r>
      <w:r w:rsidRPr="008B6FC0">
        <w:rPr>
          <w:i/>
        </w:rPr>
        <w:t>Radiotherapy and Oncology, 110</w:t>
      </w:r>
      <w:r w:rsidRPr="008B6FC0">
        <w:t>(3), 499-504.</w:t>
      </w:r>
      <w:bookmarkEnd w:id="884"/>
    </w:p>
    <w:p w14:paraId="6E2C39D6" w14:textId="77777777" w:rsidR="008B6FC0" w:rsidRPr="008B6FC0" w:rsidRDefault="008B6FC0" w:rsidP="008B6FC0">
      <w:pPr>
        <w:pStyle w:val="EndNoteBibliography"/>
        <w:spacing w:after="360"/>
      </w:pPr>
      <w:bookmarkStart w:id="885" w:name="_ENREF_45"/>
      <w:r w:rsidRPr="008B6FC0">
        <w:t xml:space="preserve">Kilburn, J. M., Soike, M. H., Lucas, J. T., Ayala-Peacock, D., et al. (2016). Image guided radiation therapy may result in improved local control in locally advanced lung cancer patients. </w:t>
      </w:r>
      <w:r w:rsidRPr="008B6FC0">
        <w:rPr>
          <w:i/>
        </w:rPr>
        <w:t>Pract Radiat Oncol, 6</w:t>
      </w:r>
      <w:r w:rsidRPr="008B6FC0">
        <w:t>(3), e73-e80.</w:t>
      </w:r>
      <w:bookmarkEnd w:id="885"/>
    </w:p>
    <w:p w14:paraId="2B2A27E7" w14:textId="77777777" w:rsidR="008B6FC0" w:rsidRPr="008B6FC0" w:rsidRDefault="008B6FC0" w:rsidP="008B6FC0">
      <w:pPr>
        <w:pStyle w:val="EndNoteBibliography"/>
        <w:spacing w:after="360"/>
      </w:pPr>
      <w:bookmarkStart w:id="886" w:name="_ENREF_46"/>
      <w:r w:rsidRPr="008B6FC0">
        <w:t xml:space="preserve">Kim, E., Wu, H. G., Park, J. M., Kim, J. I., et al. (2018). Lung density change after SABR: A comparative study between tri-Co-60 magnetic resonance-guided system and linear accelerator. </w:t>
      </w:r>
      <w:r w:rsidRPr="008B6FC0">
        <w:rPr>
          <w:i/>
        </w:rPr>
        <w:t>PLoS ONE, 13</w:t>
      </w:r>
      <w:r w:rsidRPr="008B6FC0">
        <w:t>(4), e0195196.</w:t>
      </w:r>
      <w:bookmarkEnd w:id="886"/>
    </w:p>
    <w:p w14:paraId="0C2195EF" w14:textId="77777777" w:rsidR="008B6FC0" w:rsidRPr="008B6FC0" w:rsidRDefault="008B6FC0" w:rsidP="008B6FC0">
      <w:pPr>
        <w:pStyle w:val="EndNoteBibliography"/>
        <w:spacing w:after="360"/>
      </w:pPr>
      <w:bookmarkStart w:id="887" w:name="_ENREF_47"/>
      <w:r w:rsidRPr="008B6FC0">
        <w:t xml:space="preserve">Kim, N., Kim, H. J., Won, J. Y., Kim, D. Y., et al. (2019). Retrospective analysis of stereotactic body radiation therapy efficacy over radiofrequency ablation for hepatocellular carcinoma. </w:t>
      </w:r>
      <w:r w:rsidRPr="008B6FC0">
        <w:rPr>
          <w:i/>
        </w:rPr>
        <w:t>Radiotherapy and Oncology, 131</w:t>
      </w:r>
      <w:r w:rsidRPr="008B6FC0">
        <w:t>, 81-87.</w:t>
      </w:r>
      <w:bookmarkEnd w:id="887"/>
    </w:p>
    <w:p w14:paraId="3FB24A1E" w14:textId="77777777" w:rsidR="008B6FC0" w:rsidRPr="008B6FC0" w:rsidRDefault="008B6FC0" w:rsidP="008B6FC0">
      <w:pPr>
        <w:pStyle w:val="EndNoteBibliography"/>
        <w:spacing w:after="360"/>
      </w:pPr>
      <w:bookmarkStart w:id="888" w:name="_ENREF_48"/>
      <w:r w:rsidRPr="008B6FC0">
        <w:lastRenderedPageBreak/>
        <w:t xml:space="preserve">Kluter, S., Katayama, S., Spindeldreier, C. K., Koerber, S. A., et al. (2020). First prospective clinical evaluation of feasibility and patient acceptance of magnetic resonance-guided radiotherapy in Germany. </w:t>
      </w:r>
      <w:r w:rsidRPr="008B6FC0">
        <w:rPr>
          <w:i/>
        </w:rPr>
        <w:t>Strahlentherapie und Onkologie, 196</w:t>
      </w:r>
      <w:r w:rsidRPr="008B6FC0">
        <w:t>(8), 691-698.</w:t>
      </w:r>
      <w:bookmarkEnd w:id="888"/>
    </w:p>
    <w:p w14:paraId="457E8490" w14:textId="77777777" w:rsidR="008B6FC0" w:rsidRPr="008B6FC0" w:rsidRDefault="008B6FC0" w:rsidP="008B6FC0">
      <w:pPr>
        <w:pStyle w:val="EndNoteBibliography"/>
        <w:spacing w:after="360"/>
      </w:pPr>
      <w:bookmarkStart w:id="889" w:name="_ENREF_49"/>
      <w:r w:rsidRPr="008B6FC0">
        <w:t xml:space="preserve">Levin-Epstein, R., Qiao-Guan, G., Juarez, J. E., Shen, Z., et al. (2020). Clinical Assessment of Prostate Displacement and Planning Target Volume Margins for Stereotactic Body Radiotherapy of Prostate Cancer. </w:t>
      </w:r>
      <w:r w:rsidRPr="008B6FC0">
        <w:rPr>
          <w:i/>
        </w:rPr>
        <w:t>Frontiers in Oncology, 10 (no pagination)</w:t>
      </w:r>
      <w:r w:rsidRPr="008B6FC0">
        <w:t>.</w:t>
      </w:r>
      <w:bookmarkEnd w:id="889"/>
    </w:p>
    <w:p w14:paraId="0D31A4F2" w14:textId="77777777" w:rsidR="008B6FC0" w:rsidRPr="008B6FC0" w:rsidRDefault="008B6FC0" w:rsidP="008B6FC0">
      <w:pPr>
        <w:pStyle w:val="EndNoteBibliography"/>
        <w:spacing w:after="360"/>
      </w:pPr>
      <w:bookmarkStart w:id="890" w:name="_ENREF_50"/>
      <w:r w:rsidRPr="008B6FC0">
        <w:t xml:space="preserve">Liberati, A., Altman, D. G., Tetzlaff, J., Mulrow, C., et al. (2009). The PRISMA statement for reporting systematic reviews and meta-analyses of studies that evaluate healthcare interventions: explanation and elaboration. </w:t>
      </w:r>
      <w:r w:rsidRPr="008B6FC0">
        <w:rPr>
          <w:i/>
        </w:rPr>
        <w:t>BMJ, 339</w:t>
      </w:r>
      <w:r w:rsidRPr="008B6FC0">
        <w:t>, b2700.</w:t>
      </w:r>
      <w:bookmarkEnd w:id="890"/>
    </w:p>
    <w:p w14:paraId="77E75388" w14:textId="77777777" w:rsidR="008B6FC0" w:rsidRPr="008B6FC0" w:rsidRDefault="008B6FC0" w:rsidP="008B6FC0">
      <w:pPr>
        <w:pStyle w:val="EndNoteBibliography"/>
        <w:spacing w:after="360"/>
      </w:pPr>
      <w:bookmarkStart w:id="891" w:name="_ENREF_51"/>
      <w:r w:rsidRPr="008B6FC0">
        <w:t xml:space="preserve">Mazzola, R., Fersino, S., Aiello, D., Gregucci, F., et al. (2018). Linac-based stereotactic body radiation therapy for unresectable locally advanced pancreatic cancer: risk-adapted dose prescription and image-guided delivery. </w:t>
      </w:r>
      <w:r w:rsidRPr="008B6FC0">
        <w:rPr>
          <w:i/>
        </w:rPr>
        <w:t>Strahlenther Onkol, 194</w:t>
      </w:r>
      <w:r w:rsidRPr="008B6FC0">
        <w:t>(9), 835-842.</w:t>
      </w:r>
      <w:bookmarkEnd w:id="891"/>
    </w:p>
    <w:p w14:paraId="44CD7BE0" w14:textId="77777777" w:rsidR="008B6FC0" w:rsidRPr="008B6FC0" w:rsidRDefault="008B6FC0" w:rsidP="008B6FC0">
      <w:pPr>
        <w:pStyle w:val="EndNoteBibliography"/>
        <w:spacing w:after="360"/>
      </w:pPr>
      <w:bookmarkStart w:id="892" w:name="_ENREF_52"/>
      <w:r w:rsidRPr="008B6FC0">
        <w:t xml:space="preserve">Nakamura, K., Mizowaki, T., Inokuchi, H., Ikeda, I., et al. (2018). Decreased acute toxicities of intensity-modulated radiation therapy for localized prostate cancer with prostate-based versus bone-based image guidance. </w:t>
      </w:r>
      <w:r w:rsidRPr="008B6FC0">
        <w:rPr>
          <w:i/>
        </w:rPr>
        <w:t>Int J Clin Oncol, 23</w:t>
      </w:r>
      <w:r w:rsidRPr="008B6FC0">
        <w:t>(1), 158-164.</w:t>
      </w:r>
      <w:bookmarkEnd w:id="892"/>
    </w:p>
    <w:p w14:paraId="110EA495" w14:textId="77777777" w:rsidR="008B6FC0" w:rsidRPr="008B6FC0" w:rsidRDefault="008B6FC0" w:rsidP="008B6FC0">
      <w:pPr>
        <w:pStyle w:val="EndNoteBibliography"/>
        <w:spacing w:after="360"/>
      </w:pPr>
      <w:bookmarkStart w:id="893" w:name="_ENREF_53"/>
      <w:r w:rsidRPr="008B6FC0">
        <w:t xml:space="preserve">Naoi, Y., Yamada, K., Kurokawa, C., Kunogi, H., et al. (2019). Late rectal bleeding after volumetric-modulated arc therapy for localised prostatic cancer. </w:t>
      </w:r>
      <w:r w:rsidRPr="008B6FC0">
        <w:rPr>
          <w:i/>
        </w:rPr>
        <w:t>Journal of Radiotherapy in Practice, 18</w:t>
      </w:r>
      <w:r w:rsidRPr="008B6FC0">
        <w:t>(2), 165-168.</w:t>
      </w:r>
      <w:bookmarkEnd w:id="893"/>
    </w:p>
    <w:p w14:paraId="52F6C91C" w14:textId="77777777" w:rsidR="008B6FC0" w:rsidRPr="008B6FC0" w:rsidRDefault="008B6FC0" w:rsidP="008B6FC0">
      <w:pPr>
        <w:pStyle w:val="EndNoteBibliography"/>
        <w:spacing w:after="360"/>
      </w:pPr>
      <w:bookmarkStart w:id="894" w:name="_ENREF_54"/>
      <w:r w:rsidRPr="008B6FC0">
        <w:t xml:space="preserve">Nath, S. K., Sandhu, A. P., Rose, B. S., Simpson, D. R., et al. (2010). Toxicity analysis of postoperative image-guided intensity-modulated radiotherapy for prostate cancer. </w:t>
      </w:r>
      <w:r w:rsidRPr="008B6FC0">
        <w:rPr>
          <w:i/>
        </w:rPr>
        <w:t>Int J Radiat Oncol Biol Phys, 78</w:t>
      </w:r>
      <w:r w:rsidRPr="008B6FC0">
        <w:t>(2), 435-441.</w:t>
      </w:r>
      <w:bookmarkEnd w:id="894"/>
    </w:p>
    <w:p w14:paraId="57825CD9" w14:textId="77777777" w:rsidR="008B6FC0" w:rsidRPr="008B6FC0" w:rsidRDefault="008B6FC0" w:rsidP="008B6FC0">
      <w:pPr>
        <w:pStyle w:val="EndNoteBibliography"/>
        <w:spacing w:after="360"/>
      </w:pPr>
      <w:bookmarkStart w:id="895" w:name="_ENREF_55"/>
      <w:r w:rsidRPr="008B6FC0">
        <w:t xml:space="preserve">Navran, A., Heemsbergen, W., Janssen, T., Hamming-Vrieze, O., et al. (2019). The impact of margin reduction on outcome and toxicity in head and neck cancer patients treated with image-guided volumetric modulated arc therapy (VMAT). </w:t>
      </w:r>
      <w:r w:rsidRPr="008B6FC0">
        <w:rPr>
          <w:i/>
        </w:rPr>
        <w:t>Radiother Oncol, 130</w:t>
      </w:r>
      <w:r w:rsidRPr="008B6FC0">
        <w:t>, 25-31.</w:t>
      </w:r>
      <w:bookmarkEnd w:id="895"/>
    </w:p>
    <w:p w14:paraId="797E30EA" w14:textId="77777777" w:rsidR="008B6FC0" w:rsidRPr="008B6FC0" w:rsidRDefault="008B6FC0" w:rsidP="008B6FC0">
      <w:pPr>
        <w:pStyle w:val="EndNoteBibliography"/>
        <w:spacing w:after="360"/>
      </w:pPr>
      <w:bookmarkStart w:id="896" w:name="_ENREF_56"/>
      <w:r w:rsidRPr="008B6FC0">
        <w:t xml:space="preserve">Ost, P., De Gersem, W., De Potter, B., Fonteyne, V., et al. (2011). A comparison of the acute toxicity profile between two-dimensional and three-dimensional image-guided radiotherapy for postoperative prostate cancer. </w:t>
      </w:r>
      <w:r w:rsidRPr="008B6FC0">
        <w:rPr>
          <w:i/>
        </w:rPr>
        <w:t>Clin Oncol (R Coll Radiol), 23</w:t>
      </w:r>
      <w:r w:rsidRPr="008B6FC0">
        <w:t>(5), 344-349.</w:t>
      </w:r>
      <w:bookmarkEnd w:id="896"/>
    </w:p>
    <w:p w14:paraId="7BFF2180" w14:textId="77777777" w:rsidR="008B6FC0" w:rsidRPr="008B6FC0" w:rsidRDefault="008B6FC0" w:rsidP="008B6FC0">
      <w:pPr>
        <w:pStyle w:val="EndNoteBibliography"/>
        <w:spacing w:after="360"/>
      </w:pPr>
      <w:bookmarkStart w:id="897" w:name="_ENREF_57"/>
      <w:r w:rsidRPr="008B6FC0">
        <w:t xml:space="preserve">Parikh, N. R., Lee, P. P., Raman, S. S., Cao, M., et al. (2020). Time-Driven Activity-Based Costing Comparison of CT-Guided Versus MR-Guided SBRT. </w:t>
      </w:r>
      <w:r w:rsidRPr="008B6FC0">
        <w:rPr>
          <w:i/>
        </w:rPr>
        <w:t>JCO Oncology Practice, 16</w:t>
      </w:r>
      <w:r w:rsidRPr="008B6FC0">
        <w:t>(11), e1378-e1385.</w:t>
      </w:r>
      <w:bookmarkEnd w:id="897"/>
    </w:p>
    <w:p w14:paraId="23D9F033" w14:textId="77777777" w:rsidR="008B6FC0" w:rsidRPr="008B6FC0" w:rsidRDefault="008B6FC0" w:rsidP="008B6FC0">
      <w:pPr>
        <w:pStyle w:val="EndNoteBibliography"/>
        <w:spacing w:after="360"/>
      </w:pPr>
      <w:bookmarkStart w:id="898" w:name="_ENREF_58"/>
      <w:r w:rsidRPr="008B6FC0">
        <w:t xml:space="preserve">Price, T. R., Perkins, S. M., Sandrasegaran, K., Henderson, M. A., et al. (2012). Evaluation of response after stereotactic body radiotherapy for hepatocellular carcinoma. </w:t>
      </w:r>
      <w:r w:rsidRPr="008B6FC0">
        <w:rPr>
          <w:i/>
        </w:rPr>
        <w:t>Cancer, 118</w:t>
      </w:r>
      <w:r w:rsidRPr="008B6FC0">
        <w:t>(12), 3191-3198.</w:t>
      </w:r>
      <w:bookmarkEnd w:id="898"/>
    </w:p>
    <w:p w14:paraId="64588944" w14:textId="77777777" w:rsidR="008B6FC0" w:rsidRPr="008B6FC0" w:rsidRDefault="008B6FC0" w:rsidP="008B6FC0">
      <w:pPr>
        <w:pStyle w:val="EndNoteBibliography"/>
        <w:spacing w:after="360"/>
      </w:pPr>
      <w:bookmarkStart w:id="899" w:name="_ENREF_59"/>
      <w:r w:rsidRPr="008B6FC0">
        <w:t xml:space="preserve">Pryor, D., Sidhom, M., Arumugam, S., Bucci, J., et al. (2019). Phase 2 multicenter study of gantry-based stereotactic radiotherapy boost for intermediate and high risk prostate cancer (PROMETHEUS). </w:t>
      </w:r>
      <w:r w:rsidRPr="008B6FC0">
        <w:rPr>
          <w:i/>
        </w:rPr>
        <w:t>Frontiers in Oncology, 9</w:t>
      </w:r>
      <w:r w:rsidRPr="008B6FC0">
        <w:t>(APR).</w:t>
      </w:r>
      <w:bookmarkEnd w:id="899"/>
    </w:p>
    <w:p w14:paraId="6D65FBEE" w14:textId="77777777" w:rsidR="008B6FC0" w:rsidRPr="008B6FC0" w:rsidRDefault="008B6FC0" w:rsidP="008B6FC0">
      <w:pPr>
        <w:pStyle w:val="EndNoteBibliography"/>
        <w:spacing w:after="360"/>
      </w:pPr>
      <w:bookmarkStart w:id="900" w:name="_ENREF_60"/>
      <w:r w:rsidRPr="008B6FC0">
        <w:lastRenderedPageBreak/>
        <w:t xml:space="preserve">Rosenberg, S. A., Henke, L. E., Shaverdian, N., Mittauer, K., et al. (2019). A Multi-Institutional Experience of MR-Guided Liver Stereotactic Body Radiation Therapy. </w:t>
      </w:r>
      <w:r w:rsidRPr="008B6FC0">
        <w:rPr>
          <w:i/>
        </w:rPr>
        <w:t>Adv Radiat Oncol, 4</w:t>
      </w:r>
      <w:r w:rsidRPr="008B6FC0">
        <w:t>(1), 142-149.</w:t>
      </w:r>
      <w:bookmarkEnd w:id="900"/>
    </w:p>
    <w:p w14:paraId="1B7803DC" w14:textId="77777777" w:rsidR="008B6FC0" w:rsidRPr="008B6FC0" w:rsidRDefault="008B6FC0" w:rsidP="008B6FC0">
      <w:pPr>
        <w:pStyle w:val="EndNoteBibliography"/>
        <w:spacing w:after="360"/>
      </w:pPr>
      <w:bookmarkStart w:id="901" w:name="_ENREF_61"/>
      <w:r w:rsidRPr="008B6FC0">
        <w:t xml:space="preserve">Rudra, S., Jiang, N., Rosenberg, S. A., Olsen, J. R., et al. (2019). Using adaptive magnetic resonance image-guided radiation therapy for treatment of inoperable pancreatic cancer. </w:t>
      </w:r>
      <w:r w:rsidRPr="008B6FC0">
        <w:rPr>
          <w:i/>
        </w:rPr>
        <w:t>Cancer Med, 8</w:t>
      </w:r>
      <w:r w:rsidRPr="008B6FC0">
        <w:t>(5), 2123-2132.</w:t>
      </w:r>
      <w:bookmarkEnd w:id="901"/>
    </w:p>
    <w:p w14:paraId="7425C892" w14:textId="77777777" w:rsidR="008B6FC0" w:rsidRPr="008B6FC0" w:rsidRDefault="008B6FC0" w:rsidP="008B6FC0">
      <w:pPr>
        <w:pStyle w:val="EndNoteBibliography"/>
        <w:spacing w:after="360"/>
      </w:pPr>
      <w:bookmarkStart w:id="902" w:name="_ENREF_62"/>
      <w:r w:rsidRPr="008B6FC0">
        <w:t xml:space="preserve">Schumacher, L.-E. D., Dal Pra, A., Hoffe, S. E., &amp; Mellon, E. A. (2020). Toxicity reduction required for MRI-guided radiotherapy to be cost-effective in the treatment of localized prostate cancer. </w:t>
      </w:r>
      <w:r w:rsidRPr="008B6FC0">
        <w:rPr>
          <w:i/>
        </w:rPr>
        <w:t>The British journal of radiology, 93</w:t>
      </w:r>
      <w:r w:rsidRPr="008B6FC0">
        <w:t>(1114), 20200028.</w:t>
      </w:r>
      <w:bookmarkEnd w:id="902"/>
    </w:p>
    <w:p w14:paraId="7051FA19" w14:textId="77777777" w:rsidR="008B6FC0" w:rsidRPr="008B6FC0" w:rsidRDefault="008B6FC0" w:rsidP="008B6FC0">
      <w:pPr>
        <w:pStyle w:val="EndNoteBibliography"/>
        <w:spacing w:after="360"/>
      </w:pPr>
      <w:bookmarkStart w:id="903" w:name="_ENREF_63"/>
      <w:r w:rsidRPr="008B6FC0">
        <w:t xml:space="preserve">Shelan, M., Odermatt, S., Bojaxhiu, B., Nguyen, D. P., et al. (2019). Disease control with delayed salvage radiotherapy for macroscopic local recurrence following radical prostatectomy. </w:t>
      </w:r>
      <w:r w:rsidRPr="008B6FC0">
        <w:rPr>
          <w:i/>
        </w:rPr>
        <w:t>Frontiers in Oncology, 9</w:t>
      </w:r>
      <w:r w:rsidRPr="008B6FC0">
        <w:t>(FEB).</w:t>
      </w:r>
      <w:bookmarkEnd w:id="903"/>
    </w:p>
    <w:p w14:paraId="27B8D56A" w14:textId="77777777" w:rsidR="008B6FC0" w:rsidRPr="008B6FC0" w:rsidRDefault="008B6FC0" w:rsidP="008B6FC0">
      <w:pPr>
        <w:pStyle w:val="EndNoteBibliography"/>
        <w:spacing w:after="360"/>
      </w:pPr>
      <w:bookmarkStart w:id="904" w:name="_ENREF_64"/>
      <w:r w:rsidRPr="008B6FC0">
        <w:t xml:space="preserve">Shen, Y., Zhang, H., Wang, J., Zhong, R., et al. (2010). Hypofractionated radiotherapy for lung tumors with online cone beam CT guidance and active breathing control. </w:t>
      </w:r>
      <w:r w:rsidRPr="008B6FC0">
        <w:rPr>
          <w:i/>
        </w:rPr>
        <w:t>Radiat, 5</w:t>
      </w:r>
      <w:r w:rsidRPr="008B6FC0">
        <w:t>, 19.</w:t>
      </w:r>
      <w:bookmarkEnd w:id="904"/>
    </w:p>
    <w:p w14:paraId="15664F27" w14:textId="77777777" w:rsidR="008B6FC0" w:rsidRPr="008B6FC0" w:rsidRDefault="008B6FC0" w:rsidP="008B6FC0">
      <w:pPr>
        <w:pStyle w:val="EndNoteBibliography"/>
        <w:spacing w:after="360"/>
      </w:pPr>
      <w:bookmarkStart w:id="905" w:name="_ENREF_65"/>
      <w:r w:rsidRPr="008B6FC0">
        <w:t xml:space="preserve">Simpson, D. R., Einck, J. P., Nath, S. K., Sethi, R. A., et al. (2011). Comparison of daily cone-beam computed tomography and kilovoltage planar imaging for target localization in prostate cancer patients following radical prostatectomy. </w:t>
      </w:r>
      <w:r w:rsidRPr="008B6FC0">
        <w:rPr>
          <w:i/>
        </w:rPr>
        <w:t>Practical Radiation Oncology, 1</w:t>
      </w:r>
      <w:r w:rsidRPr="008B6FC0">
        <w:t>(3), 156-162.</w:t>
      </w:r>
      <w:bookmarkEnd w:id="905"/>
    </w:p>
    <w:p w14:paraId="46D5D469" w14:textId="77777777" w:rsidR="008B6FC0" w:rsidRPr="008B6FC0" w:rsidRDefault="008B6FC0" w:rsidP="008B6FC0">
      <w:pPr>
        <w:pStyle w:val="EndNoteBibliography"/>
        <w:spacing w:after="360"/>
      </w:pPr>
      <w:bookmarkStart w:id="906" w:name="_ENREF_66"/>
      <w:r w:rsidRPr="008B6FC0">
        <w:t xml:space="preserve">Srinivasan, K., Mohammadi, M., &amp; Shepherd, J. (2014). Applications of linac-mounted kilovoltage Cone-beam Computed Tomography in modern radiation therapy: A review. </w:t>
      </w:r>
      <w:r w:rsidRPr="008B6FC0">
        <w:rPr>
          <w:i/>
        </w:rPr>
        <w:t>Pol J Radiol, 79</w:t>
      </w:r>
      <w:r w:rsidRPr="008B6FC0">
        <w:t>, 181-193.</w:t>
      </w:r>
      <w:bookmarkEnd w:id="906"/>
    </w:p>
    <w:p w14:paraId="11CFC59B" w14:textId="77777777" w:rsidR="008B6FC0" w:rsidRPr="008B6FC0" w:rsidRDefault="008B6FC0" w:rsidP="008B6FC0">
      <w:pPr>
        <w:pStyle w:val="EndNoteBibliography"/>
        <w:spacing w:after="360"/>
      </w:pPr>
      <w:bookmarkStart w:id="907" w:name="_ENREF_67"/>
      <w:r w:rsidRPr="008B6FC0">
        <w:t xml:space="preserve">Stone, B., Mangona, V. S., Johnson, M. D., Ye, H., et al. (2015). Changes in Pulmonary Function Following Image-Guided Stereotactic Lung Radiotherapy: Neither Lower Baseline Nor Post-SBRT Pulmonary Function Are Associated with Worse Overall Survival. </w:t>
      </w:r>
      <w:r w:rsidRPr="008B6FC0">
        <w:rPr>
          <w:i/>
        </w:rPr>
        <w:t>Journal of Thoracic Oncology, 10</w:t>
      </w:r>
      <w:r w:rsidRPr="008B6FC0">
        <w:t>(12), 1762-1769.</w:t>
      </w:r>
      <w:bookmarkEnd w:id="907"/>
    </w:p>
    <w:p w14:paraId="1D7D4E17" w14:textId="77777777" w:rsidR="008B6FC0" w:rsidRPr="008B6FC0" w:rsidRDefault="008B6FC0" w:rsidP="008B6FC0">
      <w:pPr>
        <w:pStyle w:val="EndNoteBibliography"/>
        <w:spacing w:after="360"/>
      </w:pPr>
      <w:bookmarkStart w:id="908" w:name="_ENREF_68"/>
      <w:r w:rsidRPr="008B6FC0">
        <w:t xml:space="preserve">Swamy, K., Narayanan, V. K. S., Basu, S., Maiya, V., et al. (2009). Dose escalation in image-guided, intensity-modulated radiotherapy of carcinoma prostate: Initial experience in India. </w:t>
      </w:r>
      <w:r w:rsidRPr="008B6FC0">
        <w:rPr>
          <w:i/>
        </w:rPr>
        <w:t>Journal of Cancer Research and Therapeutics, 5</w:t>
      </w:r>
      <w:r w:rsidRPr="008B6FC0">
        <w:t>(4), 277-283.</w:t>
      </w:r>
      <w:bookmarkEnd w:id="908"/>
    </w:p>
    <w:p w14:paraId="652F049E" w14:textId="77777777" w:rsidR="008B6FC0" w:rsidRPr="008B6FC0" w:rsidRDefault="008B6FC0" w:rsidP="008B6FC0">
      <w:pPr>
        <w:pStyle w:val="EndNoteBibliography"/>
        <w:spacing w:after="360"/>
        <w:rPr>
          <w:i/>
        </w:rPr>
      </w:pPr>
      <w:bookmarkStart w:id="909" w:name="_ENREF_69"/>
      <w:r w:rsidRPr="008B6FC0">
        <w:t xml:space="preserve">Tamihardja, J., Schortmann, M., Lawrenz, I., Weick, S., et al. (2020). Moderately hypofractionated radiotherapy for localized prostate cancer: updated long-term outcome and toxicity analysis. </w:t>
      </w:r>
      <w:r w:rsidRPr="008B6FC0">
        <w:rPr>
          <w:i/>
        </w:rPr>
        <w:t>Strahlentherapie und Onkologie.</w:t>
      </w:r>
      <w:bookmarkEnd w:id="909"/>
    </w:p>
    <w:p w14:paraId="1F6891AE" w14:textId="77777777" w:rsidR="008B6FC0" w:rsidRPr="008B6FC0" w:rsidRDefault="008B6FC0" w:rsidP="008B6FC0">
      <w:pPr>
        <w:pStyle w:val="EndNoteBibliography"/>
        <w:spacing w:after="360"/>
      </w:pPr>
      <w:bookmarkStart w:id="910" w:name="_ENREF_70"/>
      <w:r w:rsidRPr="008B6FC0">
        <w:t xml:space="preserve">Tetar, S., Bruynzeel, A., Bakker, R., Jeulink, M., et al. (2018). Patient-reported Outcome Measurements on the Tolerance of Magnetic Resonance Imaging-guided Radiation Therapy. </w:t>
      </w:r>
      <w:r w:rsidRPr="008B6FC0">
        <w:rPr>
          <w:i/>
        </w:rPr>
        <w:t>Cureus, 10</w:t>
      </w:r>
      <w:r w:rsidRPr="008B6FC0">
        <w:t>(2), e2236.</w:t>
      </w:r>
      <w:bookmarkEnd w:id="910"/>
    </w:p>
    <w:p w14:paraId="5E26B178" w14:textId="77777777" w:rsidR="008B6FC0" w:rsidRPr="008B6FC0" w:rsidRDefault="008B6FC0" w:rsidP="008B6FC0">
      <w:pPr>
        <w:pStyle w:val="EndNoteBibliography"/>
        <w:spacing w:after="360"/>
      </w:pPr>
      <w:bookmarkStart w:id="911" w:name="_ENREF_71"/>
      <w:r w:rsidRPr="008B6FC0">
        <w:t xml:space="preserve">Tetar, S. U., Bruynzeel, A. M. E., Lagerwaard, F. J., Slotman, B. J., et al. (2019). Clinical implementation of magnetic resonance imaging guided adaptive radiotherapy for localized prostate cancer. </w:t>
      </w:r>
      <w:r w:rsidRPr="008B6FC0">
        <w:rPr>
          <w:i/>
        </w:rPr>
        <w:t>Physics and Imaging in Radiation Oncology, 9</w:t>
      </w:r>
      <w:r w:rsidRPr="008B6FC0">
        <w:t>, 69-76.</w:t>
      </w:r>
      <w:bookmarkEnd w:id="911"/>
    </w:p>
    <w:p w14:paraId="72984903" w14:textId="77777777" w:rsidR="008B6FC0" w:rsidRPr="008B6FC0" w:rsidRDefault="008B6FC0" w:rsidP="008B6FC0">
      <w:pPr>
        <w:pStyle w:val="EndNoteBibliography"/>
        <w:spacing w:after="360"/>
      </w:pPr>
      <w:bookmarkStart w:id="912" w:name="_ENREF_72"/>
      <w:r w:rsidRPr="008B6FC0">
        <w:lastRenderedPageBreak/>
        <w:t xml:space="preserve">Tondel, H., Lund, J., Lydersen, S., Wanderas, A. D., et al. (2018). Dose to penile bulb is not associated with erectile dysfunction 18months post radiotherapy: A secondary analysis of a randomized trial. </w:t>
      </w:r>
      <w:r w:rsidRPr="008B6FC0">
        <w:rPr>
          <w:i/>
        </w:rPr>
        <w:t>Clinical and Translational Radiation Oncology, 13</w:t>
      </w:r>
      <w:r w:rsidRPr="008B6FC0">
        <w:t>, 50-56.</w:t>
      </w:r>
      <w:bookmarkEnd w:id="912"/>
    </w:p>
    <w:p w14:paraId="02A9997F" w14:textId="77777777" w:rsidR="008B6FC0" w:rsidRPr="008B6FC0" w:rsidRDefault="008B6FC0" w:rsidP="008B6FC0">
      <w:pPr>
        <w:pStyle w:val="EndNoteBibliography"/>
        <w:spacing w:after="360"/>
      </w:pPr>
      <w:bookmarkStart w:id="913" w:name="_ENREF_73"/>
      <w:r w:rsidRPr="008B6FC0">
        <w:t xml:space="preserve">Valakh, V., Gresswell, S., &amp; Kirichenko, A. (2018). Outcomes of stereotactic body radiotherapy for hepatocellular carcinoma with severe cirrhosis and ineligibility for transplant. </w:t>
      </w:r>
      <w:r w:rsidRPr="008B6FC0">
        <w:rPr>
          <w:i/>
        </w:rPr>
        <w:t>Anticancer Research, 38</w:t>
      </w:r>
      <w:r w:rsidRPr="008B6FC0">
        <w:t>(12), 6815-6820.</w:t>
      </w:r>
      <w:bookmarkEnd w:id="913"/>
    </w:p>
    <w:p w14:paraId="34AE617D" w14:textId="77777777" w:rsidR="008B6FC0" w:rsidRPr="008B6FC0" w:rsidRDefault="008B6FC0" w:rsidP="008B6FC0">
      <w:pPr>
        <w:pStyle w:val="EndNoteBibliography"/>
        <w:spacing w:after="360"/>
      </w:pPr>
      <w:bookmarkStart w:id="914" w:name="_ENREF_74"/>
      <w:r w:rsidRPr="008B6FC0">
        <w:t xml:space="preserve">Valeriani, M., Bonfili, P., Reverberi, C., Marinelli, L., et al. (2018). Moderate hypofractionation in patients with low-risk prostate cancer: Long-term outcomes. </w:t>
      </w:r>
      <w:r w:rsidRPr="008B6FC0">
        <w:rPr>
          <w:i/>
        </w:rPr>
        <w:t>Anticancer Research, 38</w:t>
      </w:r>
      <w:r w:rsidRPr="008B6FC0">
        <w:t>(3), 1671-1676.</w:t>
      </w:r>
      <w:bookmarkEnd w:id="914"/>
    </w:p>
    <w:p w14:paraId="1B01A34B" w14:textId="77777777" w:rsidR="008B6FC0" w:rsidRPr="008B6FC0" w:rsidRDefault="008B6FC0" w:rsidP="008B6FC0">
      <w:pPr>
        <w:pStyle w:val="EndNoteBibliography"/>
        <w:spacing w:after="360"/>
      </w:pPr>
      <w:bookmarkStart w:id="915" w:name="_ENREF_75"/>
      <w:r w:rsidRPr="008B6FC0">
        <w:t xml:space="preserve">Valeriani, M., Bracci, S., Osti, M. F., Falco, T., et al. (2013a). Intermediate-risk prostate cancer patients treated with androgen deprivation therapy and a hypofractionated radiation regimen with or without image guided radiotherapy. </w:t>
      </w:r>
      <w:r w:rsidRPr="008B6FC0">
        <w:rPr>
          <w:i/>
        </w:rPr>
        <w:t>Radiat, 8</w:t>
      </w:r>
      <w:r w:rsidRPr="008B6FC0">
        <w:t>, 137.</w:t>
      </w:r>
      <w:bookmarkEnd w:id="915"/>
    </w:p>
    <w:p w14:paraId="5025DB3F" w14:textId="77777777" w:rsidR="008B6FC0" w:rsidRPr="008B6FC0" w:rsidRDefault="008B6FC0" w:rsidP="008B6FC0">
      <w:pPr>
        <w:pStyle w:val="EndNoteBibliography"/>
        <w:spacing w:after="360"/>
      </w:pPr>
      <w:bookmarkStart w:id="916" w:name="_ENREF_76"/>
      <w:r w:rsidRPr="008B6FC0">
        <w:t xml:space="preserve">Valeriani, M., Carnevale, A., Osti, M. F., Minniti, G., et al. (2013b). Hypofractionated intensity-modulated simultaneous integrated boost and image-guided radiotherapy in the treatment of high-risk prostate cancer patients: a preliminary report on acute toxicity. </w:t>
      </w:r>
      <w:r w:rsidRPr="008B6FC0">
        <w:rPr>
          <w:i/>
        </w:rPr>
        <w:t>Tumori, 99</w:t>
      </w:r>
      <w:r w:rsidRPr="008B6FC0">
        <w:t>(4), 474-479.</w:t>
      </w:r>
      <w:bookmarkEnd w:id="916"/>
    </w:p>
    <w:p w14:paraId="06328B6B" w14:textId="77777777" w:rsidR="008B6FC0" w:rsidRPr="008B6FC0" w:rsidRDefault="008B6FC0" w:rsidP="008B6FC0">
      <w:pPr>
        <w:pStyle w:val="EndNoteBibliography"/>
        <w:spacing w:after="360"/>
      </w:pPr>
      <w:bookmarkStart w:id="917" w:name="_ENREF_77"/>
      <w:r w:rsidRPr="008B6FC0">
        <w:t xml:space="preserve">van de Schoot, A. J. A. J., van den Wollenberg, W., Carbaat, C., de Ruiter, P., et al. (2019). Evaluation of plan quality in radiotherapy planning with an MR-linac. </w:t>
      </w:r>
      <w:r w:rsidRPr="008B6FC0">
        <w:rPr>
          <w:i/>
        </w:rPr>
        <w:t>Physics and Imaging in Radiation Oncology, 10</w:t>
      </w:r>
      <w:r w:rsidRPr="008B6FC0">
        <w:t>, 19-24.</w:t>
      </w:r>
      <w:bookmarkEnd w:id="917"/>
    </w:p>
    <w:p w14:paraId="60F3A9F1" w14:textId="77777777" w:rsidR="008B6FC0" w:rsidRPr="008B6FC0" w:rsidRDefault="008B6FC0" w:rsidP="008B6FC0">
      <w:pPr>
        <w:pStyle w:val="EndNoteBibliography"/>
        <w:spacing w:after="360"/>
      </w:pPr>
      <w:bookmarkStart w:id="918" w:name="_ENREF_78"/>
      <w:r w:rsidRPr="008B6FC0">
        <w:t xml:space="preserve">Vargas, C. E., Alam, N. B., Terk, M., Niska, J. R., et al. (2019). Initial results of a randomized phase III trial of high dose image guided radiation with or without androgen deprivation therapy for intermediate-risk prostate cancer. </w:t>
      </w:r>
      <w:r w:rsidRPr="008B6FC0">
        <w:rPr>
          <w:i/>
        </w:rPr>
        <w:t>Cancer treatment and research communications, 19</w:t>
      </w:r>
      <w:r w:rsidRPr="008B6FC0">
        <w:t>.</w:t>
      </w:r>
      <w:bookmarkEnd w:id="918"/>
    </w:p>
    <w:p w14:paraId="3DC6BA7D" w14:textId="77777777" w:rsidR="008B6FC0" w:rsidRPr="008B6FC0" w:rsidRDefault="008B6FC0" w:rsidP="008B6FC0">
      <w:pPr>
        <w:pStyle w:val="EndNoteBibliography"/>
        <w:spacing w:after="360"/>
      </w:pPr>
      <w:bookmarkStart w:id="919" w:name="_ENREF_79"/>
      <w:r w:rsidRPr="008B6FC0">
        <w:t xml:space="preserve">Vassis, S., Noldeke, B., Christiansen, H., von Klot, C. A., et al. (2020). Moderately HRT vs. CRT for localized prostate cancer using image-guided VMAT with SIB: evaluation of acute and late toxicities. </w:t>
      </w:r>
      <w:r w:rsidRPr="008B6FC0">
        <w:rPr>
          <w:i/>
        </w:rPr>
        <w:t>Strahlentherapie und Onkologie, 196</w:t>
      </w:r>
      <w:r w:rsidRPr="008B6FC0">
        <w:t>(7), 598-607.</w:t>
      </w:r>
      <w:bookmarkEnd w:id="919"/>
    </w:p>
    <w:p w14:paraId="232A3DE2" w14:textId="77777777" w:rsidR="008B6FC0" w:rsidRPr="008B6FC0" w:rsidRDefault="008B6FC0" w:rsidP="008B6FC0">
      <w:pPr>
        <w:pStyle w:val="EndNoteBibliography"/>
        <w:spacing w:after="360"/>
      </w:pPr>
      <w:bookmarkStart w:id="920" w:name="_ENREF_80"/>
      <w:r w:rsidRPr="008B6FC0">
        <w:t xml:space="preserve">Voglhuber, T., Kessel, K. A., Oechsner, M., Vogel, M. M. E., et al. (2020). Single-institutional outcome-analysis of low-dose stereotactic body radiation therapy (SBRT) of adrenal gland metastases. </w:t>
      </w:r>
      <w:r w:rsidRPr="008B6FC0">
        <w:rPr>
          <w:i/>
        </w:rPr>
        <w:t>BMC Cancer, 20</w:t>
      </w:r>
      <w:r w:rsidRPr="008B6FC0">
        <w:t>(1).</w:t>
      </w:r>
      <w:bookmarkEnd w:id="920"/>
    </w:p>
    <w:p w14:paraId="515B5289" w14:textId="77777777" w:rsidR="008B6FC0" w:rsidRPr="008B6FC0" w:rsidRDefault="008B6FC0" w:rsidP="008B6FC0">
      <w:pPr>
        <w:pStyle w:val="EndNoteBibliography"/>
        <w:spacing w:after="360"/>
      </w:pPr>
      <w:bookmarkStart w:id="921" w:name="_ENREF_81"/>
      <w:r w:rsidRPr="008B6FC0">
        <w:t xml:space="preserve">Wang, W. G., Yan, D., Ye, H., Gustafson, G., et al. (2018). Outcomes and toxicity from a prospective study of moderately hypofractionated radiation therapy for prostate cancer. </w:t>
      </w:r>
      <w:r w:rsidRPr="008B6FC0">
        <w:rPr>
          <w:i/>
        </w:rPr>
        <w:t>Advances in Radiation Oncology, 3</w:t>
      </w:r>
      <w:r w:rsidRPr="008B6FC0">
        <w:t>(2), 163-169.</w:t>
      </w:r>
      <w:bookmarkEnd w:id="921"/>
    </w:p>
    <w:p w14:paraId="5C128A2B" w14:textId="77777777" w:rsidR="008B6FC0" w:rsidRPr="008B6FC0" w:rsidRDefault="008B6FC0" w:rsidP="008B6FC0">
      <w:pPr>
        <w:pStyle w:val="EndNoteBibliography"/>
        <w:spacing w:after="360"/>
      </w:pPr>
      <w:bookmarkStart w:id="922" w:name="_ENREF_82"/>
      <w:r w:rsidRPr="008B6FC0">
        <w:t xml:space="preserve">Wells, G., Shea, B., O'Connell, D., Peterson, j., et al. (2000). The Newcastle–Ottawa Scale (NOS) for Assessing the Quality of Non-Randomized Studies in Meta-Analysis. </w:t>
      </w:r>
      <w:r w:rsidRPr="008B6FC0">
        <w:rPr>
          <w:rFonts w:hint="eastAsia"/>
          <w:i/>
        </w:rPr>
        <w:t>ᅟ</w:t>
      </w:r>
      <w:r w:rsidRPr="008B6FC0">
        <w:rPr>
          <w:i/>
        </w:rPr>
        <w:t xml:space="preserve">, </w:t>
      </w:r>
      <w:r w:rsidRPr="008B6FC0">
        <w:rPr>
          <w:rFonts w:hint="eastAsia"/>
          <w:i/>
        </w:rPr>
        <w:t>ᅟ</w:t>
      </w:r>
      <w:r w:rsidRPr="008B6FC0">
        <w:t>.</w:t>
      </w:r>
      <w:bookmarkEnd w:id="922"/>
    </w:p>
    <w:p w14:paraId="57A6A6E5" w14:textId="77777777" w:rsidR="008B6FC0" w:rsidRPr="008B6FC0" w:rsidRDefault="008B6FC0" w:rsidP="008B6FC0">
      <w:pPr>
        <w:pStyle w:val="EndNoteBibliography"/>
        <w:spacing w:after="360"/>
      </w:pPr>
      <w:bookmarkStart w:id="923" w:name="_ENREF_83"/>
      <w:r w:rsidRPr="008B6FC0">
        <w:t xml:space="preserve">Winkel, D., Bol, G. H., Werensteijn-Honingh, A. M., Intven, M. P. W., et al. (2020). Target coverage and dose criteria based evaluation of the first clinical 1.5T MR-linac SBRT treatments of lymph node oligometastases compared with conventional CBCT-linac treatment. </w:t>
      </w:r>
      <w:r w:rsidRPr="008B6FC0">
        <w:rPr>
          <w:i/>
        </w:rPr>
        <w:t>Radiother Oncol, 146</w:t>
      </w:r>
      <w:r w:rsidRPr="008B6FC0">
        <w:t>, 118-125.</w:t>
      </w:r>
      <w:bookmarkEnd w:id="923"/>
    </w:p>
    <w:p w14:paraId="71293AEA" w14:textId="77777777" w:rsidR="008B6FC0" w:rsidRPr="008B6FC0" w:rsidRDefault="008B6FC0" w:rsidP="008B6FC0">
      <w:pPr>
        <w:pStyle w:val="EndNoteBibliography"/>
        <w:spacing w:after="360"/>
      </w:pPr>
      <w:bookmarkStart w:id="924" w:name="_ENREF_84"/>
      <w:r w:rsidRPr="008B6FC0">
        <w:lastRenderedPageBreak/>
        <w:t xml:space="preserve">Winkel, D., Kroon, P. S., Werensteijn-Honingh, A. M., Bol, G. H., et al. (2018). Simulated dosimetric impact of online replanning for stereotactic body radiation therapy of lymph node oligometastases on the 1.5T MR-linac. </w:t>
      </w:r>
      <w:r w:rsidRPr="008B6FC0">
        <w:rPr>
          <w:i/>
        </w:rPr>
        <w:t>Acta Oncol, 57</w:t>
      </w:r>
      <w:r w:rsidRPr="008B6FC0">
        <w:t>(12), 1705-1712.</w:t>
      </w:r>
      <w:bookmarkEnd w:id="924"/>
    </w:p>
    <w:p w14:paraId="20A654F9" w14:textId="77777777" w:rsidR="008B6FC0" w:rsidRPr="008B6FC0" w:rsidRDefault="008B6FC0" w:rsidP="008B6FC0">
      <w:pPr>
        <w:pStyle w:val="EndNoteBibliography"/>
      </w:pPr>
      <w:bookmarkStart w:id="925" w:name="_ENREF_85"/>
      <w:r w:rsidRPr="008B6FC0">
        <w:t xml:space="preserve">Yegya-Raman, N., Kim, S., Deek, M. P., Li, D., et al. (2018). Daily Image Guidance With Cone Beam Computed Tomography May Reduce Radiation Pneumonitis in Unresectable Non-Small Cell Lung Cancer. </w:t>
      </w:r>
      <w:r w:rsidRPr="008B6FC0">
        <w:rPr>
          <w:i/>
        </w:rPr>
        <w:t>Int J Radiat Oncol Biol Phys, 101</w:t>
      </w:r>
      <w:r w:rsidRPr="008B6FC0">
        <w:t>(5), 1104-1112.</w:t>
      </w:r>
      <w:bookmarkEnd w:id="925"/>
    </w:p>
    <w:p w14:paraId="1898CF04" w14:textId="422C1A81" w:rsidR="001B6B5C" w:rsidRDefault="000C77B0" w:rsidP="00DF343F">
      <w:pPr>
        <w:pStyle w:val="References"/>
        <w:ind w:left="0" w:firstLine="0"/>
        <w:jc w:val="both"/>
        <w:rPr>
          <w:rFonts w:asciiTheme="minorHAnsi" w:hAnsiTheme="minorHAnsi"/>
          <w:noProof/>
        </w:rPr>
      </w:pPr>
      <w:r>
        <w:rPr>
          <w:rFonts w:asciiTheme="minorHAnsi" w:hAnsiTheme="minorHAnsi"/>
          <w:noProof/>
        </w:rPr>
        <w:fldChar w:fldCharType="end"/>
      </w:r>
    </w:p>
    <w:sectPr w:rsidR="001B6B5C" w:rsidSect="0080059D">
      <w:headerReference w:type="even" r:id="rId68"/>
      <w:headerReference w:type="default" r:id="rId69"/>
      <w:footerReference w:type="even" r:id="rId70"/>
      <w:footerReference w:type="default" r:id="rId71"/>
      <w:headerReference w:type="first" r:id="rId72"/>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881E" w14:textId="77777777" w:rsidR="009D04C3" w:rsidRDefault="009D04C3" w:rsidP="00A23645">
      <w:r>
        <w:separator/>
      </w:r>
    </w:p>
  </w:endnote>
  <w:endnote w:type="continuationSeparator" w:id="0">
    <w:p w14:paraId="7C5FE03F" w14:textId="77777777" w:rsidR="009D04C3" w:rsidRDefault="009D04C3" w:rsidP="00A23645">
      <w:r>
        <w:continuationSeparator/>
      </w:r>
    </w:p>
  </w:endnote>
  <w:endnote w:type="continuationNotice" w:id="1">
    <w:p w14:paraId="56BE0FDD" w14:textId="77777777" w:rsidR="009D04C3" w:rsidRDefault="009D04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___WRD_EMBED_SUB_173">
    <w:charset w:val="00"/>
    <w:family w:val="auto"/>
    <w:pitch w:val="variable"/>
    <w:sig w:usb0="20000007" w:usb1="00000001" w:usb2="00000000" w:usb3="00000000" w:csb0="00000193" w:csb1="00000000"/>
  </w:font>
  <w:font w:name="Humanist 77 7 B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umanist521BT-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3B6F" w14:textId="77777777" w:rsidR="009D04C3" w:rsidRPr="00C843FF" w:rsidRDefault="009D04C3"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4</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C7A0" w14:textId="41FE3259" w:rsidR="009D04C3" w:rsidRPr="00C843FF" w:rsidRDefault="009D04C3" w:rsidP="00044972">
    <w:pPr>
      <w:pStyle w:val="Footer"/>
      <w:tabs>
        <w:tab w:val="clear" w:pos="9000"/>
        <w:tab w:val="right" w:pos="9026"/>
      </w:tabs>
      <w:rPr>
        <w:rStyle w:val="PageNumber"/>
        <w:rFonts w:ascii="Arial" w:hAnsi="Arial" w:cs="Arial"/>
        <w:sz w:val="20"/>
      </w:rPr>
    </w:pPr>
    <w:r>
      <w:t>Magnetic Resonance Image Guided Radiation Therapy – MSAC DCAR 1620</w:t>
    </w:r>
    <w:r w:rsidRPr="00C843FF">
      <w:rPr>
        <w:rStyle w:val="PageNumber"/>
        <w:rFonts w:ascii="Arial" w:hAnsi="Arial" w:cs="Arial"/>
        <w:sz w:val="20"/>
      </w:rPr>
      <w:tab/>
    </w:r>
    <w:r w:rsidR="00D347A1" w:rsidRPr="00D347A1">
      <w:rPr>
        <w:rStyle w:val="PageNumber"/>
        <w:rFonts w:ascii="Arial" w:hAnsi="Arial" w:cs="Arial"/>
        <w:sz w:val="20"/>
      </w:rPr>
      <w:fldChar w:fldCharType="begin"/>
    </w:r>
    <w:r w:rsidR="00D347A1" w:rsidRPr="00D347A1">
      <w:rPr>
        <w:rStyle w:val="PageNumber"/>
        <w:rFonts w:ascii="Arial" w:hAnsi="Arial" w:cs="Arial"/>
        <w:sz w:val="20"/>
      </w:rPr>
      <w:instrText xml:space="preserve"> PAGE   \* MERGEFORMAT </w:instrText>
    </w:r>
    <w:r w:rsidR="00D347A1" w:rsidRPr="00D347A1">
      <w:rPr>
        <w:rStyle w:val="PageNumber"/>
        <w:rFonts w:ascii="Arial" w:hAnsi="Arial" w:cs="Arial"/>
        <w:sz w:val="20"/>
      </w:rPr>
      <w:fldChar w:fldCharType="separate"/>
    </w:r>
    <w:r w:rsidR="00D347A1" w:rsidRPr="00D347A1">
      <w:rPr>
        <w:rStyle w:val="PageNumber"/>
        <w:rFonts w:ascii="Arial" w:hAnsi="Arial" w:cs="Arial"/>
        <w:noProof/>
        <w:sz w:val="20"/>
      </w:rPr>
      <w:t>1</w:t>
    </w:r>
    <w:r w:rsidR="00D347A1" w:rsidRPr="00D347A1">
      <w:rPr>
        <w:rStyle w:val="PageNumbe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5B00" w14:textId="77777777" w:rsidR="009D04C3" w:rsidRPr="00F568FA" w:rsidRDefault="009D04C3"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4</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61F2" w14:textId="77777777" w:rsidR="009C1ABE" w:rsidRPr="00C843FF" w:rsidRDefault="009C1ABE" w:rsidP="00044972">
    <w:pPr>
      <w:pStyle w:val="Footer"/>
      <w:tabs>
        <w:tab w:val="clear" w:pos="9000"/>
        <w:tab w:val="right" w:pos="9026"/>
      </w:tabs>
      <w:rPr>
        <w:rStyle w:val="PageNumber"/>
        <w:rFonts w:ascii="Arial" w:hAnsi="Arial" w:cs="Arial"/>
        <w:sz w:val="20"/>
      </w:rPr>
    </w:pPr>
    <w:r>
      <w:t>Magnetic Resonance Image Guided Radiation Therapy – MSAC DCAR 1620</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Pr>
        <w:rStyle w:val="PageNumber"/>
        <w:rFonts w:ascii="Arial" w:hAnsi="Arial" w:cs="Arial"/>
        <w:noProof/>
        <w:sz w:val="20"/>
      </w:rPr>
      <w:t>134</w:t>
    </w:r>
    <w:r w:rsidRPr="00C843FF">
      <w:rPr>
        <w:rStyle w:val="PageNumbe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2F6F2" w14:textId="7B01E1AA" w:rsidR="009D04C3" w:rsidRPr="00C843FF" w:rsidRDefault="009D04C3" w:rsidP="008B6FC0">
    <w:pPr>
      <w:pStyle w:val="Footer"/>
      <w:tabs>
        <w:tab w:val="clear" w:pos="9000"/>
        <w:tab w:val="right" w:pos="15136"/>
      </w:tabs>
      <w:rPr>
        <w:rStyle w:val="PageNumber"/>
        <w:rFonts w:ascii="Arial" w:hAnsi="Arial" w:cs="Arial"/>
        <w:sz w:val="20"/>
      </w:rPr>
    </w:pPr>
    <w:r>
      <w:t>Magnetic Resonance Image Guided Radiation Therapy – MSAC DCAR 1620</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Pr>
        <w:rStyle w:val="PageNumber"/>
        <w:rFonts w:ascii="Arial" w:hAnsi="Arial" w:cs="Arial"/>
        <w:noProof/>
        <w:sz w:val="20"/>
      </w:rPr>
      <w:t>173</w:t>
    </w:r>
    <w:r w:rsidRPr="00C843FF">
      <w:rPr>
        <w:rStyle w:val="PageNumbe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8EF9" w14:textId="0D5AA85E" w:rsidR="009D04C3" w:rsidRDefault="009D04C3">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7229" w14:textId="33D53CA8" w:rsidR="009D04C3" w:rsidRPr="00C843FF" w:rsidRDefault="009D04C3" w:rsidP="00044972">
    <w:pPr>
      <w:pStyle w:val="Footer"/>
      <w:tabs>
        <w:tab w:val="clear" w:pos="9000"/>
        <w:tab w:val="right" w:pos="9026"/>
      </w:tabs>
      <w:rPr>
        <w:rStyle w:val="PageNumber"/>
        <w:rFonts w:ascii="Arial" w:hAnsi="Arial" w:cs="Arial"/>
        <w:sz w:val="20"/>
      </w:rPr>
    </w:pPr>
    <w:r>
      <w:t>Magnetic Resonance Image Guided Radiation Therapy – MSAC DCAR 1620</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Pr>
        <w:rStyle w:val="PageNumber"/>
        <w:rFonts w:ascii="Arial" w:hAnsi="Arial" w:cs="Arial"/>
        <w:noProof/>
        <w:sz w:val="20"/>
      </w:rPr>
      <w:t>182</w:t>
    </w:r>
    <w:r w:rsidRPr="00C843FF">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B607C" w14:textId="77777777" w:rsidR="009D04C3" w:rsidRDefault="009D04C3" w:rsidP="00A23645">
      <w:r>
        <w:separator/>
      </w:r>
    </w:p>
  </w:footnote>
  <w:footnote w:type="continuationSeparator" w:id="0">
    <w:p w14:paraId="28DF5CE1" w14:textId="77777777" w:rsidR="009D04C3" w:rsidRDefault="009D04C3" w:rsidP="00A23645">
      <w:r>
        <w:continuationSeparator/>
      </w:r>
    </w:p>
  </w:footnote>
  <w:footnote w:type="continuationNotice" w:id="1">
    <w:p w14:paraId="02EB15F7" w14:textId="77777777" w:rsidR="009D04C3" w:rsidRDefault="009D04C3">
      <w:pPr>
        <w:spacing w:after="0"/>
      </w:pPr>
    </w:p>
  </w:footnote>
  <w:footnote w:id="2">
    <w:p w14:paraId="0A530CC2" w14:textId="77777777" w:rsidR="009D04C3" w:rsidRDefault="009D04C3">
      <w:pPr>
        <w:pStyle w:val="FootnoteText"/>
      </w:pPr>
      <w:r>
        <w:rPr>
          <w:rStyle w:val="FootnoteReference"/>
        </w:rPr>
        <w:footnoteRef/>
      </w:r>
      <w:r>
        <w:t xml:space="preserve"> Population, Intervention, Comparator, Outcomes</w:t>
      </w:r>
    </w:p>
  </w:footnote>
  <w:footnote w:id="3">
    <w:p w14:paraId="392C0665" w14:textId="77777777" w:rsidR="009D04C3" w:rsidRPr="00AF3CBB" w:rsidRDefault="009D04C3" w:rsidP="004A2D94">
      <w:pPr>
        <w:pStyle w:val="FootnoteText"/>
        <w:rPr>
          <w:lang w:val="en-US"/>
        </w:rPr>
      </w:pPr>
      <w:r>
        <w:rPr>
          <w:rStyle w:val="FootnoteReference"/>
        </w:rPr>
        <w:footnoteRef/>
      </w:r>
      <w:r>
        <w:t xml:space="preserve"> </w:t>
      </w:r>
      <w:r>
        <w:rPr>
          <w:lang w:val="en-US"/>
        </w:rPr>
        <w:t>Australian New Zealand Clinical Trials Registry</w:t>
      </w:r>
    </w:p>
  </w:footnote>
  <w:footnote w:id="4">
    <w:p w14:paraId="38C83E33" w14:textId="2F22DB98" w:rsidR="009D04C3" w:rsidRPr="007842C1" w:rsidRDefault="009D04C3">
      <w:pPr>
        <w:pStyle w:val="FootnoteText"/>
        <w:rPr>
          <w:lang w:val="en-US"/>
        </w:rPr>
      </w:pPr>
      <w:r>
        <w:rPr>
          <w:rStyle w:val="FootnoteReference"/>
        </w:rPr>
        <w:footnoteRef/>
      </w:r>
      <w:r>
        <w:t xml:space="preserve"> </w:t>
      </w:r>
      <w:r w:rsidRPr="007842C1">
        <w:t>A study can be awarded a maximum of one star for each numbered item within the Selection and Outcome categories. A maximum of two stars can be given for Comparability</w:t>
      </w:r>
      <w:r>
        <w:t>.</w:t>
      </w:r>
    </w:p>
  </w:footnote>
  <w:footnote w:id="5">
    <w:p w14:paraId="547F0DA2" w14:textId="3CA80AB4" w:rsidR="009D04C3" w:rsidRPr="005245A5" w:rsidRDefault="009D04C3">
      <w:pPr>
        <w:pStyle w:val="FootnoteText"/>
        <w:rPr>
          <w:lang w:val="en-US"/>
        </w:rPr>
      </w:pPr>
      <w:r>
        <w:rPr>
          <w:rStyle w:val="FootnoteReference"/>
        </w:rPr>
        <w:footnoteRef/>
      </w:r>
      <w:r>
        <w:t xml:space="preserve"> </w:t>
      </w:r>
      <w:r w:rsidRPr="005245A5">
        <w:t xml:space="preserve">Available at: </w:t>
      </w:r>
      <w:hyperlink r:id="rId1" w:history="1">
        <w:r w:rsidRPr="00CC1473">
          <w:rPr>
            <w:rStyle w:val="Hyperlink"/>
          </w:rPr>
          <w:t>https://www.ncbi.nlm.nih.gov/books/NBK115843/bin/appe-fm3.pdf</w:t>
        </w:r>
      </w:hyperlink>
      <w:r w:rsidRPr="005245A5">
        <w:t>.</w:t>
      </w:r>
      <w:r>
        <w:t xml:space="preserve"> </w:t>
      </w:r>
    </w:p>
  </w:footnote>
  <w:footnote w:id="6">
    <w:p w14:paraId="1E2C952E" w14:textId="539708F0" w:rsidR="009D04C3" w:rsidRPr="000E4521" w:rsidRDefault="009D04C3">
      <w:pPr>
        <w:pStyle w:val="FootnoteText"/>
        <w:rPr>
          <w:lang w:val="en-US"/>
        </w:rPr>
      </w:pPr>
      <w:r>
        <w:rPr>
          <w:rStyle w:val="FootnoteReference"/>
        </w:rPr>
        <w:footnoteRef/>
      </w:r>
      <w:r>
        <w:t xml:space="preserve"> CTCAE </w:t>
      </w:r>
      <w:r>
        <w:rPr>
          <w:lang w:val="en-US"/>
        </w:rPr>
        <w:t xml:space="preserve">available from </w:t>
      </w:r>
      <w:hyperlink r:id="rId2" w:history="1">
        <w:r w:rsidRPr="006576D4">
          <w:rPr>
            <w:rStyle w:val="Hyperlink"/>
            <w:lang w:val="en-US"/>
          </w:rPr>
          <w:t>https://ctep.cancer.gov/protocolDevelopment/electronic_applications/ctc.htm</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1ABE" w14:textId="09C77628" w:rsidR="009D04C3" w:rsidRDefault="009D04C3" w:rsidP="00B426FF">
    <w:pPr>
      <w:pStyle w:val="Header"/>
      <w:tabs>
        <w:tab w:val="clear" w:pos="8306"/>
        <w:tab w:val="right" w:pos="8931"/>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A13F8" w14:textId="2A18888D" w:rsidR="009D04C3" w:rsidRDefault="009D04C3" w:rsidP="00006961">
    <w:pPr>
      <w:pStyle w:val="Header"/>
      <w:jc w:val="bot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6233" w14:textId="121A830E" w:rsidR="009D04C3" w:rsidRDefault="009D04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482A" w14:textId="47852E97" w:rsidR="009D04C3" w:rsidRDefault="009D04C3" w:rsidP="00B426FF">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0337" w14:textId="306AD4FF" w:rsidR="009D04C3" w:rsidRDefault="009D04C3" w:rsidP="00A236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BDB1" w14:textId="0D7A0006" w:rsidR="009D04C3" w:rsidRDefault="009D04C3" w:rsidP="00B426FF">
    <w:pPr>
      <w:pStyle w:val="Header"/>
      <w:tabs>
        <w:tab w:val="clear" w:pos="8306"/>
        <w:tab w:val="right" w:pos="8931"/>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D341" w14:textId="440C8C30" w:rsidR="009D04C3" w:rsidRDefault="009D04C3" w:rsidP="00A236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B34" w14:textId="1BBBC684" w:rsidR="009D04C3" w:rsidRDefault="009D04C3" w:rsidP="00A236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7AC6" w14:textId="0DBB6AA2" w:rsidR="009D04C3" w:rsidRDefault="009D04C3" w:rsidP="00B426FF">
    <w:pPr>
      <w:pStyle w:val="Header"/>
      <w:tabs>
        <w:tab w:val="clear" w:pos="8306"/>
        <w:tab w:val="right" w:pos="8931"/>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5EC4" w14:textId="1C5FA14D" w:rsidR="009D04C3" w:rsidRDefault="009D04C3" w:rsidP="00A236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F39A" w14:textId="1E226F67" w:rsidR="009D04C3" w:rsidRDefault="009D0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704A3"/>
    <w:multiLevelType w:val="hybridMultilevel"/>
    <w:tmpl w:val="41469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4348A"/>
    <w:multiLevelType w:val="hybridMultilevel"/>
    <w:tmpl w:val="B734C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75FC8"/>
    <w:multiLevelType w:val="hybridMultilevel"/>
    <w:tmpl w:val="945E6AD8"/>
    <w:lvl w:ilvl="0" w:tplc="822EBD5A">
      <w:start w:val="1"/>
      <w:numFmt w:val="decimal"/>
      <w:lvlText w:val="%1."/>
      <w:lvlJc w:val="left"/>
      <w:pPr>
        <w:tabs>
          <w:tab w:val="num" w:pos="720"/>
        </w:tabs>
        <w:ind w:left="720" w:hanging="720"/>
      </w:pPr>
    </w:lvl>
    <w:lvl w:ilvl="1" w:tplc="9F6462AA">
      <w:start w:val="1"/>
      <w:numFmt w:val="decimal"/>
      <w:lvlText w:val="%2."/>
      <w:lvlJc w:val="left"/>
      <w:pPr>
        <w:tabs>
          <w:tab w:val="num" w:pos="1440"/>
        </w:tabs>
        <w:ind w:left="1440" w:hanging="720"/>
      </w:pPr>
    </w:lvl>
    <w:lvl w:ilvl="2" w:tplc="8A9CFEF0">
      <w:start w:val="1"/>
      <w:numFmt w:val="decimal"/>
      <w:lvlText w:val="%3."/>
      <w:lvlJc w:val="left"/>
      <w:pPr>
        <w:tabs>
          <w:tab w:val="num" w:pos="2160"/>
        </w:tabs>
        <w:ind w:left="2160" w:hanging="720"/>
      </w:pPr>
    </w:lvl>
    <w:lvl w:ilvl="3" w:tplc="F8662382">
      <w:start w:val="1"/>
      <w:numFmt w:val="decimal"/>
      <w:lvlText w:val="%4."/>
      <w:lvlJc w:val="left"/>
      <w:pPr>
        <w:tabs>
          <w:tab w:val="num" w:pos="2880"/>
        </w:tabs>
        <w:ind w:left="2880" w:hanging="720"/>
      </w:pPr>
    </w:lvl>
    <w:lvl w:ilvl="4" w:tplc="8AAA3842">
      <w:start w:val="1"/>
      <w:numFmt w:val="decimal"/>
      <w:lvlText w:val="%5."/>
      <w:lvlJc w:val="left"/>
      <w:pPr>
        <w:tabs>
          <w:tab w:val="num" w:pos="3600"/>
        </w:tabs>
        <w:ind w:left="3600" w:hanging="720"/>
      </w:pPr>
    </w:lvl>
    <w:lvl w:ilvl="5" w:tplc="C3621F88">
      <w:start w:val="1"/>
      <w:numFmt w:val="decimal"/>
      <w:lvlText w:val="%6."/>
      <w:lvlJc w:val="left"/>
      <w:pPr>
        <w:tabs>
          <w:tab w:val="num" w:pos="4320"/>
        </w:tabs>
        <w:ind w:left="4320" w:hanging="720"/>
      </w:pPr>
    </w:lvl>
    <w:lvl w:ilvl="6" w:tplc="EA567E62">
      <w:start w:val="1"/>
      <w:numFmt w:val="decimal"/>
      <w:lvlText w:val="%7."/>
      <w:lvlJc w:val="left"/>
      <w:pPr>
        <w:tabs>
          <w:tab w:val="num" w:pos="5040"/>
        </w:tabs>
        <w:ind w:left="5040" w:hanging="720"/>
      </w:pPr>
    </w:lvl>
    <w:lvl w:ilvl="7" w:tplc="D3781DD6">
      <w:start w:val="1"/>
      <w:numFmt w:val="decimal"/>
      <w:lvlText w:val="%8."/>
      <w:lvlJc w:val="left"/>
      <w:pPr>
        <w:tabs>
          <w:tab w:val="num" w:pos="5760"/>
        </w:tabs>
        <w:ind w:left="5760" w:hanging="720"/>
      </w:pPr>
    </w:lvl>
    <w:lvl w:ilvl="8" w:tplc="E35A8AAE">
      <w:start w:val="1"/>
      <w:numFmt w:val="decimal"/>
      <w:lvlText w:val="%9."/>
      <w:lvlJc w:val="left"/>
      <w:pPr>
        <w:tabs>
          <w:tab w:val="num" w:pos="6480"/>
        </w:tabs>
        <w:ind w:left="6480" w:hanging="720"/>
      </w:pPr>
    </w:lvl>
  </w:abstractNum>
  <w:abstractNum w:abstractNumId="3" w15:restartNumberingAfterBreak="0">
    <w:nsid w:val="12113B42"/>
    <w:multiLevelType w:val="hybridMultilevel"/>
    <w:tmpl w:val="56CEB106"/>
    <w:lvl w:ilvl="0" w:tplc="40149ED0">
      <w:start w:val="1"/>
      <w:numFmt w:val="bullet"/>
      <w:pStyle w:val="Dash"/>
      <w:lvlText w:val="–"/>
      <w:lvlJc w:val="left"/>
      <w:pPr>
        <w:tabs>
          <w:tab w:val="num" w:pos="1800"/>
        </w:tabs>
        <w:ind w:left="1800" w:hanging="360"/>
      </w:pPr>
      <w:rPr>
        <w:rFonts w:ascii="Times New Roman" w:hAnsi="Times New Roman" w:hint="default"/>
        <w:sz w:val="20"/>
      </w:rPr>
    </w:lvl>
    <w:lvl w:ilvl="1" w:tplc="0358BF70">
      <w:numFmt w:val="decimal"/>
      <w:lvlText w:val=""/>
      <w:lvlJc w:val="left"/>
    </w:lvl>
    <w:lvl w:ilvl="2" w:tplc="A44470BA">
      <w:numFmt w:val="decimal"/>
      <w:lvlText w:val=""/>
      <w:lvlJc w:val="left"/>
    </w:lvl>
    <w:lvl w:ilvl="3" w:tplc="0D1437E0">
      <w:numFmt w:val="decimal"/>
      <w:lvlText w:val=""/>
      <w:lvlJc w:val="left"/>
    </w:lvl>
    <w:lvl w:ilvl="4" w:tplc="F16C689E">
      <w:numFmt w:val="decimal"/>
      <w:lvlText w:val=""/>
      <w:lvlJc w:val="left"/>
    </w:lvl>
    <w:lvl w:ilvl="5" w:tplc="CDBAD3AA">
      <w:numFmt w:val="decimal"/>
      <w:lvlText w:val=""/>
      <w:lvlJc w:val="left"/>
    </w:lvl>
    <w:lvl w:ilvl="6" w:tplc="A1AE02EC">
      <w:numFmt w:val="decimal"/>
      <w:lvlText w:val=""/>
      <w:lvlJc w:val="left"/>
    </w:lvl>
    <w:lvl w:ilvl="7" w:tplc="7F1A9388">
      <w:numFmt w:val="decimal"/>
      <w:lvlText w:val=""/>
      <w:lvlJc w:val="left"/>
    </w:lvl>
    <w:lvl w:ilvl="8" w:tplc="774C2FE0">
      <w:numFmt w:val="decimal"/>
      <w:lvlText w:val=""/>
      <w:lvlJc w:val="left"/>
    </w:lvl>
  </w:abstractNum>
  <w:abstractNum w:abstractNumId="4" w15:restartNumberingAfterBreak="0">
    <w:nsid w:val="220A07EC"/>
    <w:multiLevelType w:val="hybridMultilevel"/>
    <w:tmpl w:val="FC24B238"/>
    <w:lvl w:ilvl="0" w:tplc="A26449E2">
      <w:start w:val="1"/>
      <w:numFmt w:val="decimal"/>
      <w:pStyle w:val="ESNumberedSectionHeading"/>
      <w:lvlText w:val="A.%1"/>
      <w:lvlJc w:val="left"/>
      <w:pPr>
        <w:ind w:left="644" w:hanging="360"/>
      </w:pPr>
      <w:rPr>
        <w:rFonts w:ascii="Calibri" w:hAnsi="Calibri" w:hint="default"/>
        <w:b/>
        <w:i w:val="0"/>
        <w:color w:val="auto"/>
        <w:sz w:val="24"/>
      </w:rPr>
    </w:lvl>
    <w:lvl w:ilvl="1" w:tplc="DFEACDE6">
      <w:numFmt w:val="decimal"/>
      <w:lvlText w:val=""/>
      <w:lvlJc w:val="left"/>
    </w:lvl>
    <w:lvl w:ilvl="2" w:tplc="7FFEAF78">
      <w:numFmt w:val="decimal"/>
      <w:lvlText w:val=""/>
      <w:lvlJc w:val="left"/>
    </w:lvl>
    <w:lvl w:ilvl="3" w:tplc="26DC1AAE">
      <w:numFmt w:val="decimal"/>
      <w:lvlText w:val=""/>
      <w:lvlJc w:val="left"/>
    </w:lvl>
    <w:lvl w:ilvl="4" w:tplc="E4E49494">
      <w:numFmt w:val="decimal"/>
      <w:lvlText w:val=""/>
      <w:lvlJc w:val="left"/>
    </w:lvl>
    <w:lvl w:ilvl="5" w:tplc="8500E97E">
      <w:numFmt w:val="decimal"/>
      <w:lvlText w:val=""/>
      <w:lvlJc w:val="left"/>
    </w:lvl>
    <w:lvl w:ilvl="6" w:tplc="47AC0EF8">
      <w:numFmt w:val="decimal"/>
      <w:lvlText w:val=""/>
      <w:lvlJc w:val="left"/>
    </w:lvl>
    <w:lvl w:ilvl="7" w:tplc="ADC61694">
      <w:numFmt w:val="decimal"/>
      <w:lvlText w:val=""/>
      <w:lvlJc w:val="left"/>
    </w:lvl>
    <w:lvl w:ilvl="8" w:tplc="97646926">
      <w:numFmt w:val="decimal"/>
      <w:lvlText w:val=""/>
      <w:lvlJc w:val="left"/>
    </w:lvl>
  </w:abstractNum>
  <w:abstractNum w:abstractNumId="5" w15:restartNumberingAfterBreak="0">
    <w:nsid w:val="237C0EE4"/>
    <w:multiLevelType w:val="hybridMultilevel"/>
    <w:tmpl w:val="FEE071C8"/>
    <w:styleLink w:val="ESSectionheading-numbered"/>
    <w:lvl w:ilvl="0" w:tplc="76D2C964">
      <w:start w:val="1"/>
      <w:numFmt w:val="none"/>
      <w:lvlText w:val="A.1"/>
      <w:lvlJc w:val="left"/>
      <w:pPr>
        <w:ind w:left="1134" w:hanging="1134"/>
      </w:pPr>
      <w:rPr>
        <w:rFonts w:ascii="Calibri" w:hAnsi="Calibri" w:hint="default"/>
        <w:b/>
        <w:i w:val="0"/>
        <w:color w:val="auto"/>
        <w:sz w:val="24"/>
      </w:rPr>
    </w:lvl>
    <w:lvl w:ilvl="1" w:tplc="9AEE3686">
      <w:start w:val="1"/>
      <w:numFmt w:val="decimal"/>
      <w:lvlText w:val="B.%2."/>
      <w:lvlJc w:val="left"/>
      <w:pPr>
        <w:ind w:left="1134" w:hanging="1134"/>
      </w:pPr>
      <w:rPr>
        <w:rFonts w:ascii="Calibri" w:hAnsi="Calibri" w:hint="default"/>
        <w:b/>
        <w:i w:val="0"/>
        <w:sz w:val="24"/>
      </w:rPr>
    </w:lvl>
    <w:lvl w:ilvl="2" w:tplc="45D2F200">
      <w:start w:val="1"/>
      <w:numFmt w:val="decimal"/>
      <w:lvlText w:val="C.%3."/>
      <w:lvlJc w:val="left"/>
      <w:pPr>
        <w:ind w:left="1134" w:hanging="1134"/>
      </w:pPr>
      <w:rPr>
        <w:rFonts w:ascii="Calibri" w:hAnsi="Calibri" w:hint="default"/>
        <w:b/>
        <w:i w:val="0"/>
        <w:sz w:val="24"/>
      </w:rPr>
    </w:lvl>
    <w:lvl w:ilvl="3" w:tplc="90F46952">
      <w:start w:val="1"/>
      <w:numFmt w:val="decimal"/>
      <w:lvlText w:val="D.%4."/>
      <w:lvlJc w:val="left"/>
      <w:pPr>
        <w:ind w:left="1134" w:hanging="1134"/>
      </w:pPr>
      <w:rPr>
        <w:rFonts w:ascii="Calibri" w:hAnsi="Calibri" w:hint="default"/>
        <w:b/>
        <w:i w:val="0"/>
        <w:sz w:val="24"/>
      </w:rPr>
    </w:lvl>
    <w:lvl w:ilvl="4" w:tplc="0EA2DCDE">
      <w:start w:val="1"/>
      <w:numFmt w:val="decimal"/>
      <w:lvlText w:val="E.%5."/>
      <w:lvlJc w:val="left"/>
      <w:pPr>
        <w:ind w:left="1134" w:hanging="1134"/>
      </w:pPr>
      <w:rPr>
        <w:rFonts w:ascii="Calibri" w:hAnsi="Calibri" w:hint="default"/>
        <w:b/>
        <w:i w:val="0"/>
        <w:sz w:val="24"/>
      </w:rPr>
    </w:lvl>
    <w:lvl w:ilvl="5" w:tplc="EB582412">
      <w:start w:val="1"/>
      <w:numFmt w:val="decimal"/>
      <w:lvlText w:val="A.%6"/>
      <w:lvlJc w:val="left"/>
      <w:pPr>
        <w:ind w:left="1134" w:hanging="1134"/>
      </w:pPr>
      <w:rPr>
        <w:rFonts w:ascii="Calibri" w:hAnsi="Calibri" w:hint="default"/>
        <w:b/>
        <w:i w:val="0"/>
        <w:color w:val="auto"/>
        <w:sz w:val="24"/>
      </w:rPr>
    </w:lvl>
    <w:lvl w:ilvl="6" w:tplc="36CE0F1E">
      <w:start w:val="1"/>
      <w:numFmt w:val="none"/>
      <w:lvlText w:val=""/>
      <w:lvlJc w:val="left"/>
      <w:pPr>
        <w:ind w:left="1134" w:hanging="1134"/>
      </w:pPr>
      <w:rPr>
        <w:rFonts w:ascii="Calibri" w:hAnsi="Calibri" w:hint="default"/>
        <w:b/>
        <w:i w:val="0"/>
        <w:sz w:val="24"/>
      </w:rPr>
    </w:lvl>
    <w:lvl w:ilvl="7" w:tplc="7506E8F2">
      <w:start w:val="1"/>
      <w:numFmt w:val="none"/>
      <w:lvlText w:val="%8"/>
      <w:lvlJc w:val="left"/>
      <w:pPr>
        <w:ind w:left="1134" w:hanging="1134"/>
      </w:pPr>
      <w:rPr>
        <w:rFonts w:hint="default"/>
      </w:rPr>
    </w:lvl>
    <w:lvl w:ilvl="8" w:tplc="3AAE8258">
      <w:start w:val="1"/>
      <w:numFmt w:val="none"/>
      <w:lvlText w:val="%9"/>
      <w:lvlJc w:val="right"/>
      <w:pPr>
        <w:ind w:left="1134" w:hanging="1134"/>
      </w:pPr>
      <w:rPr>
        <w:rFonts w:hint="default"/>
      </w:rPr>
    </w:lvl>
  </w:abstractNum>
  <w:abstractNum w:abstractNumId="6" w15:restartNumberingAfterBreak="0">
    <w:nsid w:val="242274EA"/>
    <w:multiLevelType w:val="hybridMultilevel"/>
    <w:tmpl w:val="25602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AE5B01"/>
    <w:multiLevelType w:val="hybridMultilevel"/>
    <w:tmpl w:val="73725FC4"/>
    <w:lvl w:ilvl="0" w:tplc="1708E1E4">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106B1D"/>
    <w:multiLevelType w:val="hybridMultilevel"/>
    <w:tmpl w:val="EC66B86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33BF6C35"/>
    <w:multiLevelType w:val="hybridMultilevel"/>
    <w:tmpl w:val="DD92B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2E316C"/>
    <w:multiLevelType w:val="hybridMultilevel"/>
    <w:tmpl w:val="73725FC4"/>
    <w:lvl w:ilvl="0" w:tplc="1708E1E4">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F50C07"/>
    <w:multiLevelType w:val="hybridMultilevel"/>
    <w:tmpl w:val="2A7E8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792CD4"/>
    <w:multiLevelType w:val="hybridMultilevel"/>
    <w:tmpl w:val="FEE071C8"/>
    <w:numStyleLink w:val="ESSectionheading-numbered"/>
  </w:abstractNum>
  <w:abstractNum w:abstractNumId="13" w15:restartNumberingAfterBreak="0">
    <w:nsid w:val="4303182D"/>
    <w:multiLevelType w:val="hybridMultilevel"/>
    <w:tmpl w:val="A9964C2E"/>
    <w:lvl w:ilvl="0" w:tplc="57888306">
      <w:start w:val="1"/>
      <w:numFmt w:val="decimal"/>
      <w:lvlText w:val="C.1.%1."/>
      <w:lvlJc w:val="left"/>
      <w:pPr>
        <w:ind w:left="1134" w:hanging="1134"/>
      </w:pPr>
      <w:rPr>
        <w:rFonts w:hint="default"/>
        <w:b/>
        <w:i w:val="0"/>
        <w:color w:val="auto"/>
        <w:sz w:val="24"/>
      </w:rPr>
    </w:lvl>
    <w:lvl w:ilvl="1" w:tplc="0B8C3B0C">
      <w:start w:val="3"/>
      <w:numFmt w:val="decimal"/>
      <w:lvlText w:val="B.%2"/>
      <w:lvlJc w:val="left"/>
      <w:pPr>
        <w:ind w:left="1134" w:hanging="1134"/>
      </w:pPr>
      <w:rPr>
        <w:rFonts w:ascii="Calibri" w:hAnsi="Calibri" w:hint="default"/>
        <w:b/>
        <w:i w:val="0"/>
        <w:sz w:val="24"/>
      </w:rPr>
    </w:lvl>
    <w:lvl w:ilvl="2" w:tplc="B03C8E66">
      <w:start w:val="1"/>
      <w:numFmt w:val="decimal"/>
      <w:lvlText w:val="C.%3."/>
      <w:lvlJc w:val="left"/>
      <w:pPr>
        <w:ind w:left="1134" w:hanging="1134"/>
      </w:pPr>
      <w:rPr>
        <w:rFonts w:ascii="Calibri" w:hAnsi="Calibri" w:hint="default"/>
        <w:b/>
        <w:i w:val="0"/>
        <w:sz w:val="24"/>
      </w:rPr>
    </w:lvl>
    <w:lvl w:ilvl="3" w:tplc="7C5070F6">
      <w:start w:val="1"/>
      <w:numFmt w:val="decimal"/>
      <w:lvlText w:val="D.%4."/>
      <w:lvlJc w:val="left"/>
      <w:pPr>
        <w:ind w:left="1134" w:hanging="1134"/>
      </w:pPr>
      <w:rPr>
        <w:rFonts w:ascii="Calibri" w:hAnsi="Calibri" w:hint="default"/>
        <w:b/>
        <w:i w:val="0"/>
        <w:sz w:val="24"/>
      </w:rPr>
    </w:lvl>
    <w:lvl w:ilvl="4" w:tplc="F932B234">
      <w:start w:val="1"/>
      <w:numFmt w:val="decimal"/>
      <w:lvlText w:val="E.%5."/>
      <w:lvlJc w:val="left"/>
      <w:pPr>
        <w:ind w:left="1134" w:hanging="1134"/>
      </w:pPr>
      <w:rPr>
        <w:rFonts w:ascii="Calibri" w:hAnsi="Calibri" w:hint="default"/>
        <w:b/>
        <w:i w:val="0"/>
        <w:sz w:val="24"/>
      </w:rPr>
    </w:lvl>
    <w:lvl w:ilvl="5" w:tplc="ED28C104">
      <w:start w:val="1"/>
      <w:numFmt w:val="decimal"/>
      <w:lvlText w:val="A.%6"/>
      <w:lvlJc w:val="left"/>
      <w:pPr>
        <w:ind w:left="1134" w:hanging="1134"/>
      </w:pPr>
      <w:rPr>
        <w:rFonts w:ascii="Calibri" w:hAnsi="Calibri" w:hint="default"/>
        <w:b/>
        <w:i w:val="0"/>
        <w:color w:val="auto"/>
        <w:sz w:val="24"/>
      </w:rPr>
    </w:lvl>
    <w:lvl w:ilvl="6" w:tplc="3E1888EE">
      <w:start w:val="1"/>
      <w:numFmt w:val="none"/>
      <w:lvlText w:val=""/>
      <w:lvlJc w:val="left"/>
      <w:pPr>
        <w:ind w:left="1134" w:hanging="1134"/>
      </w:pPr>
      <w:rPr>
        <w:rFonts w:ascii="Calibri" w:hAnsi="Calibri" w:hint="default"/>
        <w:b/>
        <w:i w:val="0"/>
        <w:sz w:val="24"/>
      </w:rPr>
    </w:lvl>
    <w:lvl w:ilvl="7" w:tplc="A6BA9BBC">
      <w:start w:val="1"/>
      <w:numFmt w:val="none"/>
      <w:lvlText w:val="%8"/>
      <w:lvlJc w:val="left"/>
      <w:pPr>
        <w:ind w:left="1134" w:hanging="1134"/>
      </w:pPr>
      <w:rPr>
        <w:rFonts w:hint="default"/>
      </w:rPr>
    </w:lvl>
    <w:lvl w:ilvl="8" w:tplc="E5929A5C">
      <w:start w:val="1"/>
      <w:numFmt w:val="none"/>
      <w:lvlText w:val="%9"/>
      <w:lvlJc w:val="right"/>
      <w:pPr>
        <w:ind w:left="1134" w:hanging="1134"/>
      </w:pPr>
      <w:rPr>
        <w:rFonts w:hint="default"/>
      </w:rPr>
    </w:lvl>
  </w:abstractNum>
  <w:abstractNum w:abstractNumId="14" w15:restartNumberingAfterBreak="0">
    <w:nsid w:val="56891D8A"/>
    <w:multiLevelType w:val="hybridMultilevel"/>
    <w:tmpl w:val="FEE071C8"/>
    <w:numStyleLink w:val="ESSectionheading-numbered"/>
  </w:abstractNum>
  <w:abstractNum w:abstractNumId="15" w15:restartNumberingAfterBreak="0">
    <w:nsid w:val="57034796"/>
    <w:multiLevelType w:val="hybridMultilevel"/>
    <w:tmpl w:val="374E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725F98"/>
    <w:multiLevelType w:val="hybridMultilevel"/>
    <w:tmpl w:val="151C3922"/>
    <w:lvl w:ilvl="0" w:tplc="0C090001">
      <w:start w:val="1"/>
      <w:numFmt w:val="bullet"/>
      <w:lvlText w:val=""/>
      <w:lvlJc w:val="left"/>
      <w:pPr>
        <w:ind w:left="620" w:hanging="360"/>
      </w:pPr>
      <w:rPr>
        <w:rFonts w:ascii="Symbol" w:hAnsi="Symbol" w:hint="default"/>
      </w:rPr>
    </w:lvl>
    <w:lvl w:ilvl="1" w:tplc="0C090003" w:tentative="1">
      <w:start w:val="1"/>
      <w:numFmt w:val="bullet"/>
      <w:lvlText w:val="o"/>
      <w:lvlJc w:val="left"/>
      <w:pPr>
        <w:ind w:left="1340" w:hanging="360"/>
      </w:pPr>
      <w:rPr>
        <w:rFonts w:ascii="Courier New" w:hAnsi="Courier New" w:cs="Courier New" w:hint="default"/>
      </w:rPr>
    </w:lvl>
    <w:lvl w:ilvl="2" w:tplc="0C090005" w:tentative="1">
      <w:start w:val="1"/>
      <w:numFmt w:val="bullet"/>
      <w:lvlText w:val=""/>
      <w:lvlJc w:val="left"/>
      <w:pPr>
        <w:ind w:left="2060" w:hanging="360"/>
      </w:pPr>
      <w:rPr>
        <w:rFonts w:ascii="Wingdings" w:hAnsi="Wingdings" w:hint="default"/>
      </w:rPr>
    </w:lvl>
    <w:lvl w:ilvl="3" w:tplc="0C090001" w:tentative="1">
      <w:start w:val="1"/>
      <w:numFmt w:val="bullet"/>
      <w:lvlText w:val=""/>
      <w:lvlJc w:val="left"/>
      <w:pPr>
        <w:ind w:left="2780" w:hanging="360"/>
      </w:pPr>
      <w:rPr>
        <w:rFonts w:ascii="Symbol" w:hAnsi="Symbol" w:hint="default"/>
      </w:rPr>
    </w:lvl>
    <w:lvl w:ilvl="4" w:tplc="0C090003" w:tentative="1">
      <w:start w:val="1"/>
      <w:numFmt w:val="bullet"/>
      <w:lvlText w:val="o"/>
      <w:lvlJc w:val="left"/>
      <w:pPr>
        <w:ind w:left="3500" w:hanging="360"/>
      </w:pPr>
      <w:rPr>
        <w:rFonts w:ascii="Courier New" w:hAnsi="Courier New" w:cs="Courier New" w:hint="default"/>
      </w:rPr>
    </w:lvl>
    <w:lvl w:ilvl="5" w:tplc="0C090005" w:tentative="1">
      <w:start w:val="1"/>
      <w:numFmt w:val="bullet"/>
      <w:lvlText w:val=""/>
      <w:lvlJc w:val="left"/>
      <w:pPr>
        <w:ind w:left="4220" w:hanging="360"/>
      </w:pPr>
      <w:rPr>
        <w:rFonts w:ascii="Wingdings" w:hAnsi="Wingdings" w:hint="default"/>
      </w:rPr>
    </w:lvl>
    <w:lvl w:ilvl="6" w:tplc="0C090001" w:tentative="1">
      <w:start w:val="1"/>
      <w:numFmt w:val="bullet"/>
      <w:lvlText w:val=""/>
      <w:lvlJc w:val="left"/>
      <w:pPr>
        <w:ind w:left="4940" w:hanging="360"/>
      </w:pPr>
      <w:rPr>
        <w:rFonts w:ascii="Symbol" w:hAnsi="Symbol" w:hint="default"/>
      </w:rPr>
    </w:lvl>
    <w:lvl w:ilvl="7" w:tplc="0C090003" w:tentative="1">
      <w:start w:val="1"/>
      <w:numFmt w:val="bullet"/>
      <w:lvlText w:val="o"/>
      <w:lvlJc w:val="left"/>
      <w:pPr>
        <w:ind w:left="5660" w:hanging="360"/>
      </w:pPr>
      <w:rPr>
        <w:rFonts w:ascii="Courier New" w:hAnsi="Courier New" w:cs="Courier New" w:hint="default"/>
      </w:rPr>
    </w:lvl>
    <w:lvl w:ilvl="8" w:tplc="0C090005" w:tentative="1">
      <w:start w:val="1"/>
      <w:numFmt w:val="bullet"/>
      <w:lvlText w:val=""/>
      <w:lvlJc w:val="left"/>
      <w:pPr>
        <w:ind w:left="6380" w:hanging="360"/>
      </w:pPr>
      <w:rPr>
        <w:rFonts w:ascii="Wingdings" w:hAnsi="Wingdings" w:hint="default"/>
      </w:rPr>
    </w:lvl>
  </w:abstractNum>
  <w:abstractNum w:abstractNumId="17" w15:restartNumberingAfterBreak="0">
    <w:nsid w:val="5D903835"/>
    <w:multiLevelType w:val="hybridMultilevel"/>
    <w:tmpl w:val="48C4148A"/>
    <w:lvl w:ilvl="0" w:tplc="09E28B9E">
      <w:numFmt w:val="bullet"/>
      <w:pStyle w:val="Bullet"/>
      <w:lvlText w:val=""/>
      <w:lvlJc w:val="left"/>
      <w:pPr>
        <w:tabs>
          <w:tab w:val="num" w:pos="1440"/>
        </w:tabs>
        <w:ind w:left="1440" w:hanging="720"/>
      </w:pPr>
      <w:rPr>
        <w:rFonts w:ascii="Symbol" w:hAnsi="Symbol" w:hint="default"/>
        <w:sz w:val="22"/>
      </w:rPr>
    </w:lvl>
    <w:lvl w:ilvl="1" w:tplc="B246AEDE">
      <w:numFmt w:val="decimal"/>
      <w:lvlText w:val=""/>
      <w:lvlJc w:val="left"/>
    </w:lvl>
    <w:lvl w:ilvl="2" w:tplc="268AFF02">
      <w:numFmt w:val="decimal"/>
      <w:lvlText w:val=""/>
      <w:lvlJc w:val="left"/>
    </w:lvl>
    <w:lvl w:ilvl="3" w:tplc="9D12274C">
      <w:numFmt w:val="decimal"/>
      <w:lvlText w:val=""/>
      <w:lvlJc w:val="left"/>
    </w:lvl>
    <w:lvl w:ilvl="4" w:tplc="01489F92">
      <w:numFmt w:val="decimal"/>
      <w:lvlText w:val=""/>
      <w:lvlJc w:val="left"/>
    </w:lvl>
    <w:lvl w:ilvl="5" w:tplc="1BB082F6">
      <w:numFmt w:val="decimal"/>
      <w:lvlText w:val=""/>
      <w:lvlJc w:val="left"/>
    </w:lvl>
    <w:lvl w:ilvl="6" w:tplc="9ADA4162">
      <w:numFmt w:val="decimal"/>
      <w:lvlText w:val=""/>
      <w:lvlJc w:val="left"/>
    </w:lvl>
    <w:lvl w:ilvl="7" w:tplc="A19A03DC">
      <w:numFmt w:val="decimal"/>
      <w:lvlText w:val=""/>
      <w:lvlJc w:val="left"/>
    </w:lvl>
    <w:lvl w:ilvl="8" w:tplc="8C9E3104">
      <w:numFmt w:val="decimal"/>
      <w:lvlText w:val=""/>
      <w:lvlJc w:val="left"/>
    </w:lvl>
  </w:abstractNum>
  <w:abstractNum w:abstractNumId="18" w15:restartNumberingAfterBreak="0">
    <w:nsid w:val="5E4846CA"/>
    <w:multiLevelType w:val="hybridMultilevel"/>
    <w:tmpl w:val="9A508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2D7CC3"/>
    <w:multiLevelType w:val="hybridMultilevel"/>
    <w:tmpl w:val="437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72D73"/>
    <w:multiLevelType w:val="hybridMultilevel"/>
    <w:tmpl w:val="B9883EF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0C95C66"/>
    <w:multiLevelType w:val="hybridMultilevel"/>
    <w:tmpl w:val="F5DE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F11438"/>
    <w:multiLevelType w:val="hybridMultilevel"/>
    <w:tmpl w:val="A9964C2E"/>
    <w:lvl w:ilvl="0" w:tplc="84007570">
      <w:start w:val="1"/>
      <w:numFmt w:val="decimal"/>
      <w:lvlText w:val="C.1.%1."/>
      <w:lvlJc w:val="left"/>
      <w:pPr>
        <w:ind w:left="1134" w:hanging="1134"/>
      </w:pPr>
      <w:rPr>
        <w:rFonts w:hint="default"/>
        <w:b/>
        <w:i w:val="0"/>
        <w:color w:val="auto"/>
        <w:sz w:val="24"/>
      </w:rPr>
    </w:lvl>
    <w:lvl w:ilvl="1" w:tplc="E87C7B76">
      <w:start w:val="3"/>
      <w:numFmt w:val="decimal"/>
      <w:lvlText w:val="B.%2"/>
      <w:lvlJc w:val="left"/>
      <w:pPr>
        <w:ind w:left="1134" w:hanging="1134"/>
      </w:pPr>
      <w:rPr>
        <w:rFonts w:ascii="Calibri" w:hAnsi="Calibri" w:hint="default"/>
        <w:b/>
        <w:i w:val="0"/>
        <w:sz w:val="24"/>
      </w:rPr>
    </w:lvl>
    <w:lvl w:ilvl="2" w:tplc="F0407DB2">
      <w:start w:val="1"/>
      <w:numFmt w:val="decimal"/>
      <w:lvlText w:val="C.%3."/>
      <w:lvlJc w:val="left"/>
      <w:pPr>
        <w:ind w:left="1134" w:hanging="1134"/>
      </w:pPr>
      <w:rPr>
        <w:rFonts w:ascii="Calibri" w:hAnsi="Calibri" w:hint="default"/>
        <w:b/>
        <w:i w:val="0"/>
        <w:sz w:val="24"/>
      </w:rPr>
    </w:lvl>
    <w:lvl w:ilvl="3" w:tplc="86C230E8">
      <w:start w:val="1"/>
      <w:numFmt w:val="decimal"/>
      <w:lvlText w:val="D.%4."/>
      <w:lvlJc w:val="left"/>
      <w:pPr>
        <w:ind w:left="1134" w:hanging="1134"/>
      </w:pPr>
      <w:rPr>
        <w:rFonts w:ascii="Calibri" w:hAnsi="Calibri" w:hint="default"/>
        <w:b/>
        <w:i w:val="0"/>
        <w:sz w:val="24"/>
      </w:rPr>
    </w:lvl>
    <w:lvl w:ilvl="4" w:tplc="822A286E">
      <w:start w:val="1"/>
      <w:numFmt w:val="decimal"/>
      <w:lvlText w:val="E.%5."/>
      <w:lvlJc w:val="left"/>
      <w:pPr>
        <w:ind w:left="1134" w:hanging="1134"/>
      </w:pPr>
      <w:rPr>
        <w:rFonts w:ascii="Calibri" w:hAnsi="Calibri" w:hint="default"/>
        <w:b/>
        <w:i w:val="0"/>
        <w:sz w:val="24"/>
      </w:rPr>
    </w:lvl>
    <w:lvl w:ilvl="5" w:tplc="853485EA">
      <w:start w:val="1"/>
      <w:numFmt w:val="decimal"/>
      <w:lvlText w:val="A.%6"/>
      <w:lvlJc w:val="left"/>
      <w:pPr>
        <w:ind w:left="1134" w:hanging="1134"/>
      </w:pPr>
      <w:rPr>
        <w:rFonts w:ascii="Calibri" w:hAnsi="Calibri" w:hint="default"/>
        <w:b/>
        <w:i w:val="0"/>
        <w:color w:val="auto"/>
        <w:sz w:val="24"/>
      </w:rPr>
    </w:lvl>
    <w:lvl w:ilvl="6" w:tplc="FD820CC8">
      <w:start w:val="1"/>
      <w:numFmt w:val="none"/>
      <w:lvlText w:val=""/>
      <w:lvlJc w:val="left"/>
      <w:pPr>
        <w:ind w:left="1134" w:hanging="1134"/>
      </w:pPr>
      <w:rPr>
        <w:rFonts w:ascii="Calibri" w:hAnsi="Calibri" w:hint="default"/>
        <w:b/>
        <w:i w:val="0"/>
        <w:sz w:val="24"/>
      </w:rPr>
    </w:lvl>
    <w:lvl w:ilvl="7" w:tplc="B8648776">
      <w:start w:val="1"/>
      <w:numFmt w:val="none"/>
      <w:lvlText w:val="%8"/>
      <w:lvlJc w:val="left"/>
      <w:pPr>
        <w:ind w:left="1134" w:hanging="1134"/>
      </w:pPr>
      <w:rPr>
        <w:rFonts w:hint="default"/>
      </w:rPr>
    </w:lvl>
    <w:lvl w:ilvl="8" w:tplc="50BE1DA0">
      <w:start w:val="1"/>
      <w:numFmt w:val="none"/>
      <w:lvlText w:val="%9"/>
      <w:lvlJc w:val="right"/>
      <w:pPr>
        <w:ind w:left="1134" w:hanging="1134"/>
      </w:pPr>
      <w:rPr>
        <w:rFonts w:hint="default"/>
      </w:rPr>
    </w:lvl>
  </w:abstractNum>
  <w:abstractNum w:abstractNumId="23"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24" w15:restartNumberingAfterBreak="0">
    <w:nsid w:val="6688424E"/>
    <w:multiLevelType w:val="hybridMultilevel"/>
    <w:tmpl w:val="7A1053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C252901"/>
    <w:multiLevelType w:val="hybridMultilevel"/>
    <w:tmpl w:val="77D0E56C"/>
    <w:lvl w:ilvl="0" w:tplc="67A0D446">
      <w:start w:val="1"/>
      <w:numFmt w:val="decimal"/>
      <w:lvlText w:val="A.%1."/>
      <w:lvlJc w:val="left"/>
      <w:pPr>
        <w:ind w:left="1134" w:hanging="1134"/>
      </w:pPr>
      <w:rPr>
        <w:rFonts w:hint="default"/>
        <w:b/>
        <w:i w:val="0"/>
        <w:color w:val="auto"/>
        <w:sz w:val="24"/>
      </w:rPr>
    </w:lvl>
    <w:lvl w:ilvl="1" w:tplc="13CC0142">
      <w:start w:val="1"/>
      <w:numFmt w:val="decimal"/>
      <w:lvlText w:val="%2."/>
      <w:lvlJc w:val="left"/>
      <w:pPr>
        <w:ind w:left="1701" w:hanging="737"/>
      </w:pPr>
      <w:rPr>
        <w:rFonts w:ascii="Calibri" w:hAnsi="Calibri" w:hint="default"/>
        <w:b/>
        <w:i w:val="0"/>
        <w:sz w:val="24"/>
      </w:rPr>
    </w:lvl>
    <w:lvl w:ilvl="2" w:tplc="819E317E">
      <w:start w:val="1"/>
      <w:numFmt w:val="decimal"/>
      <w:lvlText w:val="B.%3."/>
      <w:lvlJc w:val="left"/>
      <w:pPr>
        <w:ind w:left="1134" w:hanging="1134"/>
      </w:pPr>
      <w:rPr>
        <w:rFonts w:ascii="Calibri" w:hAnsi="Calibri" w:hint="default"/>
        <w:b/>
        <w:i w:val="0"/>
        <w:sz w:val="24"/>
      </w:rPr>
    </w:lvl>
    <w:lvl w:ilvl="3" w:tplc="246C989E">
      <w:start w:val="1"/>
      <w:numFmt w:val="decimal"/>
      <w:lvlText w:val="%4."/>
      <w:lvlJc w:val="left"/>
      <w:pPr>
        <w:ind w:left="1134" w:hanging="170"/>
      </w:pPr>
      <w:rPr>
        <w:rFonts w:ascii="Calibri" w:hAnsi="Calibri" w:hint="default"/>
        <w:b/>
        <w:i w:val="0"/>
        <w:sz w:val="24"/>
      </w:rPr>
    </w:lvl>
    <w:lvl w:ilvl="4" w:tplc="87EA8506">
      <w:start w:val="1"/>
      <w:numFmt w:val="decimal"/>
      <w:lvlText w:val="C.%5."/>
      <w:lvlJc w:val="left"/>
      <w:pPr>
        <w:ind w:left="1134" w:hanging="1134"/>
      </w:pPr>
      <w:rPr>
        <w:rFonts w:ascii="Calibri" w:hAnsi="Calibri" w:hint="default"/>
        <w:b/>
        <w:i w:val="0"/>
        <w:sz w:val="24"/>
      </w:rPr>
    </w:lvl>
    <w:lvl w:ilvl="5" w:tplc="D35863CA">
      <w:start w:val="1"/>
      <w:numFmt w:val="decimal"/>
      <w:lvlText w:val="%6"/>
      <w:lvlJc w:val="left"/>
      <w:pPr>
        <w:ind w:left="1134" w:hanging="170"/>
      </w:pPr>
      <w:rPr>
        <w:rFonts w:ascii="Calibri" w:hAnsi="Calibri" w:hint="default"/>
        <w:b/>
        <w:i w:val="0"/>
        <w:color w:val="auto"/>
        <w:sz w:val="24"/>
      </w:rPr>
    </w:lvl>
    <w:lvl w:ilvl="6" w:tplc="998C175C">
      <w:start w:val="1"/>
      <w:numFmt w:val="decimal"/>
      <w:lvlText w:val="D.%7"/>
      <w:lvlJc w:val="left"/>
      <w:pPr>
        <w:ind w:left="1134" w:hanging="1134"/>
      </w:pPr>
      <w:rPr>
        <w:rFonts w:ascii="Calibri" w:hAnsi="Calibri" w:hint="default"/>
        <w:b/>
        <w:i w:val="0"/>
        <w:color w:val="auto"/>
        <w:sz w:val="24"/>
      </w:rPr>
    </w:lvl>
    <w:lvl w:ilvl="7" w:tplc="984ABAEC">
      <w:start w:val="1"/>
      <w:numFmt w:val="decimal"/>
      <w:lvlText w:val="%8"/>
      <w:lvlJc w:val="left"/>
      <w:pPr>
        <w:ind w:left="1134" w:hanging="170"/>
      </w:pPr>
      <w:rPr>
        <w:rFonts w:ascii="Calibri" w:hAnsi="Calibri" w:hint="default"/>
        <w:b/>
        <w:i w:val="0"/>
        <w:color w:val="auto"/>
        <w:sz w:val="24"/>
      </w:rPr>
    </w:lvl>
    <w:lvl w:ilvl="8" w:tplc="9392DDD8">
      <w:start w:val="1"/>
      <w:numFmt w:val="decimal"/>
      <w:lvlText w:val="E.%9"/>
      <w:lvlJc w:val="left"/>
      <w:pPr>
        <w:ind w:left="1134" w:hanging="1134"/>
      </w:pPr>
      <w:rPr>
        <w:rFonts w:ascii="Calibri" w:hAnsi="Calibri" w:hint="default"/>
        <w:b/>
        <w:i w:val="0"/>
        <w:color w:val="auto"/>
        <w:sz w:val="24"/>
      </w:rPr>
    </w:lvl>
  </w:abstractNum>
  <w:abstractNum w:abstractNumId="26" w15:restartNumberingAfterBreak="0">
    <w:nsid w:val="73056A77"/>
    <w:multiLevelType w:val="hybridMultilevel"/>
    <w:tmpl w:val="25C8A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EB28FD"/>
    <w:multiLevelType w:val="hybridMultilevel"/>
    <w:tmpl w:val="30C2CD16"/>
    <w:lvl w:ilvl="0" w:tplc="306AC104">
      <w:start w:val="1"/>
      <w:numFmt w:val="bullet"/>
      <w:lvlText w:val="-"/>
      <w:lvlJc w:val="left"/>
      <w:pPr>
        <w:ind w:left="360" w:hanging="360"/>
      </w:pPr>
      <w:rPr>
        <w:rFonts w:ascii="Arial Narrow" w:eastAsia="Times New Roman" w:hAnsi="Arial Narrow"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200C70"/>
    <w:multiLevelType w:val="hybridMultilevel"/>
    <w:tmpl w:val="37B0CA18"/>
    <w:lvl w:ilvl="0" w:tplc="57D4C7DE">
      <w:start w:val="1"/>
      <w:numFmt w:val="none"/>
      <w:pStyle w:val="ESSectionHeading-numbered0"/>
      <w:lvlText w:val="A.1"/>
      <w:lvlJc w:val="left"/>
      <w:pPr>
        <w:ind w:left="1134" w:hanging="1134"/>
      </w:pPr>
      <w:rPr>
        <w:rFonts w:ascii="Calibri" w:hAnsi="Calibri" w:hint="default"/>
        <w:b/>
        <w:i w:val="0"/>
        <w:color w:val="auto"/>
        <w:sz w:val="24"/>
      </w:rPr>
    </w:lvl>
    <w:lvl w:ilvl="1" w:tplc="3320B9C2">
      <w:start w:val="2"/>
      <w:numFmt w:val="decimal"/>
      <w:lvlText w:val="B.%2"/>
      <w:lvlJc w:val="left"/>
      <w:pPr>
        <w:ind w:left="1134" w:hanging="1134"/>
      </w:pPr>
      <w:rPr>
        <w:rFonts w:ascii="Calibri" w:hAnsi="Calibri" w:hint="default"/>
        <w:b/>
        <w:i w:val="0"/>
        <w:color w:val="auto"/>
        <w:sz w:val="24"/>
      </w:rPr>
    </w:lvl>
    <w:lvl w:ilvl="2" w:tplc="E340AC3A">
      <w:start w:val="1"/>
      <w:numFmt w:val="decimal"/>
      <w:lvlText w:val="C.%3."/>
      <w:lvlJc w:val="left"/>
      <w:pPr>
        <w:ind w:left="1134" w:hanging="1134"/>
      </w:pPr>
      <w:rPr>
        <w:rFonts w:ascii="Calibri" w:hAnsi="Calibri" w:hint="default"/>
        <w:b/>
        <w:i w:val="0"/>
        <w:sz w:val="24"/>
      </w:rPr>
    </w:lvl>
    <w:lvl w:ilvl="3" w:tplc="96CECBF2">
      <w:start w:val="1"/>
      <w:numFmt w:val="decimal"/>
      <w:lvlText w:val="D.%4."/>
      <w:lvlJc w:val="left"/>
      <w:pPr>
        <w:ind w:left="1134" w:hanging="1134"/>
      </w:pPr>
      <w:rPr>
        <w:rFonts w:ascii="Calibri" w:hAnsi="Calibri" w:hint="default"/>
        <w:b/>
        <w:i w:val="0"/>
        <w:sz w:val="24"/>
      </w:rPr>
    </w:lvl>
    <w:lvl w:ilvl="4" w:tplc="972AD1E2">
      <w:start w:val="1"/>
      <w:numFmt w:val="decimal"/>
      <w:lvlText w:val="E.%5."/>
      <w:lvlJc w:val="left"/>
      <w:pPr>
        <w:ind w:left="1134" w:hanging="1134"/>
      </w:pPr>
      <w:rPr>
        <w:rFonts w:ascii="Calibri" w:hAnsi="Calibri" w:hint="default"/>
        <w:b/>
        <w:i w:val="0"/>
        <w:sz w:val="24"/>
      </w:rPr>
    </w:lvl>
    <w:lvl w:ilvl="5" w:tplc="876A629A">
      <w:start w:val="1"/>
      <w:numFmt w:val="decimal"/>
      <w:lvlText w:val="A.%6"/>
      <w:lvlJc w:val="left"/>
      <w:pPr>
        <w:ind w:left="1134" w:hanging="1134"/>
      </w:pPr>
      <w:rPr>
        <w:rFonts w:ascii="Calibri" w:hAnsi="Calibri" w:hint="default"/>
        <w:b/>
        <w:i w:val="0"/>
        <w:color w:val="auto"/>
        <w:sz w:val="24"/>
      </w:rPr>
    </w:lvl>
    <w:lvl w:ilvl="6" w:tplc="2320E82E">
      <w:start w:val="1"/>
      <w:numFmt w:val="none"/>
      <w:lvlText w:val=""/>
      <w:lvlJc w:val="left"/>
      <w:pPr>
        <w:ind w:left="1134" w:hanging="1134"/>
      </w:pPr>
      <w:rPr>
        <w:rFonts w:ascii="Calibri" w:hAnsi="Calibri" w:hint="default"/>
        <w:b/>
        <w:i w:val="0"/>
        <w:sz w:val="24"/>
      </w:rPr>
    </w:lvl>
    <w:lvl w:ilvl="7" w:tplc="B7E66C06">
      <w:start w:val="1"/>
      <w:numFmt w:val="none"/>
      <w:lvlText w:val="%8"/>
      <w:lvlJc w:val="left"/>
      <w:pPr>
        <w:ind w:left="1134" w:hanging="1134"/>
      </w:pPr>
      <w:rPr>
        <w:rFonts w:hint="default"/>
      </w:rPr>
    </w:lvl>
    <w:lvl w:ilvl="8" w:tplc="BAAC0C8A">
      <w:start w:val="1"/>
      <w:numFmt w:val="none"/>
      <w:lvlText w:val="%9"/>
      <w:lvlJc w:val="right"/>
      <w:pPr>
        <w:ind w:left="1134" w:hanging="1134"/>
      </w:pPr>
      <w:rPr>
        <w:rFonts w:hint="default"/>
      </w:rPr>
    </w:lvl>
  </w:abstractNum>
  <w:abstractNum w:abstractNumId="29" w15:restartNumberingAfterBreak="0">
    <w:nsid w:val="7F146CDE"/>
    <w:multiLevelType w:val="hybridMultilevel"/>
    <w:tmpl w:val="D75675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17"/>
  </w:num>
  <w:num w:numId="2">
    <w:abstractNumId w:val="3"/>
  </w:num>
  <w:num w:numId="3">
    <w:abstractNumId w:val="30"/>
  </w:num>
  <w:num w:numId="4">
    <w:abstractNumId w:val="23"/>
  </w:num>
  <w:num w:numId="5">
    <w:abstractNumId w:val="5"/>
  </w:num>
  <w:num w:numId="6">
    <w:abstractNumId w:val="28"/>
  </w:num>
  <w:num w:numId="7">
    <w:abstractNumId w:val="4"/>
  </w:num>
  <w:num w:numId="8">
    <w:abstractNumId w:val="25"/>
  </w:num>
  <w:num w:numId="9">
    <w:abstractNumId w:val="12"/>
  </w:num>
  <w:num w:numId="10">
    <w:abstractNumId w:val="14"/>
  </w:num>
  <w:num w:numId="11">
    <w:abstractNumId w:val="21"/>
  </w:num>
  <w:num w:numId="12">
    <w:abstractNumId w:val="22"/>
  </w:num>
  <w:num w:numId="13">
    <w:abstractNumId w:val="29"/>
  </w:num>
  <w:num w:numId="14">
    <w:abstractNumId w:val="16"/>
  </w:num>
  <w:num w:numId="15">
    <w:abstractNumId w:val="0"/>
  </w:num>
  <w:num w:numId="16">
    <w:abstractNumId w:val="26"/>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7"/>
  </w:num>
  <w:num w:numId="26">
    <w:abstractNumId w:val="8"/>
  </w:num>
  <w:num w:numId="27">
    <w:abstractNumId w:val="11"/>
  </w:num>
  <w:num w:numId="28">
    <w:abstractNumId w:val="13"/>
  </w:num>
  <w:num w:numId="29">
    <w:abstractNumId w:val="24"/>
  </w:num>
  <w:num w:numId="30">
    <w:abstractNumId w:val="15"/>
  </w:num>
  <w:num w:numId="31">
    <w:abstractNumId w:val="18"/>
  </w:num>
  <w:num w:numId="32">
    <w:abstractNumId w:val="19"/>
  </w:num>
  <w:num w:numId="33">
    <w:abstractNumId w:val="20"/>
  </w:num>
  <w:num w:numId="34">
    <w:abstractNumId w:val="1"/>
  </w:num>
  <w:num w:numId="35">
    <w:abstractNumId w:val="6"/>
  </w:num>
  <w:num w:numId="36">
    <w:abstractNumId w:val="7"/>
  </w:num>
  <w:num w:numId="3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xNLAwMDU1NDUyM7JQ0lEKTi0uzszPAymwrAUAM26vHSw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Libraries&gt;"/>
  </w:docVars>
  <w:rsids>
    <w:rsidRoot w:val="00640EBD"/>
    <w:rsid w:val="000006B5"/>
    <w:rsid w:val="00000B9C"/>
    <w:rsid w:val="00000BEB"/>
    <w:rsid w:val="00000C42"/>
    <w:rsid w:val="00000FA9"/>
    <w:rsid w:val="00001205"/>
    <w:rsid w:val="00001229"/>
    <w:rsid w:val="0000127D"/>
    <w:rsid w:val="000012D2"/>
    <w:rsid w:val="0000136D"/>
    <w:rsid w:val="00001444"/>
    <w:rsid w:val="0000184B"/>
    <w:rsid w:val="0000190C"/>
    <w:rsid w:val="00001C3C"/>
    <w:rsid w:val="00001E31"/>
    <w:rsid w:val="00001F98"/>
    <w:rsid w:val="0000226A"/>
    <w:rsid w:val="0000228D"/>
    <w:rsid w:val="0000253D"/>
    <w:rsid w:val="00002552"/>
    <w:rsid w:val="000025BB"/>
    <w:rsid w:val="000028CE"/>
    <w:rsid w:val="0000295F"/>
    <w:rsid w:val="000029F2"/>
    <w:rsid w:val="00002AB4"/>
    <w:rsid w:val="00002D82"/>
    <w:rsid w:val="00002F12"/>
    <w:rsid w:val="00003000"/>
    <w:rsid w:val="00003287"/>
    <w:rsid w:val="00003372"/>
    <w:rsid w:val="00003592"/>
    <w:rsid w:val="00003796"/>
    <w:rsid w:val="00003DF4"/>
    <w:rsid w:val="000041BD"/>
    <w:rsid w:val="0000430A"/>
    <w:rsid w:val="00004483"/>
    <w:rsid w:val="0000481B"/>
    <w:rsid w:val="000048DE"/>
    <w:rsid w:val="00004970"/>
    <w:rsid w:val="00004D16"/>
    <w:rsid w:val="00005109"/>
    <w:rsid w:val="00005257"/>
    <w:rsid w:val="0000536A"/>
    <w:rsid w:val="000055D4"/>
    <w:rsid w:val="000056FA"/>
    <w:rsid w:val="00005BEF"/>
    <w:rsid w:val="00006115"/>
    <w:rsid w:val="00006582"/>
    <w:rsid w:val="00006627"/>
    <w:rsid w:val="00006641"/>
    <w:rsid w:val="00006961"/>
    <w:rsid w:val="000069A7"/>
    <w:rsid w:val="00006AA5"/>
    <w:rsid w:val="00006C74"/>
    <w:rsid w:val="00006DA1"/>
    <w:rsid w:val="00006E62"/>
    <w:rsid w:val="00006F9D"/>
    <w:rsid w:val="000070F9"/>
    <w:rsid w:val="00007550"/>
    <w:rsid w:val="000078F6"/>
    <w:rsid w:val="00007948"/>
    <w:rsid w:val="00007A44"/>
    <w:rsid w:val="00007A4C"/>
    <w:rsid w:val="00007B46"/>
    <w:rsid w:val="00007B49"/>
    <w:rsid w:val="00007BE0"/>
    <w:rsid w:val="00007D81"/>
    <w:rsid w:val="00007DC0"/>
    <w:rsid w:val="00007E0E"/>
    <w:rsid w:val="000101C7"/>
    <w:rsid w:val="000105BB"/>
    <w:rsid w:val="000106F7"/>
    <w:rsid w:val="0001085B"/>
    <w:rsid w:val="0001088E"/>
    <w:rsid w:val="000108EE"/>
    <w:rsid w:val="000109F3"/>
    <w:rsid w:val="00010BF8"/>
    <w:rsid w:val="00010FB8"/>
    <w:rsid w:val="000111D2"/>
    <w:rsid w:val="0001135D"/>
    <w:rsid w:val="00011550"/>
    <w:rsid w:val="00011637"/>
    <w:rsid w:val="00011640"/>
    <w:rsid w:val="00011758"/>
    <w:rsid w:val="00011772"/>
    <w:rsid w:val="000118E5"/>
    <w:rsid w:val="0001195D"/>
    <w:rsid w:val="00011CEB"/>
    <w:rsid w:val="00011DE7"/>
    <w:rsid w:val="00011E02"/>
    <w:rsid w:val="00011F5E"/>
    <w:rsid w:val="0001210B"/>
    <w:rsid w:val="00012154"/>
    <w:rsid w:val="00012305"/>
    <w:rsid w:val="00012998"/>
    <w:rsid w:val="00012C9C"/>
    <w:rsid w:val="00012EA4"/>
    <w:rsid w:val="00012EA6"/>
    <w:rsid w:val="0001307B"/>
    <w:rsid w:val="000130A6"/>
    <w:rsid w:val="000130D3"/>
    <w:rsid w:val="000133F9"/>
    <w:rsid w:val="00013430"/>
    <w:rsid w:val="000134C1"/>
    <w:rsid w:val="0001357B"/>
    <w:rsid w:val="00013791"/>
    <w:rsid w:val="0001388D"/>
    <w:rsid w:val="00013934"/>
    <w:rsid w:val="000139D1"/>
    <w:rsid w:val="000139EB"/>
    <w:rsid w:val="000139FD"/>
    <w:rsid w:val="00013B09"/>
    <w:rsid w:val="00013B46"/>
    <w:rsid w:val="00013FA1"/>
    <w:rsid w:val="00014321"/>
    <w:rsid w:val="00014736"/>
    <w:rsid w:val="00014917"/>
    <w:rsid w:val="000149C2"/>
    <w:rsid w:val="00014A66"/>
    <w:rsid w:val="00014D6D"/>
    <w:rsid w:val="00014EC1"/>
    <w:rsid w:val="00015282"/>
    <w:rsid w:val="00015425"/>
    <w:rsid w:val="000155E6"/>
    <w:rsid w:val="0001563F"/>
    <w:rsid w:val="000156F4"/>
    <w:rsid w:val="00015787"/>
    <w:rsid w:val="00015C26"/>
    <w:rsid w:val="00015D3E"/>
    <w:rsid w:val="00015D4F"/>
    <w:rsid w:val="00015E03"/>
    <w:rsid w:val="000160B3"/>
    <w:rsid w:val="00016333"/>
    <w:rsid w:val="0001663F"/>
    <w:rsid w:val="0001667E"/>
    <w:rsid w:val="00016792"/>
    <w:rsid w:val="000168BA"/>
    <w:rsid w:val="0001695D"/>
    <w:rsid w:val="00016E5E"/>
    <w:rsid w:val="00016FDF"/>
    <w:rsid w:val="000171FD"/>
    <w:rsid w:val="0001750E"/>
    <w:rsid w:val="00017B2B"/>
    <w:rsid w:val="00017B8E"/>
    <w:rsid w:val="00017D44"/>
    <w:rsid w:val="000208A2"/>
    <w:rsid w:val="00020A61"/>
    <w:rsid w:val="00020C59"/>
    <w:rsid w:val="00020F15"/>
    <w:rsid w:val="00021072"/>
    <w:rsid w:val="000213A7"/>
    <w:rsid w:val="000213A9"/>
    <w:rsid w:val="00021FDC"/>
    <w:rsid w:val="0002230A"/>
    <w:rsid w:val="00022446"/>
    <w:rsid w:val="00022644"/>
    <w:rsid w:val="0002265C"/>
    <w:rsid w:val="000226ED"/>
    <w:rsid w:val="00022B59"/>
    <w:rsid w:val="00022C0C"/>
    <w:rsid w:val="00022FCD"/>
    <w:rsid w:val="0002331C"/>
    <w:rsid w:val="000236CF"/>
    <w:rsid w:val="00023792"/>
    <w:rsid w:val="0002446C"/>
    <w:rsid w:val="00024819"/>
    <w:rsid w:val="00024A77"/>
    <w:rsid w:val="00024B4A"/>
    <w:rsid w:val="00024C44"/>
    <w:rsid w:val="00025044"/>
    <w:rsid w:val="00025710"/>
    <w:rsid w:val="0002581D"/>
    <w:rsid w:val="00025A8B"/>
    <w:rsid w:val="00025D96"/>
    <w:rsid w:val="00025EB7"/>
    <w:rsid w:val="00025F1A"/>
    <w:rsid w:val="000264A2"/>
    <w:rsid w:val="000264EE"/>
    <w:rsid w:val="000266AD"/>
    <w:rsid w:val="0002695E"/>
    <w:rsid w:val="00026C9A"/>
    <w:rsid w:val="00026D2F"/>
    <w:rsid w:val="00026D6A"/>
    <w:rsid w:val="00026F3A"/>
    <w:rsid w:val="00026FC7"/>
    <w:rsid w:val="00027055"/>
    <w:rsid w:val="0002707D"/>
    <w:rsid w:val="00027329"/>
    <w:rsid w:val="0002749F"/>
    <w:rsid w:val="00027611"/>
    <w:rsid w:val="00027B53"/>
    <w:rsid w:val="00027DDF"/>
    <w:rsid w:val="00027F1B"/>
    <w:rsid w:val="00030204"/>
    <w:rsid w:val="00030259"/>
    <w:rsid w:val="000303D8"/>
    <w:rsid w:val="00030C76"/>
    <w:rsid w:val="00030E6F"/>
    <w:rsid w:val="00030F2F"/>
    <w:rsid w:val="00030FB4"/>
    <w:rsid w:val="0003107C"/>
    <w:rsid w:val="000311A8"/>
    <w:rsid w:val="00031330"/>
    <w:rsid w:val="0003136E"/>
    <w:rsid w:val="000313F3"/>
    <w:rsid w:val="000314E2"/>
    <w:rsid w:val="000316BC"/>
    <w:rsid w:val="00031A2C"/>
    <w:rsid w:val="00031C95"/>
    <w:rsid w:val="00031EE6"/>
    <w:rsid w:val="00031EF5"/>
    <w:rsid w:val="00031F69"/>
    <w:rsid w:val="000321D9"/>
    <w:rsid w:val="000323C9"/>
    <w:rsid w:val="0003244F"/>
    <w:rsid w:val="0003256A"/>
    <w:rsid w:val="0003260D"/>
    <w:rsid w:val="00032B6B"/>
    <w:rsid w:val="00032D75"/>
    <w:rsid w:val="000331F7"/>
    <w:rsid w:val="00033B8D"/>
    <w:rsid w:val="00033DCB"/>
    <w:rsid w:val="00033E27"/>
    <w:rsid w:val="000340BA"/>
    <w:rsid w:val="00034AE9"/>
    <w:rsid w:val="00034CFE"/>
    <w:rsid w:val="00034D77"/>
    <w:rsid w:val="0003564D"/>
    <w:rsid w:val="0003573E"/>
    <w:rsid w:val="00035746"/>
    <w:rsid w:val="0003587F"/>
    <w:rsid w:val="0003595E"/>
    <w:rsid w:val="00035A68"/>
    <w:rsid w:val="00035C7E"/>
    <w:rsid w:val="00035D55"/>
    <w:rsid w:val="00035FF2"/>
    <w:rsid w:val="00036221"/>
    <w:rsid w:val="00036315"/>
    <w:rsid w:val="0003639B"/>
    <w:rsid w:val="0003669F"/>
    <w:rsid w:val="000368B9"/>
    <w:rsid w:val="00036954"/>
    <w:rsid w:val="00036F0B"/>
    <w:rsid w:val="000373D6"/>
    <w:rsid w:val="000373E8"/>
    <w:rsid w:val="00037606"/>
    <w:rsid w:val="00037729"/>
    <w:rsid w:val="00037B2B"/>
    <w:rsid w:val="00040079"/>
    <w:rsid w:val="0004012B"/>
    <w:rsid w:val="00040305"/>
    <w:rsid w:val="000406B4"/>
    <w:rsid w:val="00040924"/>
    <w:rsid w:val="00040981"/>
    <w:rsid w:val="00040D41"/>
    <w:rsid w:val="00040DD2"/>
    <w:rsid w:val="00040DF8"/>
    <w:rsid w:val="0004109F"/>
    <w:rsid w:val="00041354"/>
    <w:rsid w:val="0004165A"/>
    <w:rsid w:val="00041867"/>
    <w:rsid w:val="00041943"/>
    <w:rsid w:val="000419E0"/>
    <w:rsid w:val="00041ADB"/>
    <w:rsid w:val="00041B23"/>
    <w:rsid w:val="00041C6F"/>
    <w:rsid w:val="00041D82"/>
    <w:rsid w:val="00041F2B"/>
    <w:rsid w:val="00042051"/>
    <w:rsid w:val="0004212E"/>
    <w:rsid w:val="000424B4"/>
    <w:rsid w:val="000427F8"/>
    <w:rsid w:val="00042E93"/>
    <w:rsid w:val="00043293"/>
    <w:rsid w:val="000435BB"/>
    <w:rsid w:val="00043C04"/>
    <w:rsid w:val="00044373"/>
    <w:rsid w:val="0004468B"/>
    <w:rsid w:val="00044972"/>
    <w:rsid w:val="00044A47"/>
    <w:rsid w:val="00044B7A"/>
    <w:rsid w:val="00044B86"/>
    <w:rsid w:val="0004536B"/>
    <w:rsid w:val="00045C50"/>
    <w:rsid w:val="0004616F"/>
    <w:rsid w:val="0004642F"/>
    <w:rsid w:val="000464C3"/>
    <w:rsid w:val="000469E1"/>
    <w:rsid w:val="00046BB9"/>
    <w:rsid w:val="00046E1D"/>
    <w:rsid w:val="000473DD"/>
    <w:rsid w:val="000477D3"/>
    <w:rsid w:val="00047F02"/>
    <w:rsid w:val="00050248"/>
    <w:rsid w:val="00050356"/>
    <w:rsid w:val="00050582"/>
    <w:rsid w:val="000507F0"/>
    <w:rsid w:val="000508A4"/>
    <w:rsid w:val="00050DAA"/>
    <w:rsid w:val="00051060"/>
    <w:rsid w:val="00051085"/>
    <w:rsid w:val="000511D2"/>
    <w:rsid w:val="000512A0"/>
    <w:rsid w:val="0005136C"/>
    <w:rsid w:val="0005156D"/>
    <w:rsid w:val="00051666"/>
    <w:rsid w:val="00051A96"/>
    <w:rsid w:val="0005232D"/>
    <w:rsid w:val="00052358"/>
    <w:rsid w:val="00052434"/>
    <w:rsid w:val="0005272E"/>
    <w:rsid w:val="00052741"/>
    <w:rsid w:val="0005279C"/>
    <w:rsid w:val="0005281F"/>
    <w:rsid w:val="0005287C"/>
    <w:rsid w:val="00052935"/>
    <w:rsid w:val="00052ACE"/>
    <w:rsid w:val="00052E3F"/>
    <w:rsid w:val="00052FBC"/>
    <w:rsid w:val="00053572"/>
    <w:rsid w:val="00053770"/>
    <w:rsid w:val="00053A89"/>
    <w:rsid w:val="00053C8A"/>
    <w:rsid w:val="000546A8"/>
    <w:rsid w:val="00054B99"/>
    <w:rsid w:val="00054C69"/>
    <w:rsid w:val="00054F0C"/>
    <w:rsid w:val="00055088"/>
    <w:rsid w:val="000552F0"/>
    <w:rsid w:val="000554AA"/>
    <w:rsid w:val="00055645"/>
    <w:rsid w:val="00055DA9"/>
    <w:rsid w:val="00055E08"/>
    <w:rsid w:val="000562CF"/>
    <w:rsid w:val="00056684"/>
    <w:rsid w:val="00056BE2"/>
    <w:rsid w:val="00056DC4"/>
    <w:rsid w:val="00056E6D"/>
    <w:rsid w:val="00056ED1"/>
    <w:rsid w:val="0005710F"/>
    <w:rsid w:val="000571F1"/>
    <w:rsid w:val="00057834"/>
    <w:rsid w:val="000579FD"/>
    <w:rsid w:val="00057B5C"/>
    <w:rsid w:val="00057D79"/>
    <w:rsid w:val="00057FD3"/>
    <w:rsid w:val="000602C9"/>
    <w:rsid w:val="000605E5"/>
    <w:rsid w:val="00060875"/>
    <w:rsid w:val="000608FD"/>
    <w:rsid w:val="000609A2"/>
    <w:rsid w:val="00060B82"/>
    <w:rsid w:val="00060E4F"/>
    <w:rsid w:val="00060E70"/>
    <w:rsid w:val="000613E7"/>
    <w:rsid w:val="00061A1C"/>
    <w:rsid w:val="00061AF5"/>
    <w:rsid w:val="00061DB6"/>
    <w:rsid w:val="00061DC6"/>
    <w:rsid w:val="00062064"/>
    <w:rsid w:val="000625F7"/>
    <w:rsid w:val="00062AF2"/>
    <w:rsid w:val="00062E1F"/>
    <w:rsid w:val="00062EF2"/>
    <w:rsid w:val="00062F2F"/>
    <w:rsid w:val="0006306E"/>
    <w:rsid w:val="00063167"/>
    <w:rsid w:val="000632AF"/>
    <w:rsid w:val="00063311"/>
    <w:rsid w:val="0006346D"/>
    <w:rsid w:val="0006384B"/>
    <w:rsid w:val="00063A3A"/>
    <w:rsid w:val="00063C5C"/>
    <w:rsid w:val="00063C88"/>
    <w:rsid w:val="00063CC4"/>
    <w:rsid w:val="00063F44"/>
    <w:rsid w:val="00063FE3"/>
    <w:rsid w:val="0006406E"/>
    <w:rsid w:val="0006420B"/>
    <w:rsid w:val="0006422B"/>
    <w:rsid w:val="00064771"/>
    <w:rsid w:val="00064CC3"/>
    <w:rsid w:val="00064F25"/>
    <w:rsid w:val="000650CB"/>
    <w:rsid w:val="0006531D"/>
    <w:rsid w:val="00065559"/>
    <w:rsid w:val="00065942"/>
    <w:rsid w:val="00065CD5"/>
    <w:rsid w:val="00065DD7"/>
    <w:rsid w:val="0006653F"/>
    <w:rsid w:val="000669C0"/>
    <w:rsid w:val="00066B9C"/>
    <w:rsid w:val="00066CD5"/>
    <w:rsid w:val="00066F5D"/>
    <w:rsid w:val="00067A3A"/>
    <w:rsid w:val="00067B2D"/>
    <w:rsid w:val="00067BF6"/>
    <w:rsid w:val="00070092"/>
    <w:rsid w:val="00070B84"/>
    <w:rsid w:val="0007113B"/>
    <w:rsid w:val="000715CB"/>
    <w:rsid w:val="0007165D"/>
    <w:rsid w:val="00071963"/>
    <w:rsid w:val="00071B67"/>
    <w:rsid w:val="00071BA0"/>
    <w:rsid w:val="00071D3B"/>
    <w:rsid w:val="00072199"/>
    <w:rsid w:val="00072711"/>
    <w:rsid w:val="00072816"/>
    <w:rsid w:val="0007284B"/>
    <w:rsid w:val="00072A22"/>
    <w:rsid w:val="00072DC0"/>
    <w:rsid w:val="000730FF"/>
    <w:rsid w:val="000731CD"/>
    <w:rsid w:val="00073235"/>
    <w:rsid w:val="00073267"/>
    <w:rsid w:val="00073339"/>
    <w:rsid w:val="00073376"/>
    <w:rsid w:val="00073636"/>
    <w:rsid w:val="0007379A"/>
    <w:rsid w:val="00073882"/>
    <w:rsid w:val="000739E5"/>
    <w:rsid w:val="00073A8D"/>
    <w:rsid w:val="00073D77"/>
    <w:rsid w:val="00073EC5"/>
    <w:rsid w:val="000740E9"/>
    <w:rsid w:val="00074ABF"/>
    <w:rsid w:val="00074F92"/>
    <w:rsid w:val="00075781"/>
    <w:rsid w:val="00075A7C"/>
    <w:rsid w:val="00075C24"/>
    <w:rsid w:val="0007679B"/>
    <w:rsid w:val="000768BB"/>
    <w:rsid w:val="00076A45"/>
    <w:rsid w:val="00076A70"/>
    <w:rsid w:val="00076F32"/>
    <w:rsid w:val="00076FAD"/>
    <w:rsid w:val="00077247"/>
    <w:rsid w:val="0007748D"/>
    <w:rsid w:val="000774DB"/>
    <w:rsid w:val="000776C0"/>
    <w:rsid w:val="00077880"/>
    <w:rsid w:val="00077B34"/>
    <w:rsid w:val="0008033F"/>
    <w:rsid w:val="00080706"/>
    <w:rsid w:val="00080879"/>
    <w:rsid w:val="00080986"/>
    <w:rsid w:val="000809D5"/>
    <w:rsid w:val="0008168D"/>
    <w:rsid w:val="00081FBC"/>
    <w:rsid w:val="000821BD"/>
    <w:rsid w:val="000822EA"/>
    <w:rsid w:val="00082562"/>
    <w:rsid w:val="0008260B"/>
    <w:rsid w:val="0008261B"/>
    <w:rsid w:val="00082712"/>
    <w:rsid w:val="00082774"/>
    <w:rsid w:val="00082977"/>
    <w:rsid w:val="00082C5A"/>
    <w:rsid w:val="00082CDD"/>
    <w:rsid w:val="00082E66"/>
    <w:rsid w:val="00082EC5"/>
    <w:rsid w:val="00083498"/>
    <w:rsid w:val="0008367E"/>
    <w:rsid w:val="0008376F"/>
    <w:rsid w:val="000838C2"/>
    <w:rsid w:val="00084CE9"/>
    <w:rsid w:val="00084F83"/>
    <w:rsid w:val="00084FC0"/>
    <w:rsid w:val="00085282"/>
    <w:rsid w:val="00085400"/>
    <w:rsid w:val="000856C7"/>
    <w:rsid w:val="00085883"/>
    <w:rsid w:val="00085981"/>
    <w:rsid w:val="000859ED"/>
    <w:rsid w:val="00085C31"/>
    <w:rsid w:val="00085D4A"/>
    <w:rsid w:val="00085DDC"/>
    <w:rsid w:val="00085EDF"/>
    <w:rsid w:val="00085F6D"/>
    <w:rsid w:val="0008612D"/>
    <w:rsid w:val="000861FA"/>
    <w:rsid w:val="00086491"/>
    <w:rsid w:val="000868BD"/>
    <w:rsid w:val="000868D5"/>
    <w:rsid w:val="000869F6"/>
    <w:rsid w:val="00086BEF"/>
    <w:rsid w:val="00086D44"/>
    <w:rsid w:val="00086DB8"/>
    <w:rsid w:val="00086DE4"/>
    <w:rsid w:val="00087616"/>
    <w:rsid w:val="0008788D"/>
    <w:rsid w:val="00087AE3"/>
    <w:rsid w:val="00087F4E"/>
    <w:rsid w:val="000900EC"/>
    <w:rsid w:val="000902F9"/>
    <w:rsid w:val="00090330"/>
    <w:rsid w:val="000903F9"/>
    <w:rsid w:val="00090535"/>
    <w:rsid w:val="000905F4"/>
    <w:rsid w:val="00090904"/>
    <w:rsid w:val="00090AA3"/>
    <w:rsid w:val="00090BD2"/>
    <w:rsid w:val="00090DDE"/>
    <w:rsid w:val="00090EF8"/>
    <w:rsid w:val="00091296"/>
    <w:rsid w:val="00091315"/>
    <w:rsid w:val="0009146A"/>
    <w:rsid w:val="00091667"/>
    <w:rsid w:val="000916FF"/>
    <w:rsid w:val="000917C7"/>
    <w:rsid w:val="00091989"/>
    <w:rsid w:val="00091A2F"/>
    <w:rsid w:val="00091E9F"/>
    <w:rsid w:val="00092116"/>
    <w:rsid w:val="000925FB"/>
    <w:rsid w:val="00092982"/>
    <w:rsid w:val="00092A35"/>
    <w:rsid w:val="00092CFA"/>
    <w:rsid w:val="00092F51"/>
    <w:rsid w:val="000933E6"/>
    <w:rsid w:val="000937B3"/>
    <w:rsid w:val="0009386C"/>
    <w:rsid w:val="000939B9"/>
    <w:rsid w:val="00093C9A"/>
    <w:rsid w:val="00093CE9"/>
    <w:rsid w:val="00093D97"/>
    <w:rsid w:val="00093DC4"/>
    <w:rsid w:val="00093EE9"/>
    <w:rsid w:val="00093F65"/>
    <w:rsid w:val="00094977"/>
    <w:rsid w:val="00094A06"/>
    <w:rsid w:val="00094DBD"/>
    <w:rsid w:val="00094E52"/>
    <w:rsid w:val="00095596"/>
    <w:rsid w:val="00095FCC"/>
    <w:rsid w:val="000960F2"/>
    <w:rsid w:val="00096131"/>
    <w:rsid w:val="0009623C"/>
    <w:rsid w:val="00096840"/>
    <w:rsid w:val="00096AAE"/>
    <w:rsid w:val="00096B92"/>
    <w:rsid w:val="00096BD5"/>
    <w:rsid w:val="00096EBE"/>
    <w:rsid w:val="00096EDA"/>
    <w:rsid w:val="000970AF"/>
    <w:rsid w:val="000976CB"/>
    <w:rsid w:val="000978F0"/>
    <w:rsid w:val="00097AAC"/>
    <w:rsid w:val="00097DCC"/>
    <w:rsid w:val="000A0146"/>
    <w:rsid w:val="000A0149"/>
    <w:rsid w:val="000A051D"/>
    <w:rsid w:val="000A0790"/>
    <w:rsid w:val="000A07CB"/>
    <w:rsid w:val="000A0C2E"/>
    <w:rsid w:val="000A0C9C"/>
    <w:rsid w:val="000A0D18"/>
    <w:rsid w:val="000A1298"/>
    <w:rsid w:val="000A13F7"/>
    <w:rsid w:val="000A1508"/>
    <w:rsid w:val="000A152E"/>
    <w:rsid w:val="000A158E"/>
    <w:rsid w:val="000A1599"/>
    <w:rsid w:val="000A1CBC"/>
    <w:rsid w:val="000A1D85"/>
    <w:rsid w:val="000A2278"/>
    <w:rsid w:val="000A2445"/>
    <w:rsid w:val="000A2475"/>
    <w:rsid w:val="000A2481"/>
    <w:rsid w:val="000A24D0"/>
    <w:rsid w:val="000A272A"/>
    <w:rsid w:val="000A29B4"/>
    <w:rsid w:val="000A2C9E"/>
    <w:rsid w:val="000A2D5F"/>
    <w:rsid w:val="000A3017"/>
    <w:rsid w:val="000A375A"/>
    <w:rsid w:val="000A39F4"/>
    <w:rsid w:val="000A3A05"/>
    <w:rsid w:val="000A3AAF"/>
    <w:rsid w:val="000A3C08"/>
    <w:rsid w:val="000A3C4D"/>
    <w:rsid w:val="000A3CED"/>
    <w:rsid w:val="000A3E60"/>
    <w:rsid w:val="000A3F8D"/>
    <w:rsid w:val="000A471E"/>
    <w:rsid w:val="000A48D1"/>
    <w:rsid w:val="000A4B92"/>
    <w:rsid w:val="000A4DF3"/>
    <w:rsid w:val="000A546E"/>
    <w:rsid w:val="000A54AD"/>
    <w:rsid w:val="000A554E"/>
    <w:rsid w:val="000A55B4"/>
    <w:rsid w:val="000A5BA4"/>
    <w:rsid w:val="000A5CE8"/>
    <w:rsid w:val="000A5DB5"/>
    <w:rsid w:val="000A5FAF"/>
    <w:rsid w:val="000A603A"/>
    <w:rsid w:val="000A612B"/>
    <w:rsid w:val="000A6C01"/>
    <w:rsid w:val="000A6D59"/>
    <w:rsid w:val="000A6E60"/>
    <w:rsid w:val="000A7153"/>
    <w:rsid w:val="000A7356"/>
    <w:rsid w:val="000A7747"/>
    <w:rsid w:val="000A77C8"/>
    <w:rsid w:val="000A7943"/>
    <w:rsid w:val="000A7A85"/>
    <w:rsid w:val="000A7C38"/>
    <w:rsid w:val="000A7D0A"/>
    <w:rsid w:val="000A7F94"/>
    <w:rsid w:val="000A7FDF"/>
    <w:rsid w:val="000B0364"/>
    <w:rsid w:val="000B0441"/>
    <w:rsid w:val="000B06C4"/>
    <w:rsid w:val="000B0993"/>
    <w:rsid w:val="000B0F0F"/>
    <w:rsid w:val="000B1434"/>
    <w:rsid w:val="000B164F"/>
    <w:rsid w:val="000B1B24"/>
    <w:rsid w:val="000B1F56"/>
    <w:rsid w:val="000B21CB"/>
    <w:rsid w:val="000B233F"/>
    <w:rsid w:val="000B23EA"/>
    <w:rsid w:val="000B2606"/>
    <w:rsid w:val="000B2675"/>
    <w:rsid w:val="000B274D"/>
    <w:rsid w:val="000B296F"/>
    <w:rsid w:val="000B29A3"/>
    <w:rsid w:val="000B2A9E"/>
    <w:rsid w:val="000B2B19"/>
    <w:rsid w:val="000B2DCA"/>
    <w:rsid w:val="000B2E4B"/>
    <w:rsid w:val="000B30A2"/>
    <w:rsid w:val="000B3610"/>
    <w:rsid w:val="000B3A9A"/>
    <w:rsid w:val="000B3CA5"/>
    <w:rsid w:val="000B4253"/>
    <w:rsid w:val="000B44CE"/>
    <w:rsid w:val="000B4A87"/>
    <w:rsid w:val="000B4BDC"/>
    <w:rsid w:val="000B4CAD"/>
    <w:rsid w:val="000B4E98"/>
    <w:rsid w:val="000B4ED0"/>
    <w:rsid w:val="000B4FB3"/>
    <w:rsid w:val="000B508C"/>
    <w:rsid w:val="000B5236"/>
    <w:rsid w:val="000B525C"/>
    <w:rsid w:val="000B5C7B"/>
    <w:rsid w:val="000B5CA7"/>
    <w:rsid w:val="000B5D81"/>
    <w:rsid w:val="000B63E1"/>
    <w:rsid w:val="000B63EB"/>
    <w:rsid w:val="000B65F8"/>
    <w:rsid w:val="000B688F"/>
    <w:rsid w:val="000B6E5D"/>
    <w:rsid w:val="000B782E"/>
    <w:rsid w:val="000B7A2F"/>
    <w:rsid w:val="000B7A8E"/>
    <w:rsid w:val="000B7B78"/>
    <w:rsid w:val="000B7C20"/>
    <w:rsid w:val="000B7DFE"/>
    <w:rsid w:val="000B7EE2"/>
    <w:rsid w:val="000B7EE7"/>
    <w:rsid w:val="000B7F5D"/>
    <w:rsid w:val="000C0364"/>
    <w:rsid w:val="000C0493"/>
    <w:rsid w:val="000C04C1"/>
    <w:rsid w:val="000C0684"/>
    <w:rsid w:val="000C0B35"/>
    <w:rsid w:val="000C0C35"/>
    <w:rsid w:val="000C10BA"/>
    <w:rsid w:val="000C14EF"/>
    <w:rsid w:val="000C1599"/>
    <w:rsid w:val="000C1714"/>
    <w:rsid w:val="000C1747"/>
    <w:rsid w:val="000C17E9"/>
    <w:rsid w:val="000C1AFE"/>
    <w:rsid w:val="000C1E95"/>
    <w:rsid w:val="000C226B"/>
    <w:rsid w:val="000C22FA"/>
    <w:rsid w:val="000C2395"/>
    <w:rsid w:val="000C2935"/>
    <w:rsid w:val="000C2B62"/>
    <w:rsid w:val="000C2E92"/>
    <w:rsid w:val="000C2FC7"/>
    <w:rsid w:val="000C32A4"/>
    <w:rsid w:val="000C338E"/>
    <w:rsid w:val="000C34D5"/>
    <w:rsid w:val="000C35CD"/>
    <w:rsid w:val="000C35EF"/>
    <w:rsid w:val="000C3CDE"/>
    <w:rsid w:val="000C4137"/>
    <w:rsid w:val="000C4404"/>
    <w:rsid w:val="000C44CA"/>
    <w:rsid w:val="000C4ADE"/>
    <w:rsid w:val="000C4AF1"/>
    <w:rsid w:val="000C4B11"/>
    <w:rsid w:val="000C523C"/>
    <w:rsid w:val="000C53B8"/>
    <w:rsid w:val="000C5752"/>
    <w:rsid w:val="000C5A70"/>
    <w:rsid w:val="000C5BC6"/>
    <w:rsid w:val="000C5D0A"/>
    <w:rsid w:val="000C5F36"/>
    <w:rsid w:val="000C61C5"/>
    <w:rsid w:val="000C62F7"/>
    <w:rsid w:val="000C651F"/>
    <w:rsid w:val="000C6D10"/>
    <w:rsid w:val="000C769F"/>
    <w:rsid w:val="000C77B0"/>
    <w:rsid w:val="000C77F6"/>
    <w:rsid w:val="000C7C44"/>
    <w:rsid w:val="000C7D2C"/>
    <w:rsid w:val="000C7F6A"/>
    <w:rsid w:val="000D0128"/>
    <w:rsid w:val="000D04F4"/>
    <w:rsid w:val="000D0664"/>
    <w:rsid w:val="000D0784"/>
    <w:rsid w:val="000D0977"/>
    <w:rsid w:val="000D09FF"/>
    <w:rsid w:val="000D0A33"/>
    <w:rsid w:val="000D106E"/>
    <w:rsid w:val="000D11FC"/>
    <w:rsid w:val="000D1300"/>
    <w:rsid w:val="000D13CD"/>
    <w:rsid w:val="000D14F7"/>
    <w:rsid w:val="000D180A"/>
    <w:rsid w:val="000D186C"/>
    <w:rsid w:val="000D18A2"/>
    <w:rsid w:val="000D1997"/>
    <w:rsid w:val="000D1AA3"/>
    <w:rsid w:val="000D1AFE"/>
    <w:rsid w:val="000D1C4C"/>
    <w:rsid w:val="000D1C56"/>
    <w:rsid w:val="000D22B8"/>
    <w:rsid w:val="000D2662"/>
    <w:rsid w:val="000D2C95"/>
    <w:rsid w:val="000D2D78"/>
    <w:rsid w:val="000D2D89"/>
    <w:rsid w:val="000D2E96"/>
    <w:rsid w:val="000D2EB6"/>
    <w:rsid w:val="000D3024"/>
    <w:rsid w:val="000D328F"/>
    <w:rsid w:val="000D3317"/>
    <w:rsid w:val="000D33CE"/>
    <w:rsid w:val="000D34EB"/>
    <w:rsid w:val="000D3AD0"/>
    <w:rsid w:val="000D3B89"/>
    <w:rsid w:val="000D3E93"/>
    <w:rsid w:val="000D4072"/>
    <w:rsid w:val="000D4203"/>
    <w:rsid w:val="000D4242"/>
    <w:rsid w:val="000D4324"/>
    <w:rsid w:val="000D43EC"/>
    <w:rsid w:val="000D448E"/>
    <w:rsid w:val="000D4515"/>
    <w:rsid w:val="000D4961"/>
    <w:rsid w:val="000D4AA5"/>
    <w:rsid w:val="000D4AB6"/>
    <w:rsid w:val="000D4B3B"/>
    <w:rsid w:val="000D4D6A"/>
    <w:rsid w:val="000D4DFE"/>
    <w:rsid w:val="000D4F8C"/>
    <w:rsid w:val="000D4FCE"/>
    <w:rsid w:val="000D50CD"/>
    <w:rsid w:val="000D5205"/>
    <w:rsid w:val="000D52C8"/>
    <w:rsid w:val="000D5A53"/>
    <w:rsid w:val="000D5AF8"/>
    <w:rsid w:val="000D5BB4"/>
    <w:rsid w:val="000D5D5F"/>
    <w:rsid w:val="000D60AA"/>
    <w:rsid w:val="000D63E0"/>
    <w:rsid w:val="000D65C7"/>
    <w:rsid w:val="000D6684"/>
    <w:rsid w:val="000D6840"/>
    <w:rsid w:val="000D6D1F"/>
    <w:rsid w:val="000D708E"/>
    <w:rsid w:val="000D7190"/>
    <w:rsid w:val="000D7A35"/>
    <w:rsid w:val="000E02D8"/>
    <w:rsid w:val="000E073C"/>
    <w:rsid w:val="000E09A4"/>
    <w:rsid w:val="000E0AEB"/>
    <w:rsid w:val="000E0B6A"/>
    <w:rsid w:val="000E0D09"/>
    <w:rsid w:val="000E125E"/>
    <w:rsid w:val="000E1439"/>
    <w:rsid w:val="000E145B"/>
    <w:rsid w:val="000E1520"/>
    <w:rsid w:val="000E15E6"/>
    <w:rsid w:val="000E160C"/>
    <w:rsid w:val="000E166D"/>
    <w:rsid w:val="000E1A6B"/>
    <w:rsid w:val="000E1C9D"/>
    <w:rsid w:val="000E1D12"/>
    <w:rsid w:val="000E21A2"/>
    <w:rsid w:val="000E2813"/>
    <w:rsid w:val="000E2864"/>
    <w:rsid w:val="000E28B6"/>
    <w:rsid w:val="000E2B85"/>
    <w:rsid w:val="000E2C5E"/>
    <w:rsid w:val="000E2CFA"/>
    <w:rsid w:val="000E3404"/>
    <w:rsid w:val="000E358D"/>
    <w:rsid w:val="000E362B"/>
    <w:rsid w:val="000E398C"/>
    <w:rsid w:val="000E3BC1"/>
    <w:rsid w:val="000E3D82"/>
    <w:rsid w:val="000E3E12"/>
    <w:rsid w:val="000E444B"/>
    <w:rsid w:val="000E4521"/>
    <w:rsid w:val="000E455E"/>
    <w:rsid w:val="000E4CC1"/>
    <w:rsid w:val="000E4D70"/>
    <w:rsid w:val="000E50DC"/>
    <w:rsid w:val="000E515E"/>
    <w:rsid w:val="000E551B"/>
    <w:rsid w:val="000E55B5"/>
    <w:rsid w:val="000E5E42"/>
    <w:rsid w:val="000E5E5C"/>
    <w:rsid w:val="000E5EAC"/>
    <w:rsid w:val="000E6179"/>
    <w:rsid w:val="000E63DD"/>
    <w:rsid w:val="000E6784"/>
    <w:rsid w:val="000E6891"/>
    <w:rsid w:val="000E6A1B"/>
    <w:rsid w:val="000E6C55"/>
    <w:rsid w:val="000E73E3"/>
    <w:rsid w:val="000E758B"/>
    <w:rsid w:val="000E772F"/>
    <w:rsid w:val="000E7851"/>
    <w:rsid w:val="000E7969"/>
    <w:rsid w:val="000E7A82"/>
    <w:rsid w:val="000E7AC3"/>
    <w:rsid w:val="000E7B84"/>
    <w:rsid w:val="000E7E95"/>
    <w:rsid w:val="000E7EE5"/>
    <w:rsid w:val="000F0975"/>
    <w:rsid w:val="000F0C54"/>
    <w:rsid w:val="000F0D08"/>
    <w:rsid w:val="000F1281"/>
    <w:rsid w:val="000F12B3"/>
    <w:rsid w:val="000F1C6B"/>
    <w:rsid w:val="000F1FA8"/>
    <w:rsid w:val="000F202E"/>
    <w:rsid w:val="000F204E"/>
    <w:rsid w:val="000F219E"/>
    <w:rsid w:val="000F236B"/>
    <w:rsid w:val="000F285B"/>
    <w:rsid w:val="000F2897"/>
    <w:rsid w:val="000F29EA"/>
    <w:rsid w:val="000F2EEC"/>
    <w:rsid w:val="000F304E"/>
    <w:rsid w:val="000F34B5"/>
    <w:rsid w:val="000F34CA"/>
    <w:rsid w:val="000F38AC"/>
    <w:rsid w:val="000F3B50"/>
    <w:rsid w:val="000F3FE3"/>
    <w:rsid w:val="000F4CB0"/>
    <w:rsid w:val="000F508A"/>
    <w:rsid w:val="000F50C5"/>
    <w:rsid w:val="000F5A57"/>
    <w:rsid w:val="000F5FC9"/>
    <w:rsid w:val="000F640C"/>
    <w:rsid w:val="000F66F8"/>
    <w:rsid w:val="000F6918"/>
    <w:rsid w:val="000F6D1C"/>
    <w:rsid w:val="000F7361"/>
    <w:rsid w:val="000F7480"/>
    <w:rsid w:val="000F76EF"/>
    <w:rsid w:val="000F7A58"/>
    <w:rsid w:val="000F7C32"/>
    <w:rsid w:val="000F7FD2"/>
    <w:rsid w:val="00100186"/>
    <w:rsid w:val="001001F0"/>
    <w:rsid w:val="00100281"/>
    <w:rsid w:val="0010042E"/>
    <w:rsid w:val="00100570"/>
    <w:rsid w:val="001005AA"/>
    <w:rsid w:val="00101145"/>
    <w:rsid w:val="001011B9"/>
    <w:rsid w:val="00101590"/>
    <w:rsid w:val="00101616"/>
    <w:rsid w:val="001019F6"/>
    <w:rsid w:val="00101BDE"/>
    <w:rsid w:val="00101DAF"/>
    <w:rsid w:val="00101EA6"/>
    <w:rsid w:val="0010210B"/>
    <w:rsid w:val="00102210"/>
    <w:rsid w:val="001024A0"/>
    <w:rsid w:val="001024C0"/>
    <w:rsid w:val="001024FE"/>
    <w:rsid w:val="0010271E"/>
    <w:rsid w:val="00102752"/>
    <w:rsid w:val="00102ACE"/>
    <w:rsid w:val="00102C26"/>
    <w:rsid w:val="00103282"/>
    <w:rsid w:val="00103470"/>
    <w:rsid w:val="0010377A"/>
    <w:rsid w:val="00103EC3"/>
    <w:rsid w:val="00103FE2"/>
    <w:rsid w:val="0010407C"/>
    <w:rsid w:val="001041C5"/>
    <w:rsid w:val="001042DB"/>
    <w:rsid w:val="0010451D"/>
    <w:rsid w:val="0010472A"/>
    <w:rsid w:val="001047AE"/>
    <w:rsid w:val="001053AD"/>
    <w:rsid w:val="00105798"/>
    <w:rsid w:val="0010598C"/>
    <w:rsid w:val="001059C5"/>
    <w:rsid w:val="00105A22"/>
    <w:rsid w:val="00105A5C"/>
    <w:rsid w:val="00105C3E"/>
    <w:rsid w:val="00105E54"/>
    <w:rsid w:val="00105EF2"/>
    <w:rsid w:val="0010618E"/>
    <w:rsid w:val="001061EF"/>
    <w:rsid w:val="001064DF"/>
    <w:rsid w:val="001064E2"/>
    <w:rsid w:val="00106705"/>
    <w:rsid w:val="00106C5C"/>
    <w:rsid w:val="00106CAC"/>
    <w:rsid w:val="00106D47"/>
    <w:rsid w:val="00106D5A"/>
    <w:rsid w:val="00106D96"/>
    <w:rsid w:val="00107317"/>
    <w:rsid w:val="001077FF"/>
    <w:rsid w:val="00107879"/>
    <w:rsid w:val="00107AC0"/>
    <w:rsid w:val="00107E45"/>
    <w:rsid w:val="001103DC"/>
    <w:rsid w:val="001106E0"/>
    <w:rsid w:val="001106ED"/>
    <w:rsid w:val="00110763"/>
    <w:rsid w:val="00110A0A"/>
    <w:rsid w:val="00110A66"/>
    <w:rsid w:val="00110F1E"/>
    <w:rsid w:val="0011120F"/>
    <w:rsid w:val="001113F0"/>
    <w:rsid w:val="00111444"/>
    <w:rsid w:val="0011158A"/>
    <w:rsid w:val="00111780"/>
    <w:rsid w:val="00111912"/>
    <w:rsid w:val="00111A9D"/>
    <w:rsid w:val="00111FD8"/>
    <w:rsid w:val="001125F3"/>
    <w:rsid w:val="00112B87"/>
    <w:rsid w:val="00112CD3"/>
    <w:rsid w:val="001131C7"/>
    <w:rsid w:val="001134B2"/>
    <w:rsid w:val="00113519"/>
    <w:rsid w:val="001135EB"/>
    <w:rsid w:val="00113776"/>
    <w:rsid w:val="00113992"/>
    <w:rsid w:val="001140D8"/>
    <w:rsid w:val="00114341"/>
    <w:rsid w:val="00114A80"/>
    <w:rsid w:val="00114A88"/>
    <w:rsid w:val="0011532F"/>
    <w:rsid w:val="00115563"/>
    <w:rsid w:val="001158F0"/>
    <w:rsid w:val="00116F9A"/>
    <w:rsid w:val="00116FF7"/>
    <w:rsid w:val="00117291"/>
    <w:rsid w:val="00117514"/>
    <w:rsid w:val="001176B4"/>
    <w:rsid w:val="001176E9"/>
    <w:rsid w:val="0011785E"/>
    <w:rsid w:val="00117861"/>
    <w:rsid w:val="001178D8"/>
    <w:rsid w:val="00117C27"/>
    <w:rsid w:val="00117D72"/>
    <w:rsid w:val="001201C9"/>
    <w:rsid w:val="001203AE"/>
    <w:rsid w:val="001204AB"/>
    <w:rsid w:val="0012050E"/>
    <w:rsid w:val="00120873"/>
    <w:rsid w:val="00120EA6"/>
    <w:rsid w:val="00120FC4"/>
    <w:rsid w:val="001210B5"/>
    <w:rsid w:val="001214B2"/>
    <w:rsid w:val="001214FB"/>
    <w:rsid w:val="001217CB"/>
    <w:rsid w:val="0012190F"/>
    <w:rsid w:val="00121E37"/>
    <w:rsid w:val="00121E8A"/>
    <w:rsid w:val="00121ED1"/>
    <w:rsid w:val="00121FEF"/>
    <w:rsid w:val="001221ED"/>
    <w:rsid w:val="0012221F"/>
    <w:rsid w:val="00122253"/>
    <w:rsid w:val="001223AD"/>
    <w:rsid w:val="00122433"/>
    <w:rsid w:val="00122990"/>
    <w:rsid w:val="00122BFE"/>
    <w:rsid w:val="0012306C"/>
    <w:rsid w:val="00123212"/>
    <w:rsid w:val="00123707"/>
    <w:rsid w:val="001237DF"/>
    <w:rsid w:val="00123994"/>
    <w:rsid w:val="00123E9B"/>
    <w:rsid w:val="00124571"/>
    <w:rsid w:val="00124588"/>
    <w:rsid w:val="00124592"/>
    <w:rsid w:val="001246F3"/>
    <w:rsid w:val="00124886"/>
    <w:rsid w:val="00124B78"/>
    <w:rsid w:val="00124D5D"/>
    <w:rsid w:val="00124D73"/>
    <w:rsid w:val="00124DB9"/>
    <w:rsid w:val="00124EA4"/>
    <w:rsid w:val="00124F75"/>
    <w:rsid w:val="001253D0"/>
    <w:rsid w:val="00125441"/>
    <w:rsid w:val="00125839"/>
    <w:rsid w:val="00125879"/>
    <w:rsid w:val="00125BB1"/>
    <w:rsid w:val="00125C85"/>
    <w:rsid w:val="00125D53"/>
    <w:rsid w:val="00125FE7"/>
    <w:rsid w:val="0012607A"/>
    <w:rsid w:val="001266F0"/>
    <w:rsid w:val="00126943"/>
    <w:rsid w:val="00126B39"/>
    <w:rsid w:val="00126BDB"/>
    <w:rsid w:val="00126DE3"/>
    <w:rsid w:val="00126EFA"/>
    <w:rsid w:val="00127363"/>
    <w:rsid w:val="001273C4"/>
    <w:rsid w:val="0012767B"/>
    <w:rsid w:val="001278FA"/>
    <w:rsid w:val="00127A62"/>
    <w:rsid w:val="00127B2E"/>
    <w:rsid w:val="00127CA9"/>
    <w:rsid w:val="001302CC"/>
    <w:rsid w:val="0013042C"/>
    <w:rsid w:val="00130648"/>
    <w:rsid w:val="00130AD5"/>
    <w:rsid w:val="00130D24"/>
    <w:rsid w:val="00130E9E"/>
    <w:rsid w:val="0013111A"/>
    <w:rsid w:val="00131140"/>
    <w:rsid w:val="00131895"/>
    <w:rsid w:val="00131C41"/>
    <w:rsid w:val="00131FE3"/>
    <w:rsid w:val="001320D4"/>
    <w:rsid w:val="0013216A"/>
    <w:rsid w:val="001324EC"/>
    <w:rsid w:val="001325A6"/>
    <w:rsid w:val="001326C5"/>
    <w:rsid w:val="00133021"/>
    <w:rsid w:val="00133128"/>
    <w:rsid w:val="001333E5"/>
    <w:rsid w:val="00133825"/>
    <w:rsid w:val="00133868"/>
    <w:rsid w:val="00133A8D"/>
    <w:rsid w:val="001341F5"/>
    <w:rsid w:val="0013468D"/>
    <w:rsid w:val="001346B4"/>
    <w:rsid w:val="001349E0"/>
    <w:rsid w:val="00135210"/>
    <w:rsid w:val="001353E6"/>
    <w:rsid w:val="00135585"/>
    <w:rsid w:val="001358F1"/>
    <w:rsid w:val="001359B2"/>
    <w:rsid w:val="00135B56"/>
    <w:rsid w:val="00135D97"/>
    <w:rsid w:val="00135E02"/>
    <w:rsid w:val="00135F1E"/>
    <w:rsid w:val="00135FAE"/>
    <w:rsid w:val="001360CB"/>
    <w:rsid w:val="001366DE"/>
    <w:rsid w:val="00136844"/>
    <w:rsid w:val="00136E79"/>
    <w:rsid w:val="0013708B"/>
    <w:rsid w:val="00137213"/>
    <w:rsid w:val="001372D7"/>
    <w:rsid w:val="001372E8"/>
    <w:rsid w:val="00137440"/>
    <w:rsid w:val="00137928"/>
    <w:rsid w:val="00137B1B"/>
    <w:rsid w:val="00137CA8"/>
    <w:rsid w:val="00137F23"/>
    <w:rsid w:val="00140162"/>
    <w:rsid w:val="00140185"/>
    <w:rsid w:val="00140573"/>
    <w:rsid w:val="0014059F"/>
    <w:rsid w:val="00140654"/>
    <w:rsid w:val="00140C12"/>
    <w:rsid w:val="00140D15"/>
    <w:rsid w:val="00140E14"/>
    <w:rsid w:val="00140F50"/>
    <w:rsid w:val="00141210"/>
    <w:rsid w:val="001412E5"/>
    <w:rsid w:val="001415B8"/>
    <w:rsid w:val="001415EF"/>
    <w:rsid w:val="00141888"/>
    <w:rsid w:val="0014188E"/>
    <w:rsid w:val="001418EB"/>
    <w:rsid w:val="00141BD8"/>
    <w:rsid w:val="00141D60"/>
    <w:rsid w:val="0014200D"/>
    <w:rsid w:val="001420DD"/>
    <w:rsid w:val="001421A7"/>
    <w:rsid w:val="00142285"/>
    <w:rsid w:val="0014254D"/>
    <w:rsid w:val="001428F3"/>
    <w:rsid w:val="00142941"/>
    <w:rsid w:val="001429FA"/>
    <w:rsid w:val="00142BE7"/>
    <w:rsid w:val="00142EA4"/>
    <w:rsid w:val="00142FAB"/>
    <w:rsid w:val="00143063"/>
    <w:rsid w:val="001431A4"/>
    <w:rsid w:val="00143222"/>
    <w:rsid w:val="001433BE"/>
    <w:rsid w:val="0014368C"/>
    <w:rsid w:val="00143692"/>
    <w:rsid w:val="00143A51"/>
    <w:rsid w:val="00143A58"/>
    <w:rsid w:val="00143DB1"/>
    <w:rsid w:val="00143DDC"/>
    <w:rsid w:val="001442F1"/>
    <w:rsid w:val="0014477C"/>
    <w:rsid w:val="001447BA"/>
    <w:rsid w:val="001447BB"/>
    <w:rsid w:val="0014499A"/>
    <w:rsid w:val="00144A0B"/>
    <w:rsid w:val="00144C33"/>
    <w:rsid w:val="00144D58"/>
    <w:rsid w:val="00144DA2"/>
    <w:rsid w:val="001451D4"/>
    <w:rsid w:val="0014524F"/>
    <w:rsid w:val="00145259"/>
    <w:rsid w:val="001455F2"/>
    <w:rsid w:val="00145798"/>
    <w:rsid w:val="001458BC"/>
    <w:rsid w:val="00145A91"/>
    <w:rsid w:val="00145AE0"/>
    <w:rsid w:val="00146470"/>
    <w:rsid w:val="001464E1"/>
    <w:rsid w:val="001465EA"/>
    <w:rsid w:val="00146708"/>
    <w:rsid w:val="0014690F"/>
    <w:rsid w:val="00146A18"/>
    <w:rsid w:val="00146AE8"/>
    <w:rsid w:val="00146BFB"/>
    <w:rsid w:val="00146C81"/>
    <w:rsid w:val="00146CD6"/>
    <w:rsid w:val="0014710C"/>
    <w:rsid w:val="001471C0"/>
    <w:rsid w:val="001471DE"/>
    <w:rsid w:val="0014723F"/>
    <w:rsid w:val="00147408"/>
    <w:rsid w:val="0014750D"/>
    <w:rsid w:val="001477DA"/>
    <w:rsid w:val="0014784D"/>
    <w:rsid w:val="001479B1"/>
    <w:rsid w:val="00147BA7"/>
    <w:rsid w:val="00147BE1"/>
    <w:rsid w:val="00147BFF"/>
    <w:rsid w:val="00147EC7"/>
    <w:rsid w:val="00147FB2"/>
    <w:rsid w:val="00150300"/>
    <w:rsid w:val="0015033A"/>
    <w:rsid w:val="001503B1"/>
    <w:rsid w:val="00150675"/>
    <w:rsid w:val="00150931"/>
    <w:rsid w:val="00150E9C"/>
    <w:rsid w:val="001511A7"/>
    <w:rsid w:val="001515FB"/>
    <w:rsid w:val="00151ABF"/>
    <w:rsid w:val="00151ADA"/>
    <w:rsid w:val="00151D62"/>
    <w:rsid w:val="00151D89"/>
    <w:rsid w:val="001520D1"/>
    <w:rsid w:val="00152100"/>
    <w:rsid w:val="001523D9"/>
    <w:rsid w:val="001525DB"/>
    <w:rsid w:val="001526A4"/>
    <w:rsid w:val="001528B6"/>
    <w:rsid w:val="00152CC5"/>
    <w:rsid w:val="001530D6"/>
    <w:rsid w:val="001532F4"/>
    <w:rsid w:val="00153514"/>
    <w:rsid w:val="0015370F"/>
    <w:rsid w:val="0015373A"/>
    <w:rsid w:val="00153762"/>
    <w:rsid w:val="00153BBF"/>
    <w:rsid w:val="00153C4D"/>
    <w:rsid w:val="00153FD2"/>
    <w:rsid w:val="001544FF"/>
    <w:rsid w:val="0015457B"/>
    <w:rsid w:val="00154913"/>
    <w:rsid w:val="0015498C"/>
    <w:rsid w:val="00154B49"/>
    <w:rsid w:val="00154BF0"/>
    <w:rsid w:val="001550E8"/>
    <w:rsid w:val="00155135"/>
    <w:rsid w:val="00155246"/>
    <w:rsid w:val="001553AA"/>
    <w:rsid w:val="001555D6"/>
    <w:rsid w:val="00155C9E"/>
    <w:rsid w:val="00156196"/>
    <w:rsid w:val="00156859"/>
    <w:rsid w:val="0015692D"/>
    <w:rsid w:val="0015693D"/>
    <w:rsid w:val="00156D0A"/>
    <w:rsid w:val="00156D16"/>
    <w:rsid w:val="00156F97"/>
    <w:rsid w:val="0015712D"/>
    <w:rsid w:val="00157BEF"/>
    <w:rsid w:val="00157DCC"/>
    <w:rsid w:val="00157EA6"/>
    <w:rsid w:val="00160080"/>
    <w:rsid w:val="001603FF"/>
    <w:rsid w:val="00160452"/>
    <w:rsid w:val="00160532"/>
    <w:rsid w:val="00160761"/>
    <w:rsid w:val="0016098F"/>
    <w:rsid w:val="00160CB3"/>
    <w:rsid w:val="00160D13"/>
    <w:rsid w:val="00160D71"/>
    <w:rsid w:val="00160E43"/>
    <w:rsid w:val="00160E79"/>
    <w:rsid w:val="00161324"/>
    <w:rsid w:val="00161B4A"/>
    <w:rsid w:val="00161B8B"/>
    <w:rsid w:val="00162196"/>
    <w:rsid w:val="0016230E"/>
    <w:rsid w:val="0016247E"/>
    <w:rsid w:val="001624A7"/>
    <w:rsid w:val="00162928"/>
    <w:rsid w:val="00162B88"/>
    <w:rsid w:val="00162D17"/>
    <w:rsid w:val="00162DA0"/>
    <w:rsid w:val="0016314A"/>
    <w:rsid w:val="00163225"/>
    <w:rsid w:val="00163F13"/>
    <w:rsid w:val="001645B3"/>
    <w:rsid w:val="001647C1"/>
    <w:rsid w:val="00164A44"/>
    <w:rsid w:val="00164EDF"/>
    <w:rsid w:val="00165002"/>
    <w:rsid w:val="001651C3"/>
    <w:rsid w:val="001654F6"/>
    <w:rsid w:val="00165813"/>
    <w:rsid w:val="0016589F"/>
    <w:rsid w:val="00165A12"/>
    <w:rsid w:val="001662F1"/>
    <w:rsid w:val="0016686F"/>
    <w:rsid w:val="00166B64"/>
    <w:rsid w:val="00166F18"/>
    <w:rsid w:val="00166FC9"/>
    <w:rsid w:val="0016715C"/>
    <w:rsid w:val="0016718E"/>
    <w:rsid w:val="0016762A"/>
    <w:rsid w:val="001677E2"/>
    <w:rsid w:val="00167B2A"/>
    <w:rsid w:val="00167E78"/>
    <w:rsid w:val="001700CC"/>
    <w:rsid w:val="0017011A"/>
    <w:rsid w:val="001702C4"/>
    <w:rsid w:val="001705B7"/>
    <w:rsid w:val="001707BA"/>
    <w:rsid w:val="0017093A"/>
    <w:rsid w:val="00170CD1"/>
    <w:rsid w:val="00170CEB"/>
    <w:rsid w:val="00171027"/>
    <w:rsid w:val="001717EA"/>
    <w:rsid w:val="00171806"/>
    <w:rsid w:val="001719B3"/>
    <w:rsid w:val="00171A53"/>
    <w:rsid w:val="00171B8C"/>
    <w:rsid w:val="00171CFA"/>
    <w:rsid w:val="00171FC7"/>
    <w:rsid w:val="001728A5"/>
    <w:rsid w:val="00172D3B"/>
    <w:rsid w:val="00172FA1"/>
    <w:rsid w:val="00173048"/>
    <w:rsid w:val="0017367D"/>
    <w:rsid w:val="00174536"/>
    <w:rsid w:val="00174A82"/>
    <w:rsid w:val="00174B14"/>
    <w:rsid w:val="00174C1E"/>
    <w:rsid w:val="00174CBB"/>
    <w:rsid w:val="0017523E"/>
    <w:rsid w:val="00175429"/>
    <w:rsid w:val="001755CA"/>
    <w:rsid w:val="00175691"/>
    <w:rsid w:val="00175AFF"/>
    <w:rsid w:val="00175E1E"/>
    <w:rsid w:val="00175E68"/>
    <w:rsid w:val="00175E93"/>
    <w:rsid w:val="00176377"/>
    <w:rsid w:val="00176716"/>
    <w:rsid w:val="0017680D"/>
    <w:rsid w:val="001769AB"/>
    <w:rsid w:val="00176BA6"/>
    <w:rsid w:val="00176C84"/>
    <w:rsid w:val="00177249"/>
    <w:rsid w:val="001776E3"/>
    <w:rsid w:val="001778B1"/>
    <w:rsid w:val="00177987"/>
    <w:rsid w:val="00177A89"/>
    <w:rsid w:val="00177BE4"/>
    <w:rsid w:val="00177ECB"/>
    <w:rsid w:val="00177F02"/>
    <w:rsid w:val="00177FF7"/>
    <w:rsid w:val="0018003A"/>
    <w:rsid w:val="001800CA"/>
    <w:rsid w:val="00180175"/>
    <w:rsid w:val="001801FB"/>
    <w:rsid w:val="00180295"/>
    <w:rsid w:val="001804B5"/>
    <w:rsid w:val="001805EA"/>
    <w:rsid w:val="00180A95"/>
    <w:rsid w:val="001810C7"/>
    <w:rsid w:val="001813F3"/>
    <w:rsid w:val="001814EC"/>
    <w:rsid w:val="00181942"/>
    <w:rsid w:val="00181AB2"/>
    <w:rsid w:val="00181ADE"/>
    <w:rsid w:val="00181B0D"/>
    <w:rsid w:val="00181B39"/>
    <w:rsid w:val="00181CE6"/>
    <w:rsid w:val="001822C4"/>
    <w:rsid w:val="00182304"/>
    <w:rsid w:val="00182C18"/>
    <w:rsid w:val="00182C54"/>
    <w:rsid w:val="00182D1F"/>
    <w:rsid w:val="00182ED0"/>
    <w:rsid w:val="0018308E"/>
    <w:rsid w:val="00183330"/>
    <w:rsid w:val="0018337A"/>
    <w:rsid w:val="0018339F"/>
    <w:rsid w:val="001838A8"/>
    <w:rsid w:val="00183A45"/>
    <w:rsid w:val="00183B2F"/>
    <w:rsid w:val="00183BD8"/>
    <w:rsid w:val="00183E4D"/>
    <w:rsid w:val="00183FE1"/>
    <w:rsid w:val="00183FF4"/>
    <w:rsid w:val="00184148"/>
    <w:rsid w:val="001846E6"/>
    <w:rsid w:val="0018480C"/>
    <w:rsid w:val="001850C0"/>
    <w:rsid w:val="0018511C"/>
    <w:rsid w:val="00185240"/>
    <w:rsid w:val="0018528A"/>
    <w:rsid w:val="00185497"/>
    <w:rsid w:val="00185A14"/>
    <w:rsid w:val="00185A8B"/>
    <w:rsid w:val="00185AAE"/>
    <w:rsid w:val="00185DC1"/>
    <w:rsid w:val="00185E19"/>
    <w:rsid w:val="001861CF"/>
    <w:rsid w:val="00186246"/>
    <w:rsid w:val="001866BF"/>
    <w:rsid w:val="00186A92"/>
    <w:rsid w:val="00186AA4"/>
    <w:rsid w:val="00186C9F"/>
    <w:rsid w:val="00187020"/>
    <w:rsid w:val="0018707D"/>
    <w:rsid w:val="001870D1"/>
    <w:rsid w:val="0018748B"/>
    <w:rsid w:val="0018748F"/>
    <w:rsid w:val="001874CF"/>
    <w:rsid w:val="0018765F"/>
    <w:rsid w:val="00187B86"/>
    <w:rsid w:val="00187CF5"/>
    <w:rsid w:val="001900B2"/>
    <w:rsid w:val="00190D6F"/>
    <w:rsid w:val="00190E47"/>
    <w:rsid w:val="00190E57"/>
    <w:rsid w:val="00191577"/>
    <w:rsid w:val="00191761"/>
    <w:rsid w:val="00191B72"/>
    <w:rsid w:val="001926D6"/>
    <w:rsid w:val="00192AA4"/>
    <w:rsid w:val="00192B76"/>
    <w:rsid w:val="00192ED7"/>
    <w:rsid w:val="00192F46"/>
    <w:rsid w:val="001930AF"/>
    <w:rsid w:val="001932BF"/>
    <w:rsid w:val="001937F6"/>
    <w:rsid w:val="001938BE"/>
    <w:rsid w:val="00193AB1"/>
    <w:rsid w:val="00193B87"/>
    <w:rsid w:val="00193DE2"/>
    <w:rsid w:val="00193E3B"/>
    <w:rsid w:val="00193EC8"/>
    <w:rsid w:val="00193EF1"/>
    <w:rsid w:val="00194025"/>
    <w:rsid w:val="001940CF"/>
    <w:rsid w:val="001941FC"/>
    <w:rsid w:val="00194EB0"/>
    <w:rsid w:val="0019554C"/>
    <w:rsid w:val="001956C2"/>
    <w:rsid w:val="00195787"/>
    <w:rsid w:val="00195BF9"/>
    <w:rsid w:val="00195CB2"/>
    <w:rsid w:val="00195D88"/>
    <w:rsid w:val="00196069"/>
    <w:rsid w:val="001962E2"/>
    <w:rsid w:val="00196D59"/>
    <w:rsid w:val="00196EED"/>
    <w:rsid w:val="00196F63"/>
    <w:rsid w:val="00196FD6"/>
    <w:rsid w:val="001971A8"/>
    <w:rsid w:val="001976D6"/>
    <w:rsid w:val="001A0148"/>
    <w:rsid w:val="001A0CF3"/>
    <w:rsid w:val="001A12A4"/>
    <w:rsid w:val="001A13E5"/>
    <w:rsid w:val="001A1623"/>
    <w:rsid w:val="001A1860"/>
    <w:rsid w:val="001A1ABF"/>
    <w:rsid w:val="001A1B0A"/>
    <w:rsid w:val="001A1C91"/>
    <w:rsid w:val="001A1E0A"/>
    <w:rsid w:val="001A1E5A"/>
    <w:rsid w:val="001A29B1"/>
    <w:rsid w:val="001A2CC1"/>
    <w:rsid w:val="001A3113"/>
    <w:rsid w:val="001A31BB"/>
    <w:rsid w:val="001A3319"/>
    <w:rsid w:val="001A361C"/>
    <w:rsid w:val="001A3726"/>
    <w:rsid w:val="001A3862"/>
    <w:rsid w:val="001A3DF9"/>
    <w:rsid w:val="001A41E3"/>
    <w:rsid w:val="001A43AC"/>
    <w:rsid w:val="001A4432"/>
    <w:rsid w:val="001A44C0"/>
    <w:rsid w:val="001A4A81"/>
    <w:rsid w:val="001A4BD8"/>
    <w:rsid w:val="001A4FAC"/>
    <w:rsid w:val="001A5062"/>
    <w:rsid w:val="001A57E3"/>
    <w:rsid w:val="001A589C"/>
    <w:rsid w:val="001A5972"/>
    <w:rsid w:val="001A5C3F"/>
    <w:rsid w:val="001A5E53"/>
    <w:rsid w:val="001A5E76"/>
    <w:rsid w:val="001A5EF8"/>
    <w:rsid w:val="001A6118"/>
    <w:rsid w:val="001A6235"/>
    <w:rsid w:val="001A652C"/>
    <w:rsid w:val="001A6B50"/>
    <w:rsid w:val="001A6B5E"/>
    <w:rsid w:val="001A6B84"/>
    <w:rsid w:val="001A721A"/>
    <w:rsid w:val="001A73C9"/>
    <w:rsid w:val="001A7511"/>
    <w:rsid w:val="001B01E7"/>
    <w:rsid w:val="001B044D"/>
    <w:rsid w:val="001B0CFC"/>
    <w:rsid w:val="001B0D83"/>
    <w:rsid w:val="001B0E4A"/>
    <w:rsid w:val="001B128F"/>
    <w:rsid w:val="001B221B"/>
    <w:rsid w:val="001B25F4"/>
    <w:rsid w:val="001B279B"/>
    <w:rsid w:val="001B2898"/>
    <w:rsid w:val="001B2A0B"/>
    <w:rsid w:val="001B2A7E"/>
    <w:rsid w:val="001B2D78"/>
    <w:rsid w:val="001B33AE"/>
    <w:rsid w:val="001B35B1"/>
    <w:rsid w:val="001B3709"/>
    <w:rsid w:val="001B37C5"/>
    <w:rsid w:val="001B3A2C"/>
    <w:rsid w:val="001B3A9D"/>
    <w:rsid w:val="001B3D4F"/>
    <w:rsid w:val="001B410E"/>
    <w:rsid w:val="001B45BF"/>
    <w:rsid w:val="001B49CC"/>
    <w:rsid w:val="001B4CC7"/>
    <w:rsid w:val="001B4DDE"/>
    <w:rsid w:val="001B4E96"/>
    <w:rsid w:val="001B50BE"/>
    <w:rsid w:val="001B51C9"/>
    <w:rsid w:val="001B52F9"/>
    <w:rsid w:val="001B5486"/>
    <w:rsid w:val="001B5D00"/>
    <w:rsid w:val="001B5EDE"/>
    <w:rsid w:val="001B600A"/>
    <w:rsid w:val="001B601D"/>
    <w:rsid w:val="001B6A91"/>
    <w:rsid w:val="001B6B5C"/>
    <w:rsid w:val="001B6D1F"/>
    <w:rsid w:val="001B7309"/>
    <w:rsid w:val="001B7522"/>
    <w:rsid w:val="001B7B40"/>
    <w:rsid w:val="001B7C65"/>
    <w:rsid w:val="001B7F0B"/>
    <w:rsid w:val="001C011D"/>
    <w:rsid w:val="001C0441"/>
    <w:rsid w:val="001C0511"/>
    <w:rsid w:val="001C0761"/>
    <w:rsid w:val="001C0CEF"/>
    <w:rsid w:val="001C0F86"/>
    <w:rsid w:val="001C10A4"/>
    <w:rsid w:val="001C118D"/>
    <w:rsid w:val="001C196C"/>
    <w:rsid w:val="001C197E"/>
    <w:rsid w:val="001C1A17"/>
    <w:rsid w:val="001C2D9A"/>
    <w:rsid w:val="001C2E1E"/>
    <w:rsid w:val="001C2F36"/>
    <w:rsid w:val="001C336F"/>
    <w:rsid w:val="001C3567"/>
    <w:rsid w:val="001C3A58"/>
    <w:rsid w:val="001C3A68"/>
    <w:rsid w:val="001C3B3F"/>
    <w:rsid w:val="001C3C0C"/>
    <w:rsid w:val="001C3C5F"/>
    <w:rsid w:val="001C3E29"/>
    <w:rsid w:val="001C41B5"/>
    <w:rsid w:val="001C433B"/>
    <w:rsid w:val="001C4872"/>
    <w:rsid w:val="001C4A9A"/>
    <w:rsid w:val="001C50BD"/>
    <w:rsid w:val="001C5657"/>
    <w:rsid w:val="001C5837"/>
    <w:rsid w:val="001C58AF"/>
    <w:rsid w:val="001C5CDB"/>
    <w:rsid w:val="001C5EEE"/>
    <w:rsid w:val="001C62B6"/>
    <w:rsid w:val="001C671E"/>
    <w:rsid w:val="001C69A9"/>
    <w:rsid w:val="001C69AC"/>
    <w:rsid w:val="001C6A22"/>
    <w:rsid w:val="001C6D80"/>
    <w:rsid w:val="001C71AD"/>
    <w:rsid w:val="001C725A"/>
    <w:rsid w:val="001C7502"/>
    <w:rsid w:val="001C75A6"/>
    <w:rsid w:val="001C7659"/>
    <w:rsid w:val="001C7A57"/>
    <w:rsid w:val="001C7B87"/>
    <w:rsid w:val="001D0417"/>
    <w:rsid w:val="001D0548"/>
    <w:rsid w:val="001D08ED"/>
    <w:rsid w:val="001D08EE"/>
    <w:rsid w:val="001D0A40"/>
    <w:rsid w:val="001D0E71"/>
    <w:rsid w:val="001D102B"/>
    <w:rsid w:val="001D152F"/>
    <w:rsid w:val="001D1546"/>
    <w:rsid w:val="001D169C"/>
    <w:rsid w:val="001D184B"/>
    <w:rsid w:val="001D18E6"/>
    <w:rsid w:val="001D1924"/>
    <w:rsid w:val="001D1AD3"/>
    <w:rsid w:val="001D1AD6"/>
    <w:rsid w:val="001D1BF1"/>
    <w:rsid w:val="001D1CC7"/>
    <w:rsid w:val="001D1DDF"/>
    <w:rsid w:val="001D22EB"/>
    <w:rsid w:val="001D269C"/>
    <w:rsid w:val="001D2DD1"/>
    <w:rsid w:val="001D2F38"/>
    <w:rsid w:val="001D3018"/>
    <w:rsid w:val="001D3758"/>
    <w:rsid w:val="001D37AB"/>
    <w:rsid w:val="001D396E"/>
    <w:rsid w:val="001D3A9B"/>
    <w:rsid w:val="001D3AA3"/>
    <w:rsid w:val="001D48F3"/>
    <w:rsid w:val="001D4A84"/>
    <w:rsid w:val="001D4E52"/>
    <w:rsid w:val="001D4F07"/>
    <w:rsid w:val="001D50A2"/>
    <w:rsid w:val="001D5263"/>
    <w:rsid w:val="001D5380"/>
    <w:rsid w:val="001D53A0"/>
    <w:rsid w:val="001D565B"/>
    <w:rsid w:val="001D5676"/>
    <w:rsid w:val="001D570F"/>
    <w:rsid w:val="001D62B4"/>
    <w:rsid w:val="001D6423"/>
    <w:rsid w:val="001D646C"/>
    <w:rsid w:val="001D6695"/>
    <w:rsid w:val="001D6AFF"/>
    <w:rsid w:val="001D6BA0"/>
    <w:rsid w:val="001D6C21"/>
    <w:rsid w:val="001D7023"/>
    <w:rsid w:val="001D7055"/>
    <w:rsid w:val="001D7338"/>
    <w:rsid w:val="001D7A0B"/>
    <w:rsid w:val="001D7B2F"/>
    <w:rsid w:val="001D7CCE"/>
    <w:rsid w:val="001D7D4A"/>
    <w:rsid w:val="001E009C"/>
    <w:rsid w:val="001E025C"/>
    <w:rsid w:val="001E0A53"/>
    <w:rsid w:val="001E0C2D"/>
    <w:rsid w:val="001E0EA2"/>
    <w:rsid w:val="001E0EBE"/>
    <w:rsid w:val="001E0FA0"/>
    <w:rsid w:val="001E101D"/>
    <w:rsid w:val="001E1673"/>
    <w:rsid w:val="001E170A"/>
    <w:rsid w:val="001E17C1"/>
    <w:rsid w:val="001E1B6F"/>
    <w:rsid w:val="001E25DF"/>
    <w:rsid w:val="001E287C"/>
    <w:rsid w:val="001E28D2"/>
    <w:rsid w:val="001E28DD"/>
    <w:rsid w:val="001E29A5"/>
    <w:rsid w:val="001E29AF"/>
    <w:rsid w:val="001E2DFB"/>
    <w:rsid w:val="001E2F59"/>
    <w:rsid w:val="001E31F3"/>
    <w:rsid w:val="001E3245"/>
    <w:rsid w:val="001E32B9"/>
    <w:rsid w:val="001E3578"/>
    <w:rsid w:val="001E3645"/>
    <w:rsid w:val="001E384A"/>
    <w:rsid w:val="001E3946"/>
    <w:rsid w:val="001E3963"/>
    <w:rsid w:val="001E3AA0"/>
    <w:rsid w:val="001E4217"/>
    <w:rsid w:val="001E46A1"/>
    <w:rsid w:val="001E494F"/>
    <w:rsid w:val="001E4A56"/>
    <w:rsid w:val="001E4BD6"/>
    <w:rsid w:val="001E4CCD"/>
    <w:rsid w:val="001E4CE4"/>
    <w:rsid w:val="001E4E04"/>
    <w:rsid w:val="001E4F09"/>
    <w:rsid w:val="001E5397"/>
    <w:rsid w:val="001E54C8"/>
    <w:rsid w:val="001E55CD"/>
    <w:rsid w:val="001E587E"/>
    <w:rsid w:val="001E5BF0"/>
    <w:rsid w:val="001E5DA4"/>
    <w:rsid w:val="001E5DBC"/>
    <w:rsid w:val="001E65D9"/>
    <w:rsid w:val="001E66FC"/>
    <w:rsid w:val="001E705F"/>
    <w:rsid w:val="001E709D"/>
    <w:rsid w:val="001E71F5"/>
    <w:rsid w:val="001E750F"/>
    <w:rsid w:val="001E78FF"/>
    <w:rsid w:val="001E7F65"/>
    <w:rsid w:val="001F015A"/>
    <w:rsid w:val="001F0369"/>
    <w:rsid w:val="001F069E"/>
    <w:rsid w:val="001F0768"/>
    <w:rsid w:val="001F0799"/>
    <w:rsid w:val="001F0FDD"/>
    <w:rsid w:val="001F11EB"/>
    <w:rsid w:val="001F199A"/>
    <w:rsid w:val="001F1C68"/>
    <w:rsid w:val="001F1C78"/>
    <w:rsid w:val="001F1FB4"/>
    <w:rsid w:val="001F241A"/>
    <w:rsid w:val="001F2743"/>
    <w:rsid w:val="001F2819"/>
    <w:rsid w:val="001F289A"/>
    <w:rsid w:val="001F2CF0"/>
    <w:rsid w:val="001F301C"/>
    <w:rsid w:val="001F353A"/>
    <w:rsid w:val="001F3ECF"/>
    <w:rsid w:val="001F41FA"/>
    <w:rsid w:val="001F44A0"/>
    <w:rsid w:val="001F5116"/>
    <w:rsid w:val="001F5554"/>
    <w:rsid w:val="001F5587"/>
    <w:rsid w:val="001F579B"/>
    <w:rsid w:val="001F583C"/>
    <w:rsid w:val="001F5959"/>
    <w:rsid w:val="001F5FEF"/>
    <w:rsid w:val="001F6135"/>
    <w:rsid w:val="001F61E5"/>
    <w:rsid w:val="001F622B"/>
    <w:rsid w:val="001F6296"/>
    <w:rsid w:val="001F64DB"/>
    <w:rsid w:val="001F64FE"/>
    <w:rsid w:val="001F6642"/>
    <w:rsid w:val="001F686A"/>
    <w:rsid w:val="001F6AFD"/>
    <w:rsid w:val="001F6CF7"/>
    <w:rsid w:val="001F6E99"/>
    <w:rsid w:val="001F734E"/>
    <w:rsid w:val="001F73F1"/>
    <w:rsid w:val="001F7690"/>
    <w:rsid w:val="001F781A"/>
    <w:rsid w:val="001F7E5F"/>
    <w:rsid w:val="0020001C"/>
    <w:rsid w:val="0020018B"/>
    <w:rsid w:val="002002F1"/>
    <w:rsid w:val="00200315"/>
    <w:rsid w:val="002003A2"/>
    <w:rsid w:val="0020044D"/>
    <w:rsid w:val="00200A29"/>
    <w:rsid w:val="00200D3B"/>
    <w:rsid w:val="00200DE0"/>
    <w:rsid w:val="0020135B"/>
    <w:rsid w:val="002016B4"/>
    <w:rsid w:val="00201A06"/>
    <w:rsid w:val="0020228D"/>
    <w:rsid w:val="002023A3"/>
    <w:rsid w:val="0020245B"/>
    <w:rsid w:val="00202B51"/>
    <w:rsid w:val="0020368C"/>
    <w:rsid w:val="00203728"/>
    <w:rsid w:val="00203947"/>
    <w:rsid w:val="00203A83"/>
    <w:rsid w:val="00203DB2"/>
    <w:rsid w:val="00203DD7"/>
    <w:rsid w:val="00204471"/>
    <w:rsid w:val="0020466B"/>
    <w:rsid w:val="002049B1"/>
    <w:rsid w:val="00205142"/>
    <w:rsid w:val="002051FE"/>
    <w:rsid w:val="00205356"/>
    <w:rsid w:val="00205A91"/>
    <w:rsid w:val="00205E54"/>
    <w:rsid w:val="002063DB"/>
    <w:rsid w:val="00206886"/>
    <w:rsid w:val="002068C1"/>
    <w:rsid w:val="00206C27"/>
    <w:rsid w:val="00207232"/>
    <w:rsid w:val="00207271"/>
    <w:rsid w:val="00207278"/>
    <w:rsid w:val="0020776C"/>
    <w:rsid w:val="00207AAF"/>
    <w:rsid w:val="00207B1E"/>
    <w:rsid w:val="00207B7F"/>
    <w:rsid w:val="00207C1C"/>
    <w:rsid w:val="00207D12"/>
    <w:rsid w:val="00210082"/>
    <w:rsid w:val="00210407"/>
    <w:rsid w:val="002106B9"/>
    <w:rsid w:val="00210C5E"/>
    <w:rsid w:val="00210F48"/>
    <w:rsid w:val="00211061"/>
    <w:rsid w:val="00211285"/>
    <w:rsid w:val="00211DCE"/>
    <w:rsid w:val="002120D8"/>
    <w:rsid w:val="00212330"/>
    <w:rsid w:val="002124D6"/>
    <w:rsid w:val="00212630"/>
    <w:rsid w:val="002126C6"/>
    <w:rsid w:val="0021273B"/>
    <w:rsid w:val="0021294E"/>
    <w:rsid w:val="00212D8E"/>
    <w:rsid w:val="00212E6A"/>
    <w:rsid w:val="00212EE0"/>
    <w:rsid w:val="00212EFC"/>
    <w:rsid w:val="0021311F"/>
    <w:rsid w:val="0021319B"/>
    <w:rsid w:val="00213374"/>
    <w:rsid w:val="002133C9"/>
    <w:rsid w:val="0021352C"/>
    <w:rsid w:val="00213544"/>
    <w:rsid w:val="0021376A"/>
    <w:rsid w:val="0021388F"/>
    <w:rsid w:val="00213B43"/>
    <w:rsid w:val="00213CA2"/>
    <w:rsid w:val="00213EA5"/>
    <w:rsid w:val="00213ECD"/>
    <w:rsid w:val="00213EED"/>
    <w:rsid w:val="002146E5"/>
    <w:rsid w:val="00214B39"/>
    <w:rsid w:val="00214C6A"/>
    <w:rsid w:val="00214F43"/>
    <w:rsid w:val="00214F7B"/>
    <w:rsid w:val="00215D40"/>
    <w:rsid w:val="00215ED5"/>
    <w:rsid w:val="00216177"/>
    <w:rsid w:val="002161EB"/>
    <w:rsid w:val="0021639E"/>
    <w:rsid w:val="002165BB"/>
    <w:rsid w:val="00216638"/>
    <w:rsid w:val="00216A34"/>
    <w:rsid w:val="00216D21"/>
    <w:rsid w:val="0021710D"/>
    <w:rsid w:val="00217A8E"/>
    <w:rsid w:val="00217DFA"/>
    <w:rsid w:val="00220029"/>
    <w:rsid w:val="0022035F"/>
    <w:rsid w:val="00220542"/>
    <w:rsid w:val="002209B5"/>
    <w:rsid w:val="00220A74"/>
    <w:rsid w:val="00220BA9"/>
    <w:rsid w:val="00220BBB"/>
    <w:rsid w:val="00220CBB"/>
    <w:rsid w:val="0022114B"/>
    <w:rsid w:val="002211CA"/>
    <w:rsid w:val="00221627"/>
    <w:rsid w:val="002217FB"/>
    <w:rsid w:val="002219B8"/>
    <w:rsid w:val="00221BE9"/>
    <w:rsid w:val="00221E38"/>
    <w:rsid w:val="002221F6"/>
    <w:rsid w:val="002223BD"/>
    <w:rsid w:val="00222419"/>
    <w:rsid w:val="0022247B"/>
    <w:rsid w:val="00222570"/>
    <w:rsid w:val="002226F6"/>
    <w:rsid w:val="00222A28"/>
    <w:rsid w:val="00222A83"/>
    <w:rsid w:val="00222C3D"/>
    <w:rsid w:val="0022318A"/>
    <w:rsid w:val="002231B5"/>
    <w:rsid w:val="002232ED"/>
    <w:rsid w:val="00223476"/>
    <w:rsid w:val="0022359D"/>
    <w:rsid w:val="00223BAD"/>
    <w:rsid w:val="002245F8"/>
    <w:rsid w:val="00224767"/>
    <w:rsid w:val="00224E39"/>
    <w:rsid w:val="0022525A"/>
    <w:rsid w:val="00225453"/>
    <w:rsid w:val="00225B70"/>
    <w:rsid w:val="00225DEA"/>
    <w:rsid w:val="00225FEC"/>
    <w:rsid w:val="00226063"/>
    <w:rsid w:val="00226370"/>
    <w:rsid w:val="002264CB"/>
    <w:rsid w:val="002265DA"/>
    <w:rsid w:val="00226F66"/>
    <w:rsid w:val="0022719F"/>
    <w:rsid w:val="002271BF"/>
    <w:rsid w:val="0022768B"/>
    <w:rsid w:val="00227788"/>
    <w:rsid w:val="00227CE6"/>
    <w:rsid w:val="00227DC8"/>
    <w:rsid w:val="0023007B"/>
    <w:rsid w:val="00230154"/>
    <w:rsid w:val="00230198"/>
    <w:rsid w:val="0023020D"/>
    <w:rsid w:val="0023050C"/>
    <w:rsid w:val="0023058C"/>
    <w:rsid w:val="002305E3"/>
    <w:rsid w:val="00230718"/>
    <w:rsid w:val="002307EE"/>
    <w:rsid w:val="00230999"/>
    <w:rsid w:val="00230C77"/>
    <w:rsid w:val="00230C9A"/>
    <w:rsid w:val="00230D4B"/>
    <w:rsid w:val="002315A3"/>
    <w:rsid w:val="0023168C"/>
    <w:rsid w:val="00231723"/>
    <w:rsid w:val="002317BF"/>
    <w:rsid w:val="00231B9E"/>
    <w:rsid w:val="00231C4C"/>
    <w:rsid w:val="00231D95"/>
    <w:rsid w:val="00231DDD"/>
    <w:rsid w:val="00231F4D"/>
    <w:rsid w:val="0023205F"/>
    <w:rsid w:val="0023225E"/>
    <w:rsid w:val="00232418"/>
    <w:rsid w:val="00232586"/>
    <w:rsid w:val="00232730"/>
    <w:rsid w:val="0023297A"/>
    <w:rsid w:val="00232C74"/>
    <w:rsid w:val="00233065"/>
    <w:rsid w:val="00233382"/>
    <w:rsid w:val="0023388A"/>
    <w:rsid w:val="002339E3"/>
    <w:rsid w:val="00233ADB"/>
    <w:rsid w:val="00233D41"/>
    <w:rsid w:val="002340BC"/>
    <w:rsid w:val="00234551"/>
    <w:rsid w:val="002349F9"/>
    <w:rsid w:val="00234B7E"/>
    <w:rsid w:val="00234D1D"/>
    <w:rsid w:val="00235D51"/>
    <w:rsid w:val="00235ECB"/>
    <w:rsid w:val="00236011"/>
    <w:rsid w:val="00236196"/>
    <w:rsid w:val="0023643C"/>
    <w:rsid w:val="00236686"/>
    <w:rsid w:val="002368EB"/>
    <w:rsid w:val="00236A7B"/>
    <w:rsid w:val="00236D26"/>
    <w:rsid w:val="002371C0"/>
    <w:rsid w:val="0023729B"/>
    <w:rsid w:val="00237550"/>
    <w:rsid w:val="00237AD3"/>
    <w:rsid w:val="00240016"/>
    <w:rsid w:val="00240168"/>
    <w:rsid w:val="0024027B"/>
    <w:rsid w:val="00240422"/>
    <w:rsid w:val="002407F1"/>
    <w:rsid w:val="00240D9D"/>
    <w:rsid w:val="00240E92"/>
    <w:rsid w:val="00241418"/>
    <w:rsid w:val="00241483"/>
    <w:rsid w:val="00241E85"/>
    <w:rsid w:val="002422FA"/>
    <w:rsid w:val="002425EC"/>
    <w:rsid w:val="00242808"/>
    <w:rsid w:val="00242920"/>
    <w:rsid w:val="00242963"/>
    <w:rsid w:val="002429E5"/>
    <w:rsid w:val="00242A5F"/>
    <w:rsid w:val="00242BED"/>
    <w:rsid w:val="00242BF7"/>
    <w:rsid w:val="00242D36"/>
    <w:rsid w:val="00242E94"/>
    <w:rsid w:val="00242FE6"/>
    <w:rsid w:val="00243109"/>
    <w:rsid w:val="00243503"/>
    <w:rsid w:val="00243530"/>
    <w:rsid w:val="002436DF"/>
    <w:rsid w:val="002436E9"/>
    <w:rsid w:val="0024380D"/>
    <w:rsid w:val="00243AC8"/>
    <w:rsid w:val="00243FCE"/>
    <w:rsid w:val="002440A5"/>
    <w:rsid w:val="002444E9"/>
    <w:rsid w:val="00244533"/>
    <w:rsid w:val="00244612"/>
    <w:rsid w:val="00244875"/>
    <w:rsid w:val="00244FC3"/>
    <w:rsid w:val="002456EF"/>
    <w:rsid w:val="00245BEA"/>
    <w:rsid w:val="00245CC6"/>
    <w:rsid w:val="002461B6"/>
    <w:rsid w:val="002465C9"/>
    <w:rsid w:val="00246647"/>
    <w:rsid w:val="002467B3"/>
    <w:rsid w:val="0024683F"/>
    <w:rsid w:val="00246B9A"/>
    <w:rsid w:val="00246BCE"/>
    <w:rsid w:val="00247672"/>
    <w:rsid w:val="00247F76"/>
    <w:rsid w:val="0025013B"/>
    <w:rsid w:val="002509F3"/>
    <w:rsid w:val="00250AD3"/>
    <w:rsid w:val="00250B42"/>
    <w:rsid w:val="00250E0F"/>
    <w:rsid w:val="00251081"/>
    <w:rsid w:val="00251196"/>
    <w:rsid w:val="002511DB"/>
    <w:rsid w:val="0025138F"/>
    <w:rsid w:val="002514B3"/>
    <w:rsid w:val="002514D0"/>
    <w:rsid w:val="002515B3"/>
    <w:rsid w:val="00251626"/>
    <w:rsid w:val="00251E8F"/>
    <w:rsid w:val="0025242F"/>
    <w:rsid w:val="002526FE"/>
    <w:rsid w:val="0025273F"/>
    <w:rsid w:val="002528E9"/>
    <w:rsid w:val="00252BAA"/>
    <w:rsid w:val="00252C9F"/>
    <w:rsid w:val="00252D88"/>
    <w:rsid w:val="00252E96"/>
    <w:rsid w:val="002530FF"/>
    <w:rsid w:val="00253277"/>
    <w:rsid w:val="002534C3"/>
    <w:rsid w:val="0025353D"/>
    <w:rsid w:val="002536E5"/>
    <w:rsid w:val="00253941"/>
    <w:rsid w:val="00253C5E"/>
    <w:rsid w:val="002540E4"/>
    <w:rsid w:val="002541CB"/>
    <w:rsid w:val="0025457C"/>
    <w:rsid w:val="00254906"/>
    <w:rsid w:val="00254D43"/>
    <w:rsid w:val="002553B6"/>
    <w:rsid w:val="002554BA"/>
    <w:rsid w:val="00255B28"/>
    <w:rsid w:val="00255C7C"/>
    <w:rsid w:val="00255E5B"/>
    <w:rsid w:val="00255F4E"/>
    <w:rsid w:val="00256477"/>
    <w:rsid w:val="00256574"/>
    <w:rsid w:val="00256C93"/>
    <w:rsid w:val="00257377"/>
    <w:rsid w:val="00257722"/>
    <w:rsid w:val="002579B5"/>
    <w:rsid w:val="00257A4F"/>
    <w:rsid w:val="00257B8F"/>
    <w:rsid w:val="00257CDB"/>
    <w:rsid w:val="002603AD"/>
    <w:rsid w:val="002604B9"/>
    <w:rsid w:val="002604D1"/>
    <w:rsid w:val="00260887"/>
    <w:rsid w:val="00260983"/>
    <w:rsid w:val="002611B2"/>
    <w:rsid w:val="0026143F"/>
    <w:rsid w:val="002615A7"/>
    <w:rsid w:val="00261CCC"/>
    <w:rsid w:val="00261E92"/>
    <w:rsid w:val="0026228B"/>
    <w:rsid w:val="002624B0"/>
    <w:rsid w:val="00262A0C"/>
    <w:rsid w:val="00262C53"/>
    <w:rsid w:val="00262DBC"/>
    <w:rsid w:val="00262FC1"/>
    <w:rsid w:val="0026308E"/>
    <w:rsid w:val="0026326C"/>
    <w:rsid w:val="0026353A"/>
    <w:rsid w:val="00263E4D"/>
    <w:rsid w:val="00263F24"/>
    <w:rsid w:val="002640CA"/>
    <w:rsid w:val="002640D8"/>
    <w:rsid w:val="002644DF"/>
    <w:rsid w:val="00264652"/>
    <w:rsid w:val="002646B3"/>
    <w:rsid w:val="002646F0"/>
    <w:rsid w:val="002648F6"/>
    <w:rsid w:val="00264CC5"/>
    <w:rsid w:val="00264E3C"/>
    <w:rsid w:val="002655A7"/>
    <w:rsid w:val="00265C57"/>
    <w:rsid w:val="00266179"/>
    <w:rsid w:val="0026639F"/>
    <w:rsid w:val="0026653C"/>
    <w:rsid w:val="00266665"/>
    <w:rsid w:val="002666EA"/>
    <w:rsid w:val="0026698E"/>
    <w:rsid w:val="00266B0C"/>
    <w:rsid w:val="00266BD2"/>
    <w:rsid w:val="002671D0"/>
    <w:rsid w:val="0026730F"/>
    <w:rsid w:val="0026735F"/>
    <w:rsid w:val="002679CF"/>
    <w:rsid w:val="00270204"/>
    <w:rsid w:val="002707B7"/>
    <w:rsid w:val="002711DC"/>
    <w:rsid w:val="002718FF"/>
    <w:rsid w:val="00271AD3"/>
    <w:rsid w:val="00271AF4"/>
    <w:rsid w:val="00271E8A"/>
    <w:rsid w:val="002720B6"/>
    <w:rsid w:val="00272585"/>
    <w:rsid w:val="002729B7"/>
    <w:rsid w:val="00272D9A"/>
    <w:rsid w:val="00272E24"/>
    <w:rsid w:val="00273148"/>
    <w:rsid w:val="00273362"/>
    <w:rsid w:val="00273479"/>
    <w:rsid w:val="002735E7"/>
    <w:rsid w:val="00273978"/>
    <w:rsid w:val="00273AE5"/>
    <w:rsid w:val="00273B16"/>
    <w:rsid w:val="00273B9D"/>
    <w:rsid w:val="00273D00"/>
    <w:rsid w:val="00274046"/>
    <w:rsid w:val="00274085"/>
    <w:rsid w:val="002740F9"/>
    <w:rsid w:val="002744EA"/>
    <w:rsid w:val="00274733"/>
    <w:rsid w:val="00274872"/>
    <w:rsid w:val="00274895"/>
    <w:rsid w:val="00274CAF"/>
    <w:rsid w:val="00274EBE"/>
    <w:rsid w:val="00274F96"/>
    <w:rsid w:val="0027531C"/>
    <w:rsid w:val="00275321"/>
    <w:rsid w:val="00275DD6"/>
    <w:rsid w:val="00275E52"/>
    <w:rsid w:val="00276107"/>
    <w:rsid w:val="0027625C"/>
    <w:rsid w:val="0027645A"/>
    <w:rsid w:val="002767F8"/>
    <w:rsid w:val="00276B34"/>
    <w:rsid w:val="00276CC7"/>
    <w:rsid w:val="00276D3C"/>
    <w:rsid w:val="00276FA5"/>
    <w:rsid w:val="00277368"/>
    <w:rsid w:val="00277612"/>
    <w:rsid w:val="00277981"/>
    <w:rsid w:val="00277AF6"/>
    <w:rsid w:val="00277D37"/>
    <w:rsid w:val="00277DD8"/>
    <w:rsid w:val="00277E06"/>
    <w:rsid w:val="00277F03"/>
    <w:rsid w:val="002806AF"/>
    <w:rsid w:val="00280826"/>
    <w:rsid w:val="00280A78"/>
    <w:rsid w:val="00280A91"/>
    <w:rsid w:val="00280CDB"/>
    <w:rsid w:val="00280D7B"/>
    <w:rsid w:val="00280D7E"/>
    <w:rsid w:val="00280E58"/>
    <w:rsid w:val="00281055"/>
    <w:rsid w:val="0028133D"/>
    <w:rsid w:val="00281669"/>
    <w:rsid w:val="00281742"/>
    <w:rsid w:val="00281909"/>
    <w:rsid w:val="00281F58"/>
    <w:rsid w:val="002823E7"/>
    <w:rsid w:val="00282543"/>
    <w:rsid w:val="00282569"/>
    <w:rsid w:val="002826E9"/>
    <w:rsid w:val="0028281C"/>
    <w:rsid w:val="00282890"/>
    <w:rsid w:val="00282D87"/>
    <w:rsid w:val="00283046"/>
    <w:rsid w:val="002832EB"/>
    <w:rsid w:val="00283460"/>
    <w:rsid w:val="00283563"/>
    <w:rsid w:val="00283CB7"/>
    <w:rsid w:val="002845AC"/>
    <w:rsid w:val="002845D9"/>
    <w:rsid w:val="002845E3"/>
    <w:rsid w:val="00284FDB"/>
    <w:rsid w:val="002853DB"/>
    <w:rsid w:val="002855C7"/>
    <w:rsid w:val="0028571D"/>
    <w:rsid w:val="002858F7"/>
    <w:rsid w:val="00285BAA"/>
    <w:rsid w:val="00285E4E"/>
    <w:rsid w:val="00285F99"/>
    <w:rsid w:val="0028613C"/>
    <w:rsid w:val="0028652F"/>
    <w:rsid w:val="0028655C"/>
    <w:rsid w:val="00286B34"/>
    <w:rsid w:val="00286D2F"/>
    <w:rsid w:val="00287164"/>
    <w:rsid w:val="00287206"/>
    <w:rsid w:val="00287626"/>
    <w:rsid w:val="00287657"/>
    <w:rsid w:val="002902F6"/>
    <w:rsid w:val="00290426"/>
    <w:rsid w:val="00290709"/>
    <w:rsid w:val="002909E4"/>
    <w:rsid w:val="00290ADF"/>
    <w:rsid w:val="00290DED"/>
    <w:rsid w:val="00290ECA"/>
    <w:rsid w:val="00291322"/>
    <w:rsid w:val="00291408"/>
    <w:rsid w:val="002915CD"/>
    <w:rsid w:val="002915EA"/>
    <w:rsid w:val="00292039"/>
    <w:rsid w:val="00292115"/>
    <w:rsid w:val="0029235B"/>
    <w:rsid w:val="002923B9"/>
    <w:rsid w:val="00292470"/>
    <w:rsid w:val="002925AF"/>
    <w:rsid w:val="00292832"/>
    <w:rsid w:val="002929B8"/>
    <w:rsid w:val="00292F78"/>
    <w:rsid w:val="00293364"/>
    <w:rsid w:val="002939E7"/>
    <w:rsid w:val="00293DC0"/>
    <w:rsid w:val="00293E42"/>
    <w:rsid w:val="00293F13"/>
    <w:rsid w:val="00293FDA"/>
    <w:rsid w:val="00294042"/>
    <w:rsid w:val="00294371"/>
    <w:rsid w:val="00294C20"/>
    <w:rsid w:val="00294D9B"/>
    <w:rsid w:val="0029507C"/>
    <w:rsid w:val="002950E0"/>
    <w:rsid w:val="002953B7"/>
    <w:rsid w:val="00295460"/>
    <w:rsid w:val="00295840"/>
    <w:rsid w:val="00295A4F"/>
    <w:rsid w:val="00295A7F"/>
    <w:rsid w:val="00295B31"/>
    <w:rsid w:val="00295D83"/>
    <w:rsid w:val="002960E5"/>
    <w:rsid w:val="00296264"/>
    <w:rsid w:val="002964E2"/>
    <w:rsid w:val="002968E0"/>
    <w:rsid w:val="00296A57"/>
    <w:rsid w:val="00296CD6"/>
    <w:rsid w:val="00296E98"/>
    <w:rsid w:val="002973AE"/>
    <w:rsid w:val="002976AF"/>
    <w:rsid w:val="002977F8"/>
    <w:rsid w:val="00297E4B"/>
    <w:rsid w:val="00297E60"/>
    <w:rsid w:val="00297EB7"/>
    <w:rsid w:val="00297FF3"/>
    <w:rsid w:val="002A01D8"/>
    <w:rsid w:val="002A01F3"/>
    <w:rsid w:val="002A0439"/>
    <w:rsid w:val="002A0700"/>
    <w:rsid w:val="002A0808"/>
    <w:rsid w:val="002A0A46"/>
    <w:rsid w:val="002A0A7E"/>
    <w:rsid w:val="002A0AB8"/>
    <w:rsid w:val="002A0AEB"/>
    <w:rsid w:val="002A0C34"/>
    <w:rsid w:val="002A0D31"/>
    <w:rsid w:val="002A106A"/>
    <w:rsid w:val="002A1A95"/>
    <w:rsid w:val="002A1CFA"/>
    <w:rsid w:val="002A1DE0"/>
    <w:rsid w:val="002A215C"/>
    <w:rsid w:val="002A2181"/>
    <w:rsid w:val="002A2702"/>
    <w:rsid w:val="002A2B94"/>
    <w:rsid w:val="002A2D19"/>
    <w:rsid w:val="002A2D95"/>
    <w:rsid w:val="002A2E16"/>
    <w:rsid w:val="002A2E75"/>
    <w:rsid w:val="002A3239"/>
    <w:rsid w:val="002A3293"/>
    <w:rsid w:val="002A34E6"/>
    <w:rsid w:val="002A38D0"/>
    <w:rsid w:val="002A38FB"/>
    <w:rsid w:val="002A3C59"/>
    <w:rsid w:val="002A3DF1"/>
    <w:rsid w:val="002A3E08"/>
    <w:rsid w:val="002A4415"/>
    <w:rsid w:val="002A4822"/>
    <w:rsid w:val="002A5A21"/>
    <w:rsid w:val="002A5AE8"/>
    <w:rsid w:val="002A5F93"/>
    <w:rsid w:val="002A613A"/>
    <w:rsid w:val="002A63EB"/>
    <w:rsid w:val="002A66C6"/>
    <w:rsid w:val="002A69BC"/>
    <w:rsid w:val="002A6B8E"/>
    <w:rsid w:val="002A6D11"/>
    <w:rsid w:val="002A6D7D"/>
    <w:rsid w:val="002A7385"/>
    <w:rsid w:val="002A745F"/>
    <w:rsid w:val="002A75B6"/>
    <w:rsid w:val="002A7917"/>
    <w:rsid w:val="002A7ACE"/>
    <w:rsid w:val="002A7AE3"/>
    <w:rsid w:val="002A7B09"/>
    <w:rsid w:val="002A7C5C"/>
    <w:rsid w:val="002B01FE"/>
    <w:rsid w:val="002B0221"/>
    <w:rsid w:val="002B076C"/>
    <w:rsid w:val="002B0853"/>
    <w:rsid w:val="002B0AD9"/>
    <w:rsid w:val="002B0AFB"/>
    <w:rsid w:val="002B0BAC"/>
    <w:rsid w:val="002B0BD1"/>
    <w:rsid w:val="002B0EBA"/>
    <w:rsid w:val="002B0EF3"/>
    <w:rsid w:val="002B0F0C"/>
    <w:rsid w:val="002B15E2"/>
    <w:rsid w:val="002B1720"/>
    <w:rsid w:val="002B1FD7"/>
    <w:rsid w:val="002B2268"/>
    <w:rsid w:val="002B2385"/>
    <w:rsid w:val="002B28C0"/>
    <w:rsid w:val="002B2A74"/>
    <w:rsid w:val="002B2C5A"/>
    <w:rsid w:val="002B2CF4"/>
    <w:rsid w:val="002B2DCC"/>
    <w:rsid w:val="002B2EF6"/>
    <w:rsid w:val="002B2FEE"/>
    <w:rsid w:val="002B3376"/>
    <w:rsid w:val="002B338A"/>
    <w:rsid w:val="002B3676"/>
    <w:rsid w:val="002B3A81"/>
    <w:rsid w:val="002B3C11"/>
    <w:rsid w:val="002B45D0"/>
    <w:rsid w:val="002B476D"/>
    <w:rsid w:val="002B481D"/>
    <w:rsid w:val="002B5288"/>
    <w:rsid w:val="002B5407"/>
    <w:rsid w:val="002B54BA"/>
    <w:rsid w:val="002B56F7"/>
    <w:rsid w:val="002B5ABE"/>
    <w:rsid w:val="002B5AD9"/>
    <w:rsid w:val="002B5BF3"/>
    <w:rsid w:val="002B6198"/>
    <w:rsid w:val="002B61DD"/>
    <w:rsid w:val="002B629F"/>
    <w:rsid w:val="002B63F5"/>
    <w:rsid w:val="002B6500"/>
    <w:rsid w:val="002B6B91"/>
    <w:rsid w:val="002B6D8D"/>
    <w:rsid w:val="002B6EC6"/>
    <w:rsid w:val="002B7219"/>
    <w:rsid w:val="002B791F"/>
    <w:rsid w:val="002B7CAF"/>
    <w:rsid w:val="002B7DE7"/>
    <w:rsid w:val="002B7E33"/>
    <w:rsid w:val="002C0072"/>
    <w:rsid w:val="002C04D4"/>
    <w:rsid w:val="002C04E2"/>
    <w:rsid w:val="002C0564"/>
    <w:rsid w:val="002C0644"/>
    <w:rsid w:val="002C0825"/>
    <w:rsid w:val="002C086E"/>
    <w:rsid w:val="002C0A64"/>
    <w:rsid w:val="002C0BD8"/>
    <w:rsid w:val="002C148E"/>
    <w:rsid w:val="002C14E9"/>
    <w:rsid w:val="002C179B"/>
    <w:rsid w:val="002C1A5B"/>
    <w:rsid w:val="002C1AC2"/>
    <w:rsid w:val="002C2175"/>
    <w:rsid w:val="002C21ED"/>
    <w:rsid w:val="002C222A"/>
    <w:rsid w:val="002C222D"/>
    <w:rsid w:val="002C2940"/>
    <w:rsid w:val="002C2B4B"/>
    <w:rsid w:val="002C2C68"/>
    <w:rsid w:val="002C2CC5"/>
    <w:rsid w:val="002C2CCE"/>
    <w:rsid w:val="002C2FFB"/>
    <w:rsid w:val="002C31D6"/>
    <w:rsid w:val="002C31FD"/>
    <w:rsid w:val="002C378A"/>
    <w:rsid w:val="002C39ED"/>
    <w:rsid w:val="002C3B9E"/>
    <w:rsid w:val="002C3E2C"/>
    <w:rsid w:val="002C40F8"/>
    <w:rsid w:val="002C4198"/>
    <w:rsid w:val="002C42C9"/>
    <w:rsid w:val="002C42E8"/>
    <w:rsid w:val="002C475D"/>
    <w:rsid w:val="002C4AAA"/>
    <w:rsid w:val="002C4DA2"/>
    <w:rsid w:val="002C512B"/>
    <w:rsid w:val="002C5B95"/>
    <w:rsid w:val="002C5C4A"/>
    <w:rsid w:val="002C5DD4"/>
    <w:rsid w:val="002C5F5D"/>
    <w:rsid w:val="002C5FD8"/>
    <w:rsid w:val="002C659B"/>
    <w:rsid w:val="002C65A2"/>
    <w:rsid w:val="002C6694"/>
    <w:rsid w:val="002C6874"/>
    <w:rsid w:val="002C6936"/>
    <w:rsid w:val="002C6AAC"/>
    <w:rsid w:val="002C6AEC"/>
    <w:rsid w:val="002C6E73"/>
    <w:rsid w:val="002C706C"/>
    <w:rsid w:val="002C72BD"/>
    <w:rsid w:val="002C741B"/>
    <w:rsid w:val="002C774A"/>
    <w:rsid w:val="002C7B1F"/>
    <w:rsid w:val="002D0203"/>
    <w:rsid w:val="002D0444"/>
    <w:rsid w:val="002D0490"/>
    <w:rsid w:val="002D0575"/>
    <w:rsid w:val="002D07F9"/>
    <w:rsid w:val="002D0ABC"/>
    <w:rsid w:val="002D0DA8"/>
    <w:rsid w:val="002D0EB9"/>
    <w:rsid w:val="002D13E2"/>
    <w:rsid w:val="002D180F"/>
    <w:rsid w:val="002D1B59"/>
    <w:rsid w:val="002D207C"/>
    <w:rsid w:val="002D2081"/>
    <w:rsid w:val="002D2319"/>
    <w:rsid w:val="002D259B"/>
    <w:rsid w:val="002D271D"/>
    <w:rsid w:val="002D2760"/>
    <w:rsid w:val="002D27B3"/>
    <w:rsid w:val="002D2B46"/>
    <w:rsid w:val="002D2CF7"/>
    <w:rsid w:val="002D2EB9"/>
    <w:rsid w:val="002D395E"/>
    <w:rsid w:val="002D3EFB"/>
    <w:rsid w:val="002D403D"/>
    <w:rsid w:val="002D4230"/>
    <w:rsid w:val="002D44DB"/>
    <w:rsid w:val="002D475F"/>
    <w:rsid w:val="002D4959"/>
    <w:rsid w:val="002D4DBB"/>
    <w:rsid w:val="002D557B"/>
    <w:rsid w:val="002D593C"/>
    <w:rsid w:val="002D5B2B"/>
    <w:rsid w:val="002D5C43"/>
    <w:rsid w:val="002D5C5E"/>
    <w:rsid w:val="002D5D0E"/>
    <w:rsid w:val="002D5D8A"/>
    <w:rsid w:val="002D637B"/>
    <w:rsid w:val="002D63C1"/>
    <w:rsid w:val="002D654D"/>
    <w:rsid w:val="002D68D5"/>
    <w:rsid w:val="002D6DF1"/>
    <w:rsid w:val="002D6F5B"/>
    <w:rsid w:val="002D76FF"/>
    <w:rsid w:val="002D7722"/>
    <w:rsid w:val="002D7924"/>
    <w:rsid w:val="002D79DF"/>
    <w:rsid w:val="002D7A50"/>
    <w:rsid w:val="002D7A6F"/>
    <w:rsid w:val="002E0526"/>
    <w:rsid w:val="002E0C15"/>
    <w:rsid w:val="002E16F1"/>
    <w:rsid w:val="002E253F"/>
    <w:rsid w:val="002E255D"/>
    <w:rsid w:val="002E266A"/>
    <w:rsid w:val="002E2985"/>
    <w:rsid w:val="002E2ABA"/>
    <w:rsid w:val="002E2D57"/>
    <w:rsid w:val="002E2E09"/>
    <w:rsid w:val="002E3709"/>
    <w:rsid w:val="002E3A74"/>
    <w:rsid w:val="002E3B0C"/>
    <w:rsid w:val="002E3E7C"/>
    <w:rsid w:val="002E3F3C"/>
    <w:rsid w:val="002E3FAD"/>
    <w:rsid w:val="002E4151"/>
    <w:rsid w:val="002E4539"/>
    <w:rsid w:val="002E4562"/>
    <w:rsid w:val="002E49B0"/>
    <w:rsid w:val="002E4AE3"/>
    <w:rsid w:val="002E4C40"/>
    <w:rsid w:val="002E4D55"/>
    <w:rsid w:val="002E50C5"/>
    <w:rsid w:val="002E5149"/>
    <w:rsid w:val="002E53F3"/>
    <w:rsid w:val="002E5632"/>
    <w:rsid w:val="002E56E1"/>
    <w:rsid w:val="002E595C"/>
    <w:rsid w:val="002E5C5E"/>
    <w:rsid w:val="002E5D5F"/>
    <w:rsid w:val="002E5F0C"/>
    <w:rsid w:val="002E646C"/>
    <w:rsid w:val="002E64A2"/>
    <w:rsid w:val="002E6B7F"/>
    <w:rsid w:val="002E6D72"/>
    <w:rsid w:val="002E72B0"/>
    <w:rsid w:val="002E74E2"/>
    <w:rsid w:val="002E7842"/>
    <w:rsid w:val="002F0235"/>
    <w:rsid w:val="002F0430"/>
    <w:rsid w:val="002F089D"/>
    <w:rsid w:val="002F08D5"/>
    <w:rsid w:val="002F10F0"/>
    <w:rsid w:val="002F12BF"/>
    <w:rsid w:val="002F13DF"/>
    <w:rsid w:val="002F143D"/>
    <w:rsid w:val="002F154F"/>
    <w:rsid w:val="002F1956"/>
    <w:rsid w:val="002F1C32"/>
    <w:rsid w:val="002F1C4F"/>
    <w:rsid w:val="002F20A5"/>
    <w:rsid w:val="002F2314"/>
    <w:rsid w:val="002F27A6"/>
    <w:rsid w:val="002F2838"/>
    <w:rsid w:val="002F334F"/>
    <w:rsid w:val="002F353C"/>
    <w:rsid w:val="002F3548"/>
    <w:rsid w:val="002F355D"/>
    <w:rsid w:val="002F3905"/>
    <w:rsid w:val="002F3930"/>
    <w:rsid w:val="002F3BBC"/>
    <w:rsid w:val="002F3D8D"/>
    <w:rsid w:val="002F3D91"/>
    <w:rsid w:val="002F3EED"/>
    <w:rsid w:val="002F440B"/>
    <w:rsid w:val="002F44D3"/>
    <w:rsid w:val="002F47BB"/>
    <w:rsid w:val="002F4805"/>
    <w:rsid w:val="002F4957"/>
    <w:rsid w:val="002F4A37"/>
    <w:rsid w:val="002F4B3D"/>
    <w:rsid w:val="002F5782"/>
    <w:rsid w:val="002F579B"/>
    <w:rsid w:val="002F5963"/>
    <w:rsid w:val="002F59EA"/>
    <w:rsid w:val="002F5B62"/>
    <w:rsid w:val="002F5CAF"/>
    <w:rsid w:val="002F5F9B"/>
    <w:rsid w:val="002F6154"/>
    <w:rsid w:val="002F64D0"/>
    <w:rsid w:val="002F6679"/>
    <w:rsid w:val="002F6788"/>
    <w:rsid w:val="002F68E5"/>
    <w:rsid w:val="002F6E88"/>
    <w:rsid w:val="002F6EAE"/>
    <w:rsid w:val="002F72B0"/>
    <w:rsid w:val="002F7A15"/>
    <w:rsid w:val="002F7AEA"/>
    <w:rsid w:val="002F7BCB"/>
    <w:rsid w:val="003004ED"/>
    <w:rsid w:val="00300593"/>
    <w:rsid w:val="003006F8"/>
    <w:rsid w:val="0030091F"/>
    <w:rsid w:val="00300943"/>
    <w:rsid w:val="00300C8E"/>
    <w:rsid w:val="00300DB1"/>
    <w:rsid w:val="003011B8"/>
    <w:rsid w:val="00301230"/>
    <w:rsid w:val="00301265"/>
    <w:rsid w:val="003013D8"/>
    <w:rsid w:val="00301419"/>
    <w:rsid w:val="00301881"/>
    <w:rsid w:val="00301E9E"/>
    <w:rsid w:val="00301EC7"/>
    <w:rsid w:val="00301FF0"/>
    <w:rsid w:val="00301FF5"/>
    <w:rsid w:val="003027F1"/>
    <w:rsid w:val="00302977"/>
    <w:rsid w:val="00302AEA"/>
    <w:rsid w:val="00302E30"/>
    <w:rsid w:val="00302F72"/>
    <w:rsid w:val="003030AB"/>
    <w:rsid w:val="0030348F"/>
    <w:rsid w:val="00303D54"/>
    <w:rsid w:val="00303F67"/>
    <w:rsid w:val="0030408B"/>
    <w:rsid w:val="00304325"/>
    <w:rsid w:val="00304688"/>
    <w:rsid w:val="0030469D"/>
    <w:rsid w:val="00304CA9"/>
    <w:rsid w:val="003053AF"/>
    <w:rsid w:val="003053D5"/>
    <w:rsid w:val="00305473"/>
    <w:rsid w:val="003057B6"/>
    <w:rsid w:val="003057C8"/>
    <w:rsid w:val="003059BD"/>
    <w:rsid w:val="003059CE"/>
    <w:rsid w:val="00305A17"/>
    <w:rsid w:val="00305AD3"/>
    <w:rsid w:val="003060DC"/>
    <w:rsid w:val="00306166"/>
    <w:rsid w:val="0030624A"/>
    <w:rsid w:val="0030651C"/>
    <w:rsid w:val="0030674B"/>
    <w:rsid w:val="00306773"/>
    <w:rsid w:val="003069A5"/>
    <w:rsid w:val="003069DD"/>
    <w:rsid w:val="00306C3C"/>
    <w:rsid w:val="00306CF3"/>
    <w:rsid w:val="00306F6C"/>
    <w:rsid w:val="00306FDC"/>
    <w:rsid w:val="003072EF"/>
    <w:rsid w:val="0030741A"/>
    <w:rsid w:val="0030758B"/>
    <w:rsid w:val="0030790E"/>
    <w:rsid w:val="003079EF"/>
    <w:rsid w:val="00307E02"/>
    <w:rsid w:val="00307FB9"/>
    <w:rsid w:val="00310008"/>
    <w:rsid w:val="003104A6"/>
    <w:rsid w:val="003107F5"/>
    <w:rsid w:val="00310F06"/>
    <w:rsid w:val="00311001"/>
    <w:rsid w:val="003112FE"/>
    <w:rsid w:val="003115A5"/>
    <w:rsid w:val="00311910"/>
    <w:rsid w:val="003119FC"/>
    <w:rsid w:val="00312085"/>
    <w:rsid w:val="00312133"/>
    <w:rsid w:val="003122A3"/>
    <w:rsid w:val="003122EE"/>
    <w:rsid w:val="003122F3"/>
    <w:rsid w:val="00312327"/>
    <w:rsid w:val="00312987"/>
    <w:rsid w:val="00312C9B"/>
    <w:rsid w:val="00312D6C"/>
    <w:rsid w:val="0031303D"/>
    <w:rsid w:val="0031306D"/>
    <w:rsid w:val="00313312"/>
    <w:rsid w:val="00313404"/>
    <w:rsid w:val="00313426"/>
    <w:rsid w:val="00313480"/>
    <w:rsid w:val="0031355E"/>
    <w:rsid w:val="003138ED"/>
    <w:rsid w:val="00313922"/>
    <w:rsid w:val="00313986"/>
    <w:rsid w:val="00313AAB"/>
    <w:rsid w:val="00313D5C"/>
    <w:rsid w:val="00313E18"/>
    <w:rsid w:val="00313F02"/>
    <w:rsid w:val="00314C45"/>
    <w:rsid w:val="00314C87"/>
    <w:rsid w:val="00314CAC"/>
    <w:rsid w:val="00314E9E"/>
    <w:rsid w:val="00315100"/>
    <w:rsid w:val="003154A7"/>
    <w:rsid w:val="003155E0"/>
    <w:rsid w:val="00315C77"/>
    <w:rsid w:val="00315ED4"/>
    <w:rsid w:val="00315EDA"/>
    <w:rsid w:val="00315EEC"/>
    <w:rsid w:val="00315F37"/>
    <w:rsid w:val="00316596"/>
    <w:rsid w:val="003165D2"/>
    <w:rsid w:val="0031687B"/>
    <w:rsid w:val="00316A74"/>
    <w:rsid w:val="00316F4B"/>
    <w:rsid w:val="003172DA"/>
    <w:rsid w:val="003174D9"/>
    <w:rsid w:val="00317898"/>
    <w:rsid w:val="00317C36"/>
    <w:rsid w:val="00317E06"/>
    <w:rsid w:val="00320025"/>
    <w:rsid w:val="003201CD"/>
    <w:rsid w:val="00320BBE"/>
    <w:rsid w:val="00320CBA"/>
    <w:rsid w:val="00320DC6"/>
    <w:rsid w:val="00320F9A"/>
    <w:rsid w:val="0032145A"/>
    <w:rsid w:val="003214C3"/>
    <w:rsid w:val="003215BC"/>
    <w:rsid w:val="0032165E"/>
    <w:rsid w:val="0032167C"/>
    <w:rsid w:val="003219E1"/>
    <w:rsid w:val="0032213E"/>
    <w:rsid w:val="00322151"/>
    <w:rsid w:val="00322661"/>
    <w:rsid w:val="00322682"/>
    <w:rsid w:val="003227EE"/>
    <w:rsid w:val="00322A9D"/>
    <w:rsid w:val="00322F3A"/>
    <w:rsid w:val="00322FD5"/>
    <w:rsid w:val="00323033"/>
    <w:rsid w:val="0032309D"/>
    <w:rsid w:val="00323247"/>
    <w:rsid w:val="0032354A"/>
    <w:rsid w:val="003235A2"/>
    <w:rsid w:val="0032374D"/>
    <w:rsid w:val="00323901"/>
    <w:rsid w:val="003239CC"/>
    <w:rsid w:val="00323AEB"/>
    <w:rsid w:val="00323BFA"/>
    <w:rsid w:val="00323D1A"/>
    <w:rsid w:val="00323D36"/>
    <w:rsid w:val="00323E4B"/>
    <w:rsid w:val="00323E7B"/>
    <w:rsid w:val="00324037"/>
    <w:rsid w:val="00324172"/>
    <w:rsid w:val="0032483C"/>
    <w:rsid w:val="003248A0"/>
    <w:rsid w:val="00324926"/>
    <w:rsid w:val="00324938"/>
    <w:rsid w:val="00324D3A"/>
    <w:rsid w:val="00324DCF"/>
    <w:rsid w:val="00324EEC"/>
    <w:rsid w:val="0032568A"/>
    <w:rsid w:val="00325D01"/>
    <w:rsid w:val="00326519"/>
    <w:rsid w:val="00326ABA"/>
    <w:rsid w:val="00326AD1"/>
    <w:rsid w:val="00326AFF"/>
    <w:rsid w:val="0032720B"/>
    <w:rsid w:val="00327373"/>
    <w:rsid w:val="00327652"/>
    <w:rsid w:val="003278F8"/>
    <w:rsid w:val="00327A7D"/>
    <w:rsid w:val="00327ABF"/>
    <w:rsid w:val="00327F60"/>
    <w:rsid w:val="00330069"/>
    <w:rsid w:val="00330402"/>
    <w:rsid w:val="003305B8"/>
    <w:rsid w:val="00330C5F"/>
    <w:rsid w:val="00330EB8"/>
    <w:rsid w:val="003312EE"/>
    <w:rsid w:val="00331311"/>
    <w:rsid w:val="003313E3"/>
    <w:rsid w:val="0033180A"/>
    <w:rsid w:val="00331FC2"/>
    <w:rsid w:val="00332049"/>
    <w:rsid w:val="0033221C"/>
    <w:rsid w:val="003325BD"/>
    <w:rsid w:val="00332C79"/>
    <w:rsid w:val="00333013"/>
    <w:rsid w:val="0033320C"/>
    <w:rsid w:val="0033337E"/>
    <w:rsid w:val="00333504"/>
    <w:rsid w:val="0033352A"/>
    <w:rsid w:val="00333AB8"/>
    <w:rsid w:val="00333F0E"/>
    <w:rsid w:val="00334216"/>
    <w:rsid w:val="003346E0"/>
    <w:rsid w:val="003349E9"/>
    <w:rsid w:val="00334AE1"/>
    <w:rsid w:val="00334DD2"/>
    <w:rsid w:val="00334EA8"/>
    <w:rsid w:val="00334F6B"/>
    <w:rsid w:val="0033520B"/>
    <w:rsid w:val="00335263"/>
    <w:rsid w:val="003352DB"/>
    <w:rsid w:val="0033530C"/>
    <w:rsid w:val="00335795"/>
    <w:rsid w:val="0033601D"/>
    <w:rsid w:val="00336065"/>
    <w:rsid w:val="003363E1"/>
    <w:rsid w:val="0033648B"/>
    <w:rsid w:val="00336552"/>
    <w:rsid w:val="003369C1"/>
    <w:rsid w:val="00336A6A"/>
    <w:rsid w:val="00336AC2"/>
    <w:rsid w:val="00336B1A"/>
    <w:rsid w:val="00336BAD"/>
    <w:rsid w:val="00336BBD"/>
    <w:rsid w:val="00336F02"/>
    <w:rsid w:val="00336FDA"/>
    <w:rsid w:val="0033707D"/>
    <w:rsid w:val="00337118"/>
    <w:rsid w:val="00337205"/>
    <w:rsid w:val="0033724E"/>
    <w:rsid w:val="00337429"/>
    <w:rsid w:val="0033752F"/>
    <w:rsid w:val="00337834"/>
    <w:rsid w:val="0033799C"/>
    <w:rsid w:val="00337A85"/>
    <w:rsid w:val="00337F75"/>
    <w:rsid w:val="00340008"/>
    <w:rsid w:val="003401D1"/>
    <w:rsid w:val="003408F6"/>
    <w:rsid w:val="00340972"/>
    <w:rsid w:val="00340B35"/>
    <w:rsid w:val="00340C6F"/>
    <w:rsid w:val="00340DB2"/>
    <w:rsid w:val="00340E73"/>
    <w:rsid w:val="0034108E"/>
    <w:rsid w:val="00341093"/>
    <w:rsid w:val="00341142"/>
    <w:rsid w:val="0034140E"/>
    <w:rsid w:val="00341568"/>
    <w:rsid w:val="0034179F"/>
    <w:rsid w:val="00341A6A"/>
    <w:rsid w:val="00341D5F"/>
    <w:rsid w:val="00341E51"/>
    <w:rsid w:val="0034225B"/>
    <w:rsid w:val="00342D18"/>
    <w:rsid w:val="00342D5D"/>
    <w:rsid w:val="003430E6"/>
    <w:rsid w:val="00343130"/>
    <w:rsid w:val="003431DA"/>
    <w:rsid w:val="00343297"/>
    <w:rsid w:val="003436C9"/>
    <w:rsid w:val="00343780"/>
    <w:rsid w:val="00343E36"/>
    <w:rsid w:val="00343F86"/>
    <w:rsid w:val="003441E0"/>
    <w:rsid w:val="00344B62"/>
    <w:rsid w:val="00344DEE"/>
    <w:rsid w:val="00344F04"/>
    <w:rsid w:val="00345275"/>
    <w:rsid w:val="003453A2"/>
    <w:rsid w:val="00345674"/>
    <w:rsid w:val="00345746"/>
    <w:rsid w:val="00345AC0"/>
    <w:rsid w:val="00345B3D"/>
    <w:rsid w:val="00345B49"/>
    <w:rsid w:val="00345CD4"/>
    <w:rsid w:val="00345EB9"/>
    <w:rsid w:val="00346284"/>
    <w:rsid w:val="0034667F"/>
    <w:rsid w:val="003467A2"/>
    <w:rsid w:val="003468F6"/>
    <w:rsid w:val="00346ADC"/>
    <w:rsid w:val="00347D27"/>
    <w:rsid w:val="00347DC4"/>
    <w:rsid w:val="00347EC2"/>
    <w:rsid w:val="0035009D"/>
    <w:rsid w:val="003503D2"/>
    <w:rsid w:val="00350444"/>
    <w:rsid w:val="00350483"/>
    <w:rsid w:val="00350498"/>
    <w:rsid w:val="00350586"/>
    <w:rsid w:val="00350763"/>
    <w:rsid w:val="00350D63"/>
    <w:rsid w:val="00350E2D"/>
    <w:rsid w:val="00350F4E"/>
    <w:rsid w:val="00351191"/>
    <w:rsid w:val="003514D2"/>
    <w:rsid w:val="003517B2"/>
    <w:rsid w:val="003519E4"/>
    <w:rsid w:val="00351CD8"/>
    <w:rsid w:val="00351FE9"/>
    <w:rsid w:val="00352213"/>
    <w:rsid w:val="003529C5"/>
    <w:rsid w:val="003529CC"/>
    <w:rsid w:val="00352A30"/>
    <w:rsid w:val="00352F69"/>
    <w:rsid w:val="0035318D"/>
    <w:rsid w:val="0035329D"/>
    <w:rsid w:val="003533A0"/>
    <w:rsid w:val="00353606"/>
    <w:rsid w:val="0035375B"/>
    <w:rsid w:val="00353A6E"/>
    <w:rsid w:val="00353CA3"/>
    <w:rsid w:val="00353D29"/>
    <w:rsid w:val="003540C2"/>
    <w:rsid w:val="003544BF"/>
    <w:rsid w:val="00354643"/>
    <w:rsid w:val="003546C7"/>
    <w:rsid w:val="00354FD0"/>
    <w:rsid w:val="0035543A"/>
    <w:rsid w:val="003558F2"/>
    <w:rsid w:val="00355ABF"/>
    <w:rsid w:val="00355C8F"/>
    <w:rsid w:val="00355DDA"/>
    <w:rsid w:val="00356054"/>
    <w:rsid w:val="003560E0"/>
    <w:rsid w:val="003565A5"/>
    <w:rsid w:val="003569DE"/>
    <w:rsid w:val="00356C10"/>
    <w:rsid w:val="00356D22"/>
    <w:rsid w:val="003572F8"/>
    <w:rsid w:val="00357444"/>
    <w:rsid w:val="00357479"/>
    <w:rsid w:val="00357535"/>
    <w:rsid w:val="00357ADE"/>
    <w:rsid w:val="0036040E"/>
    <w:rsid w:val="003605C7"/>
    <w:rsid w:val="0036073D"/>
    <w:rsid w:val="00360A50"/>
    <w:rsid w:val="00360AD5"/>
    <w:rsid w:val="00360D87"/>
    <w:rsid w:val="003611D9"/>
    <w:rsid w:val="00361825"/>
    <w:rsid w:val="003619DC"/>
    <w:rsid w:val="00361A40"/>
    <w:rsid w:val="00361C6D"/>
    <w:rsid w:val="00361F84"/>
    <w:rsid w:val="00362100"/>
    <w:rsid w:val="0036216C"/>
    <w:rsid w:val="0036281D"/>
    <w:rsid w:val="0036290B"/>
    <w:rsid w:val="00363100"/>
    <w:rsid w:val="00363450"/>
    <w:rsid w:val="0036349D"/>
    <w:rsid w:val="00363589"/>
    <w:rsid w:val="0036393C"/>
    <w:rsid w:val="00363B0F"/>
    <w:rsid w:val="00363B21"/>
    <w:rsid w:val="00363BDF"/>
    <w:rsid w:val="00363E87"/>
    <w:rsid w:val="003640B2"/>
    <w:rsid w:val="00364233"/>
    <w:rsid w:val="00364640"/>
    <w:rsid w:val="003646F0"/>
    <w:rsid w:val="00365279"/>
    <w:rsid w:val="003652EB"/>
    <w:rsid w:val="00365CA3"/>
    <w:rsid w:val="00365D8D"/>
    <w:rsid w:val="00365D9B"/>
    <w:rsid w:val="00366105"/>
    <w:rsid w:val="00366514"/>
    <w:rsid w:val="0036654A"/>
    <w:rsid w:val="003666B9"/>
    <w:rsid w:val="00366796"/>
    <w:rsid w:val="00366A95"/>
    <w:rsid w:val="00366ACF"/>
    <w:rsid w:val="00366BD2"/>
    <w:rsid w:val="00366CE1"/>
    <w:rsid w:val="00367039"/>
    <w:rsid w:val="003674B8"/>
    <w:rsid w:val="003675F2"/>
    <w:rsid w:val="00367879"/>
    <w:rsid w:val="00367A98"/>
    <w:rsid w:val="00367C92"/>
    <w:rsid w:val="00367CBD"/>
    <w:rsid w:val="00367F95"/>
    <w:rsid w:val="00367FCA"/>
    <w:rsid w:val="00370871"/>
    <w:rsid w:val="00370C30"/>
    <w:rsid w:val="00370EDC"/>
    <w:rsid w:val="00370FF5"/>
    <w:rsid w:val="003711D3"/>
    <w:rsid w:val="003712E5"/>
    <w:rsid w:val="00371460"/>
    <w:rsid w:val="003718C8"/>
    <w:rsid w:val="00371A84"/>
    <w:rsid w:val="00371B99"/>
    <w:rsid w:val="00371CD5"/>
    <w:rsid w:val="00371FA8"/>
    <w:rsid w:val="0037220A"/>
    <w:rsid w:val="00372898"/>
    <w:rsid w:val="0037292A"/>
    <w:rsid w:val="0037296F"/>
    <w:rsid w:val="00372B59"/>
    <w:rsid w:val="00372D7E"/>
    <w:rsid w:val="00373051"/>
    <w:rsid w:val="00373408"/>
    <w:rsid w:val="00373795"/>
    <w:rsid w:val="00373C1F"/>
    <w:rsid w:val="00373E8E"/>
    <w:rsid w:val="00373F93"/>
    <w:rsid w:val="0037411A"/>
    <w:rsid w:val="0037421C"/>
    <w:rsid w:val="00374541"/>
    <w:rsid w:val="003747D4"/>
    <w:rsid w:val="00374982"/>
    <w:rsid w:val="00374BB8"/>
    <w:rsid w:val="003756EE"/>
    <w:rsid w:val="00375869"/>
    <w:rsid w:val="00375AAB"/>
    <w:rsid w:val="00375BD7"/>
    <w:rsid w:val="00375EF7"/>
    <w:rsid w:val="00376648"/>
    <w:rsid w:val="0037666E"/>
    <w:rsid w:val="0037672B"/>
    <w:rsid w:val="00376B3C"/>
    <w:rsid w:val="00376BE6"/>
    <w:rsid w:val="00376BF1"/>
    <w:rsid w:val="00376C4C"/>
    <w:rsid w:val="00377334"/>
    <w:rsid w:val="0037738A"/>
    <w:rsid w:val="00377778"/>
    <w:rsid w:val="003778C9"/>
    <w:rsid w:val="00377CC2"/>
    <w:rsid w:val="00377E7C"/>
    <w:rsid w:val="00377EC5"/>
    <w:rsid w:val="003801D6"/>
    <w:rsid w:val="003803AC"/>
    <w:rsid w:val="00380473"/>
    <w:rsid w:val="003805A2"/>
    <w:rsid w:val="003806EF"/>
    <w:rsid w:val="00380733"/>
    <w:rsid w:val="003809C4"/>
    <w:rsid w:val="00380B96"/>
    <w:rsid w:val="0038179A"/>
    <w:rsid w:val="0038181C"/>
    <w:rsid w:val="003818B2"/>
    <w:rsid w:val="00381BDD"/>
    <w:rsid w:val="00382187"/>
    <w:rsid w:val="00382727"/>
    <w:rsid w:val="0038272D"/>
    <w:rsid w:val="00382758"/>
    <w:rsid w:val="00382A16"/>
    <w:rsid w:val="00382BF8"/>
    <w:rsid w:val="00382D76"/>
    <w:rsid w:val="0038309A"/>
    <w:rsid w:val="003831B4"/>
    <w:rsid w:val="00383C09"/>
    <w:rsid w:val="00383DAB"/>
    <w:rsid w:val="003841A1"/>
    <w:rsid w:val="0038436D"/>
    <w:rsid w:val="00384427"/>
    <w:rsid w:val="0038469C"/>
    <w:rsid w:val="0038495A"/>
    <w:rsid w:val="0038498E"/>
    <w:rsid w:val="00384C16"/>
    <w:rsid w:val="00384C82"/>
    <w:rsid w:val="00384CE3"/>
    <w:rsid w:val="00384F92"/>
    <w:rsid w:val="003854DB"/>
    <w:rsid w:val="00385558"/>
    <w:rsid w:val="0038576A"/>
    <w:rsid w:val="00385A72"/>
    <w:rsid w:val="00385AB7"/>
    <w:rsid w:val="00385AE6"/>
    <w:rsid w:val="003866EC"/>
    <w:rsid w:val="00386CF8"/>
    <w:rsid w:val="00386F36"/>
    <w:rsid w:val="0038700D"/>
    <w:rsid w:val="00387101"/>
    <w:rsid w:val="00387253"/>
    <w:rsid w:val="00387391"/>
    <w:rsid w:val="003873C7"/>
    <w:rsid w:val="003874DD"/>
    <w:rsid w:val="003876B0"/>
    <w:rsid w:val="00387791"/>
    <w:rsid w:val="00387BC1"/>
    <w:rsid w:val="00390077"/>
    <w:rsid w:val="0039009D"/>
    <w:rsid w:val="0039021F"/>
    <w:rsid w:val="00390471"/>
    <w:rsid w:val="00390528"/>
    <w:rsid w:val="00390555"/>
    <w:rsid w:val="0039081B"/>
    <w:rsid w:val="00390CA7"/>
    <w:rsid w:val="00390CD2"/>
    <w:rsid w:val="00390E49"/>
    <w:rsid w:val="00391636"/>
    <w:rsid w:val="003919C8"/>
    <w:rsid w:val="00391C36"/>
    <w:rsid w:val="00391CB0"/>
    <w:rsid w:val="00391D4F"/>
    <w:rsid w:val="00391EA8"/>
    <w:rsid w:val="00392060"/>
    <w:rsid w:val="00392140"/>
    <w:rsid w:val="0039322D"/>
    <w:rsid w:val="00393367"/>
    <w:rsid w:val="00393371"/>
    <w:rsid w:val="0039344C"/>
    <w:rsid w:val="003938BD"/>
    <w:rsid w:val="00393B17"/>
    <w:rsid w:val="00393EB1"/>
    <w:rsid w:val="0039458C"/>
    <w:rsid w:val="003948F3"/>
    <w:rsid w:val="00394D13"/>
    <w:rsid w:val="00394EFD"/>
    <w:rsid w:val="00395161"/>
    <w:rsid w:val="00395298"/>
    <w:rsid w:val="00395669"/>
    <w:rsid w:val="003958AD"/>
    <w:rsid w:val="00395BBD"/>
    <w:rsid w:val="00395BE8"/>
    <w:rsid w:val="003960A8"/>
    <w:rsid w:val="00396291"/>
    <w:rsid w:val="00396357"/>
    <w:rsid w:val="00396366"/>
    <w:rsid w:val="003964BE"/>
    <w:rsid w:val="00396624"/>
    <w:rsid w:val="00396643"/>
    <w:rsid w:val="003966B8"/>
    <w:rsid w:val="003967AC"/>
    <w:rsid w:val="003968D1"/>
    <w:rsid w:val="0039697B"/>
    <w:rsid w:val="00396B7F"/>
    <w:rsid w:val="0039725D"/>
    <w:rsid w:val="00397573"/>
    <w:rsid w:val="0039757C"/>
    <w:rsid w:val="0039757D"/>
    <w:rsid w:val="00397636"/>
    <w:rsid w:val="00397669"/>
    <w:rsid w:val="003A00F3"/>
    <w:rsid w:val="003A033C"/>
    <w:rsid w:val="003A066B"/>
    <w:rsid w:val="003A077A"/>
    <w:rsid w:val="003A0EE0"/>
    <w:rsid w:val="003A0F28"/>
    <w:rsid w:val="003A13C9"/>
    <w:rsid w:val="003A1538"/>
    <w:rsid w:val="003A1962"/>
    <w:rsid w:val="003A22ED"/>
    <w:rsid w:val="003A246E"/>
    <w:rsid w:val="003A24FC"/>
    <w:rsid w:val="003A26F7"/>
    <w:rsid w:val="003A2775"/>
    <w:rsid w:val="003A29DC"/>
    <w:rsid w:val="003A2B36"/>
    <w:rsid w:val="003A315E"/>
    <w:rsid w:val="003A3704"/>
    <w:rsid w:val="003A38AB"/>
    <w:rsid w:val="003A3D98"/>
    <w:rsid w:val="003A3DB5"/>
    <w:rsid w:val="003A445A"/>
    <w:rsid w:val="003A4801"/>
    <w:rsid w:val="003A4B01"/>
    <w:rsid w:val="003A4D1B"/>
    <w:rsid w:val="003A4E11"/>
    <w:rsid w:val="003A4EF1"/>
    <w:rsid w:val="003A506A"/>
    <w:rsid w:val="003A5344"/>
    <w:rsid w:val="003A53F4"/>
    <w:rsid w:val="003A54B0"/>
    <w:rsid w:val="003A54D7"/>
    <w:rsid w:val="003A5603"/>
    <w:rsid w:val="003A57FB"/>
    <w:rsid w:val="003A5820"/>
    <w:rsid w:val="003A5868"/>
    <w:rsid w:val="003A5DC7"/>
    <w:rsid w:val="003A5DCE"/>
    <w:rsid w:val="003A5DDD"/>
    <w:rsid w:val="003A5FFD"/>
    <w:rsid w:val="003A60E1"/>
    <w:rsid w:val="003A62CB"/>
    <w:rsid w:val="003A62FC"/>
    <w:rsid w:val="003A63CF"/>
    <w:rsid w:val="003A6692"/>
    <w:rsid w:val="003A6F23"/>
    <w:rsid w:val="003A74EA"/>
    <w:rsid w:val="003A7673"/>
    <w:rsid w:val="003A7C22"/>
    <w:rsid w:val="003A7C8F"/>
    <w:rsid w:val="003A7E35"/>
    <w:rsid w:val="003B0244"/>
    <w:rsid w:val="003B0506"/>
    <w:rsid w:val="003B0625"/>
    <w:rsid w:val="003B11D0"/>
    <w:rsid w:val="003B20DA"/>
    <w:rsid w:val="003B22FB"/>
    <w:rsid w:val="003B233D"/>
    <w:rsid w:val="003B28DC"/>
    <w:rsid w:val="003B29A8"/>
    <w:rsid w:val="003B2BB6"/>
    <w:rsid w:val="003B3003"/>
    <w:rsid w:val="003B3267"/>
    <w:rsid w:val="003B3816"/>
    <w:rsid w:val="003B3DE8"/>
    <w:rsid w:val="003B40C2"/>
    <w:rsid w:val="003B4101"/>
    <w:rsid w:val="003B4146"/>
    <w:rsid w:val="003B41E2"/>
    <w:rsid w:val="003B424F"/>
    <w:rsid w:val="003B49CD"/>
    <w:rsid w:val="003B4A4F"/>
    <w:rsid w:val="003B4A5B"/>
    <w:rsid w:val="003B4B50"/>
    <w:rsid w:val="003B4B69"/>
    <w:rsid w:val="003B4B8D"/>
    <w:rsid w:val="003B4C9F"/>
    <w:rsid w:val="003B4F29"/>
    <w:rsid w:val="003B50F3"/>
    <w:rsid w:val="003B5131"/>
    <w:rsid w:val="003B5209"/>
    <w:rsid w:val="003B52DD"/>
    <w:rsid w:val="003B559E"/>
    <w:rsid w:val="003B5731"/>
    <w:rsid w:val="003B599D"/>
    <w:rsid w:val="003B5ABD"/>
    <w:rsid w:val="003B5AD6"/>
    <w:rsid w:val="003B5CFA"/>
    <w:rsid w:val="003B5E00"/>
    <w:rsid w:val="003B5F3E"/>
    <w:rsid w:val="003B5FA9"/>
    <w:rsid w:val="003B60FB"/>
    <w:rsid w:val="003B6124"/>
    <w:rsid w:val="003B67E3"/>
    <w:rsid w:val="003B714A"/>
    <w:rsid w:val="003B7BB1"/>
    <w:rsid w:val="003B7CD6"/>
    <w:rsid w:val="003B7FCC"/>
    <w:rsid w:val="003C0C38"/>
    <w:rsid w:val="003C0CB9"/>
    <w:rsid w:val="003C0E23"/>
    <w:rsid w:val="003C0FC0"/>
    <w:rsid w:val="003C1026"/>
    <w:rsid w:val="003C1038"/>
    <w:rsid w:val="003C11EE"/>
    <w:rsid w:val="003C12E2"/>
    <w:rsid w:val="003C143C"/>
    <w:rsid w:val="003C188E"/>
    <w:rsid w:val="003C208D"/>
    <w:rsid w:val="003C212A"/>
    <w:rsid w:val="003C2198"/>
    <w:rsid w:val="003C27F9"/>
    <w:rsid w:val="003C2E12"/>
    <w:rsid w:val="003C309B"/>
    <w:rsid w:val="003C31E6"/>
    <w:rsid w:val="003C36F6"/>
    <w:rsid w:val="003C3969"/>
    <w:rsid w:val="003C3A6B"/>
    <w:rsid w:val="003C414F"/>
    <w:rsid w:val="003C431B"/>
    <w:rsid w:val="003C4B2C"/>
    <w:rsid w:val="003C4E43"/>
    <w:rsid w:val="003C4E77"/>
    <w:rsid w:val="003C4F76"/>
    <w:rsid w:val="003C5130"/>
    <w:rsid w:val="003C5158"/>
    <w:rsid w:val="003C5960"/>
    <w:rsid w:val="003C5A3C"/>
    <w:rsid w:val="003C61BF"/>
    <w:rsid w:val="003C61C3"/>
    <w:rsid w:val="003C6276"/>
    <w:rsid w:val="003C6937"/>
    <w:rsid w:val="003C6ADF"/>
    <w:rsid w:val="003C7350"/>
    <w:rsid w:val="003C7731"/>
    <w:rsid w:val="003C79ED"/>
    <w:rsid w:val="003C7A14"/>
    <w:rsid w:val="003C7A70"/>
    <w:rsid w:val="003C7A83"/>
    <w:rsid w:val="003C7B1D"/>
    <w:rsid w:val="003C7E77"/>
    <w:rsid w:val="003C7EF3"/>
    <w:rsid w:val="003D025E"/>
    <w:rsid w:val="003D02AA"/>
    <w:rsid w:val="003D0724"/>
    <w:rsid w:val="003D07C2"/>
    <w:rsid w:val="003D0969"/>
    <w:rsid w:val="003D09E8"/>
    <w:rsid w:val="003D0DF5"/>
    <w:rsid w:val="003D0F14"/>
    <w:rsid w:val="003D0F5C"/>
    <w:rsid w:val="003D115A"/>
    <w:rsid w:val="003D11C0"/>
    <w:rsid w:val="003D1511"/>
    <w:rsid w:val="003D17BB"/>
    <w:rsid w:val="003D1B55"/>
    <w:rsid w:val="003D242D"/>
    <w:rsid w:val="003D27D8"/>
    <w:rsid w:val="003D28BC"/>
    <w:rsid w:val="003D2ABD"/>
    <w:rsid w:val="003D2DA1"/>
    <w:rsid w:val="003D2E8B"/>
    <w:rsid w:val="003D2EF2"/>
    <w:rsid w:val="003D3064"/>
    <w:rsid w:val="003D3331"/>
    <w:rsid w:val="003D34FC"/>
    <w:rsid w:val="003D3555"/>
    <w:rsid w:val="003D3562"/>
    <w:rsid w:val="003D3AEB"/>
    <w:rsid w:val="003D3DC7"/>
    <w:rsid w:val="003D4056"/>
    <w:rsid w:val="003D42F3"/>
    <w:rsid w:val="003D42FB"/>
    <w:rsid w:val="003D435A"/>
    <w:rsid w:val="003D436A"/>
    <w:rsid w:val="003D46D9"/>
    <w:rsid w:val="003D47E3"/>
    <w:rsid w:val="003D4930"/>
    <w:rsid w:val="003D4E37"/>
    <w:rsid w:val="003D5146"/>
    <w:rsid w:val="003D529B"/>
    <w:rsid w:val="003D535A"/>
    <w:rsid w:val="003D54CE"/>
    <w:rsid w:val="003D562E"/>
    <w:rsid w:val="003D5B1C"/>
    <w:rsid w:val="003D5B24"/>
    <w:rsid w:val="003D6180"/>
    <w:rsid w:val="003D650D"/>
    <w:rsid w:val="003D665C"/>
    <w:rsid w:val="003D66DD"/>
    <w:rsid w:val="003D682B"/>
    <w:rsid w:val="003D6BE9"/>
    <w:rsid w:val="003D6E95"/>
    <w:rsid w:val="003D745D"/>
    <w:rsid w:val="003D75C1"/>
    <w:rsid w:val="003D781D"/>
    <w:rsid w:val="003D795B"/>
    <w:rsid w:val="003D7B92"/>
    <w:rsid w:val="003D7C80"/>
    <w:rsid w:val="003D7EF3"/>
    <w:rsid w:val="003D7F27"/>
    <w:rsid w:val="003D7F5B"/>
    <w:rsid w:val="003E0125"/>
    <w:rsid w:val="003E0260"/>
    <w:rsid w:val="003E03F7"/>
    <w:rsid w:val="003E0648"/>
    <w:rsid w:val="003E07E6"/>
    <w:rsid w:val="003E0CDB"/>
    <w:rsid w:val="003E0D55"/>
    <w:rsid w:val="003E0D7C"/>
    <w:rsid w:val="003E0DDA"/>
    <w:rsid w:val="003E0EE1"/>
    <w:rsid w:val="003E1132"/>
    <w:rsid w:val="003E11FF"/>
    <w:rsid w:val="003E14C6"/>
    <w:rsid w:val="003E156B"/>
    <w:rsid w:val="003E1714"/>
    <w:rsid w:val="003E17F8"/>
    <w:rsid w:val="003E1827"/>
    <w:rsid w:val="003E1835"/>
    <w:rsid w:val="003E1A47"/>
    <w:rsid w:val="003E1B16"/>
    <w:rsid w:val="003E1C24"/>
    <w:rsid w:val="003E1DFB"/>
    <w:rsid w:val="003E2266"/>
    <w:rsid w:val="003E2308"/>
    <w:rsid w:val="003E2815"/>
    <w:rsid w:val="003E294C"/>
    <w:rsid w:val="003E2D79"/>
    <w:rsid w:val="003E2E57"/>
    <w:rsid w:val="003E31F7"/>
    <w:rsid w:val="003E3285"/>
    <w:rsid w:val="003E3736"/>
    <w:rsid w:val="003E3748"/>
    <w:rsid w:val="003E391A"/>
    <w:rsid w:val="003E3F0F"/>
    <w:rsid w:val="003E4265"/>
    <w:rsid w:val="003E44CB"/>
    <w:rsid w:val="003E4512"/>
    <w:rsid w:val="003E4885"/>
    <w:rsid w:val="003E4B9E"/>
    <w:rsid w:val="003E4D05"/>
    <w:rsid w:val="003E4E7B"/>
    <w:rsid w:val="003E514E"/>
    <w:rsid w:val="003E5403"/>
    <w:rsid w:val="003E5452"/>
    <w:rsid w:val="003E55C9"/>
    <w:rsid w:val="003E59C3"/>
    <w:rsid w:val="003E59D7"/>
    <w:rsid w:val="003E5A58"/>
    <w:rsid w:val="003E5EFC"/>
    <w:rsid w:val="003E626D"/>
    <w:rsid w:val="003E6272"/>
    <w:rsid w:val="003E6476"/>
    <w:rsid w:val="003E6698"/>
    <w:rsid w:val="003E6735"/>
    <w:rsid w:val="003E686C"/>
    <w:rsid w:val="003E68BE"/>
    <w:rsid w:val="003E7374"/>
    <w:rsid w:val="003E764C"/>
    <w:rsid w:val="003E773B"/>
    <w:rsid w:val="003E792B"/>
    <w:rsid w:val="003E7C79"/>
    <w:rsid w:val="003E7E8C"/>
    <w:rsid w:val="003E7F7D"/>
    <w:rsid w:val="003F0004"/>
    <w:rsid w:val="003F00C0"/>
    <w:rsid w:val="003F00D0"/>
    <w:rsid w:val="003F02A7"/>
    <w:rsid w:val="003F05A8"/>
    <w:rsid w:val="003F09EE"/>
    <w:rsid w:val="003F0C9F"/>
    <w:rsid w:val="003F0EEB"/>
    <w:rsid w:val="003F0FE3"/>
    <w:rsid w:val="003F169D"/>
    <w:rsid w:val="003F1706"/>
    <w:rsid w:val="003F1732"/>
    <w:rsid w:val="003F1C21"/>
    <w:rsid w:val="003F1CAD"/>
    <w:rsid w:val="003F1CE5"/>
    <w:rsid w:val="003F27A5"/>
    <w:rsid w:val="003F2811"/>
    <w:rsid w:val="003F2B77"/>
    <w:rsid w:val="003F2C1C"/>
    <w:rsid w:val="003F2C8F"/>
    <w:rsid w:val="003F2D64"/>
    <w:rsid w:val="003F2E17"/>
    <w:rsid w:val="003F30D0"/>
    <w:rsid w:val="003F3453"/>
    <w:rsid w:val="003F3676"/>
    <w:rsid w:val="003F3AF3"/>
    <w:rsid w:val="003F3F03"/>
    <w:rsid w:val="003F3FCA"/>
    <w:rsid w:val="003F4375"/>
    <w:rsid w:val="003F45FD"/>
    <w:rsid w:val="003F4AE5"/>
    <w:rsid w:val="003F4EED"/>
    <w:rsid w:val="003F5101"/>
    <w:rsid w:val="003F51D6"/>
    <w:rsid w:val="003F5AE6"/>
    <w:rsid w:val="003F5C1D"/>
    <w:rsid w:val="003F5C8F"/>
    <w:rsid w:val="003F5D56"/>
    <w:rsid w:val="003F5E15"/>
    <w:rsid w:val="003F5F94"/>
    <w:rsid w:val="003F60C2"/>
    <w:rsid w:val="003F67A8"/>
    <w:rsid w:val="003F693C"/>
    <w:rsid w:val="003F6B2D"/>
    <w:rsid w:val="003F6BD2"/>
    <w:rsid w:val="003F6D36"/>
    <w:rsid w:val="003F6F94"/>
    <w:rsid w:val="003F75E2"/>
    <w:rsid w:val="003F7658"/>
    <w:rsid w:val="003F7692"/>
    <w:rsid w:val="003F7727"/>
    <w:rsid w:val="003F7786"/>
    <w:rsid w:val="003F7946"/>
    <w:rsid w:val="003F7A08"/>
    <w:rsid w:val="003F7A2F"/>
    <w:rsid w:val="003F7D35"/>
    <w:rsid w:val="003F7E35"/>
    <w:rsid w:val="003F7F2D"/>
    <w:rsid w:val="003F7F84"/>
    <w:rsid w:val="004000E4"/>
    <w:rsid w:val="004002DE"/>
    <w:rsid w:val="0040077D"/>
    <w:rsid w:val="004007FC"/>
    <w:rsid w:val="00400878"/>
    <w:rsid w:val="004009F5"/>
    <w:rsid w:val="00401026"/>
    <w:rsid w:val="004010FE"/>
    <w:rsid w:val="004012BA"/>
    <w:rsid w:val="004014AB"/>
    <w:rsid w:val="004015BF"/>
    <w:rsid w:val="0040178F"/>
    <w:rsid w:val="004019EA"/>
    <w:rsid w:val="00401BFB"/>
    <w:rsid w:val="00401EEF"/>
    <w:rsid w:val="00401F9E"/>
    <w:rsid w:val="00402028"/>
    <w:rsid w:val="00402140"/>
    <w:rsid w:val="004023B8"/>
    <w:rsid w:val="004023FA"/>
    <w:rsid w:val="004025B3"/>
    <w:rsid w:val="0040286F"/>
    <w:rsid w:val="00402A0A"/>
    <w:rsid w:val="00402B7A"/>
    <w:rsid w:val="00402CE8"/>
    <w:rsid w:val="00402DD9"/>
    <w:rsid w:val="00402FBA"/>
    <w:rsid w:val="0040306F"/>
    <w:rsid w:val="00403151"/>
    <w:rsid w:val="00403204"/>
    <w:rsid w:val="00403351"/>
    <w:rsid w:val="0040389F"/>
    <w:rsid w:val="00403926"/>
    <w:rsid w:val="00403C41"/>
    <w:rsid w:val="00403E59"/>
    <w:rsid w:val="00404037"/>
    <w:rsid w:val="00404277"/>
    <w:rsid w:val="00404372"/>
    <w:rsid w:val="004043A8"/>
    <w:rsid w:val="0040440A"/>
    <w:rsid w:val="00404428"/>
    <w:rsid w:val="004044F7"/>
    <w:rsid w:val="0040469E"/>
    <w:rsid w:val="00404BCA"/>
    <w:rsid w:val="00404BE7"/>
    <w:rsid w:val="00404C3F"/>
    <w:rsid w:val="00404D13"/>
    <w:rsid w:val="00404DCE"/>
    <w:rsid w:val="00404E68"/>
    <w:rsid w:val="00405079"/>
    <w:rsid w:val="004052A1"/>
    <w:rsid w:val="00405B60"/>
    <w:rsid w:val="00405D44"/>
    <w:rsid w:val="00406815"/>
    <w:rsid w:val="00406833"/>
    <w:rsid w:val="00406DB2"/>
    <w:rsid w:val="00407068"/>
    <w:rsid w:val="0040770C"/>
    <w:rsid w:val="004079FF"/>
    <w:rsid w:val="004101E8"/>
    <w:rsid w:val="00410BAD"/>
    <w:rsid w:val="00410F24"/>
    <w:rsid w:val="00411682"/>
    <w:rsid w:val="00411746"/>
    <w:rsid w:val="00411BA0"/>
    <w:rsid w:val="00411CA1"/>
    <w:rsid w:val="00411D51"/>
    <w:rsid w:val="00412581"/>
    <w:rsid w:val="00412947"/>
    <w:rsid w:val="004129CC"/>
    <w:rsid w:val="00412BEB"/>
    <w:rsid w:val="00412D83"/>
    <w:rsid w:val="0041313B"/>
    <w:rsid w:val="004135BF"/>
    <w:rsid w:val="0041388D"/>
    <w:rsid w:val="00413A22"/>
    <w:rsid w:val="00413C7F"/>
    <w:rsid w:val="00413CC1"/>
    <w:rsid w:val="00414215"/>
    <w:rsid w:val="00414344"/>
    <w:rsid w:val="004144C3"/>
    <w:rsid w:val="004145F0"/>
    <w:rsid w:val="004149B5"/>
    <w:rsid w:val="00414AAC"/>
    <w:rsid w:val="00414E37"/>
    <w:rsid w:val="00414E86"/>
    <w:rsid w:val="00414F13"/>
    <w:rsid w:val="00414FD7"/>
    <w:rsid w:val="004159A3"/>
    <w:rsid w:val="00415CF2"/>
    <w:rsid w:val="00415D01"/>
    <w:rsid w:val="00415D04"/>
    <w:rsid w:val="0041656C"/>
    <w:rsid w:val="004166D2"/>
    <w:rsid w:val="00416A1E"/>
    <w:rsid w:val="00416A79"/>
    <w:rsid w:val="00416C2B"/>
    <w:rsid w:val="00416DF4"/>
    <w:rsid w:val="0041715E"/>
    <w:rsid w:val="0041744A"/>
    <w:rsid w:val="00417696"/>
    <w:rsid w:val="00417ED0"/>
    <w:rsid w:val="0042014A"/>
    <w:rsid w:val="004203BD"/>
    <w:rsid w:val="00420F41"/>
    <w:rsid w:val="0042103B"/>
    <w:rsid w:val="00421094"/>
    <w:rsid w:val="00421129"/>
    <w:rsid w:val="0042127A"/>
    <w:rsid w:val="00421694"/>
    <w:rsid w:val="004218D9"/>
    <w:rsid w:val="004218E7"/>
    <w:rsid w:val="004225F6"/>
    <w:rsid w:val="004229DE"/>
    <w:rsid w:val="00422CBA"/>
    <w:rsid w:val="00422F38"/>
    <w:rsid w:val="00423428"/>
    <w:rsid w:val="0042356F"/>
    <w:rsid w:val="00423821"/>
    <w:rsid w:val="004239FE"/>
    <w:rsid w:val="00423F03"/>
    <w:rsid w:val="004240D1"/>
    <w:rsid w:val="00424283"/>
    <w:rsid w:val="00424A20"/>
    <w:rsid w:val="00424E7F"/>
    <w:rsid w:val="00424E90"/>
    <w:rsid w:val="0042535D"/>
    <w:rsid w:val="00425467"/>
    <w:rsid w:val="0042550E"/>
    <w:rsid w:val="00425C09"/>
    <w:rsid w:val="00425D04"/>
    <w:rsid w:val="00425DA5"/>
    <w:rsid w:val="00425F80"/>
    <w:rsid w:val="00426279"/>
    <w:rsid w:val="0042636F"/>
    <w:rsid w:val="0042651B"/>
    <w:rsid w:val="00426E0E"/>
    <w:rsid w:val="00426F73"/>
    <w:rsid w:val="00427321"/>
    <w:rsid w:val="00427600"/>
    <w:rsid w:val="00427AC6"/>
    <w:rsid w:val="00427EDA"/>
    <w:rsid w:val="00430005"/>
    <w:rsid w:val="004300C6"/>
    <w:rsid w:val="004301D0"/>
    <w:rsid w:val="004305E8"/>
    <w:rsid w:val="00430753"/>
    <w:rsid w:val="004308BC"/>
    <w:rsid w:val="00430A95"/>
    <w:rsid w:val="00430CE3"/>
    <w:rsid w:val="00430D0C"/>
    <w:rsid w:val="00430DEA"/>
    <w:rsid w:val="00430ECF"/>
    <w:rsid w:val="004313CF"/>
    <w:rsid w:val="00432B0C"/>
    <w:rsid w:val="00432BF4"/>
    <w:rsid w:val="00433336"/>
    <w:rsid w:val="004335C1"/>
    <w:rsid w:val="00433AB3"/>
    <w:rsid w:val="00433C11"/>
    <w:rsid w:val="00433D24"/>
    <w:rsid w:val="00433D8E"/>
    <w:rsid w:val="00433DBE"/>
    <w:rsid w:val="00434342"/>
    <w:rsid w:val="004349B3"/>
    <w:rsid w:val="00434A08"/>
    <w:rsid w:val="00434DF9"/>
    <w:rsid w:val="00434F7E"/>
    <w:rsid w:val="0043508C"/>
    <w:rsid w:val="004352CF"/>
    <w:rsid w:val="00435408"/>
    <w:rsid w:val="004359A7"/>
    <w:rsid w:val="00435B56"/>
    <w:rsid w:val="00435EF3"/>
    <w:rsid w:val="004360A8"/>
    <w:rsid w:val="004362EC"/>
    <w:rsid w:val="004362F3"/>
    <w:rsid w:val="004368ED"/>
    <w:rsid w:val="00436A47"/>
    <w:rsid w:val="00436DEC"/>
    <w:rsid w:val="00437147"/>
    <w:rsid w:val="004376D0"/>
    <w:rsid w:val="0043786A"/>
    <w:rsid w:val="00437915"/>
    <w:rsid w:val="00437B2F"/>
    <w:rsid w:val="00437B60"/>
    <w:rsid w:val="00437C5B"/>
    <w:rsid w:val="00437D78"/>
    <w:rsid w:val="00437DE4"/>
    <w:rsid w:val="00440114"/>
    <w:rsid w:val="00440136"/>
    <w:rsid w:val="00440349"/>
    <w:rsid w:val="0044045C"/>
    <w:rsid w:val="004404CD"/>
    <w:rsid w:val="00440696"/>
    <w:rsid w:val="004413BA"/>
    <w:rsid w:val="004417A4"/>
    <w:rsid w:val="0044183A"/>
    <w:rsid w:val="00441845"/>
    <w:rsid w:val="00441A99"/>
    <w:rsid w:val="00441D63"/>
    <w:rsid w:val="00441E1B"/>
    <w:rsid w:val="00442150"/>
    <w:rsid w:val="004422A4"/>
    <w:rsid w:val="004422F6"/>
    <w:rsid w:val="00442399"/>
    <w:rsid w:val="004424B3"/>
    <w:rsid w:val="0044279A"/>
    <w:rsid w:val="00442E18"/>
    <w:rsid w:val="00442FF4"/>
    <w:rsid w:val="00443091"/>
    <w:rsid w:val="004432E9"/>
    <w:rsid w:val="00443677"/>
    <w:rsid w:val="00443ADB"/>
    <w:rsid w:val="00443D68"/>
    <w:rsid w:val="0044408F"/>
    <w:rsid w:val="00444187"/>
    <w:rsid w:val="004442E0"/>
    <w:rsid w:val="00444444"/>
    <w:rsid w:val="0044455A"/>
    <w:rsid w:val="004446C5"/>
    <w:rsid w:val="00444796"/>
    <w:rsid w:val="004449C4"/>
    <w:rsid w:val="00444BD4"/>
    <w:rsid w:val="00444DDF"/>
    <w:rsid w:val="004450D5"/>
    <w:rsid w:val="00445A94"/>
    <w:rsid w:val="00445E6A"/>
    <w:rsid w:val="00446856"/>
    <w:rsid w:val="00446E3B"/>
    <w:rsid w:val="00447016"/>
    <w:rsid w:val="00447850"/>
    <w:rsid w:val="004478E8"/>
    <w:rsid w:val="004478E9"/>
    <w:rsid w:val="004501B2"/>
    <w:rsid w:val="00450506"/>
    <w:rsid w:val="00450967"/>
    <w:rsid w:val="0045098A"/>
    <w:rsid w:val="00450B91"/>
    <w:rsid w:val="00450CB7"/>
    <w:rsid w:val="004512F6"/>
    <w:rsid w:val="00451350"/>
    <w:rsid w:val="004514A1"/>
    <w:rsid w:val="00451B2B"/>
    <w:rsid w:val="00451D02"/>
    <w:rsid w:val="00451FDB"/>
    <w:rsid w:val="00451FE7"/>
    <w:rsid w:val="00452169"/>
    <w:rsid w:val="00452746"/>
    <w:rsid w:val="004527D8"/>
    <w:rsid w:val="00452AC9"/>
    <w:rsid w:val="00452F32"/>
    <w:rsid w:val="00452FDE"/>
    <w:rsid w:val="00453129"/>
    <w:rsid w:val="004534F3"/>
    <w:rsid w:val="00453906"/>
    <w:rsid w:val="00453971"/>
    <w:rsid w:val="00453A9C"/>
    <w:rsid w:val="00453EE4"/>
    <w:rsid w:val="004543CC"/>
    <w:rsid w:val="004546D3"/>
    <w:rsid w:val="004553C6"/>
    <w:rsid w:val="004553F8"/>
    <w:rsid w:val="00455D88"/>
    <w:rsid w:val="00455DF3"/>
    <w:rsid w:val="004562F9"/>
    <w:rsid w:val="0045630C"/>
    <w:rsid w:val="00456669"/>
    <w:rsid w:val="00456DEC"/>
    <w:rsid w:val="00456EB7"/>
    <w:rsid w:val="00456F32"/>
    <w:rsid w:val="00457079"/>
    <w:rsid w:val="00457224"/>
    <w:rsid w:val="00457516"/>
    <w:rsid w:val="00457A77"/>
    <w:rsid w:val="00457AD3"/>
    <w:rsid w:val="00457BD8"/>
    <w:rsid w:val="00457F70"/>
    <w:rsid w:val="00460301"/>
    <w:rsid w:val="004603ED"/>
    <w:rsid w:val="00460418"/>
    <w:rsid w:val="004605F7"/>
    <w:rsid w:val="004607EA"/>
    <w:rsid w:val="00460891"/>
    <w:rsid w:val="00460A55"/>
    <w:rsid w:val="00460E43"/>
    <w:rsid w:val="004614A0"/>
    <w:rsid w:val="00461747"/>
    <w:rsid w:val="00461B43"/>
    <w:rsid w:val="00461BA6"/>
    <w:rsid w:val="00462004"/>
    <w:rsid w:val="004626DA"/>
    <w:rsid w:val="00462725"/>
    <w:rsid w:val="004627C0"/>
    <w:rsid w:val="00462965"/>
    <w:rsid w:val="00462B4F"/>
    <w:rsid w:val="00462D78"/>
    <w:rsid w:val="00462EBA"/>
    <w:rsid w:val="00462F4A"/>
    <w:rsid w:val="004630DA"/>
    <w:rsid w:val="004631A5"/>
    <w:rsid w:val="004632FB"/>
    <w:rsid w:val="0046335C"/>
    <w:rsid w:val="00463536"/>
    <w:rsid w:val="00463863"/>
    <w:rsid w:val="00463905"/>
    <w:rsid w:val="004639A8"/>
    <w:rsid w:val="004639BC"/>
    <w:rsid w:val="00463A3B"/>
    <w:rsid w:val="00463B7F"/>
    <w:rsid w:val="00463C24"/>
    <w:rsid w:val="00463C77"/>
    <w:rsid w:val="004640D7"/>
    <w:rsid w:val="004642BB"/>
    <w:rsid w:val="00464A01"/>
    <w:rsid w:val="00464C59"/>
    <w:rsid w:val="00464FCB"/>
    <w:rsid w:val="00464FDB"/>
    <w:rsid w:val="00465350"/>
    <w:rsid w:val="004653E7"/>
    <w:rsid w:val="00465442"/>
    <w:rsid w:val="0046566D"/>
    <w:rsid w:val="00465FCD"/>
    <w:rsid w:val="0046657C"/>
    <w:rsid w:val="0046682E"/>
    <w:rsid w:val="00466B37"/>
    <w:rsid w:val="00466D5A"/>
    <w:rsid w:val="00466FC0"/>
    <w:rsid w:val="00467094"/>
    <w:rsid w:val="00467210"/>
    <w:rsid w:val="004672CC"/>
    <w:rsid w:val="00467586"/>
    <w:rsid w:val="004675E0"/>
    <w:rsid w:val="004679F5"/>
    <w:rsid w:val="00467ADC"/>
    <w:rsid w:val="00467B9D"/>
    <w:rsid w:val="00467E13"/>
    <w:rsid w:val="004705ED"/>
    <w:rsid w:val="00470AEB"/>
    <w:rsid w:val="00471016"/>
    <w:rsid w:val="0047105E"/>
    <w:rsid w:val="00471335"/>
    <w:rsid w:val="00471368"/>
    <w:rsid w:val="00471640"/>
    <w:rsid w:val="00471675"/>
    <w:rsid w:val="004718CA"/>
    <w:rsid w:val="00471AB0"/>
    <w:rsid w:val="00471B78"/>
    <w:rsid w:val="00471E82"/>
    <w:rsid w:val="00471F66"/>
    <w:rsid w:val="00471F9F"/>
    <w:rsid w:val="00472059"/>
    <w:rsid w:val="00472770"/>
    <w:rsid w:val="00472887"/>
    <w:rsid w:val="00472BA1"/>
    <w:rsid w:val="00472EA0"/>
    <w:rsid w:val="00472F24"/>
    <w:rsid w:val="0047367C"/>
    <w:rsid w:val="004736A3"/>
    <w:rsid w:val="004738ED"/>
    <w:rsid w:val="004739C7"/>
    <w:rsid w:val="00473A1E"/>
    <w:rsid w:val="00473E00"/>
    <w:rsid w:val="0047416E"/>
    <w:rsid w:val="00474303"/>
    <w:rsid w:val="00474515"/>
    <w:rsid w:val="00474639"/>
    <w:rsid w:val="0047474C"/>
    <w:rsid w:val="004750CB"/>
    <w:rsid w:val="004753DE"/>
    <w:rsid w:val="004757AC"/>
    <w:rsid w:val="00475845"/>
    <w:rsid w:val="004762E4"/>
    <w:rsid w:val="004764B9"/>
    <w:rsid w:val="0047651B"/>
    <w:rsid w:val="0047666C"/>
    <w:rsid w:val="00476876"/>
    <w:rsid w:val="00476B3A"/>
    <w:rsid w:val="00476C6D"/>
    <w:rsid w:val="00476DF9"/>
    <w:rsid w:val="00476E96"/>
    <w:rsid w:val="00476EE9"/>
    <w:rsid w:val="004772CF"/>
    <w:rsid w:val="004774BB"/>
    <w:rsid w:val="0047778B"/>
    <w:rsid w:val="00477BCB"/>
    <w:rsid w:val="00477CC0"/>
    <w:rsid w:val="00477D37"/>
    <w:rsid w:val="00477F62"/>
    <w:rsid w:val="004806DD"/>
    <w:rsid w:val="00480993"/>
    <w:rsid w:val="004810F0"/>
    <w:rsid w:val="00481526"/>
    <w:rsid w:val="0048157D"/>
    <w:rsid w:val="004818D9"/>
    <w:rsid w:val="00481ACE"/>
    <w:rsid w:val="00481D05"/>
    <w:rsid w:val="00482144"/>
    <w:rsid w:val="0048226E"/>
    <w:rsid w:val="0048227C"/>
    <w:rsid w:val="004825DC"/>
    <w:rsid w:val="00482685"/>
    <w:rsid w:val="00482802"/>
    <w:rsid w:val="004828BA"/>
    <w:rsid w:val="00482CF1"/>
    <w:rsid w:val="00482D5C"/>
    <w:rsid w:val="00482E9A"/>
    <w:rsid w:val="0048320A"/>
    <w:rsid w:val="00483381"/>
    <w:rsid w:val="0048358E"/>
    <w:rsid w:val="004838A0"/>
    <w:rsid w:val="00483970"/>
    <w:rsid w:val="00483A86"/>
    <w:rsid w:val="00483B9F"/>
    <w:rsid w:val="00483CEB"/>
    <w:rsid w:val="00483DD9"/>
    <w:rsid w:val="00483E00"/>
    <w:rsid w:val="00483E41"/>
    <w:rsid w:val="00483FA8"/>
    <w:rsid w:val="004841B6"/>
    <w:rsid w:val="00484381"/>
    <w:rsid w:val="004844C1"/>
    <w:rsid w:val="0048456D"/>
    <w:rsid w:val="00484F13"/>
    <w:rsid w:val="004852AA"/>
    <w:rsid w:val="004857BB"/>
    <w:rsid w:val="00485AC4"/>
    <w:rsid w:val="00485B21"/>
    <w:rsid w:val="00485B69"/>
    <w:rsid w:val="00485D79"/>
    <w:rsid w:val="00486084"/>
    <w:rsid w:val="00486375"/>
    <w:rsid w:val="004864B6"/>
    <w:rsid w:val="004864D4"/>
    <w:rsid w:val="004866E7"/>
    <w:rsid w:val="00486A64"/>
    <w:rsid w:val="00486C36"/>
    <w:rsid w:val="00486D61"/>
    <w:rsid w:val="00486D7A"/>
    <w:rsid w:val="004871DB"/>
    <w:rsid w:val="00487411"/>
    <w:rsid w:val="004877D2"/>
    <w:rsid w:val="00487B53"/>
    <w:rsid w:val="004900F4"/>
    <w:rsid w:val="0049030D"/>
    <w:rsid w:val="00490913"/>
    <w:rsid w:val="00490D47"/>
    <w:rsid w:val="004914B6"/>
    <w:rsid w:val="00491532"/>
    <w:rsid w:val="0049156F"/>
    <w:rsid w:val="00491AB0"/>
    <w:rsid w:val="00491ADB"/>
    <w:rsid w:val="00491B32"/>
    <w:rsid w:val="0049206E"/>
    <w:rsid w:val="00492AF5"/>
    <w:rsid w:val="00492BEF"/>
    <w:rsid w:val="00492C76"/>
    <w:rsid w:val="00492F6D"/>
    <w:rsid w:val="00492FD5"/>
    <w:rsid w:val="00493145"/>
    <w:rsid w:val="00493A5E"/>
    <w:rsid w:val="00493BB4"/>
    <w:rsid w:val="00493C60"/>
    <w:rsid w:val="00493EA6"/>
    <w:rsid w:val="00493ED0"/>
    <w:rsid w:val="00493EFB"/>
    <w:rsid w:val="00493FD5"/>
    <w:rsid w:val="004941DB"/>
    <w:rsid w:val="004941FF"/>
    <w:rsid w:val="00494336"/>
    <w:rsid w:val="004943F9"/>
    <w:rsid w:val="004946CB"/>
    <w:rsid w:val="00494A14"/>
    <w:rsid w:val="00494DC9"/>
    <w:rsid w:val="004950AE"/>
    <w:rsid w:val="0049512B"/>
    <w:rsid w:val="00495274"/>
    <w:rsid w:val="00495829"/>
    <w:rsid w:val="0049596E"/>
    <w:rsid w:val="00495AB5"/>
    <w:rsid w:val="00495B32"/>
    <w:rsid w:val="00495D86"/>
    <w:rsid w:val="00495D91"/>
    <w:rsid w:val="004963F8"/>
    <w:rsid w:val="00496499"/>
    <w:rsid w:val="004964E8"/>
    <w:rsid w:val="004965AF"/>
    <w:rsid w:val="00496BCA"/>
    <w:rsid w:val="00496D1B"/>
    <w:rsid w:val="00496E45"/>
    <w:rsid w:val="00497036"/>
    <w:rsid w:val="0049722F"/>
    <w:rsid w:val="004972E9"/>
    <w:rsid w:val="0049759D"/>
    <w:rsid w:val="00497726"/>
    <w:rsid w:val="00497FA4"/>
    <w:rsid w:val="00497FC1"/>
    <w:rsid w:val="004A0100"/>
    <w:rsid w:val="004A03DA"/>
    <w:rsid w:val="004A05DA"/>
    <w:rsid w:val="004A0835"/>
    <w:rsid w:val="004A0A0C"/>
    <w:rsid w:val="004A14A5"/>
    <w:rsid w:val="004A1582"/>
    <w:rsid w:val="004A16D8"/>
    <w:rsid w:val="004A189C"/>
    <w:rsid w:val="004A18A6"/>
    <w:rsid w:val="004A1915"/>
    <w:rsid w:val="004A2121"/>
    <w:rsid w:val="004A2293"/>
    <w:rsid w:val="004A2325"/>
    <w:rsid w:val="004A283B"/>
    <w:rsid w:val="004A2D94"/>
    <w:rsid w:val="004A3112"/>
    <w:rsid w:val="004A31A3"/>
    <w:rsid w:val="004A378E"/>
    <w:rsid w:val="004A3911"/>
    <w:rsid w:val="004A3DFE"/>
    <w:rsid w:val="004A3E9F"/>
    <w:rsid w:val="004A3FD8"/>
    <w:rsid w:val="004A4130"/>
    <w:rsid w:val="004A4259"/>
    <w:rsid w:val="004A4454"/>
    <w:rsid w:val="004A4471"/>
    <w:rsid w:val="004A4591"/>
    <w:rsid w:val="004A45D6"/>
    <w:rsid w:val="004A49E4"/>
    <w:rsid w:val="004A4E07"/>
    <w:rsid w:val="004A5770"/>
    <w:rsid w:val="004A5927"/>
    <w:rsid w:val="004A59AC"/>
    <w:rsid w:val="004A5A00"/>
    <w:rsid w:val="004A5A50"/>
    <w:rsid w:val="004A66AF"/>
    <w:rsid w:val="004A66EE"/>
    <w:rsid w:val="004A6763"/>
    <w:rsid w:val="004A6D9C"/>
    <w:rsid w:val="004A72A2"/>
    <w:rsid w:val="004A730E"/>
    <w:rsid w:val="004A7617"/>
    <w:rsid w:val="004A7B63"/>
    <w:rsid w:val="004A7D77"/>
    <w:rsid w:val="004A7F00"/>
    <w:rsid w:val="004B0064"/>
    <w:rsid w:val="004B0295"/>
    <w:rsid w:val="004B0400"/>
    <w:rsid w:val="004B0C08"/>
    <w:rsid w:val="004B0D63"/>
    <w:rsid w:val="004B0EC4"/>
    <w:rsid w:val="004B0FED"/>
    <w:rsid w:val="004B109B"/>
    <w:rsid w:val="004B11ED"/>
    <w:rsid w:val="004B1699"/>
    <w:rsid w:val="004B1735"/>
    <w:rsid w:val="004B1BE2"/>
    <w:rsid w:val="004B1CEF"/>
    <w:rsid w:val="004B1DB2"/>
    <w:rsid w:val="004B2036"/>
    <w:rsid w:val="004B2533"/>
    <w:rsid w:val="004B26BB"/>
    <w:rsid w:val="004B2863"/>
    <w:rsid w:val="004B29B9"/>
    <w:rsid w:val="004B3967"/>
    <w:rsid w:val="004B3AD1"/>
    <w:rsid w:val="004B3C53"/>
    <w:rsid w:val="004B3C89"/>
    <w:rsid w:val="004B408A"/>
    <w:rsid w:val="004B41D8"/>
    <w:rsid w:val="004B46F9"/>
    <w:rsid w:val="004B4847"/>
    <w:rsid w:val="004B4DD1"/>
    <w:rsid w:val="004B5157"/>
    <w:rsid w:val="004B5508"/>
    <w:rsid w:val="004B5806"/>
    <w:rsid w:val="004B591F"/>
    <w:rsid w:val="004B5992"/>
    <w:rsid w:val="004B5AE2"/>
    <w:rsid w:val="004B5B32"/>
    <w:rsid w:val="004B5D5B"/>
    <w:rsid w:val="004B5DE1"/>
    <w:rsid w:val="004B663E"/>
    <w:rsid w:val="004B67C6"/>
    <w:rsid w:val="004B67CA"/>
    <w:rsid w:val="004B6876"/>
    <w:rsid w:val="004B6933"/>
    <w:rsid w:val="004B6993"/>
    <w:rsid w:val="004B69FC"/>
    <w:rsid w:val="004B6AB7"/>
    <w:rsid w:val="004B6B40"/>
    <w:rsid w:val="004B6C17"/>
    <w:rsid w:val="004B6DAC"/>
    <w:rsid w:val="004B705E"/>
    <w:rsid w:val="004B744D"/>
    <w:rsid w:val="004B7781"/>
    <w:rsid w:val="004B79B1"/>
    <w:rsid w:val="004B7A12"/>
    <w:rsid w:val="004B7FF0"/>
    <w:rsid w:val="004C0282"/>
    <w:rsid w:val="004C0747"/>
    <w:rsid w:val="004C0B0D"/>
    <w:rsid w:val="004C12D2"/>
    <w:rsid w:val="004C1421"/>
    <w:rsid w:val="004C1804"/>
    <w:rsid w:val="004C2138"/>
    <w:rsid w:val="004C215E"/>
    <w:rsid w:val="004C2A04"/>
    <w:rsid w:val="004C2E66"/>
    <w:rsid w:val="004C3060"/>
    <w:rsid w:val="004C313F"/>
    <w:rsid w:val="004C3219"/>
    <w:rsid w:val="004C39CD"/>
    <w:rsid w:val="004C3D2F"/>
    <w:rsid w:val="004C3E23"/>
    <w:rsid w:val="004C4115"/>
    <w:rsid w:val="004C42CF"/>
    <w:rsid w:val="004C43F6"/>
    <w:rsid w:val="004C454A"/>
    <w:rsid w:val="004C455E"/>
    <w:rsid w:val="004C45EC"/>
    <w:rsid w:val="004C4B96"/>
    <w:rsid w:val="004C4CC8"/>
    <w:rsid w:val="004C4DF1"/>
    <w:rsid w:val="004C4EE6"/>
    <w:rsid w:val="004C4F45"/>
    <w:rsid w:val="004C4F51"/>
    <w:rsid w:val="004C5018"/>
    <w:rsid w:val="004C58B8"/>
    <w:rsid w:val="004C5A84"/>
    <w:rsid w:val="004C5D29"/>
    <w:rsid w:val="004C5E79"/>
    <w:rsid w:val="004C5E9D"/>
    <w:rsid w:val="004C5EF9"/>
    <w:rsid w:val="004C5F58"/>
    <w:rsid w:val="004C609C"/>
    <w:rsid w:val="004C617B"/>
    <w:rsid w:val="004C65BB"/>
    <w:rsid w:val="004C6788"/>
    <w:rsid w:val="004C6998"/>
    <w:rsid w:val="004C6B15"/>
    <w:rsid w:val="004C6CA6"/>
    <w:rsid w:val="004C6FF2"/>
    <w:rsid w:val="004C746A"/>
    <w:rsid w:val="004C7711"/>
    <w:rsid w:val="004C7B75"/>
    <w:rsid w:val="004C7FEA"/>
    <w:rsid w:val="004D005A"/>
    <w:rsid w:val="004D006F"/>
    <w:rsid w:val="004D01B8"/>
    <w:rsid w:val="004D05C5"/>
    <w:rsid w:val="004D09BD"/>
    <w:rsid w:val="004D0C04"/>
    <w:rsid w:val="004D0E13"/>
    <w:rsid w:val="004D0F64"/>
    <w:rsid w:val="004D10A9"/>
    <w:rsid w:val="004D123A"/>
    <w:rsid w:val="004D12B5"/>
    <w:rsid w:val="004D14E9"/>
    <w:rsid w:val="004D17A5"/>
    <w:rsid w:val="004D19C8"/>
    <w:rsid w:val="004D2074"/>
    <w:rsid w:val="004D214C"/>
    <w:rsid w:val="004D26D2"/>
    <w:rsid w:val="004D2C2F"/>
    <w:rsid w:val="004D2C77"/>
    <w:rsid w:val="004D2E0F"/>
    <w:rsid w:val="004D2EC0"/>
    <w:rsid w:val="004D3A0B"/>
    <w:rsid w:val="004D3D8E"/>
    <w:rsid w:val="004D41D4"/>
    <w:rsid w:val="004D43FA"/>
    <w:rsid w:val="004D4DA8"/>
    <w:rsid w:val="004D53A0"/>
    <w:rsid w:val="004D53DC"/>
    <w:rsid w:val="004D5C14"/>
    <w:rsid w:val="004D6133"/>
    <w:rsid w:val="004D6276"/>
    <w:rsid w:val="004D64BC"/>
    <w:rsid w:val="004D64E0"/>
    <w:rsid w:val="004D6547"/>
    <w:rsid w:val="004D6B89"/>
    <w:rsid w:val="004D6C03"/>
    <w:rsid w:val="004D7199"/>
    <w:rsid w:val="004D71AA"/>
    <w:rsid w:val="004D71D6"/>
    <w:rsid w:val="004D727B"/>
    <w:rsid w:val="004D750C"/>
    <w:rsid w:val="004D7A16"/>
    <w:rsid w:val="004D7C3F"/>
    <w:rsid w:val="004D7C52"/>
    <w:rsid w:val="004D7C73"/>
    <w:rsid w:val="004E0168"/>
    <w:rsid w:val="004E050F"/>
    <w:rsid w:val="004E0542"/>
    <w:rsid w:val="004E0BDB"/>
    <w:rsid w:val="004E1299"/>
    <w:rsid w:val="004E15CD"/>
    <w:rsid w:val="004E162C"/>
    <w:rsid w:val="004E1646"/>
    <w:rsid w:val="004E1812"/>
    <w:rsid w:val="004E2005"/>
    <w:rsid w:val="004E25AE"/>
    <w:rsid w:val="004E2DAA"/>
    <w:rsid w:val="004E2FE2"/>
    <w:rsid w:val="004E3411"/>
    <w:rsid w:val="004E3712"/>
    <w:rsid w:val="004E3835"/>
    <w:rsid w:val="004E389B"/>
    <w:rsid w:val="004E39FE"/>
    <w:rsid w:val="004E41D7"/>
    <w:rsid w:val="004E45C4"/>
    <w:rsid w:val="004E45D3"/>
    <w:rsid w:val="004E46D2"/>
    <w:rsid w:val="004E4A6E"/>
    <w:rsid w:val="004E5048"/>
    <w:rsid w:val="004E5198"/>
    <w:rsid w:val="004E5363"/>
    <w:rsid w:val="004E542B"/>
    <w:rsid w:val="004E56C3"/>
    <w:rsid w:val="004E579C"/>
    <w:rsid w:val="004E5856"/>
    <w:rsid w:val="004E596C"/>
    <w:rsid w:val="004E598D"/>
    <w:rsid w:val="004E5A45"/>
    <w:rsid w:val="004E63E2"/>
    <w:rsid w:val="004E65F8"/>
    <w:rsid w:val="004E6A4D"/>
    <w:rsid w:val="004E6A8E"/>
    <w:rsid w:val="004E7433"/>
    <w:rsid w:val="004E75C8"/>
    <w:rsid w:val="004E7766"/>
    <w:rsid w:val="004E788A"/>
    <w:rsid w:val="004E78A0"/>
    <w:rsid w:val="004E7F71"/>
    <w:rsid w:val="004F0178"/>
    <w:rsid w:val="004F0317"/>
    <w:rsid w:val="004F0586"/>
    <w:rsid w:val="004F05E9"/>
    <w:rsid w:val="004F07BA"/>
    <w:rsid w:val="004F105A"/>
    <w:rsid w:val="004F1C5F"/>
    <w:rsid w:val="004F1FBC"/>
    <w:rsid w:val="004F2073"/>
    <w:rsid w:val="004F2328"/>
    <w:rsid w:val="004F249F"/>
    <w:rsid w:val="004F25F8"/>
    <w:rsid w:val="004F2697"/>
    <w:rsid w:val="004F3192"/>
    <w:rsid w:val="004F342B"/>
    <w:rsid w:val="004F3637"/>
    <w:rsid w:val="004F36F1"/>
    <w:rsid w:val="004F377A"/>
    <w:rsid w:val="004F3970"/>
    <w:rsid w:val="004F3A7D"/>
    <w:rsid w:val="004F3EFC"/>
    <w:rsid w:val="004F3FFF"/>
    <w:rsid w:val="004F4859"/>
    <w:rsid w:val="004F4C60"/>
    <w:rsid w:val="004F4D0A"/>
    <w:rsid w:val="004F515B"/>
    <w:rsid w:val="004F58AF"/>
    <w:rsid w:val="004F5D1D"/>
    <w:rsid w:val="004F6159"/>
    <w:rsid w:val="004F61B0"/>
    <w:rsid w:val="004F61DA"/>
    <w:rsid w:val="004F628E"/>
    <w:rsid w:val="004F65FC"/>
    <w:rsid w:val="004F6685"/>
    <w:rsid w:val="004F66DF"/>
    <w:rsid w:val="004F6AD0"/>
    <w:rsid w:val="004F6FC5"/>
    <w:rsid w:val="004F72EE"/>
    <w:rsid w:val="004F7712"/>
    <w:rsid w:val="004F774F"/>
    <w:rsid w:val="004F7813"/>
    <w:rsid w:val="004F7867"/>
    <w:rsid w:val="004F7897"/>
    <w:rsid w:val="004F79C1"/>
    <w:rsid w:val="004F7BEA"/>
    <w:rsid w:val="004F7BF4"/>
    <w:rsid w:val="004F7E75"/>
    <w:rsid w:val="0050071E"/>
    <w:rsid w:val="005007E2"/>
    <w:rsid w:val="00500AE8"/>
    <w:rsid w:val="00500D51"/>
    <w:rsid w:val="00500F58"/>
    <w:rsid w:val="00500FE1"/>
    <w:rsid w:val="005010AF"/>
    <w:rsid w:val="00501472"/>
    <w:rsid w:val="005014FD"/>
    <w:rsid w:val="0050198D"/>
    <w:rsid w:val="00501A53"/>
    <w:rsid w:val="00501B2A"/>
    <w:rsid w:val="00501B61"/>
    <w:rsid w:val="00501C91"/>
    <w:rsid w:val="00501CFB"/>
    <w:rsid w:val="00501D0C"/>
    <w:rsid w:val="00501FFC"/>
    <w:rsid w:val="0050217B"/>
    <w:rsid w:val="005021EC"/>
    <w:rsid w:val="005022FE"/>
    <w:rsid w:val="0050232B"/>
    <w:rsid w:val="005024DB"/>
    <w:rsid w:val="005025A8"/>
    <w:rsid w:val="005029F1"/>
    <w:rsid w:val="00502BE2"/>
    <w:rsid w:val="00502F65"/>
    <w:rsid w:val="00503276"/>
    <w:rsid w:val="005035C6"/>
    <w:rsid w:val="00503677"/>
    <w:rsid w:val="0050396C"/>
    <w:rsid w:val="00503C5B"/>
    <w:rsid w:val="00503E46"/>
    <w:rsid w:val="00503F66"/>
    <w:rsid w:val="005044A8"/>
    <w:rsid w:val="005046EE"/>
    <w:rsid w:val="00504801"/>
    <w:rsid w:val="005049F5"/>
    <w:rsid w:val="00504E76"/>
    <w:rsid w:val="00505027"/>
    <w:rsid w:val="00505086"/>
    <w:rsid w:val="00505124"/>
    <w:rsid w:val="00505641"/>
    <w:rsid w:val="005059F7"/>
    <w:rsid w:val="00505A74"/>
    <w:rsid w:val="00505BC7"/>
    <w:rsid w:val="005062EA"/>
    <w:rsid w:val="005067ED"/>
    <w:rsid w:val="0050680D"/>
    <w:rsid w:val="00506878"/>
    <w:rsid w:val="005068F5"/>
    <w:rsid w:val="0050694B"/>
    <w:rsid w:val="00506B89"/>
    <w:rsid w:val="00506D81"/>
    <w:rsid w:val="00506D99"/>
    <w:rsid w:val="00506F3A"/>
    <w:rsid w:val="00507028"/>
    <w:rsid w:val="005071FD"/>
    <w:rsid w:val="005072E1"/>
    <w:rsid w:val="005073E6"/>
    <w:rsid w:val="00507419"/>
    <w:rsid w:val="00507879"/>
    <w:rsid w:val="00507ABE"/>
    <w:rsid w:val="00507D2C"/>
    <w:rsid w:val="005104D8"/>
    <w:rsid w:val="005108B6"/>
    <w:rsid w:val="0051096D"/>
    <w:rsid w:val="00510BC3"/>
    <w:rsid w:val="00510C3E"/>
    <w:rsid w:val="00510C6B"/>
    <w:rsid w:val="00510EF4"/>
    <w:rsid w:val="00510F3F"/>
    <w:rsid w:val="00511277"/>
    <w:rsid w:val="00511292"/>
    <w:rsid w:val="005112E5"/>
    <w:rsid w:val="005116F2"/>
    <w:rsid w:val="00511A09"/>
    <w:rsid w:val="00511D3C"/>
    <w:rsid w:val="0051205F"/>
    <w:rsid w:val="00512694"/>
    <w:rsid w:val="00512A2C"/>
    <w:rsid w:val="005139BC"/>
    <w:rsid w:val="005139DC"/>
    <w:rsid w:val="00513C4E"/>
    <w:rsid w:val="00513FB8"/>
    <w:rsid w:val="0051410D"/>
    <w:rsid w:val="00514228"/>
    <w:rsid w:val="0051452F"/>
    <w:rsid w:val="00514694"/>
    <w:rsid w:val="00514BDE"/>
    <w:rsid w:val="00514CE4"/>
    <w:rsid w:val="00514E34"/>
    <w:rsid w:val="00515330"/>
    <w:rsid w:val="005158DD"/>
    <w:rsid w:val="005158E0"/>
    <w:rsid w:val="00515930"/>
    <w:rsid w:val="00515BC6"/>
    <w:rsid w:val="00515C83"/>
    <w:rsid w:val="00515D3B"/>
    <w:rsid w:val="00516041"/>
    <w:rsid w:val="00516182"/>
    <w:rsid w:val="00516396"/>
    <w:rsid w:val="00516472"/>
    <w:rsid w:val="005164DE"/>
    <w:rsid w:val="0051682A"/>
    <w:rsid w:val="00516E41"/>
    <w:rsid w:val="00517CD1"/>
    <w:rsid w:val="00517D8C"/>
    <w:rsid w:val="00520095"/>
    <w:rsid w:val="005200E2"/>
    <w:rsid w:val="005204DD"/>
    <w:rsid w:val="00520629"/>
    <w:rsid w:val="0052062D"/>
    <w:rsid w:val="005208D7"/>
    <w:rsid w:val="00520B0F"/>
    <w:rsid w:val="00520FB5"/>
    <w:rsid w:val="00521636"/>
    <w:rsid w:val="0052165C"/>
    <w:rsid w:val="00521FAD"/>
    <w:rsid w:val="00521FEC"/>
    <w:rsid w:val="0052200F"/>
    <w:rsid w:val="0052247F"/>
    <w:rsid w:val="005224C4"/>
    <w:rsid w:val="0052270C"/>
    <w:rsid w:val="00522A4C"/>
    <w:rsid w:val="00522D50"/>
    <w:rsid w:val="00522F6A"/>
    <w:rsid w:val="00523152"/>
    <w:rsid w:val="00523894"/>
    <w:rsid w:val="00523C5D"/>
    <w:rsid w:val="00523C99"/>
    <w:rsid w:val="00523F2A"/>
    <w:rsid w:val="00524146"/>
    <w:rsid w:val="005245A5"/>
    <w:rsid w:val="00524AEB"/>
    <w:rsid w:val="00524C71"/>
    <w:rsid w:val="00524E33"/>
    <w:rsid w:val="0052563B"/>
    <w:rsid w:val="00525934"/>
    <w:rsid w:val="00525F1A"/>
    <w:rsid w:val="00526170"/>
    <w:rsid w:val="00526254"/>
    <w:rsid w:val="005262A5"/>
    <w:rsid w:val="00526530"/>
    <w:rsid w:val="005265C4"/>
    <w:rsid w:val="005266C5"/>
    <w:rsid w:val="005267C6"/>
    <w:rsid w:val="00526C27"/>
    <w:rsid w:val="00526E5A"/>
    <w:rsid w:val="00526F13"/>
    <w:rsid w:val="00526F9A"/>
    <w:rsid w:val="0052731A"/>
    <w:rsid w:val="00527497"/>
    <w:rsid w:val="00527860"/>
    <w:rsid w:val="005278E7"/>
    <w:rsid w:val="00527959"/>
    <w:rsid w:val="00527D00"/>
    <w:rsid w:val="00527E51"/>
    <w:rsid w:val="005303A4"/>
    <w:rsid w:val="005306A9"/>
    <w:rsid w:val="00530771"/>
    <w:rsid w:val="00530D38"/>
    <w:rsid w:val="00530FDA"/>
    <w:rsid w:val="0053113A"/>
    <w:rsid w:val="005314A4"/>
    <w:rsid w:val="00531A0E"/>
    <w:rsid w:val="00531E44"/>
    <w:rsid w:val="0053223E"/>
    <w:rsid w:val="00532578"/>
    <w:rsid w:val="0053290B"/>
    <w:rsid w:val="00532930"/>
    <w:rsid w:val="005336CD"/>
    <w:rsid w:val="00533732"/>
    <w:rsid w:val="00533830"/>
    <w:rsid w:val="00533E16"/>
    <w:rsid w:val="005340B7"/>
    <w:rsid w:val="005342CE"/>
    <w:rsid w:val="00534492"/>
    <w:rsid w:val="0053459C"/>
    <w:rsid w:val="005345E0"/>
    <w:rsid w:val="00534EF8"/>
    <w:rsid w:val="00534F13"/>
    <w:rsid w:val="00534FC2"/>
    <w:rsid w:val="00534FE3"/>
    <w:rsid w:val="00535065"/>
    <w:rsid w:val="005350B7"/>
    <w:rsid w:val="00535262"/>
    <w:rsid w:val="005354F8"/>
    <w:rsid w:val="0053551E"/>
    <w:rsid w:val="0053584F"/>
    <w:rsid w:val="0053589D"/>
    <w:rsid w:val="005358D5"/>
    <w:rsid w:val="00535B3F"/>
    <w:rsid w:val="00535CB7"/>
    <w:rsid w:val="0053625B"/>
    <w:rsid w:val="0053685D"/>
    <w:rsid w:val="00536D4A"/>
    <w:rsid w:val="00536D8F"/>
    <w:rsid w:val="00536E45"/>
    <w:rsid w:val="005370FC"/>
    <w:rsid w:val="00537616"/>
    <w:rsid w:val="00537C36"/>
    <w:rsid w:val="00537E9D"/>
    <w:rsid w:val="0054004F"/>
    <w:rsid w:val="0054025E"/>
    <w:rsid w:val="005404A1"/>
    <w:rsid w:val="0054068D"/>
    <w:rsid w:val="00540787"/>
    <w:rsid w:val="00540A6D"/>
    <w:rsid w:val="00540C86"/>
    <w:rsid w:val="00540E11"/>
    <w:rsid w:val="00540EDE"/>
    <w:rsid w:val="00540F0D"/>
    <w:rsid w:val="00540F5E"/>
    <w:rsid w:val="00541163"/>
    <w:rsid w:val="005417CD"/>
    <w:rsid w:val="005417EB"/>
    <w:rsid w:val="005420BF"/>
    <w:rsid w:val="00542174"/>
    <w:rsid w:val="00542244"/>
    <w:rsid w:val="00542570"/>
    <w:rsid w:val="00542C3E"/>
    <w:rsid w:val="00542CA4"/>
    <w:rsid w:val="00542E81"/>
    <w:rsid w:val="005431DA"/>
    <w:rsid w:val="0054340C"/>
    <w:rsid w:val="005434C0"/>
    <w:rsid w:val="00543580"/>
    <w:rsid w:val="005439FF"/>
    <w:rsid w:val="00543C04"/>
    <w:rsid w:val="00543E35"/>
    <w:rsid w:val="005440E8"/>
    <w:rsid w:val="005444FA"/>
    <w:rsid w:val="00544764"/>
    <w:rsid w:val="005448DA"/>
    <w:rsid w:val="005449BC"/>
    <w:rsid w:val="00544ADE"/>
    <w:rsid w:val="005451C3"/>
    <w:rsid w:val="005452FC"/>
    <w:rsid w:val="0054554A"/>
    <w:rsid w:val="0054574A"/>
    <w:rsid w:val="00545BAA"/>
    <w:rsid w:val="00545C12"/>
    <w:rsid w:val="00545DA5"/>
    <w:rsid w:val="00546229"/>
    <w:rsid w:val="00546377"/>
    <w:rsid w:val="005467E9"/>
    <w:rsid w:val="005468A1"/>
    <w:rsid w:val="00546C5C"/>
    <w:rsid w:val="00546F58"/>
    <w:rsid w:val="00547331"/>
    <w:rsid w:val="005475BB"/>
    <w:rsid w:val="0054778B"/>
    <w:rsid w:val="00547AAD"/>
    <w:rsid w:val="00547BFA"/>
    <w:rsid w:val="00547DCA"/>
    <w:rsid w:val="00550409"/>
    <w:rsid w:val="0055069F"/>
    <w:rsid w:val="00550AB6"/>
    <w:rsid w:val="00551C6A"/>
    <w:rsid w:val="0055235E"/>
    <w:rsid w:val="005524A8"/>
    <w:rsid w:val="005524D4"/>
    <w:rsid w:val="00552B22"/>
    <w:rsid w:val="00552DEC"/>
    <w:rsid w:val="00552F12"/>
    <w:rsid w:val="00552F6F"/>
    <w:rsid w:val="00553006"/>
    <w:rsid w:val="00553167"/>
    <w:rsid w:val="0055323C"/>
    <w:rsid w:val="00553515"/>
    <w:rsid w:val="00553518"/>
    <w:rsid w:val="00553664"/>
    <w:rsid w:val="005538C9"/>
    <w:rsid w:val="00553E0B"/>
    <w:rsid w:val="00553FB1"/>
    <w:rsid w:val="00554658"/>
    <w:rsid w:val="00554808"/>
    <w:rsid w:val="005548C0"/>
    <w:rsid w:val="00554CBB"/>
    <w:rsid w:val="00554EF5"/>
    <w:rsid w:val="0055525A"/>
    <w:rsid w:val="00555630"/>
    <w:rsid w:val="00555A2D"/>
    <w:rsid w:val="00555DAC"/>
    <w:rsid w:val="00555EDF"/>
    <w:rsid w:val="00555F07"/>
    <w:rsid w:val="00556203"/>
    <w:rsid w:val="00556235"/>
    <w:rsid w:val="00556319"/>
    <w:rsid w:val="00556472"/>
    <w:rsid w:val="005569EA"/>
    <w:rsid w:val="00556AB6"/>
    <w:rsid w:val="00556B43"/>
    <w:rsid w:val="00556C2A"/>
    <w:rsid w:val="00556D54"/>
    <w:rsid w:val="0055709F"/>
    <w:rsid w:val="005570A6"/>
    <w:rsid w:val="00557116"/>
    <w:rsid w:val="00557133"/>
    <w:rsid w:val="00557167"/>
    <w:rsid w:val="005572A7"/>
    <w:rsid w:val="00557500"/>
    <w:rsid w:val="005576B5"/>
    <w:rsid w:val="00557B92"/>
    <w:rsid w:val="00557BDD"/>
    <w:rsid w:val="00557E9A"/>
    <w:rsid w:val="00557EE1"/>
    <w:rsid w:val="005600A0"/>
    <w:rsid w:val="005600E9"/>
    <w:rsid w:val="005601D2"/>
    <w:rsid w:val="005602D3"/>
    <w:rsid w:val="00560575"/>
    <w:rsid w:val="005606A5"/>
    <w:rsid w:val="005609CB"/>
    <w:rsid w:val="00560AE9"/>
    <w:rsid w:val="00560B85"/>
    <w:rsid w:val="00560C52"/>
    <w:rsid w:val="00560D53"/>
    <w:rsid w:val="00560E26"/>
    <w:rsid w:val="00560E52"/>
    <w:rsid w:val="00560F26"/>
    <w:rsid w:val="005613FD"/>
    <w:rsid w:val="0056151E"/>
    <w:rsid w:val="005615E7"/>
    <w:rsid w:val="00561A47"/>
    <w:rsid w:val="00561D7A"/>
    <w:rsid w:val="00561DBB"/>
    <w:rsid w:val="00561EA8"/>
    <w:rsid w:val="005620E2"/>
    <w:rsid w:val="0056225F"/>
    <w:rsid w:val="005625A4"/>
    <w:rsid w:val="005628DC"/>
    <w:rsid w:val="00562D04"/>
    <w:rsid w:val="00562FFA"/>
    <w:rsid w:val="00563043"/>
    <w:rsid w:val="005631A9"/>
    <w:rsid w:val="00563335"/>
    <w:rsid w:val="00563502"/>
    <w:rsid w:val="005636B6"/>
    <w:rsid w:val="00563D45"/>
    <w:rsid w:val="0056400E"/>
    <w:rsid w:val="00564455"/>
    <w:rsid w:val="00564592"/>
    <w:rsid w:val="0056466E"/>
    <w:rsid w:val="005646B8"/>
    <w:rsid w:val="00564A8C"/>
    <w:rsid w:val="00564ED3"/>
    <w:rsid w:val="00565846"/>
    <w:rsid w:val="00565D3D"/>
    <w:rsid w:val="00565EDD"/>
    <w:rsid w:val="00565EF1"/>
    <w:rsid w:val="00565FFF"/>
    <w:rsid w:val="00566331"/>
    <w:rsid w:val="00566333"/>
    <w:rsid w:val="005663E0"/>
    <w:rsid w:val="005665EE"/>
    <w:rsid w:val="00566715"/>
    <w:rsid w:val="00566858"/>
    <w:rsid w:val="00567100"/>
    <w:rsid w:val="0056749B"/>
    <w:rsid w:val="00567517"/>
    <w:rsid w:val="00567821"/>
    <w:rsid w:val="00567968"/>
    <w:rsid w:val="00567A5A"/>
    <w:rsid w:val="00567AFD"/>
    <w:rsid w:val="00567C20"/>
    <w:rsid w:val="00567CAF"/>
    <w:rsid w:val="00567CC7"/>
    <w:rsid w:val="00567E01"/>
    <w:rsid w:val="00567E1B"/>
    <w:rsid w:val="005702F6"/>
    <w:rsid w:val="00570445"/>
    <w:rsid w:val="00570640"/>
    <w:rsid w:val="0057095F"/>
    <w:rsid w:val="00571163"/>
    <w:rsid w:val="00571267"/>
    <w:rsid w:val="005717E0"/>
    <w:rsid w:val="0057194A"/>
    <w:rsid w:val="00571AE7"/>
    <w:rsid w:val="00571C57"/>
    <w:rsid w:val="005724B9"/>
    <w:rsid w:val="0057286E"/>
    <w:rsid w:val="00572DAE"/>
    <w:rsid w:val="005735DE"/>
    <w:rsid w:val="00573A81"/>
    <w:rsid w:val="00574297"/>
    <w:rsid w:val="005743A7"/>
    <w:rsid w:val="0057443A"/>
    <w:rsid w:val="005744F6"/>
    <w:rsid w:val="005745B8"/>
    <w:rsid w:val="00574605"/>
    <w:rsid w:val="005746D0"/>
    <w:rsid w:val="00574959"/>
    <w:rsid w:val="00574ADC"/>
    <w:rsid w:val="00574BF8"/>
    <w:rsid w:val="00575084"/>
    <w:rsid w:val="00575272"/>
    <w:rsid w:val="005753E6"/>
    <w:rsid w:val="005754D8"/>
    <w:rsid w:val="005756F5"/>
    <w:rsid w:val="005757DF"/>
    <w:rsid w:val="0057591C"/>
    <w:rsid w:val="005759E8"/>
    <w:rsid w:val="00575CAE"/>
    <w:rsid w:val="00575EC9"/>
    <w:rsid w:val="00575EFE"/>
    <w:rsid w:val="00576C2E"/>
    <w:rsid w:val="00576C8F"/>
    <w:rsid w:val="00576D65"/>
    <w:rsid w:val="00576E36"/>
    <w:rsid w:val="00576FA5"/>
    <w:rsid w:val="005771AC"/>
    <w:rsid w:val="00577570"/>
    <w:rsid w:val="00577803"/>
    <w:rsid w:val="0058046C"/>
    <w:rsid w:val="005804C2"/>
    <w:rsid w:val="005804D8"/>
    <w:rsid w:val="00580726"/>
    <w:rsid w:val="0058097F"/>
    <w:rsid w:val="00581159"/>
    <w:rsid w:val="005811EC"/>
    <w:rsid w:val="005811F0"/>
    <w:rsid w:val="005813EA"/>
    <w:rsid w:val="005814B7"/>
    <w:rsid w:val="00581514"/>
    <w:rsid w:val="005819DD"/>
    <w:rsid w:val="00581A83"/>
    <w:rsid w:val="00581B24"/>
    <w:rsid w:val="00581D41"/>
    <w:rsid w:val="00581EA7"/>
    <w:rsid w:val="00581EB9"/>
    <w:rsid w:val="00581FCA"/>
    <w:rsid w:val="00582613"/>
    <w:rsid w:val="0058272D"/>
    <w:rsid w:val="0058290E"/>
    <w:rsid w:val="0058294C"/>
    <w:rsid w:val="00582FD0"/>
    <w:rsid w:val="005831EB"/>
    <w:rsid w:val="00583219"/>
    <w:rsid w:val="005833DB"/>
    <w:rsid w:val="005834AA"/>
    <w:rsid w:val="00583965"/>
    <w:rsid w:val="00583CFC"/>
    <w:rsid w:val="00583DE0"/>
    <w:rsid w:val="00584196"/>
    <w:rsid w:val="00584380"/>
    <w:rsid w:val="00584479"/>
    <w:rsid w:val="00584679"/>
    <w:rsid w:val="0058480B"/>
    <w:rsid w:val="00584A9B"/>
    <w:rsid w:val="00584F0E"/>
    <w:rsid w:val="005850AD"/>
    <w:rsid w:val="0058637B"/>
    <w:rsid w:val="00586409"/>
    <w:rsid w:val="0058640F"/>
    <w:rsid w:val="005865E4"/>
    <w:rsid w:val="005867CE"/>
    <w:rsid w:val="00586829"/>
    <w:rsid w:val="00586BF8"/>
    <w:rsid w:val="00586E4A"/>
    <w:rsid w:val="0058726E"/>
    <w:rsid w:val="00587695"/>
    <w:rsid w:val="005879CC"/>
    <w:rsid w:val="00587A72"/>
    <w:rsid w:val="00587C90"/>
    <w:rsid w:val="00590108"/>
    <w:rsid w:val="005901D1"/>
    <w:rsid w:val="00590688"/>
    <w:rsid w:val="0059072B"/>
    <w:rsid w:val="00590933"/>
    <w:rsid w:val="00590B25"/>
    <w:rsid w:val="00590FE7"/>
    <w:rsid w:val="00591206"/>
    <w:rsid w:val="005913CD"/>
    <w:rsid w:val="00591734"/>
    <w:rsid w:val="0059199C"/>
    <w:rsid w:val="00591A6D"/>
    <w:rsid w:val="00591AAC"/>
    <w:rsid w:val="00591DEF"/>
    <w:rsid w:val="00591FEA"/>
    <w:rsid w:val="0059219E"/>
    <w:rsid w:val="005924C4"/>
    <w:rsid w:val="005929F3"/>
    <w:rsid w:val="00592BA9"/>
    <w:rsid w:val="00592C07"/>
    <w:rsid w:val="00592D90"/>
    <w:rsid w:val="00592FEF"/>
    <w:rsid w:val="0059316B"/>
    <w:rsid w:val="005932AF"/>
    <w:rsid w:val="00593423"/>
    <w:rsid w:val="005935FC"/>
    <w:rsid w:val="0059381D"/>
    <w:rsid w:val="00593821"/>
    <w:rsid w:val="005938E5"/>
    <w:rsid w:val="00594327"/>
    <w:rsid w:val="00594968"/>
    <w:rsid w:val="00594A22"/>
    <w:rsid w:val="00594BC6"/>
    <w:rsid w:val="00594C75"/>
    <w:rsid w:val="00594F35"/>
    <w:rsid w:val="00595003"/>
    <w:rsid w:val="005952E9"/>
    <w:rsid w:val="005953B5"/>
    <w:rsid w:val="0059576F"/>
    <w:rsid w:val="00595CD5"/>
    <w:rsid w:val="00595E2B"/>
    <w:rsid w:val="00595ECF"/>
    <w:rsid w:val="00596058"/>
    <w:rsid w:val="005960FE"/>
    <w:rsid w:val="005963A4"/>
    <w:rsid w:val="0059646A"/>
    <w:rsid w:val="00596552"/>
    <w:rsid w:val="0059665E"/>
    <w:rsid w:val="00596ADE"/>
    <w:rsid w:val="00596C8D"/>
    <w:rsid w:val="005972B0"/>
    <w:rsid w:val="0059751A"/>
    <w:rsid w:val="005977D6"/>
    <w:rsid w:val="00597B35"/>
    <w:rsid w:val="00597DFA"/>
    <w:rsid w:val="005A0180"/>
    <w:rsid w:val="005A0630"/>
    <w:rsid w:val="005A064F"/>
    <w:rsid w:val="005A077F"/>
    <w:rsid w:val="005A1230"/>
    <w:rsid w:val="005A125C"/>
    <w:rsid w:val="005A158B"/>
    <w:rsid w:val="005A1874"/>
    <w:rsid w:val="005A1A74"/>
    <w:rsid w:val="005A20E0"/>
    <w:rsid w:val="005A21FB"/>
    <w:rsid w:val="005A23F5"/>
    <w:rsid w:val="005A2494"/>
    <w:rsid w:val="005A2596"/>
    <w:rsid w:val="005A2610"/>
    <w:rsid w:val="005A2B76"/>
    <w:rsid w:val="005A2E15"/>
    <w:rsid w:val="005A30B5"/>
    <w:rsid w:val="005A3216"/>
    <w:rsid w:val="005A36A5"/>
    <w:rsid w:val="005A3B1B"/>
    <w:rsid w:val="005A40AD"/>
    <w:rsid w:val="005A4149"/>
    <w:rsid w:val="005A41F5"/>
    <w:rsid w:val="005A49F5"/>
    <w:rsid w:val="005A4BDF"/>
    <w:rsid w:val="005A4CA3"/>
    <w:rsid w:val="005A4CF3"/>
    <w:rsid w:val="005A5594"/>
    <w:rsid w:val="005A5831"/>
    <w:rsid w:val="005A58D3"/>
    <w:rsid w:val="005A59B4"/>
    <w:rsid w:val="005A5BBB"/>
    <w:rsid w:val="005A5C72"/>
    <w:rsid w:val="005A5E66"/>
    <w:rsid w:val="005A5EC8"/>
    <w:rsid w:val="005A60F5"/>
    <w:rsid w:val="005A615D"/>
    <w:rsid w:val="005A6353"/>
    <w:rsid w:val="005A6477"/>
    <w:rsid w:val="005A66B0"/>
    <w:rsid w:val="005A6943"/>
    <w:rsid w:val="005A69F8"/>
    <w:rsid w:val="005A72AE"/>
    <w:rsid w:val="005A7365"/>
    <w:rsid w:val="005A7547"/>
    <w:rsid w:val="005A77EA"/>
    <w:rsid w:val="005A7F8F"/>
    <w:rsid w:val="005B0162"/>
    <w:rsid w:val="005B07E0"/>
    <w:rsid w:val="005B0CA0"/>
    <w:rsid w:val="005B0DD1"/>
    <w:rsid w:val="005B154C"/>
    <w:rsid w:val="005B1627"/>
    <w:rsid w:val="005B16DD"/>
    <w:rsid w:val="005B1AAC"/>
    <w:rsid w:val="005B20D8"/>
    <w:rsid w:val="005B2168"/>
    <w:rsid w:val="005B291C"/>
    <w:rsid w:val="005B298D"/>
    <w:rsid w:val="005B2A33"/>
    <w:rsid w:val="005B2DD3"/>
    <w:rsid w:val="005B3045"/>
    <w:rsid w:val="005B33B9"/>
    <w:rsid w:val="005B3448"/>
    <w:rsid w:val="005B3496"/>
    <w:rsid w:val="005B35CA"/>
    <w:rsid w:val="005B3646"/>
    <w:rsid w:val="005B3957"/>
    <w:rsid w:val="005B39C7"/>
    <w:rsid w:val="005B43AD"/>
    <w:rsid w:val="005B4412"/>
    <w:rsid w:val="005B4507"/>
    <w:rsid w:val="005B475B"/>
    <w:rsid w:val="005B4B03"/>
    <w:rsid w:val="005B5346"/>
    <w:rsid w:val="005B591C"/>
    <w:rsid w:val="005B5B40"/>
    <w:rsid w:val="005B5E81"/>
    <w:rsid w:val="005B5EBC"/>
    <w:rsid w:val="005B5FF9"/>
    <w:rsid w:val="005B6270"/>
    <w:rsid w:val="005B65E5"/>
    <w:rsid w:val="005B673A"/>
    <w:rsid w:val="005B6EBA"/>
    <w:rsid w:val="005B6F83"/>
    <w:rsid w:val="005B7158"/>
    <w:rsid w:val="005B7A48"/>
    <w:rsid w:val="005B7A75"/>
    <w:rsid w:val="005B7AA4"/>
    <w:rsid w:val="005B7B0D"/>
    <w:rsid w:val="005B7C71"/>
    <w:rsid w:val="005C03B3"/>
    <w:rsid w:val="005C05E2"/>
    <w:rsid w:val="005C061E"/>
    <w:rsid w:val="005C0874"/>
    <w:rsid w:val="005C08CD"/>
    <w:rsid w:val="005C0949"/>
    <w:rsid w:val="005C099D"/>
    <w:rsid w:val="005C0B7E"/>
    <w:rsid w:val="005C0C30"/>
    <w:rsid w:val="005C0D82"/>
    <w:rsid w:val="005C192C"/>
    <w:rsid w:val="005C19AE"/>
    <w:rsid w:val="005C1F08"/>
    <w:rsid w:val="005C20A8"/>
    <w:rsid w:val="005C25AA"/>
    <w:rsid w:val="005C28E6"/>
    <w:rsid w:val="005C2CCB"/>
    <w:rsid w:val="005C2FB0"/>
    <w:rsid w:val="005C3A65"/>
    <w:rsid w:val="005C3B2B"/>
    <w:rsid w:val="005C3BF3"/>
    <w:rsid w:val="005C3E17"/>
    <w:rsid w:val="005C40F3"/>
    <w:rsid w:val="005C4181"/>
    <w:rsid w:val="005C44A6"/>
    <w:rsid w:val="005C4640"/>
    <w:rsid w:val="005C4ED5"/>
    <w:rsid w:val="005C512F"/>
    <w:rsid w:val="005C528E"/>
    <w:rsid w:val="005C5316"/>
    <w:rsid w:val="005C538F"/>
    <w:rsid w:val="005C5428"/>
    <w:rsid w:val="005C54B1"/>
    <w:rsid w:val="005C5677"/>
    <w:rsid w:val="005C5790"/>
    <w:rsid w:val="005C616F"/>
    <w:rsid w:val="005C6209"/>
    <w:rsid w:val="005C6F3B"/>
    <w:rsid w:val="005C7342"/>
    <w:rsid w:val="005C7403"/>
    <w:rsid w:val="005C7505"/>
    <w:rsid w:val="005C7913"/>
    <w:rsid w:val="005C7D13"/>
    <w:rsid w:val="005C7FEF"/>
    <w:rsid w:val="005D00A2"/>
    <w:rsid w:val="005D01D9"/>
    <w:rsid w:val="005D0247"/>
    <w:rsid w:val="005D0795"/>
    <w:rsid w:val="005D08D2"/>
    <w:rsid w:val="005D0A84"/>
    <w:rsid w:val="005D0B1E"/>
    <w:rsid w:val="005D171D"/>
    <w:rsid w:val="005D191A"/>
    <w:rsid w:val="005D1A91"/>
    <w:rsid w:val="005D1B88"/>
    <w:rsid w:val="005D1DC2"/>
    <w:rsid w:val="005D1DF1"/>
    <w:rsid w:val="005D1E74"/>
    <w:rsid w:val="005D1FEE"/>
    <w:rsid w:val="005D2375"/>
    <w:rsid w:val="005D2829"/>
    <w:rsid w:val="005D284B"/>
    <w:rsid w:val="005D28B5"/>
    <w:rsid w:val="005D28C8"/>
    <w:rsid w:val="005D29DE"/>
    <w:rsid w:val="005D2B8A"/>
    <w:rsid w:val="005D2CD7"/>
    <w:rsid w:val="005D2CE2"/>
    <w:rsid w:val="005D2DA5"/>
    <w:rsid w:val="005D2F3E"/>
    <w:rsid w:val="005D32CA"/>
    <w:rsid w:val="005D3738"/>
    <w:rsid w:val="005D3AC9"/>
    <w:rsid w:val="005D3CE1"/>
    <w:rsid w:val="005D3D4C"/>
    <w:rsid w:val="005D3F74"/>
    <w:rsid w:val="005D4209"/>
    <w:rsid w:val="005D4286"/>
    <w:rsid w:val="005D42C9"/>
    <w:rsid w:val="005D44CD"/>
    <w:rsid w:val="005D455A"/>
    <w:rsid w:val="005D4640"/>
    <w:rsid w:val="005D475E"/>
    <w:rsid w:val="005D4B77"/>
    <w:rsid w:val="005D4C0A"/>
    <w:rsid w:val="005D57FA"/>
    <w:rsid w:val="005D5830"/>
    <w:rsid w:val="005D5AB7"/>
    <w:rsid w:val="005D5C54"/>
    <w:rsid w:val="005D5DED"/>
    <w:rsid w:val="005D5E96"/>
    <w:rsid w:val="005D5E9E"/>
    <w:rsid w:val="005D65DC"/>
    <w:rsid w:val="005D6696"/>
    <w:rsid w:val="005D68DA"/>
    <w:rsid w:val="005D7636"/>
    <w:rsid w:val="005D772D"/>
    <w:rsid w:val="005D7835"/>
    <w:rsid w:val="005D790C"/>
    <w:rsid w:val="005D7BF0"/>
    <w:rsid w:val="005D7C36"/>
    <w:rsid w:val="005D7E75"/>
    <w:rsid w:val="005E070F"/>
    <w:rsid w:val="005E07B8"/>
    <w:rsid w:val="005E07E6"/>
    <w:rsid w:val="005E094B"/>
    <w:rsid w:val="005E0A21"/>
    <w:rsid w:val="005E0AB8"/>
    <w:rsid w:val="005E0D32"/>
    <w:rsid w:val="005E1038"/>
    <w:rsid w:val="005E18C3"/>
    <w:rsid w:val="005E192A"/>
    <w:rsid w:val="005E198E"/>
    <w:rsid w:val="005E1C87"/>
    <w:rsid w:val="005E1DA2"/>
    <w:rsid w:val="005E1F83"/>
    <w:rsid w:val="005E20F3"/>
    <w:rsid w:val="005E20FE"/>
    <w:rsid w:val="005E2C0A"/>
    <w:rsid w:val="005E2C47"/>
    <w:rsid w:val="005E2F4E"/>
    <w:rsid w:val="005E38DA"/>
    <w:rsid w:val="005E3C35"/>
    <w:rsid w:val="005E3CC8"/>
    <w:rsid w:val="005E3CEE"/>
    <w:rsid w:val="005E3D26"/>
    <w:rsid w:val="005E3F0C"/>
    <w:rsid w:val="005E4190"/>
    <w:rsid w:val="005E43EC"/>
    <w:rsid w:val="005E440D"/>
    <w:rsid w:val="005E4465"/>
    <w:rsid w:val="005E4788"/>
    <w:rsid w:val="005E4862"/>
    <w:rsid w:val="005E48E4"/>
    <w:rsid w:val="005E497B"/>
    <w:rsid w:val="005E5078"/>
    <w:rsid w:val="005E562C"/>
    <w:rsid w:val="005E593C"/>
    <w:rsid w:val="005E5A62"/>
    <w:rsid w:val="005E5E6A"/>
    <w:rsid w:val="005E5FCF"/>
    <w:rsid w:val="005E60E7"/>
    <w:rsid w:val="005E65CC"/>
    <w:rsid w:val="005E6717"/>
    <w:rsid w:val="005E67B9"/>
    <w:rsid w:val="005E7273"/>
    <w:rsid w:val="005E74B6"/>
    <w:rsid w:val="005E75DD"/>
    <w:rsid w:val="005E78A5"/>
    <w:rsid w:val="005E7A41"/>
    <w:rsid w:val="005F0116"/>
    <w:rsid w:val="005F08E3"/>
    <w:rsid w:val="005F0A12"/>
    <w:rsid w:val="005F0D67"/>
    <w:rsid w:val="005F1055"/>
    <w:rsid w:val="005F11F0"/>
    <w:rsid w:val="005F14D4"/>
    <w:rsid w:val="005F14EB"/>
    <w:rsid w:val="005F1676"/>
    <w:rsid w:val="005F21E7"/>
    <w:rsid w:val="005F2368"/>
    <w:rsid w:val="005F242A"/>
    <w:rsid w:val="005F26F8"/>
    <w:rsid w:val="005F28B4"/>
    <w:rsid w:val="005F29FF"/>
    <w:rsid w:val="005F2A85"/>
    <w:rsid w:val="005F2B37"/>
    <w:rsid w:val="005F2C64"/>
    <w:rsid w:val="005F3012"/>
    <w:rsid w:val="005F346D"/>
    <w:rsid w:val="005F35E7"/>
    <w:rsid w:val="005F3A60"/>
    <w:rsid w:val="005F4029"/>
    <w:rsid w:val="005F4198"/>
    <w:rsid w:val="005F450E"/>
    <w:rsid w:val="005F48FA"/>
    <w:rsid w:val="005F4A40"/>
    <w:rsid w:val="005F4AE6"/>
    <w:rsid w:val="005F4CC5"/>
    <w:rsid w:val="005F4DDE"/>
    <w:rsid w:val="005F50B1"/>
    <w:rsid w:val="005F53FF"/>
    <w:rsid w:val="005F543E"/>
    <w:rsid w:val="005F5599"/>
    <w:rsid w:val="005F5963"/>
    <w:rsid w:val="005F59A4"/>
    <w:rsid w:val="005F5DF6"/>
    <w:rsid w:val="005F5F00"/>
    <w:rsid w:val="005F603D"/>
    <w:rsid w:val="005F607B"/>
    <w:rsid w:val="005F624D"/>
    <w:rsid w:val="005F6753"/>
    <w:rsid w:val="005F6999"/>
    <w:rsid w:val="005F6AE2"/>
    <w:rsid w:val="005F6C75"/>
    <w:rsid w:val="005F6D36"/>
    <w:rsid w:val="005F6E88"/>
    <w:rsid w:val="005F715D"/>
    <w:rsid w:val="005F71F6"/>
    <w:rsid w:val="005F77C1"/>
    <w:rsid w:val="005F7A49"/>
    <w:rsid w:val="005F7A6D"/>
    <w:rsid w:val="0060006A"/>
    <w:rsid w:val="006000EE"/>
    <w:rsid w:val="0060025E"/>
    <w:rsid w:val="006002D6"/>
    <w:rsid w:val="00600F8C"/>
    <w:rsid w:val="00601301"/>
    <w:rsid w:val="006013CB"/>
    <w:rsid w:val="006014AD"/>
    <w:rsid w:val="006015A0"/>
    <w:rsid w:val="00601962"/>
    <w:rsid w:val="00601B38"/>
    <w:rsid w:val="00601DDA"/>
    <w:rsid w:val="006021F8"/>
    <w:rsid w:val="006022EE"/>
    <w:rsid w:val="00602D07"/>
    <w:rsid w:val="00603C61"/>
    <w:rsid w:val="00603EF9"/>
    <w:rsid w:val="00604026"/>
    <w:rsid w:val="006040D2"/>
    <w:rsid w:val="006040E7"/>
    <w:rsid w:val="006041B0"/>
    <w:rsid w:val="00604270"/>
    <w:rsid w:val="0060473D"/>
    <w:rsid w:val="006048CF"/>
    <w:rsid w:val="00604AA8"/>
    <w:rsid w:val="00605330"/>
    <w:rsid w:val="006055DE"/>
    <w:rsid w:val="00605788"/>
    <w:rsid w:val="00605A2E"/>
    <w:rsid w:val="00605ECD"/>
    <w:rsid w:val="006061D5"/>
    <w:rsid w:val="00606221"/>
    <w:rsid w:val="006066D3"/>
    <w:rsid w:val="00606927"/>
    <w:rsid w:val="00606ADE"/>
    <w:rsid w:val="00606B23"/>
    <w:rsid w:val="00607324"/>
    <w:rsid w:val="00607623"/>
    <w:rsid w:val="00607808"/>
    <w:rsid w:val="00607821"/>
    <w:rsid w:val="00607947"/>
    <w:rsid w:val="00607D01"/>
    <w:rsid w:val="00610286"/>
    <w:rsid w:val="00610731"/>
    <w:rsid w:val="00610D9C"/>
    <w:rsid w:val="00610E5F"/>
    <w:rsid w:val="00611235"/>
    <w:rsid w:val="0061138F"/>
    <w:rsid w:val="00611680"/>
    <w:rsid w:val="0061169D"/>
    <w:rsid w:val="0061186B"/>
    <w:rsid w:val="00611A48"/>
    <w:rsid w:val="0061234A"/>
    <w:rsid w:val="0061237F"/>
    <w:rsid w:val="006123B4"/>
    <w:rsid w:val="00612760"/>
    <w:rsid w:val="0061282A"/>
    <w:rsid w:val="00612961"/>
    <w:rsid w:val="00612F2E"/>
    <w:rsid w:val="00613152"/>
    <w:rsid w:val="00613250"/>
    <w:rsid w:val="0061339E"/>
    <w:rsid w:val="006134AF"/>
    <w:rsid w:val="006134E2"/>
    <w:rsid w:val="006135C1"/>
    <w:rsid w:val="00613CDB"/>
    <w:rsid w:val="00613F1E"/>
    <w:rsid w:val="00613FDD"/>
    <w:rsid w:val="006145F1"/>
    <w:rsid w:val="0061485E"/>
    <w:rsid w:val="00614B96"/>
    <w:rsid w:val="006151D6"/>
    <w:rsid w:val="006156BA"/>
    <w:rsid w:val="00615733"/>
    <w:rsid w:val="00615C8C"/>
    <w:rsid w:val="00615CBB"/>
    <w:rsid w:val="00616545"/>
    <w:rsid w:val="006169EA"/>
    <w:rsid w:val="00616E9B"/>
    <w:rsid w:val="00617212"/>
    <w:rsid w:val="00617399"/>
    <w:rsid w:val="006174DC"/>
    <w:rsid w:val="00617EA4"/>
    <w:rsid w:val="00620316"/>
    <w:rsid w:val="00620518"/>
    <w:rsid w:val="00620AF2"/>
    <w:rsid w:val="00620E19"/>
    <w:rsid w:val="00620FF3"/>
    <w:rsid w:val="00621047"/>
    <w:rsid w:val="00621094"/>
    <w:rsid w:val="00621262"/>
    <w:rsid w:val="00621472"/>
    <w:rsid w:val="006214A4"/>
    <w:rsid w:val="006215EE"/>
    <w:rsid w:val="00621761"/>
    <w:rsid w:val="006217EA"/>
    <w:rsid w:val="00621855"/>
    <w:rsid w:val="00621F28"/>
    <w:rsid w:val="00621F55"/>
    <w:rsid w:val="006221DA"/>
    <w:rsid w:val="006225D8"/>
    <w:rsid w:val="00622770"/>
    <w:rsid w:val="00622CDA"/>
    <w:rsid w:val="00622CE3"/>
    <w:rsid w:val="00622FFD"/>
    <w:rsid w:val="006233F7"/>
    <w:rsid w:val="00623E28"/>
    <w:rsid w:val="0062408A"/>
    <w:rsid w:val="006240C6"/>
    <w:rsid w:val="0062448A"/>
    <w:rsid w:val="0062461F"/>
    <w:rsid w:val="0062465B"/>
    <w:rsid w:val="00624768"/>
    <w:rsid w:val="00624871"/>
    <w:rsid w:val="00624893"/>
    <w:rsid w:val="006248D5"/>
    <w:rsid w:val="00624F89"/>
    <w:rsid w:val="0062576A"/>
    <w:rsid w:val="00625B4D"/>
    <w:rsid w:val="00625BDB"/>
    <w:rsid w:val="00625C21"/>
    <w:rsid w:val="00625D6C"/>
    <w:rsid w:val="00625FF5"/>
    <w:rsid w:val="006263A9"/>
    <w:rsid w:val="00626478"/>
    <w:rsid w:val="006267D5"/>
    <w:rsid w:val="00626CBA"/>
    <w:rsid w:val="006276EB"/>
    <w:rsid w:val="00627723"/>
    <w:rsid w:val="006277EB"/>
    <w:rsid w:val="006278BA"/>
    <w:rsid w:val="006279BA"/>
    <w:rsid w:val="00627B1D"/>
    <w:rsid w:val="00630828"/>
    <w:rsid w:val="006308A0"/>
    <w:rsid w:val="00630910"/>
    <w:rsid w:val="00630985"/>
    <w:rsid w:val="00630A98"/>
    <w:rsid w:val="00630C84"/>
    <w:rsid w:val="00630F58"/>
    <w:rsid w:val="006313BF"/>
    <w:rsid w:val="00631635"/>
    <w:rsid w:val="006317FF"/>
    <w:rsid w:val="00631C34"/>
    <w:rsid w:val="00631C48"/>
    <w:rsid w:val="006328D5"/>
    <w:rsid w:val="00632AD3"/>
    <w:rsid w:val="00632AEE"/>
    <w:rsid w:val="00632BBE"/>
    <w:rsid w:val="00633145"/>
    <w:rsid w:val="00633301"/>
    <w:rsid w:val="006334A3"/>
    <w:rsid w:val="0063374F"/>
    <w:rsid w:val="00633AF5"/>
    <w:rsid w:val="00633B1C"/>
    <w:rsid w:val="00633B81"/>
    <w:rsid w:val="00633CA5"/>
    <w:rsid w:val="00633E79"/>
    <w:rsid w:val="006341CF"/>
    <w:rsid w:val="00634807"/>
    <w:rsid w:val="006348BC"/>
    <w:rsid w:val="00634D1F"/>
    <w:rsid w:val="00635B17"/>
    <w:rsid w:val="00635EEE"/>
    <w:rsid w:val="006364F9"/>
    <w:rsid w:val="00636957"/>
    <w:rsid w:val="0063695F"/>
    <w:rsid w:val="006369DE"/>
    <w:rsid w:val="00636ACB"/>
    <w:rsid w:val="00636CBE"/>
    <w:rsid w:val="00636CE6"/>
    <w:rsid w:val="00636FF4"/>
    <w:rsid w:val="0063705F"/>
    <w:rsid w:val="00637704"/>
    <w:rsid w:val="0063777D"/>
    <w:rsid w:val="00637886"/>
    <w:rsid w:val="006378AE"/>
    <w:rsid w:val="00637A18"/>
    <w:rsid w:val="00637D4A"/>
    <w:rsid w:val="00637FA7"/>
    <w:rsid w:val="006406F9"/>
    <w:rsid w:val="00640A12"/>
    <w:rsid w:val="00640C27"/>
    <w:rsid w:val="00640C2E"/>
    <w:rsid w:val="00640EBD"/>
    <w:rsid w:val="00640EF1"/>
    <w:rsid w:val="006412F2"/>
    <w:rsid w:val="0064141E"/>
    <w:rsid w:val="0064162F"/>
    <w:rsid w:val="006416EA"/>
    <w:rsid w:val="006419AE"/>
    <w:rsid w:val="00641A7B"/>
    <w:rsid w:val="00641BEC"/>
    <w:rsid w:val="00641CC0"/>
    <w:rsid w:val="00641D34"/>
    <w:rsid w:val="00641F14"/>
    <w:rsid w:val="006422BC"/>
    <w:rsid w:val="006424E8"/>
    <w:rsid w:val="0064262C"/>
    <w:rsid w:val="00642641"/>
    <w:rsid w:val="0064274D"/>
    <w:rsid w:val="006429E1"/>
    <w:rsid w:val="00642AFB"/>
    <w:rsid w:val="00642C16"/>
    <w:rsid w:val="0064318D"/>
    <w:rsid w:val="00643301"/>
    <w:rsid w:val="00643448"/>
    <w:rsid w:val="006438EF"/>
    <w:rsid w:val="00643DB4"/>
    <w:rsid w:val="00643F0E"/>
    <w:rsid w:val="00644099"/>
    <w:rsid w:val="0064449D"/>
    <w:rsid w:val="0064453E"/>
    <w:rsid w:val="006445ED"/>
    <w:rsid w:val="0064476C"/>
    <w:rsid w:val="0064486F"/>
    <w:rsid w:val="00644A81"/>
    <w:rsid w:val="00644B62"/>
    <w:rsid w:val="00644DCC"/>
    <w:rsid w:val="00644E62"/>
    <w:rsid w:val="00644EB7"/>
    <w:rsid w:val="00644F0E"/>
    <w:rsid w:val="00645202"/>
    <w:rsid w:val="00645479"/>
    <w:rsid w:val="006458F9"/>
    <w:rsid w:val="00645939"/>
    <w:rsid w:val="006459E9"/>
    <w:rsid w:val="00645A50"/>
    <w:rsid w:val="00645D51"/>
    <w:rsid w:val="00645E86"/>
    <w:rsid w:val="00646110"/>
    <w:rsid w:val="006463B9"/>
    <w:rsid w:val="00646C66"/>
    <w:rsid w:val="00646D06"/>
    <w:rsid w:val="00646ED9"/>
    <w:rsid w:val="00646F34"/>
    <w:rsid w:val="0064724E"/>
    <w:rsid w:val="00647259"/>
    <w:rsid w:val="006473EB"/>
    <w:rsid w:val="00647462"/>
    <w:rsid w:val="00647772"/>
    <w:rsid w:val="00647A0E"/>
    <w:rsid w:val="00647B95"/>
    <w:rsid w:val="00647BD3"/>
    <w:rsid w:val="00647D38"/>
    <w:rsid w:val="00647E3C"/>
    <w:rsid w:val="00647EB8"/>
    <w:rsid w:val="00647F16"/>
    <w:rsid w:val="00650485"/>
    <w:rsid w:val="00650677"/>
    <w:rsid w:val="006506EA"/>
    <w:rsid w:val="00650BDA"/>
    <w:rsid w:val="00650C6C"/>
    <w:rsid w:val="00650E6F"/>
    <w:rsid w:val="00651420"/>
    <w:rsid w:val="00651618"/>
    <w:rsid w:val="006516C3"/>
    <w:rsid w:val="006518C5"/>
    <w:rsid w:val="006518EE"/>
    <w:rsid w:val="00651CEE"/>
    <w:rsid w:val="006520BA"/>
    <w:rsid w:val="00652566"/>
    <w:rsid w:val="00652E9C"/>
    <w:rsid w:val="00653076"/>
    <w:rsid w:val="0065342D"/>
    <w:rsid w:val="00653E00"/>
    <w:rsid w:val="00653FA8"/>
    <w:rsid w:val="0065424F"/>
    <w:rsid w:val="006542A4"/>
    <w:rsid w:val="00654A40"/>
    <w:rsid w:val="00654AAE"/>
    <w:rsid w:val="00654B30"/>
    <w:rsid w:val="00654C78"/>
    <w:rsid w:val="006551C4"/>
    <w:rsid w:val="0065532A"/>
    <w:rsid w:val="006553AD"/>
    <w:rsid w:val="006553E2"/>
    <w:rsid w:val="0065552B"/>
    <w:rsid w:val="006557C2"/>
    <w:rsid w:val="00655C2E"/>
    <w:rsid w:val="00655CC9"/>
    <w:rsid w:val="00655D0C"/>
    <w:rsid w:val="00655D6B"/>
    <w:rsid w:val="0065615F"/>
    <w:rsid w:val="006564DC"/>
    <w:rsid w:val="006564E0"/>
    <w:rsid w:val="00656561"/>
    <w:rsid w:val="006567EE"/>
    <w:rsid w:val="00656929"/>
    <w:rsid w:val="00656BB9"/>
    <w:rsid w:val="00656C5F"/>
    <w:rsid w:val="006571D5"/>
    <w:rsid w:val="00657B36"/>
    <w:rsid w:val="00657CA3"/>
    <w:rsid w:val="00657DB6"/>
    <w:rsid w:val="00660054"/>
    <w:rsid w:val="00660454"/>
    <w:rsid w:val="00660547"/>
    <w:rsid w:val="006606AA"/>
    <w:rsid w:val="00660727"/>
    <w:rsid w:val="006608B8"/>
    <w:rsid w:val="006608CF"/>
    <w:rsid w:val="00660AF9"/>
    <w:rsid w:val="006611A9"/>
    <w:rsid w:val="00661261"/>
    <w:rsid w:val="006612C0"/>
    <w:rsid w:val="006612CC"/>
    <w:rsid w:val="00661343"/>
    <w:rsid w:val="00661443"/>
    <w:rsid w:val="0066151D"/>
    <w:rsid w:val="00661579"/>
    <w:rsid w:val="0066168F"/>
    <w:rsid w:val="006619FD"/>
    <w:rsid w:val="00661D1C"/>
    <w:rsid w:val="00661DE7"/>
    <w:rsid w:val="00661E80"/>
    <w:rsid w:val="0066214B"/>
    <w:rsid w:val="00662166"/>
    <w:rsid w:val="0066227F"/>
    <w:rsid w:val="00662349"/>
    <w:rsid w:val="00662532"/>
    <w:rsid w:val="006626E4"/>
    <w:rsid w:val="00662A3B"/>
    <w:rsid w:val="00662A53"/>
    <w:rsid w:val="00662BB8"/>
    <w:rsid w:val="00663116"/>
    <w:rsid w:val="00663477"/>
    <w:rsid w:val="0066407A"/>
    <w:rsid w:val="006641B4"/>
    <w:rsid w:val="0066469C"/>
    <w:rsid w:val="00664948"/>
    <w:rsid w:val="00664A0C"/>
    <w:rsid w:val="00664CF5"/>
    <w:rsid w:val="00664FD1"/>
    <w:rsid w:val="006650A6"/>
    <w:rsid w:val="00665179"/>
    <w:rsid w:val="006653A4"/>
    <w:rsid w:val="006657A0"/>
    <w:rsid w:val="00665AD0"/>
    <w:rsid w:val="00665C2A"/>
    <w:rsid w:val="00665E68"/>
    <w:rsid w:val="00666123"/>
    <w:rsid w:val="00666286"/>
    <w:rsid w:val="00666301"/>
    <w:rsid w:val="0066665E"/>
    <w:rsid w:val="00666777"/>
    <w:rsid w:val="00666E41"/>
    <w:rsid w:val="00666E71"/>
    <w:rsid w:val="00666F9E"/>
    <w:rsid w:val="00667482"/>
    <w:rsid w:val="006676B5"/>
    <w:rsid w:val="006677FE"/>
    <w:rsid w:val="0066796A"/>
    <w:rsid w:val="00667BE7"/>
    <w:rsid w:val="00667CB2"/>
    <w:rsid w:val="0067002D"/>
    <w:rsid w:val="006705BD"/>
    <w:rsid w:val="00670F0E"/>
    <w:rsid w:val="00671125"/>
    <w:rsid w:val="006716AA"/>
    <w:rsid w:val="006716F8"/>
    <w:rsid w:val="00671824"/>
    <w:rsid w:val="00671832"/>
    <w:rsid w:val="00671A4F"/>
    <w:rsid w:val="006720FD"/>
    <w:rsid w:val="00672186"/>
    <w:rsid w:val="006722B0"/>
    <w:rsid w:val="00672447"/>
    <w:rsid w:val="00672787"/>
    <w:rsid w:val="00672A82"/>
    <w:rsid w:val="00672D16"/>
    <w:rsid w:val="00672E02"/>
    <w:rsid w:val="00672E1C"/>
    <w:rsid w:val="00673001"/>
    <w:rsid w:val="0067329E"/>
    <w:rsid w:val="006732C6"/>
    <w:rsid w:val="0067330C"/>
    <w:rsid w:val="006734CD"/>
    <w:rsid w:val="006736A2"/>
    <w:rsid w:val="0067378A"/>
    <w:rsid w:val="00673CA8"/>
    <w:rsid w:val="00673D59"/>
    <w:rsid w:val="00674061"/>
    <w:rsid w:val="0067412B"/>
    <w:rsid w:val="006743F5"/>
    <w:rsid w:val="006744CC"/>
    <w:rsid w:val="00674938"/>
    <w:rsid w:val="006749CE"/>
    <w:rsid w:val="00674BB9"/>
    <w:rsid w:val="00674C10"/>
    <w:rsid w:val="006751F9"/>
    <w:rsid w:val="00675468"/>
    <w:rsid w:val="00675495"/>
    <w:rsid w:val="0067556C"/>
    <w:rsid w:val="006755A1"/>
    <w:rsid w:val="006755E5"/>
    <w:rsid w:val="0067565F"/>
    <w:rsid w:val="0067589E"/>
    <w:rsid w:val="00675A10"/>
    <w:rsid w:val="00675F14"/>
    <w:rsid w:val="00676070"/>
    <w:rsid w:val="006760BC"/>
    <w:rsid w:val="006765E2"/>
    <w:rsid w:val="0067660A"/>
    <w:rsid w:val="00676774"/>
    <w:rsid w:val="00676860"/>
    <w:rsid w:val="00676B3F"/>
    <w:rsid w:val="00676C4B"/>
    <w:rsid w:val="00676F43"/>
    <w:rsid w:val="00677105"/>
    <w:rsid w:val="006771A6"/>
    <w:rsid w:val="006773E1"/>
    <w:rsid w:val="0067745C"/>
    <w:rsid w:val="006775B4"/>
    <w:rsid w:val="006775ED"/>
    <w:rsid w:val="0067766E"/>
    <w:rsid w:val="006776B4"/>
    <w:rsid w:val="00677E78"/>
    <w:rsid w:val="00677F19"/>
    <w:rsid w:val="0068028A"/>
    <w:rsid w:val="006811FB"/>
    <w:rsid w:val="0068123B"/>
    <w:rsid w:val="006814F3"/>
    <w:rsid w:val="00681B8C"/>
    <w:rsid w:val="00681BDF"/>
    <w:rsid w:val="00681E2D"/>
    <w:rsid w:val="00681E70"/>
    <w:rsid w:val="00681EB5"/>
    <w:rsid w:val="006820C9"/>
    <w:rsid w:val="006827F4"/>
    <w:rsid w:val="006829FD"/>
    <w:rsid w:val="00682A5A"/>
    <w:rsid w:val="00682F32"/>
    <w:rsid w:val="00682F9C"/>
    <w:rsid w:val="006830F3"/>
    <w:rsid w:val="00683359"/>
    <w:rsid w:val="0068350A"/>
    <w:rsid w:val="00683AB9"/>
    <w:rsid w:val="00683CE2"/>
    <w:rsid w:val="006840C7"/>
    <w:rsid w:val="00684137"/>
    <w:rsid w:val="00684449"/>
    <w:rsid w:val="006844BB"/>
    <w:rsid w:val="0068461F"/>
    <w:rsid w:val="00684EF5"/>
    <w:rsid w:val="00684FF9"/>
    <w:rsid w:val="00685969"/>
    <w:rsid w:val="00685CA7"/>
    <w:rsid w:val="00685D8D"/>
    <w:rsid w:val="00686302"/>
    <w:rsid w:val="006863C5"/>
    <w:rsid w:val="006864A8"/>
    <w:rsid w:val="00686519"/>
    <w:rsid w:val="00686C02"/>
    <w:rsid w:val="00686CBE"/>
    <w:rsid w:val="00687106"/>
    <w:rsid w:val="006873F6"/>
    <w:rsid w:val="006874B5"/>
    <w:rsid w:val="006876E2"/>
    <w:rsid w:val="00687C72"/>
    <w:rsid w:val="0069040E"/>
    <w:rsid w:val="0069066E"/>
    <w:rsid w:val="006907D5"/>
    <w:rsid w:val="00690D84"/>
    <w:rsid w:val="00690FEE"/>
    <w:rsid w:val="0069111F"/>
    <w:rsid w:val="00691213"/>
    <w:rsid w:val="006914F3"/>
    <w:rsid w:val="006918F1"/>
    <w:rsid w:val="006919EE"/>
    <w:rsid w:val="0069265B"/>
    <w:rsid w:val="006926B3"/>
    <w:rsid w:val="00692777"/>
    <w:rsid w:val="00692C39"/>
    <w:rsid w:val="00693109"/>
    <w:rsid w:val="006937BC"/>
    <w:rsid w:val="00693CA3"/>
    <w:rsid w:val="00693EB9"/>
    <w:rsid w:val="0069412D"/>
    <w:rsid w:val="0069426E"/>
    <w:rsid w:val="00694455"/>
    <w:rsid w:val="00694D77"/>
    <w:rsid w:val="00694EBF"/>
    <w:rsid w:val="0069531E"/>
    <w:rsid w:val="006956D4"/>
    <w:rsid w:val="006956E1"/>
    <w:rsid w:val="00695731"/>
    <w:rsid w:val="006957FC"/>
    <w:rsid w:val="00695928"/>
    <w:rsid w:val="00695BAF"/>
    <w:rsid w:val="00695BF5"/>
    <w:rsid w:val="00695DDE"/>
    <w:rsid w:val="00695EE2"/>
    <w:rsid w:val="00695FAA"/>
    <w:rsid w:val="00696330"/>
    <w:rsid w:val="006963D0"/>
    <w:rsid w:val="00696594"/>
    <w:rsid w:val="00696B06"/>
    <w:rsid w:val="00696C06"/>
    <w:rsid w:val="0069723C"/>
    <w:rsid w:val="006972D3"/>
    <w:rsid w:val="0069761E"/>
    <w:rsid w:val="00697918"/>
    <w:rsid w:val="00697AE2"/>
    <w:rsid w:val="00697AEE"/>
    <w:rsid w:val="00697D1A"/>
    <w:rsid w:val="00697D5F"/>
    <w:rsid w:val="00697E23"/>
    <w:rsid w:val="00697F8E"/>
    <w:rsid w:val="006A03A4"/>
    <w:rsid w:val="006A03A9"/>
    <w:rsid w:val="006A03AC"/>
    <w:rsid w:val="006A064A"/>
    <w:rsid w:val="006A0815"/>
    <w:rsid w:val="006A0875"/>
    <w:rsid w:val="006A0CCA"/>
    <w:rsid w:val="006A0CFC"/>
    <w:rsid w:val="006A1144"/>
    <w:rsid w:val="006A13EB"/>
    <w:rsid w:val="006A14EB"/>
    <w:rsid w:val="006A1828"/>
    <w:rsid w:val="006A1A69"/>
    <w:rsid w:val="006A1F73"/>
    <w:rsid w:val="006A1FF0"/>
    <w:rsid w:val="006A27A4"/>
    <w:rsid w:val="006A28F3"/>
    <w:rsid w:val="006A2A9E"/>
    <w:rsid w:val="006A2D78"/>
    <w:rsid w:val="006A2EE6"/>
    <w:rsid w:val="006A31F0"/>
    <w:rsid w:val="006A433F"/>
    <w:rsid w:val="006A4AF0"/>
    <w:rsid w:val="006A4D8D"/>
    <w:rsid w:val="006A5248"/>
    <w:rsid w:val="006A5313"/>
    <w:rsid w:val="006A55B2"/>
    <w:rsid w:val="006A5814"/>
    <w:rsid w:val="006A5D71"/>
    <w:rsid w:val="006A5F72"/>
    <w:rsid w:val="006A61BE"/>
    <w:rsid w:val="006A6333"/>
    <w:rsid w:val="006A6587"/>
    <w:rsid w:val="006A6695"/>
    <w:rsid w:val="006A6907"/>
    <w:rsid w:val="006A6B9A"/>
    <w:rsid w:val="006A6D61"/>
    <w:rsid w:val="006A6E87"/>
    <w:rsid w:val="006A6E93"/>
    <w:rsid w:val="006A6FD9"/>
    <w:rsid w:val="006A6FE4"/>
    <w:rsid w:val="006A717D"/>
    <w:rsid w:val="006A742C"/>
    <w:rsid w:val="006A7861"/>
    <w:rsid w:val="006A788D"/>
    <w:rsid w:val="006A7BD7"/>
    <w:rsid w:val="006B0074"/>
    <w:rsid w:val="006B00BB"/>
    <w:rsid w:val="006B043D"/>
    <w:rsid w:val="006B0450"/>
    <w:rsid w:val="006B0A4F"/>
    <w:rsid w:val="006B0C31"/>
    <w:rsid w:val="006B0D16"/>
    <w:rsid w:val="006B0DFF"/>
    <w:rsid w:val="006B0EAF"/>
    <w:rsid w:val="006B13EB"/>
    <w:rsid w:val="006B1915"/>
    <w:rsid w:val="006B1F85"/>
    <w:rsid w:val="006B20D9"/>
    <w:rsid w:val="006B262D"/>
    <w:rsid w:val="006B27C9"/>
    <w:rsid w:val="006B290F"/>
    <w:rsid w:val="006B2D6C"/>
    <w:rsid w:val="006B2FAD"/>
    <w:rsid w:val="006B3067"/>
    <w:rsid w:val="006B318B"/>
    <w:rsid w:val="006B329C"/>
    <w:rsid w:val="006B32BB"/>
    <w:rsid w:val="006B3595"/>
    <w:rsid w:val="006B37A0"/>
    <w:rsid w:val="006B3A10"/>
    <w:rsid w:val="006B3AF7"/>
    <w:rsid w:val="006B3C28"/>
    <w:rsid w:val="006B3FC9"/>
    <w:rsid w:val="006B40C1"/>
    <w:rsid w:val="006B4155"/>
    <w:rsid w:val="006B4193"/>
    <w:rsid w:val="006B42EA"/>
    <w:rsid w:val="006B452C"/>
    <w:rsid w:val="006B45D7"/>
    <w:rsid w:val="006B469C"/>
    <w:rsid w:val="006B476E"/>
    <w:rsid w:val="006B4CFB"/>
    <w:rsid w:val="006B519B"/>
    <w:rsid w:val="006B52E3"/>
    <w:rsid w:val="006B52E7"/>
    <w:rsid w:val="006B5611"/>
    <w:rsid w:val="006B590A"/>
    <w:rsid w:val="006B5ECD"/>
    <w:rsid w:val="006B6249"/>
    <w:rsid w:val="006B6438"/>
    <w:rsid w:val="006B696D"/>
    <w:rsid w:val="006B6B55"/>
    <w:rsid w:val="006B6B82"/>
    <w:rsid w:val="006B6BC7"/>
    <w:rsid w:val="006B7182"/>
    <w:rsid w:val="006B7827"/>
    <w:rsid w:val="006B78C4"/>
    <w:rsid w:val="006B7A7B"/>
    <w:rsid w:val="006B7AAE"/>
    <w:rsid w:val="006B7C8A"/>
    <w:rsid w:val="006B7D26"/>
    <w:rsid w:val="006B7D2E"/>
    <w:rsid w:val="006B7D95"/>
    <w:rsid w:val="006B7E17"/>
    <w:rsid w:val="006C0016"/>
    <w:rsid w:val="006C0024"/>
    <w:rsid w:val="006C002A"/>
    <w:rsid w:val="006C0851"/>
    <w:rsid w:val="006C0A2D"/>
    <w:rsid w:val="006C0BD6"/>
    <w:rsid w:val="006C0DE1"/>
    <w:rsid w:val="006C0EA6"/>
    <w:rsid w:val="006C135F"/>
    <w:rsid w:val="006C148F"/>
    <w:rsid w:val="006C157E"/>
    <w:rsid w:val="006C1784"/>
    <w:rsid w:val="006C1791"/>
    <w:rsid w:val="006C1E81"/>
    <w:rsid w:val="006C2265"/>
    <w:rsid w:val="006C26E1"/>
    <w:rsid w:val="006C2A5F"/>
    <w:rsid w:val="006C3461"/>
    <w:rsid w:val="006C3878"/>
    <w:rsid w:val="006C3890"/>
    <w:rsid w:val="006C3D19"/>
    <w:rsid w:val="006C40C6"/>
    <w:rsid w:val="006C4623"/>
    <w:rsid w:val="006C4764"/>
    <w:rsid w:val="006C4829"/>
    <w:rsid w:val="006C4ACA"/>
    <w:rsid w:val="006C4D27"/>
    <w:rsid w:val="006C4F60"/>
    <w:rsid w:val="006C4FF1"/>
    <w:rsid w:val="006C5412"/>
    <w:rsid w:val="006C549F"/>
    <w:rsid w:val="006C587D"/>
    <w:rsid w:val="006C5B34"/>
    <w:rsid w:val="006C5E74"/>
    <w:rsid w:val="006C60AA"/>
    <w:rsid w:val="006C63B0"/>
    <w:rsid w:val="006C64DA"/>
    <w:rsid w:val="006C64F1"/>
    <w:rsid w:val="006C6626"/>
    <w:rsid w:val="006C6775"/>
    <w:rsid w:val="006C6790"/>
    <w:rsid w:val="006C6B60"/>
    <w:rsid w:val="006C6B66"/>
    <w:rsid w:val="006C6E71"/>
    <w:rsid w:val="006C7113"/>
    <w:rsid w:val="006C76A3"/>
    <w:rsid w:val="006C7948"/>
    <w:rsid w:val="006C7E7E"/>
    <w:rsid w:val="006D0012"/>
    <w:rsid w:val="006D02CB"/>
    <w:rsid w:val="006D0340"/>
    <w:rsid w:val="006D06DB"/>
    <w:rsid w:val="006D0BC6"/>
    <w:rsid w:val="006D11E3"/>
    <w:rsid w:val="006D1459"/>
    <w:rsid w:val="006D16C9"/>
    <w:rsid w:val="006D1A18"/>
    <w:rsid w:val="006D23CC"/>
    <w:rsid w:val="006D24E1"/>
    <w:rsid w:val="006D27C3"/>
    <w:rsid w:val="006D2E09"/>
    <w:rsid w:val="006D2F8E"/>
    <w:rsid w:val="006D3346"/>
    <w:rsid w:val="006D377C"/>
    <w:rsid w:val="006D382C"/>
    <w:rsid w:val="006D38E5"/>
    <w:rsid w:val="006D3B19"/>
    <w:rsid w:val="006D3E62"/>
    <w:rsid w:val="006D427C"/>
    <w:rsid w:val="006D455A"/>
    <w:rsid w:val="006D455C"/>
    <w:rsid w:val="006D5135"/>
    <w:rsid w:val="006D51B0"/>
    <w:rsid w:val="006D51E8"/>
    <w:rsid w:val="006D526B"/>
    <w:rsid w:val="006D55A5"/>
    <w:rsid w:val="006D55FF"/>
    <w:rsid w:val="006D574D"/>
    <w:rsid w:val="006D6067"/>
    <w:rsid w:val="006D659B"/>
    <w:rsid w:val="006D65D0"/>
    <w:rsid w:val="006D669C"/>
    <w:rsid w:val="006D66DC"/>
    <w:rsid w:val="006D6783"/>
    <w:rsid w:val="006D6992"/>
    <w:rsid w:val="006D6FE2"/>
    <w:rsid w:val="006D73F0"/>
    <w:rsid w:val="006D7A60"/>
    <w:rsid w:val="006D7C45"/>
    <w:rsid w:val="006D7D69"/>
    <w:rsid w:val="006D7DE6"/>
    <w:rsid w:val="006D7FDD"/>
    <w:rsid w:val="006E0179"/>
    <w:rsid w:val="006E0193"/>
    <w:rsid w:val="006E021D"/>
    <w:rsid w:val="006E0349"/>
    <w:rsid w:val="006E04A8"/>
    <w:rsid w:val="006E06EF"/>
    <w:rsid w:val="006E0A52"/>
    <w:rsid w:val="006E0BCF"/>
    <w:rsid w:val="006E0C22"/>
    <w:rsid w:val="006E0CB9"/>
    <w:rsid w:val="006E0D78"/>
    <w:rsid w:val="006E0EB6"/>
    <w:rsid w:val="006E1047"/>
    <w:rsid w:val="006E1210"/>
    <w:rsid w:val="006E12F3"/>
    <w:rsid w:val="006E14A1"/>
    <w:rsid w:val="006E152C"/>
    <w:rsid w:val="006E15AC"/>
    <w:rsid w:val="006E163F"/>
    <w:rsid w:val="006E16FF"/>
    <w:rsid w:val="006E1B95"/>
    <w:rsid w:val="006E1D40"/>
    <w:rsid w:val="006E1F21"/>
    <w:rsid w:val="006E1FA5"/>
    <w:rsid w:val="006E2311"/>
    <w:rsid w:val="006E2496"/>
    <w:rsid w:val="006E277E"/>
    <w:rsid w:val="006E2B3C"/>
    <w:rsid w:val="006E2CBB"/>
    <w:rsid w:val="006E2D55"/>
    <w:rsid w:val="006E2E3E"/>
    <w:rsid w:val="006E2EA3"/>
    <w:rsid w:val="006E328F"/>
    <w:rsid w:val="006E34C0"/>
    <w:rsid w:val="006E3562"/>
    <w:rsid w:val="006E3603"/>
    <w:rsid w:val="006E373A"/>
    <w:rsid w:val="006E3820"/>
    <w:rsid w:val="006E3E58"/>
    <w:rsid w:val="006E4003"/>
    <w:rsid w:val="006E4051"/>
    <w:rsid w:val="006E4178"/>
    <w:rsid w:val="006E4199"/>
    <w:rsid w:val="006E41E2"/>
    <w:rsid w:val="006E429A"/>
    <w:rsid w:val="006E4401"/>
    <w:rsid w:val="006E4617"/>
    <w:rsid w:val="006E49B9"/>
    <w:rsid w:val="006E49C8"/>
    <w:rsid w:val="006E4BAC"/>
    <w:rsid w:val="006E4CF1"/>
    <w:rsid w:val="006E4D5F"/>
    <w:rsid w:val="006E505D"/>
    <w:rsid w:val="006E50E6"/>
    <w:rsid w:val="006E5317"/>
    <w:rsid w:val="006E533A"/>
    <w:rsid w:val="006E53F3"/>
    <w:rsid w:val="006E54C5"/>
    <w:rsid w:val="006E5778"/>
    <w:rsid w:val="006E5AF0"/>
    <w:rsid w:val="006E5CC1"/>
    <w:rsid w:val="006E5EA8"/>
    <w:rsid w:val="006E5ED1"/>
    <w:rsid w:val="006E60B9"/>
    <w:rsid w:val="006E60D0"/>
    <w:rsid w:val="006E6397"/>
    <w:rsid w:val="006E67C4"/>
    <w:rsid w:val="006E6A0B"/>
    <w:rsid w:val="006E6B4B"/>
    <w:rsid w:val="006E6E33"/>
    <w:rsid w:val="006E700F"/>
    <w:rsid w:val="006E7140"/>
    <w:rsid w:val="006E77E8"/>
    <w:rsid w:val="006E7834"/>
    <w:rsid w:val="006E78B9"/>
    <w:rsid w:val="006E7993"/>
    <w:rsid w:val="006E79F0"/>
    <w:rsid w:val="006E7AFD"/>
    <w:rsid w:val="006E7CCB"/>
    <w:rsid w:val="006E7E2E"/>
    <w:rsid w:val="006F0008"/>
    <w:rsid w:val="006F005D"/>
    <w:rsid w:val="006F01B1"/>
    <w:rsid w:val="006F04C3"/>
    <w:rsid w:val="006F0624"/>
    <w:rsid w:val="006F065C"/>
    <w:rsid w:val="006F08DA"/>
    <w:rsid w:val="006F104E"/>
    <w:rsid w:val="006F1283"/>
    <w:rsid w:val="006F138C"/>
    <w:rsid w:val="006F17D6"/>
    <w:rsid w:val="006F1929"/>
    <w:rsid w:val="006F1A58"/>
    <w:rsid w:val="006F1C26"/>
    <w:rsid w:val="006F1D3F"/>
    <w:rsid w:val="006F1DC1"/>
    <w:rsid w:val="006F1E6E"/>
    <w:rsid w:val="006F24FD"/>
    <w:rsid w:val="006F255C"/>
    <w:rsid w:val="006F258C"/>
    <w:rsid w:val="006F2687"/>
    <w:rsid w:val="006F2C3F"/>
    <w:rsid w:val="006F2C7A"/>
    <w:rsid w:val="006F2CF7"/>
    <w:rsid w:val="006F2E70"/>
    <w:rsid w:val="006F2F03"/>
    <w:rsid w:val="006F305F"/>
    <w:rsid w:val="006F36A0"/>
    <w:rsid w:val="006F3B9A"/>
    <w:rsid w:val="006F3C47"/>
    <w:rsid w:val="006F417E"/>
    <w:rsid w:val="006F4227"/>
    <w:rsid w:val="006F4365"/>
    <w:rsid w:val="006F4473"/>
    <w:rsid w:val="006F459D"/>
    <w:rsid w:val="006F4666"/>
    <w:rsid w:val="006F4686"/>
    <w:rsid w:val="006F4723"/>
    <w:rsid w:val="006F494F"/>
    <w:rsid w:val="006F4BAC"/>
    <w:rsid w:val="006F4E75"/>
    <w:rsid w:val="006F509C"/>
    <w:rsid w:val="006F5623"/>
    <w:rsid w:val="006F5683"/>
    <w:rsid w:val="006F5B5F"/>
    <w:rsid w:val="006F5E63"/>
    <w:rsid w:val="006F669F"/>
    <w:rsid w:val="006F66E6"/>
    <w:rsid w:val="006F6931"/>
    <w:rsid w:val="006F6A37"/>
    <w:rsid w:val="006F7156"/>
    <w:rsid w:val="006F729A"/>
    <w:rsid w:val="006F7775"/>
    <w:rsid w:val="006F7AEB"/>
    <w:rsid w:val="006F7CB7"/>
    <w:rsid w:val="006F7D9B"/>
    <w:rsid w:val="006F7F1B"/>
    <w:rsid w:val="006F7F79"/>
    <w:rsid w:val="0070009B"/>
    <w:rsid w:val="007002A1"/>
    <w:rsid w:val="00700393"/>
    <w:rsid w:val="00700394"/>
    <w:rsid w:val="00700446"/>
    <w:rsid w:val="007004FF"/>
    <w:rsid w:val="007005FE"/>
    <w:rsid w:val="00700768"/>
    <w:rsid w:val="007007BD"/>
    <w:rsid w:val="00700A27"/>
    <w:rsid w:val="00700B45"/>
    <w:rsid w:val="00700BCE"/>
    <w:rsid w:val="00701164"/>
    <w:rsid w:val="00701625"/>
    <w:rsid w:val="007018D7"/>
    <w:rsid w:val="00701D3C"/>
    <w:rsid w:val="00701DA9"/>
    <w:rsid w:val="00701EDC"/>
    <w:rsid w:val="0070241A"/>
    <w:rsid w:val="0070247B"/>
    <w:rsid w:val="00702482"/>
    <w:rsid w:val="00702535"/>
    <w:rsid w:val="00702542"/>
    <w:rsid w:val="0070256C"/>
    <w:rsid w:val="007034F4"/>
    <w:rsid w:val="00703668"/>
    <w:rsid w:val="00703AB2"/>
    <w:rsid w:val="0070413A"/>
    <w:rsid w:val="007041C8"/>
    <w:rsid w:val="0070423B"/>
    <w:rsid w:val="0070435D"/>
    <w:rsid w:val="00704447"/>
    <w:rsid w:val="007046A6"/>
    <w:rsid w:val="00704B0B"/>
    <w:rsid w:val="00704B5C"/>
    <w:rsid w:val="00704CEC"/>
    <w:rsid w:val="00704E66"/>
    <w:rsid w:val="00704E68"/>
    <w:rsid w:val="00704FD4"/>
    <w:rsid w:val="0070513A"/>
    <w:rsid w:val="00705415"/>
    <w:rsid w:val="0070565D"/>
    <w:rsid w:val="00705F56"/>
    <w:rsid w:val="00706056"/>
    <w:rsid w:val="00706888"/>
    <w:rsid w:val="0070696F"/>
    <w:rsid w:val="00706A35"/>
    <w:rsid w:val="00706BAD"/>
    <w:rsid w:val="00706C2A"/>
    <w:rsid w:val="00707184"/>
    <w:rsid w:val="007071FC"/>
    <w:rsid w:val="00707294"/>
    <w:rsid w:val="007076BD"/>
    <w:rsid w:val="007077E0"/>
    <w:rsid w:val="007079EF"/>
    <w:rsid w:val="00707B0B"/>
    <w:rsid w:val="00707C25"/>
    <w:rsid w:val="00707DAC"/>
    <w:rsid w:val="00707FC9"/>
    <w:rsid w:val="0071000F"/>
    <w:rsid w:val="007100E2"/>
    <w:rsid w:val="00710832"/>
    <w:rsid w:val="00710844"/>
    <w:rsid w:val="007108D1"/>
    <w:rsid w:val="00710C1A"/>
    <w:rsid w:val="00710D77"/>
    <w:rsid w:val="00710EA8"/>
    <w:rsid w:val="0071108D"/>
    <w:rsid w:val="00711197"/>
    <w:rsid w:val="0071130A"/>
    <w:rsid w:val="00711470"/>
    <w:rsid w:val="00711667"/>
    <w:rsid w:val="00711689"/>
    <w:rsid w:val="007118C1"/>
    <w:rsid w:val="007119D8"/>
    <w:rsid w:val="00711A18"/>
    <w:rsid w:val="00711A96"/>
    <w:rsid w:val="00711B4D"/>
    <w:rsid w:val="0071213B"/>
    <w:rsid w:val="0071225C"/>
    <w:rsid w:val="007122D0"/>
    <w:rsid w:val="00712431"/>
    <w:rsid w:val="00712E0D"/>
    <w:rsid w:val="00713363"/>
    <w:rsid w:val="00713365"/>
    <w:rsid w:val="007136B7"/>
    <w:rsid w:val="0071395E"/>
    <w:rsid w:val="00713C52"/>
    <w:rsid w:val="00713EF0"/>
    <w:rsid w:val="00714078"/>
    <w:rsid w:val="007140CB"/>
    <w:rsid w:val="007143E4"/>
    <w:rsid w:val="007144BF"/>
    <w:rsid w:val="00714551"/>
    <w:rsid w:val="0071475D"/>
    <w:rsid w:val="00714DCE"/>
    <w:rsid w:val="00715135"/>
    <w:rsid w:val="00715379"/>
    <w:rsid w:val="00715384"/>
    <w:rsid w:val="00715761"/>
    <w:rsid w:val="00716216"/>
    <w:rsid w:val="00716257"/>
    <w:rsid w:val="0071637F"/>
    <w:rsid w:val="007165A0"/>
    <w:rsid w:val="0071676F"/>
    <w:rsid w:val="007167BA"/>
    <w:rsid w:val="00716A6F"/>
    <w:rsid w:val="00716AD6"/>
    <w:rsid w:val="00716B51"/>
    <w:rsid w:val="00716BEC"/>
    <w:rsid w:val="00716EBD"/>
    <w:rsid w:val="00717161"/>
    <w:rsid w:val="007172B4"/>
    <w:rsid w:val="007172F7"/>
    <w:rsid w:val="007176B3"/>
    <w:rsid w:val="00717E26"/>
    <w:rsid w:val="00720159"/>
    <w:rsid w:val="007201B1"/>
    <w:rsid w:val="00720277"/>
    <w:rsid w:val="007202A3"/>
    <w:rsid w:val="00720876"/>
    <w:rsid w:val="00720C09"/>
    <w:rsid w:val="00720C94"/>
    <w:rsid w:val="00720DB7"/>
    <w:rsid w:val="00720E9E"/>
    <w:rsid w:val="007212BE"/>
    <w:rsid w:val="00721CDA"/>
    <w:rsid w:val="00721D7B"/>
    <w:rsid w:val="00722120"/>
    <w:rsid w:val="00722261"/>
    <w:rsid w:val="0072237F"/>
    <w:rsid w:val="00722443"/>
    <w:rsid w:val="007225F3"/>
    <w:rsid w:val="0072277E"/>
    <w:rsid w:val="00722978"/>
    <w:rsid w:val="00722B87"/>
    <w:rsid w:val="007231B1"/>
    <w:rsid w:val="00723350"/>
    <w:rsid w:val="00723365"/>
    <w:rsid w:val="007236AE"/>
    <w:rsid w:val="007238C2"/>
    <w:rsid w:val="00723EB3"/>
    <w:rsid w:val="00724054"/>
    <w:rsid w:val="007242CA"/>
    <w:rsid w:val="00724473"/>
    <w:rsid w:val="0072461F"/>
    <w:rsid w:val="0072464B"/>
    <w:rsid w:val="00724779"/>
    <w:rsid w:val="00724983"/>
    <w:rsid w:val="00725B3F"/>
    <w:rsid w:val="00725F55"/>
    <w:rsid w:val="007260B5"/>
    <w:rsid w:val="007262FC"/>
    <w:rsid w:val="00726515"/>
    <w:rsid w:val="00726CA1"/>
    <w:rsid w:val="00726DDC"/>
    <w:rsid w:val="00727607"/>
    <w:rsid w:val="0072772F"/>
    <w:rsid w:val="0072782D"/>
    <w:rsid w:val="00727A36"/>
    <w:rsid w:val="00727AEF"/>
    <w:rsid w:val="00727C5D"/>
    <w:rsid w:val="00727D38"/>
    <w:rsid w:val="00727D8E"/>
    <w:rsid w:val="00730057"/>
    <w:rsid w:val="007301DF"/>
    <w:rsid w:val="007303EC"/>
    <w:rsid w:val="0073082E"/>
    <w:rsid w:val="00730894"/>
    <w:rsid w:val="00730911"/>
    <w:rsid w:val="0073097E"/>
    <w:rsid w:val="00730C7A"/>
    <w:rsid w:val="0073118F"/>
    <w:rsid w:val="007315C6"/>
    <w:rsid w:val="00731674"/>
    <w:rsid w:val="007316F6"/>
    <w:rsid w:val="00731C5A"/>
    <w:rsid w:val="00731F25"/>
    <w:rsid w:val="00731FFE"/>
    <w:rsid w:val="00732184"/>
    <w:rsid w:val="00732351"/>
    <w:rsid w:val="0073261C"/>
    <w:rsid w:val="0073354A"/>
    <w:rsid w:val="00733700"/>
    <w:rsid w:val="00733941"/>
    <w:rsid w:val="00733C33"/>
    <w:rsid w:val="00733F01"/>
    <w:rsid w:val="00734011"/>
    <w:rsid w:val="0073417A"/>
    <w:rsid w:val="00734573"/>
    <w:rsid w:val="00734EB2"/>
    <w:rsid w:val="007356AA"/>
    <w:rsid w:val="0073591D"/>
    <w:rsid w:val="00735C84"/>
    <w:rsid w:val="00735E3B"/>
    <w:rsid w:val="00735ECC"/>
    <w:rsid w:val="00736E22"/>
    <w:rsid w:val="00737362"/>
    <w:rsid w:val="0073743B"/>
    <w:rsid w:val="00737543"/>
    <w:rsid w:val="007377B0"/>
    <w:rsid w:val="00737D4E"/>
    <w:rsid w:val="007400F6"/>
    <w:rsid w:val="00740369"/>
    <w:rsid w:val="0074042B"/>
    <w:rsid w:val="007404C1"/>
    <w:rsid w:val="007405FD"/>
    <w:rsid w:val="00740640"/>
    <w:rsid w:val="00740F40"/>
    <w:rsid w:val="00740F4B"/>
    <w:rsid w:val="007410D3"/>
    <w:rsid w:val="00741176"/>
    <w:rsid w:val="00741594"/>
    <w:rsid w:val="007415D5"/>
    <w:rsid w:val="007416A8"/>
    <w:rsid w:val="007418FE"/>
    <w:rsid w:val="00741F51"/>
    <w:rsid w:val="00742565"/>
    <w:rsid w:val="007427A1"/>
    <w:rsid w:val="007428AF"/>
    <w:rsid w:val="00742E41"/>
    <w:rsid w:val="00742FAB"/>
    <w:rsid w:val="0074380D"/>
    <w:rsid w:val="00743986"/>
    <w:rsid w:val="00743EC4"/>
    <w:rsid w:val="00744493"/>
    <w:rsid w:val="00744555"/>
    <w:rsid w:val="0074468B"/>
    <w:rsid w:val="007449D9"/>
    <w:rsid w:val="00744C31"/>
    <w:rsid w:val="00744E75"/>
    <w:rsid w:val="00744F44"/>
    <w:rsid w:val="00745063"/>
    <w:rsid w:val="00745565"/>
    <w:rsid w:val="00745669"/>
    <w:rsid w:val="0074580D"/>
    <w:rsid w:val="00745843"/>
    <w:rsid w:val="00745A51"/>
    <w:rsid w:val="00745B02"/>
    <w:rsid w:val="00745E07"/>
    <w:rsid w:val="0074615F"/>
    <w:rsid w:val="0074640A"/>
    <w:rsid w:val="0074681F"/>
    <w:rsid w:val="0074685C"/>
    <w:rsid w:val="007468A0"/>
    <w:rsid w:val="00746974"/>
    <w:rsid w:val="00746C51"/>
    <w:rsid w:val="00746FEA"/>
    <w:rsid w:val="00747004"/>
    <w:rsid w:val="00747191"/>
    <w:rsid w:val="0074745B"/>
    <w:rsid w:val="007474D9"/>
    <w:rsid w:val="0074751E"/>
    <w:rsid w:val="007478F8"/>
    <w:rsid w:val="00747962"/>
    <w:rsid w:val="00747A86"/>
    <w:rsid w:val="00747C9D"/>
    <w:rsid w:val="00747D54"/>
    <w:rsid w:val="00747D9C"/>
    <w:rsid w:val="0075008B"/>
    <w:rsid w:val="0075023E"/>
    <w:rsid w:val="00750445"/>
    <w:rsid w:val="00750999"/>
    <w:rsid w:val="00750AA2"/>
    <w:rsid w:val="00750D34"/>
    <w:rsid w:val="007513FC"/>
    <w:rsid w:val="007514CB"/>
    <w:rsid w:val="0075151D"/>
    <w:rsid w:val="00751778"/>
    <w:rsid w:val="00751A06"/>
    <w:rsid w:val="00751D2F"/>
    <w:rsid w:val="00751E04"/>
    <w:rsid w:val="00752019"/>
    <w:rsid w:val="00752A40"/>
    <w:rsid w:val="00752BC0"/>
    <w:rsid w:val="00752C99"/>
    <w:rsid w:val="00752EDB"/>
    <w:rsid w:val="00752EFE"/>
    <w:rsid w:val="00752F34"/>
    <w:rsid w:val="00753141"/>
    <w:rsid w:val="007531F1"/>
    <w:rsid w:val="007537CF"/>
    <w:rsid w:val="007539A9"/>
    <w:rsid w:val="00753B09"/>
    <w:rsid w:val="00753F70"/>
    <w:rsid w:val="0075405E"/>
    <w:rsid w:val="007543F0"/>
    <w:rsid w:val="007544B8"/>
    <w:rsid w:val="00754531"/>
    <w:rsid w:val="0075460A"/>
    <w:rsid w:val="00754823"/>
    <w:rsid w:val="00754867"/>
    <w:rsid w:val="00754990"/>
    <w:rsid w:val="00754CBD"/>
    <w:rsid w:val="00754E01"/>
    <w:rsid w:val="00754F1D"/>
    <w:rsid w:val="007552BD"/>
    <w:rsid w:val="007558F9"/>
    <w:rsid w:val="00755916"/>
    <w:rsid w:val="00755C3E"/>
    <w:rsid w:val="00755D76"/>
    <w:rsid w:val="00755FF7"/>
    <w:rsid w:val="00756166"/>
    <w:rsid w:val="0075630F"/>
    <w:rsid w:val="007563A4"/>
    <w:rsid w:val="0075658B"/>
    <w:rsid w:val="007566AA"/>
    <w:rsid w:val="00756824"/>
    <w:rsid w:val="007569E5"/>
    <w:rsid w:val="00756E1F"/>
    <w:rsid w:val="00757201"/>
    <w:rsid w:val="0075747D"/>
    <w:rsid w:val="007574B0"/>
    <w:rsid w:val="00757FBC"/>
    <w:rsid w:val="00760490"/>
    <w:rsid w:val="00761C9A"/>
    <w:rsid w:val="00761CAB"/>
    <w:rsid w:val="00761D8C"/>
    <w:rsid w:val="00762138"/>
    <w:rsid w:val="007627F5"/>
    <w:rsid w:val="0076284E"/>
    <w:rsid w:val="00762DA2"/>
    <w:rsid w:val="00762E16"/>
    <w:rsid w:val="00763294"/>
    <w:rsid w:val="007638C3"/>
    <w:rsid w:val="007639CA"/>
    <w:rsid w:val="007639DF"/>
    <w:rsid w:val="00763BFE"/>
    <w:rsid w:val="00764329"/>
    <w:rsid w:val="007646D2"/>
    <w:rsid w:val="007648E9"/>
    <w:rsid w:val="00764BF3"/>
    <w:rsid w:val="00764CE9"/>
    <w:rsid w:val="00764E22"/>
    <w:rsid w:val="00765507"/>
    <w:rsid w:val="00765660"/>
    <w:rsid w:val="00765C09"/>
    <w:rsid w:val="00765D44"/>
    <w:rsid w:val="00765D55"/>
    <w:rsid w:val="00765F50"/>
    <w:rsid w:val="00766014"/>
    <w:rsid w:val="0076601B"/>
    <w:rsid w:val="00766141"/>
    <w:rsid w:val="007661DC"/>
    <w:rsid w:val="00766606"/>
    <w:rsid w:val="00766B51"/>
    <w:rsid w:val="00766CCB"/>
    <w:rsid w:val="00766ED5"/>
    <w:rsid w:val="00766FAB"/>
    <w:rsid w:val="00767073"/>
    <w:rsid w:val="0076720F"/>
    <w:rsid w:val="00767489"/>
    <w:rsid w:val="00767689"/>
    <w:rsid w:val="0076778B"/>
    <w:rsid w:val="00767A52"/>
    <w:rsid w:val="00767B5B"/>
    <w:rsid w:val="00767C8A"/>
    <w:rsid w:val="00767F17"/>
    <w:rsid w:val="00767F87"/>
    <w:rsid w:val="007701D7"/>
    <w:rsid w:val="00770A6D"/>
    <w:rsid w:val="00770B8E"/>
    <w:rsid w:val="00770F71"/>
    <w:rsid w:val="00770FD1"/>
    <w:rsid w:val="00771454"/>
    <w:rsid w:val="00771490"/>
    <w:rsid w:val="007716BF"/>
    <w:rsid w:val="00771756"/>
    <w:rsid w:val="007717EA"/>
    <w:rsid w:val="00771A13"/>
    <w:rsid w:val="007724DF"/>
    <w:rsid w:val="00772505"/>
    <w:rsid w:val="007725E3"/>
    <w:rsid w:val="0077289D"/>
    <w:rsid w:val="00772956"/>
    <w:rsid w:val="00772B77"/>
    <w:rsid w:val="00772E67"/>
    <w:rsid w:val="007733A7"/>
    <w:rsid w:val="0077352B"/>
    <w:rsid w:val="007735F2"/>
    <w:rsid w:val="00773A40"/>
    <w:rsid w:val="00773E6F"/>
    <w:rsid w:val="00773E87"/>
    <w:rsid w:val="00773F7B"/>
    <w:rsid w:val="00774147"/>
    <w:rsid w:val="0077418B"/>
    <w:rsid w:val="007743DB"/>
    <w:rsid w:val="00774653"/>
    <w:rsid w:val="00774741"/>
    <w:rsid w:val="0077481C"/>
    <w:rsid w:val="007748EC"/>
    <w:rsid w:val="0077492B"/>
    <w:rsid w:val="00775012"/>
    <w:rsid w:val="007758A3"/>
    <w:rsid w:val="00775A26"/>
    <w:rsid w:val="00776092"/>
    <w:rsid w:val="007761EB"/>
    <w:rsid w:val="00776201"/>
    <w:rsid w:val="00776237"/>
    <w:rsid w:val="00776265"/>
    <w:rsid w:val="007763F9"/>
    <w:rsid w:val="0077655F"/>
    <w:rsid w:val="00776777"/>
    <w:rsid w:val="00776D55"/>
    <w:rsid w:val="0077738B"/>
    <w:rsid w:val="0077740E"/>
    <w:rsid w:val="007774C4"/>
    <w:rsid w:val="00777637"/>
    <w:rsid w:val="007777E1"/>
    <w:rsid w:val="00777842"/>
    <w:rsid w:val="00777D5A"/>
    <w:rsid w:val="0078011E"/>
    <w:rsid w:val="007802E8"/>
    <w:rsid w:val="0078031B"/>
    <w:rsid w:val="00780685"/>
    <w:rsid w:val="007809C8"/>
    <w:rsid w:val="00780A9C"/>
    <w:rsid w:val="00780BDD"/>
    <w:rsid w:val="00780DEE"/>
    <w:rsid w:val="00780F42"/>
    <w:rsid w:val="00780FD4"/>
    <w:rsid w:val="00781095"/>
    <w:rsid w:val="00781398"/>
    <w:rsid w:val="00781691"/>
    <w:rsid w:val="00781B83"/>
    <w:rsid w:val="00781CDC"/>
    <w:rsid w:val="00781D7F"/>
    <w:rsid w:val="00781E39"/>
    <w:rsid w:val="007821D3"/>
    <w:rsid w:val="007822AD"/>
    <w:rsid w:val="00782EF1"/>
    <w:rsid w:val="00782FFB"/>
    <w:rsid w:val="00783178"/>
    <w:rsid w:val="0078331F"/>
    <w:rsid w:val="0078351D"/>
    <w:rsid w:val="0078354E"/>
    <w:rsid w:val="007835FD"/>
    <w:rsid w:val="00783607"/>
    <w:rsid w:val="00783896"/>
    <w:rsid w:val="007839F9"/>
    <w:rsid w:val="00783C0F"/>
    <w:rsid w:val="00783C3E"/>
    <w:rsid w:val="00783DF7"/>
    <w:rsid w:val="00783EB0"/>
    <w:rsid w:val="007840E2"/>
    <w:rsid w:val="007842C1"/>
    <w:rsid w:val="00784773"/>
    <w:rsid w:val="00784A69"/>
    <w:rsid w:val="00784C63"/>
    <w:rsid w:val="00784E8E"/>
    <w:rsid w:val="00784FDE"/>
    <w:rsid w:val="0078502D"/>
    <w:rsid w:val="0078510A"/>
    <w:rsid w:val="0078518F"/>
    <w:rsid w:val="007852AE"/>
    <w:rsid w:val="0078589C"/>
    <w:rsid w:val="00785A42"/>
    <w:rsid w:val="00785A74"/>
    <w:rsid w:val="00785EF2"/>
    <w:rsid w:val="00786014"/>
    <w:rsid w:val="007864A3"/>
    <w:rsid w:val="00786B89"/>
    <w:rsid w:val="00786D70"/>
    <w:rsid w:val="00786E58"/>
    <w:rsid w:val="0078714D"/>
    <w:rsid w:val="00787189"/>
    <w:rsid w:val="007872F6"/>
    <w:rsid w:val="00787489"/>
    <w:rsid w:val="007874FF"/>
    <w:rsid w:val="007877DE"/>
    <w:rsid w:val="00787A5D"/>
    <w:rsid w:val="00787B32"/>
    <w:rsid w:val="00787FA4"/>
    <w:rsid w:val="00790098"/>
    <w:rsid w:val="0079023C"/>
    <w:rsid w:val="007902FF"/>
    <w:rsid w:val="0079042C"/>
    <w:rsid w:val="0079057F"/>
    <w:rsid w:val="00790F71"/>
    <w:rsid w:val="00791166"/>
    <w:rsid w:val="00791280"/>
    <w:rsid w:val="007913A7"/>
    <w:rsid w:val="007914F7"/>
    <w:rsid w:val="007918D9"/>
    <w:rsid w:val="00791EED"/>
    <w:rsid w:val="0079235B"/>
    <w:rsid w:val="0079295F"/>
    <w:rsid w:val="00792AC3"/>
    <w:rsid w:val="00792B43"/>
    <w:rsid w:val="0079314B"/>
    <w:rsid w:val="007934EA"/>
    <w:rsid w:val="00793912"/>
    <w:rsid w:val="00793AC3"/>
    <w:rsid w:val="00793B6D"/>
    <w:rsid w:val="00793D64"/>
    <w:rsid w:val="00793DFF"/>
    <w:rsid w:val="00793ED5"/>
    <w:rsid w:val="00794001"/>
    <w:rsid w:val="007947E1"/>
    <w:rsid w:val="00794BA2"/>
    <w:rsid w:val="00794D0B"/>
    <w:rsid w:val="00794D12"/>
    <w:rsid w:val="00794FDB"/>
    <w:rsid w:val="007955E2"/>
    <w:rsid w:val="00795AB3"/>
    <w:rsid w:val="00795AEA"/>
    <w:rsid w:val="00795B32"/>
    <w:rsid w:val="00795BB2"/>
    <w:rsid w:val="00795F17"/>
    <w:rsid w:val="0079600F"/>
    <w:rsid w:val="007961CE"/>
    <w:rsid w:val="00796207"/>
    <w:rsid w:val="0079623D"/>
    <w:rsid w:val="0079670B"/>
    <w:rsid w:val="007969A6"/>
    <w:rsid w:val="00796F7E"/>
    <w:rsid w:val="00797213"/>
    <w:rsid w:val="0079772E"/>
    <w:rsid w:val="00797789"/>
    <w:rsid w:val="00797C1D"/>
    <w:rsid w:val="00797CDE"/>
    <w:rsid w:val="007A007C"/>
    <w:rsid w:val="007A0085"/>
    <w:rsid w:val="007A0392"/>
    <w:rsid w:val="007A04F4"/>
    <w:rsid w:val="007A06C7"/>
    <w:rsid w:val="007A091F"/>
    <w:rsid w:val="007A0B02"/>
    <w:rsid w:val="007A0FF0"/>
    <w:rsid w:val="007A1C6E"/>
    <w:rsid w:val="007A1DE6"/>
    <w:rsid w:val="007A20BD"/>
    <w:rsid w:val="007A21E3"/>
    <w:rsid w:val="007A22D9"/>
    <w:rsid w:val="007A2341"/>
    <w:rsid w:val="007A29AB"/>
    <w:rsid w:val="007A29B1"/>
    <w:rsid w:val="007A2B96"/>
    <w:rsid w:val="007A315D"/>
    <w:rsid w:val="007A328B"/>
    <w:rsid w:val="007A338C"/>
    <w:rsid w:val="007A34D4"/>
    <w:rsid w:val="007A35D6"/>
    <w:rsid w:val="007A3C14"/>
    <w:rsid w:val="007A3C29"/>
    <w:rsid w:val="007A40FA"/>
    <w:rsid w:val="007A43E4"/>
    <w:rsid w:val="007A49C2"/>
    <w:rsid w:val="007A4A4E"/>
    <w:rsid w:val="007A4DD5"/>
    <w:rsid w:val="007A50A7"/>
    <w:rsid w:val="007A50B8"/>
    <w:rsid w:val="007A5114"/>
    <w:rsid w:val="007A5127"/>
    <w:rsid w:val="007A5173"/>
    <w:rsid w:val="007A528B"/>
    <w:rsid w:val="007A538A"/>
    <w:rsid w:val="007A566E"/>
    <w:rsid w:val="007A56B8"/>
    <w:rsid w:val="007A575B"/>
    <w:rsid w:val="007A5EB3"/>
    <w:rsid w:val="007A600C"/>
    <w:rsid w:val="007A60AC"/>
    <w:rsid w:val="007A6124"/>
    <w:rsid w:val="007A615D"/>
    <w:rsid w:val="007A61A1"/>
    <w:rsid w:val="007A66F4"/>
    <w:rsid w:val="007A67CE"/>
    <w:rsid w:val="007A699B"/>
    <w:rsid w:val="007A6D11"/>
    <w:rsid w:val="007A6EF7"/>
    <w:rsid w:val="007A71CD"/>
    <w:rsid w:val="007A72A0"/>
    <w:rsid w:val="007A73DC"/>
    <w:rsid w:val="007A7436"/>
    <w:rsid w:val="007A7960"/>
    <w:rsid w:val="007A7DD8"/>
    <w:rsid w:val="007A7FBB"/>
    <w:rsid w:val="007B019C"/>
    <w:rsid w:val="007B0448"/>
    <w:rsid w:val="007B0482"/>
    <w:rsid w:val="007B0527"/>
    <w:rsid w:val="007B064B"/>
    <w:rsid w:val="007B094F"/>
    <w:rsid w:val="007B0C89"/>
    <w:rsid w:val="007B0D6F"/>
    <w:rsid w:val="007B0DA2"/>
    <w:rsid w:val="007B135A"/>
    <w:rsid w:val="007B139D"/>
    <w:rsid w:val="007B14D5"/>
    <w:rsid w:val="007B15FA"/>
    <w:rsid w:val="007B162D"/>
    <w:rsid w:val="007B16A5"/>
    <w:rsid w:val="007B170F"/>
    <w:rsid w:val="007B1845"/>
    <w:rsid w:val="007B19F3"/>
    <w:rsid w:val="007B1A8F"/>
    <w:rsid w:val="007B1DC8"/>
    <w:rsid w:val="007B1FC8"/>
    <w:rsid w:val="007B2057"/>
    <w:rsid w:val="007B2552"/>
    <w:rsid w:val="007B25A2"/>
    <w:rsid w:val="007B25B0"/>
    <w:rsid w:val="007B2651"/>
    <w:rsid w:val="007B2812"/>
    <w:rsid w:val="007B2A1C"/>
    <w:rsid w:val="007B2BF6"/>
    <w:rsid w:val="007B2C4F"/>
    <w:rsid w:val="007B2FEE"/>
    <w:rsid w:val="007B32E8"/>
    <w:rsid w:val="007B378B"/>
    <w:rsid w:val="007B3B3C"/>
    <w:rsid w:val="007B3F87"/>
    <w:rsid w:val="007B41F6"/>
    <w:rsid w:val="007B420B"/>
    <w:rsid w:val="007B4370"/>
    <w:rsid w:val="007B4465"/>
    <w:rsid w:val="007B4A61"/>
    <w:rsid w:val="007B4B4F"/>
    <w:rsid w:val="007B5518"/>
    <w:rsid w:val="007B5729"/>
    <w:rsid w:val="007B592B"/>
    <w:rsid w:val="007B5C5E"/>
    <w:rsid w:val="007B5CBA"/>
    <w:rsid w:val="007B5FDE"/>
    <w:rsid w:val="007B6279"/>
    <w:rsid w:val="007B631E"/>
    <w:rsid w:val="007B67D6"/>
    <w:rsid w:val="007B6A3B"/>
    <w:rsid w:val="007B6B14"/>
    <w:rsid w:val="007B6C0F"/>
    <w:rsid w:val="007B6C5C"/>
    <w:rsid w:val="007B6D02"/>
    <w:rsid w:val="007B6E94"/>
    <w:rsid w:val="007B7107"/>
    <w:rsid w:val="007B72B0"/>
    <w:rsid w:val="007B7366"/>
    <w:rsid w:val="007B74BB"/>
    <w:rsid w:val="007B74E0"/>
    <w:rsid w:val="007B76FD"/>
    <w:rsid w:val="007B78C5"/>
    <w:rsid w:val="007B7B13"/>
    <w:rsid w:val="007B7BCB"/>
    <w:rsid w:val="007B7CA7"/>
    <w:rsid w:val="007B7EDF"/>
    <w:rsid w:val="007B7FDC"/>
    <w:rsid w:val="007C003E"/>
    <w:rsid w:val="007C0437"/>
    <w:rsid w:val="007C0639"/>
    <w:rsid w:val="007C0E29"/>
    <w:rsid w:val="007C0F1E"/>
    <w:rsid w:val="007C1130"/>
    <w:rsid w:val="007C1643"/>
    <w:rsid w:val="007C1751"/>
    <w:rsid w:val="007C1B18"/>
    <w:rsid w:val="007C1ECA"/>
    <w:rsid w:val="007C205E"/>
    <w:rsid w:val="007C2672"/>
    <w:rsid w:val="007C2826"/>
    <w:rsid w:val="007C28FD"/>
    <w:rsid w:val="007C2CDD"/>
    <w:rsid w:val="007C2DBB"/>
    <w:rsid w:val="007C2ED7"/>
    <w:rsid w:val="007C30A5"/>
    <w:rsid w:val="007C314F"/>
    <w:rsid w:val="007C33AB"/>
    <w:rsid w:val="007C354F"/>
    <w:rsid w:val="007C3682"/>
    <w:rsid w:val="007C36B2"/>
    <w:rsid w:val="007C3716"/>
    <w:rsid w:val="007C37CF"/>
    <w:rsid w:val="007C3A98"/>
    <w:rsid w:val="007C4243"/>
    <w:rsid w:val="007C435B"/>
    <w:rsid w:val="007C4938"/>
    <w:rsid w:val="007C49AB"/>
    <w:rsid w:val="007C4BBB"/>
    <w:rsid w:val="007C4F0E"/>
    <w:rsid w:val="007C4FAA"/>
    <w:rsid w:val="007C5163"/>
    <w:rsid w:val="007C54A9"/>
    <w:rsid w:val="007C56B1"/>
    <w:rsid w:val="007C5F86"/>
    <w:rsid w:val="007C6003"/>
    <w:rsid w:val="007C615F"/>
    <w:rsid w:val="007C6324"/>
    <w:rsid w:val="007C6B14"/>
    <w:rsid w:val="007C6B7C"/>
    <w:rsid w:val="007C6DDD"/>
    <w:rsid w:val="007C71C7"/>
    <w:rsid w:val="007C7280"/>
    <w:rsid w:val="007C75DB"/>
    <w:rsid w:val="007C76DA"/>
    <w:rsid w:val="007C7922"/>
    <w:rsid w:val="007C7978"/>
    <w:rsid w:val="007C79DF"/>
    <w:rsid w:val="007C7B3D"/>
    <w:rsid w:val="007C7B63"/>
    <w:rsid w:val="007C7E44"/>
    <w:rsid w:val="007D0132"/>
    <w:rsid w:val="007D01C4"/>
    <w:rsid w:val="007D0235"/>
    <w:rsid w:val="007D02A1"/>
    <w:rsid w:val="007D0862"/>
    <w:rsid w:val="007D0A86"/>
    <w:rsid w:val="007D0B01"/>
    <w:rsid w:val="007D0BE2"/>
    <w:rsid w:val="007D0C6F"/>
    <w:rsid w:val="007D0DE3"/>
    <w:rsid w:val="007D0EE3"/>
    <w:rsid w:val="007D127C"/>
    <w:rsid w:val="007D139F"/>
    <w:rsid w:val="007D1405"/>
    <w:rsid w:val="007D1776"/>
    <w:rsid w:val="007D1C87"/>
    <w:rsid w:val="007D24A5"/>
    <w:rsid w:val="007D2548"/>
    <w:rsid w:val="007D255B"/>
    <w:rsid w:val="007D2B25"/>
    <w:rsid w:val="007D2D76"/>
    <w:rsid w:val="007D2DA8"/>
    <w:rsid w:val="007D31C6"/>
    <w:rsid w:val="007D32C3"/>
    <w:rsid w:val="007D355F"/>
    <w:rsid w:val="007D3AD9"/>
    <w:rsid w:val="007D3F9C"/>
    <w:rsid w:val="007D405C"/>
    <w:rsid w:val="007D4308"/>
    <w:rsid w:val="007D4563"/>
    <w:rsid w:val="007D4CD2"/>
    <w:rsid w:val="007D4DA0"/>
    <w:rsid w:val="007D4DF7"/>
    <w:rsid w:val="007D503E"/>
    <w:rsid w:val="007D52D7"/>
    <w:rsid w:val="007D52E7"/>
    <w:rsid w:val="007D568C"/>
    <w:rsid w:val="007D5899"/>
    <w:rsid w:val="007D5971"/>
    <w:rsid w:val="007D59D2"/>
    <w:rsid w:val="007D5F4E"/>
    <w:rsid w:val="007D61D3"/>
    <w:rsid w:val="007D6575"/>
    <w:rsid w:val="007D661A"/>
    <w:rsid w:val="007D668B"/>
    <w:rsid w:val="007D6712"/>
    <w:rsid w:val="007D6732"/>
    <w:rsid w:val="007D6FFC"/>
    <w:rsid w:val="007D7067"/>
    <w:rsid w:val="007D71D8"/>
    <w:rsid w:val="007D746C"/>
    <w:rsid w:val="007D763E"/>
    <w:rsid w:val="007D7A19"/>
    <w:rsid w:val="007D7B1F"/>
    <w:rsid w:val="007D7D4E"/>
    <w:rsid w:val="007D7F3B"/>
    <w:rsid w:val="007E012C"/>
    <w:rsid w:val="007E029B"/>
    <w:rsid w:val="007E0648"/>
    <w:rsid w:val="007E0E0D"/>
    <w:rsid w:val="007E0F24"/>
    <w:rsid w:val="007E0FA7"/>
    <w:rsid w:val="007E104E"/>
    <w:rsid w:val="007E10A9"/>
    <w:rsid w:val="007E1130"/>
    <w:rsid w:val="007E1292"/>
    <w:rsid w:val="007E14EB"/>
    <w:rsid w:val="007E153C"/>
    <w:rsid w:val="007E1658"/>
    <w:rsid w:val="007E1C75"/>
    <w:rsid w:val="007E2268"/>
    <w:rsid w:val="007E25E5"/>
    <w:rsid w:val="007E2709"/>
    <w:rsid w:val="007E28C5"/>
    <w:rsid w:val="007E28D9"/>
    <w:rsid w:val="007E2951"/>
    <w:rsid w:val="007E2E38"/>
    <w:rsid w:val="007E2E46"/>
    <w:rsid w:val="007E2E94"/>
    <w:rsid w:val="007E3168"/>
    <w:rsid w:val="007E3688"/>
    <w:rsid w:val="007E39C4"/>
    <w:rsid w:val="007E3D35"/>
    <w:rsid w:val="007E4055"/>
    <w:rsid w:val="007E41E7"/>
    <w:rsid w:val="007E4255"/>
    <w:rsid w:val="007E44F7"/>
    <w:rsid w:val="007E475F"/>
    <w:rsid w:val="007E480A"/>
    <w:rsid w:val="007E4A02"/>
    <w:rsid w:val="007E4CAD"/>
    <w:rsid w:val="007E4D1F"/>
    <w:rsid w:val="007E4E70"/>
    <w:rsid w:val="007E502B"/>
    <w:rsid w:val="007E510D"/>
    <w:rsid w:val="007E52C9"/>
    <w:rsid w:val="007E52CF"/>
    <w:rsid w:val="007E5398"/>
    <w:rsid w:val="007E53BC"/>
    <w:rsid w:val="007E55DB"/>
    <w:rsid w:val="007E55E7"/>
    <w:rsid w:val="007E56A1"/>
    <w:rsid w:val="007E5B5C"/>
    <w:rsid w:val="007E5F88"/>
    <w:rsid w:val="007E6230"/>
    <w:rsid w:val="007E6554"/>
    <w:rsid w:val="007E6768"/>
    <w:rsid w:val="007E6FB6"/>
    <w:rsid w:val="007E7009"/>
    <w:rsid w:val="007E745E"/>
    <w:rsid w:val="007E7679"/>
    <w:rsid w:val="007E776A"/>
    <w:rsid w:val="007E78A7"/>
    <w:rsid w:val="007F0094"/>
    <w:rsid w:val="007F0248"/>
    <w:rsid w:val="007F0650"/>
    <w:rsid w:val="007F074A"/>
    <w:rsid w:val="007F07C7"/>
    <w:rsid w:val="007F08A3"/>
    <w:rsid w:val="007F0F8E"/>
    <w:rsid w:val="007F10FA"/>
    <w:rsid w:val="007F1416"/>
    <w:rsid w:val="007F1445"/>
    <w:rsid w:val="007F1524"/>
    <w:rsid w:val="007F1890"/>
    <w:rsid w:val="007F1BAA"/>
    <w:rsid w:val="007F1DB1"/>
    <w:rsid w:val="007F1E89"/>
    <w:rsid w:val="007F2091"/>
    <w:rsid w:val="007F2221"/>
    <w:rsid w:val="007F2309"/>
    <w:rsid w:val="007F26F8"/>
    <w:rsid w:val="007F2737"/>
    <w:rsid w:val="007F28F0"/>
    <w:rsid w:val="007F2A09"/>
    <w:rsid w:val="007F2F43"/>
    <w:rsid w:val="007F30D4"/>
    <w:rsid w:val="007F33F1"/>
    <w:rsid w:val="007F361A"/>
    <w:rsid w:val="007F3834"/>
    <w:rsid w:val="007F3B52"/>
    <w:rsid w:val="007F3B75"/>
    <w:rsid w:val="007F3FB5"/>
    <w:rsid w:val="007F41FA"/>
    <w:rsid w:val="007F452A"/>
    <w:rsid w:val="007F471E"/>
    <w:rsid w:val="007F4C2D"/>
    <w:rsid w:val="007F51C5"/>
    <w:rsid w:val="007F53B6"/>
    <w:rsid w:val="007F5411"/>
    <w:rsid w:val="007F54D0"/>
    <w:rsid w:val="007F587E"/>
    <w:rsid w:val="007F5901"/>
    <w:rsid w:val="007F5C9A"/>
    <w:rsid w:val="007F5DFD"/>
    <w:rsid w:val="007F6BF5"/>
    <w:rsid w:val="007F6D38"/>
    <w:rsid w:val="007F6DD2"/>
    <w:rsid w:val="007F6E1D"/>
    <w:rsid w:val="007F6EF6"/>
    <w:rsid w:val="007F7181"/>
    <w:rsid w:val="007F7201"/>
    <w:rsid w:val="007F739E"/>
    <w:rsid w:val="007F740E"/>
    <w:rsid w:val="007F7930"/>
    <w:rsid w:val="007F7986"/>
    <w:rsid w:val="007F7B49"/>
    <w:rsid w:val="007F7B4C"/>
    <w:rsid w:val="007F7BEC"/>
    <w:rsid w:val="007F7DCE"/>
    <w:rsid w:val="007F7F53"/>
    <w:rsid w:val="008001D1"/>
    <w:rsid w:val="00800234"/>
    <w:rsid w:val="0080059D"/>
    <w:rsid w:val="008006A6"/>
    <w:rsid w:val="008007A7"/>
    <w:rsid w:val="00800950"/>
    <w:rsid w:val="00800AB7"/>
    <w:rsid w:val="00800BFA"/>
    <w:rsid w:val="00800CD8"/>
    <w:rsid w:val="00800ED2"/>
    <w:rsid w:val="0080150F"/>
    <w:rsid w:val="00801A1A"/>
    <w:rsid w:val="00801B4E"/>
    <w:rsid w:val="00801C9E"/>
    <w:rsid w:val="00801EAC"/>
    <w:rsid w:val="00802162"/>
    <w:rsid w:val="00802348"/>
    <w:rsid w:val="0080271D"/>
    <w:rsid w:val="00802AC3"/>
    <w:rsid w:val="00802BE7"/>
    <w:rsid w:val="00802CD8"/>
    <w:rsid w:val="00802FD3"/>
    <w:rsid w:val="008036A4"/>
    <w:rsid w:val="0080378E"/>
    <w:rsid w:val="008044F8"/>
    <w:rsid w:val="00804642"/>
    <w:rsid w:val="00804DEB"/>
    <w:rsid w:val="00805170"/>
    <w:rsid w:val="00805277"/>
    <w:rsid w:val="0080543C"/>
    <w:rsid w:val="0080563B"/>
    <w:rsid w:val="00805B91"/>
    <w:rsid w:val="00805DDF"/>
    <w:rsid w:val="00805F35"/>
    <w:rsid w:val="00805FFE"/>
    <w:rsid w:val="0080609E"/>
    <w:rsid w:val="00806305"/>
    <w:rsid w:val="00806652"/>
    <w:rsid w:val="0080679A"/>
    <w:rsid w:val="008069B7"/>
    <w:rsid w:val="00806A36"/>
    <w:rsid w:val="00806A76"/>
    <w:rsid w:val="00806D42"/>
    <w:rsid w:val="008070B3"/>
    <w:rsid w:val="008070F0"/>
    <w:rsid w:val="008071EE"/>
    <w:rsid w:val="0080720A"/>
    <w:rsid w:val="00807246"/>
    <w:rsid w:val="00807665"/>
    <w:rsid w:val="008076AB"/>
    <w:rsid w:val="008079FB"/>
    <w:rsid w:val="00807DC0"/>
    <w:rsid w:val="00807DE5"/>
    <w:rsid w:val="0081021B"/>
    <w:rsid w:val="0081053C"/>
    <w:rsid w:val="0081074A"/>
    <w:rsid w:val="008107B8"/>
    <w:rsid w:val="00810ECD"/>
    <w:rsid w:val="008111B0"/>
    <w:rsid w:val="008112D1"/>
    <w:rsid w:val="008113D9"/>
    <w:rsid w:val="00811A0F"/>
    <w:rsid w:val="00811E9D"/>
    <w:rsid w:val="008120C8"/>
    <w:rsid w:val="00812226"/>
    <w:rsid w:val="00812851"/>
    <w:rsid w:val="00812AAD"/>
    <w:rsid w:val="00812C60"/>
    <w:rsid w:val="00812F17"/>
    <w:rsid w:val="00812FD7"/>
    <w:rsid w:val="00813420"/>
    <w:rsid w:val="008135EF"/>
    <w:rsid w:val="00813608"/>
    <w:rsid w:val="0081386F"/>
    <w:rsid w:val="00813B3A"/>
    <w:rsid w:val="00813CFD"/>
    <w:rsid w:val="00813DA4"/>
    <w:rsid w:val="00813EB5"/>
    <w:rsid w:val="008144C7"/>
    <w:rsid w:val="00814536"/>
    <w:rsid w:val="00814735"/>
    <w:rsid w:val="008148E0"/>
    <w:rsid w:val="008150BF"/>
    <w:rsid w:val="0081537A"/>
    <w:rsid w:val="00815579"/>
    <w:rsid w:val="008156B7"/>
    <w:rsid w:val="0081586A"/>
    <w:rsid w:val="008159B0"/>
    <w:rsid w:val="00815AD8"/>
    <w:rsid w:val="00815EB8"/>
    <w:rsid w:val="00816291"/>
    <w:rsid w:val="00816452"/>
    <w:rsid w:val="0081676C"/>
    <w:rsid w:val="00816893"/>
    <w:rsid w:val="008169ED"/>
    <w:rsid w:val="00816A21"/>
    <w:rsid w:val="00816A61"/>
    <w:rsid w:val="008170B6"/>
    <w:rsid w:val="00817100"/>
    <w:rsid w:val="008171F3"/>
    <w:rsid w:val="0081720E"/>
    <w:rsid w:val="00817790"/>
    <w:rsid w:val="00817BCA"/>
    <w:rsid w:val="008201FA"/>
    <w:rsid w:val="008209D1"/>
    <w:rsid w:val="00820ADF"/>
    <w:rsid w:val="00820C28"/>
    <w:rsid w:val="008214A5"/>
    <w:rsid w:val="00821504"/>
    <w:rsid w:val="00821574"/>
    <w:rsid w:val="008216D5"/>
    <w:rsid w:val="0082190D"/>
    <w:rsid w:val="00821BBC"/>
    <w:rsid w:val="00822022"/>
    <w:rsid w:val="008220B1"/>
    <w:rsid w:val="00822113"/>
    <w:rsid w:val="008225AA"/>
    <w:rsid w:val="008226EB"/>
    <w:rsid w:val="0082275B"/>
    <w:rsid w:val="00822AA7"/>
    <w:rsid w:val="00822D76"/>
    <w:rsid w:val="00823172"/>
    <w:rsid w:val="00823195"/>
    <w:rsid w:val="0082361C"/>
    <w:rsid w:val="00823922"/>
    <w:rsid w:val="00823B1F"/>
    <w:rsid w:val="00823C17"/>
    <w:rsid w:val="00823C2E"/>
    <w:rsid w:val="00823D71"/>
    <w:rsid w:val="00823EBA"/>
    <w:rsid w:val="00823ED7"/>
    <w:rsid w:val="00823F8E"/>
    <w:rsid w:val="008241C3"/>
    <w:rsid w:val="008242F9"/>
    <w:rsid w:val="008245C2"/>
    <w:rsid w:val="008245E5"/>
    <w:rsid w:val="00824DBA"/>
    <w:rsid w:val="00825028"/>
    <w:rsid w:val="008250B0"/>
    <w:rsid w:val="00825776"/>
    <w:rsid w:val="00825A78"/>
    <w:rsid w:val="00826020"/>
    <w:rsid w:val="00826259"/>
    <w:rsid w:val="008272B6"/>
    <w:rsid w:val="0082741F"/>
    <w:rsid w:val="008275A1"/>
    <w:rsid w:val="008275B4"/>
    <w:rsid w:val="008275E9"/>
    <w:rsid w:val="008276DD"/>
    <w:rsid w:val="00827D1C"/>
    <w:rsid w:val="00830800"/>
    <w:rsid w:val="00830A8B"/>
    <w:rsid w:val="00830F13"/>
    <w:rsid w:val="00830F16"/>
    <w:rsid w:val="008310E5"/>
    <w:rsid w:val="00831668"/>
    <w:rsid w:val="008317EB"/>
    <w:rsid w:val="008318A2"/>
    <w:rsid w:val="008318C0"/>
    <w:rsid w:val="00831DE1"/>
    <w:rsid w:val="008323CF"/>
    <w:rsid w:val="00832450"/>
    <w:rsid w:val="00832511"/>
    <w:rsid w:val="00832BC9"/>
    <w:rsid w:val="00832C0F"/>
    <w:rsid w:val="00832FC6"/>
    <w:rsid w:val="00833116"/>
    <w:rsid w:val="008331AA"/>
    <w:rsid w:val="0083328D"/>
    <w:rsid w:val="008332A1"/>
    <w:rsid w:val="00833627"/>
    <w:rsid w:val="0083362C"/>
    <w:rsid w:val="00833C6B"/>
    <w:rsid w:val="00833E00"/>
    <w:rsid w:val="008340E9"/>
    <w:rsid w:val="008340F3"/>
    <w:rsid w:val="00834469"/>
    <w:rsid w:val="008344DE"/>
    <w:rsid w:val="008344F3"/>
    <w:rsid w:val="0083474D"/>
    <w:rsid w:val="0083477B"/>
    <w:rsid w:val="00834837"/>
    <w:rsid w:val="00834D75"/>
    <w:rsid w:val="00835007"/>
    <w:rsid w:val="0083564D"/>
    <w:rsid w:val="008356F5"/>
    <w:rsid w:val="00835CE6"/>
    <w:rsid w:val="008361AE"/>
    <w:rsid w:val="0083626E"/>
    <w:rsid w:val="0083667E"/>
    <w:rsid w:val="008366E6"/>
    <w:rsid w:val="0083688A"/>
    <w:rsid w:val="00836EA9"/>
    <w:rsid w:val="00836F6C"/>
    <w:rsid w:val="00837530"/>
    <w:rsid w:val="00837532"/>
    <w:rsid w:val="00837E1C"/>
    <w:rsid w:val="008401DC"/>
    <w:rsid w:val="008402B3"/>
    <w:rsid w:val="00840347"/>
    <w:rsid w:val="00840442"/>
    <w:rsid w:val="008405D8"/>
    <w:rsid w:val="0084097F"/>
    <w:rsid w:val="00840D7E"/>
    <w:rsid w:val="00840E66"/>
    <w:rsid w:val="0084117C"/>
    <w:rsid w:val="00841746"/>
    <w:rsid w:val="00841AC8"/>
    <w:rsid w:val="00841BEA"/>
    <w:rsid w:val="00841D0C"/>
    <w:rsid w:val="00841D97"/>
    <w:rsid w:val="00841E38"/>
    <w:rsid w:val="00841ECE"/>
    <w:rsid w:val="00841F0D"/>
    <w:rsid w:val="00842430"/>
    <w:rsid w:val="008425FC"/>
    <w:rsid w:val="00842655"/>
    <w:rsid w:val="008428ED"/>
    <w:rsid w:val="00842971"/>
    <w:rsid w:val="00842989"/>
    <w:rsid w:val="008429DC"/>
    <w:rsid w:val="00842BF3"/>
    <w:rsid w:val="00842BF7"/>
    <w:rsid w:val="00842C07"/>
    <w:rsid w:val="008431E2"/>
    <w:rsid w:val="008434E4"/>
    <w:rsid w:val="008435C1"/>
    <w:rsid w:val="00843713"/>
    <w:rsid w:val="00843838"/>
    <w:rsid w:val="0084383F"/>
    <w:rsid w:val="008438D3"/>
    <w:rsid w:val="00843D0D"/>
    <w:rsid w:val="00843D20"/>
    <w:rsid w:val="0084422C"/>
    <w:rsid w:val="008443CD"/>
    <w:rsid w:val="008449BD"/>
    <w:rsid w:val="00844A62"/>
    <w:rsid w:val="00844ADC"/>
    <w:rsid w:val="00844B7C"/>
    <w:rsid w:val="00844E8D"/>
    <w:rsid w:val="0084518B"/>
    <w:rsid w:val="00845418"/>
    <w:rsid w:val="008456E7"/>
    <w:rsid w:val="00845ACA"/>
    <w:rsid w:val="00846054"/>
    <w:rsid w:val="0084607A"/>
    <w:rsid w:val="008463F5"/>
    <w:rsid w:val="008467FE"/>
    <w:rsid w:val="00846B88"/>
    <w:rsid w:val="00846CA7"/>
    <w:rsid w:val="00846DBD"/>
    <w:rsid w:val="00847124"/>
    <w:rsid w:val="00847142"/>
    <w:rsid w:val="008473AD"/>
    <w:rsid w:val="0084757C"/>
    <w:rsid w:val="008476FA"/>
    <w:rsid w:val="008477A2"/>
    <w:rsid w:val="00847946"/>
    <w:rsid w:val="00847E30"/>
    <w:rsid w:val="008501C0"/>
    <w:rsid w:val="008501CC"/>
    <w:rsid w:val="00850E3A"/>
    <w:rsid w:val="00850E73"/>
    <w:rsid w:val="00851159"/>
    <w:rsid w:val="0085120E"/>
    <w:rsid w:val="00851286"/>
    <w:rsid w:val="0085165D"/>
    <w:rsid w:val="00851688"/>
    <w:rsid w:val="00851862"/>
    <w:rsid w:val="00851883"/>
    <w:rsid w:val="008519D8"/>
    <w:rsid w:val="00851EA5"/>
    <w:rsid w:val="00852198"/>
    <w:rsid w:val="008522D4"/>
    <w:rsid w:val="008524A6"/>
    <w:rsid w:val="0085259E"/>
    <w:rsid w:val="008525A8"/>
    <w:rsid w:val="008525F7"/>
    <w:rsid w:val="00852EBE"/>
    <w:rsid w:val="00852FF0"/>
    <w:rsid w:val="00853716"/>
    <w:rsid w:val="0085373B"/>
    <w:rsid w:val="00853D47"/>
    <w:rsid w:val="00854165"/>
    <w:rsid w:val="008541FB"/>
    <w:rsid w:val="0085444E"/>
    <w:rsid w:val="008545EE"/>
    <w:rsid w:val="008547B2"/>
    <w:rsid w:val="00854E2C"/>
    <w:rsid w:val="00854E8A"/>
    <w:rsid w:val="00855414"/>
    <w:rsid w:val="0085564D"/>
    <w:rsid w:val="00855668"/>
    <w:rsid w:val="00855ADC"/>
    <w:rsid w:val="00855E6A"/>
    <w:rsid w:val="00855E6E"/>
    <w:rsid w:val="00855F2D"/>
    <w:rsid w:val="00855FAC"/>
    <w:rsid w:val="00856109"/>
    <w:rsid w:val="00856139"/>
    <w:rsid w:val="00856764"/>
    <w:rsid w:val="008568DF"/>
    <w:rsid w:val="00856C1F"/>
    <w:rsid w:val="00856F0A"/>
    <w:rsid w:val="00856F19"/>
    <w:rsid w:val="00856F56"/>
    <w:rsid w:val="008571EC"/>
    <w:rsid w:val="00857251"/>
    <w:rsid w:val="008572FD"/>
    <w:rsid w:val="008575D7"/>
    <w:rsid w:val="008576AE"/>
    <w:rsid w:val="00857907"/>
    <w:rsid w:val="00857AC1"/>
    <w:rsid w:val="00860005"/>
    <w:rsid w:val="008602E9"/>
    <w:rsid w:val="00860321"/>
    <w:rsid w:val="008604FF"/>
    <w:rsid w:val="008605C6"/>
    <w:rsid w:val="00860CAD"/>
    <w:rsid w:val="00860D17"/>
    <w:rsid w:val="00860E40"/>
    <w:rsid w:val="00860F04"/>
    <w:rsid w:val="00861198"/>
    <w:rsid w:val="008614CF"/>
    <w:rsid w:val="008618E3"/>
    <w:rsid w:val="008619AC"/>
    <w:rsid w:val="00861C76"/>
    <w:rsid w:val="00862425"/>
    <w:rsid w:val="008624F3"/>
    <w:rsid w:val="00862713"/>
    <w:rsid w:val="008627FB"/>
    <w:rsid w:val="00862A16"/>
    <w:rsid w:val="00862B02"/>
    <w:rsid w:val="00862B84"/>
    <w:rsid w:val="00863AD3"/>
    <w:rsid w:val="00863C75"/>
    <w:rsid w:val="00863FF2"/>
    <w:rsid w:val="00864659"/>
    <w:rsid w:val="008648DE"/>
    <w:rsid w:val="0086498D"/>
    <w:rsid w:val="008649D5"/>
    <w:rsid w:val="00864B08"/>
    <w:rsid w:val="008652CD"/>
    <w:rsid w:val="008656CE"/>
    <w:rsid w:val="0086593E"/>
    <w:rsid w:val="008660C7"/>
    <w:rsid w:val="008663C0"/>
    <w:rsid w:val="0086651F"/>
    <w:rsid w:val="0086663B"/>
    <w:rsid w:val="00866677"/>
    <w:rsid w:val="00866C21"/>
    <w:rsid w:val="00866FFE"/>
    <w:rsid w:val="0086746B"/>
    <w:rsid w:val="00867543"/>
    <w:rsid w:val="00867A38"/>
    <w:rsid w:val="00867B01"/>
    <w:rsid w:val="00867F7A"/>
    <w:rsid w:val="0087034F"/>
    <w:rsid w:val="00870390"/>
    <w:rsid w:val="00870D03"/>
    <w:rsid w:val="00870E07"/>
    <w:rsid w:val="008712E3"/>
    <w:rsid w:val="008713DF"/>
    <w:rsid w:val="00871674"/>
    <w:rsid w:val="008716A6"/>
    <w:rsid w:val="008716BD"/>
    <w:rsid w:val="00871988"/>
    <w:rsid w:val="00871AB1"/>
    <w:rsid w:val="00871D20"/>
    <w:rsid w:val="00871E5E"/>
    <w:rsid w:val="00871F1D"/>
    <w:rsid w:val="00871F61"/>
    <w:rsid w:val="008728FC"/>
    <w:rsid w:val="00872C19"/>
    <w:rsid w:val="00872FB0"/>
    <w:rsid w:val="00873011"/>
    <w:rsid w:val="008730B1"/>
    <w:rsid w:val="0087320F"/>
    <w:rsid w:val="00873267"/>
    <w:rsid w:val="00873463"/>
    <w:rsid w:val="008737C4"/>
    <w:rsid w:val="00873AFA"/>
    <w:rsid w:val="00873C48"/>
    <w:rsid w:val="00873C70"/>
    <w:rsid w:val="00873DE9"/>
    <w:rsid w:val="00873F76"/>
    <w:rsid w:val="008740DD"/>
    <w:rsid w:val="008746FF"/>
    <w:rsid w:val="00874831"/>
    <w:rsid w:val="00874856"/>
    <w:rsid w:val="00874CED"/>
    <w:rsid w:val="0087517A"/>
    <w:rsid w:val="008757DF"/>
    <w:rsid w:val="00875D09"/>
    <w:rsid w:val="00876425"/>
    <w:rsid w:val="00876755"/>
    <w:rsid w:val="00876E57"/>
    <w:rsid w:val="00877700"/>
    <w:rsid w:val="00877905"/>
    <w:rsid w:val="00877B9E"/>
    <w:rsid w:val="00877C16"/>
    <w:rsid w:val="008802F7"/>
    <w:rsid w:val="00880629"/>
    <w:rsid w:val="008806FF"/>
    <w:rsid w:val="0088085A"/>
    <w:rsid w:val="00880A12"/>
    <w:rsid w:val="00881344"/>
    <w:rsid w:val="00881353"/>
    <w:rsid w:val="00881472"/>
    <w:rsid w:val="008816E0"/>
    <w:rsid w:val="008818E6"/>
    <w:rsid w:val="00881D0F"/>
    <w:rsid w:val="00881DFB"/>
    <w:rsid w:val="0088215C"/>
    <w:rsid w:val="008822E7"/>
    <w:rsid w:val="00882446"/>
    <w:rsid w:val="008825AA"/>
    <w:rsid w:val="00883066"/>
    <w:rsid w:val="008831A0"/>
    <w:rsid w:val="00883330"/>
    <w:rsid w:val="00883582"/>
    <w:rsid w:val="00883936"/>
    <w:rsid w:val="00883E8C"/>
    <w:rsid w:val="0088424E"/>
    <w:rsid w:val="0088450A"/>
    <w:rsid w:val="00884621"/>
    <w:rsid w:val="00884A02"/>
    <w:rsid w:val="00884C4C"/>
    <w:rsid w:val="00884CE3"/>
    <w:rsid w:val="00884EA1"/>
    <w:rsid w:val="00884F6E"/>
    <w:rsid w:val="00885156"/>
    <w:rsid w:val="00885251"/>
    <w:rsid w:val="00885574"/>
    <w:rsid w:val="0088569E"/>
    <w:rsid w:val="00885907"/>
    <w:rsid w:val="00885C63"/>
    <w:rsid w:val="00885D1A"/>
    <w:rsid w:val="0088661A"/>
    <w:rsid w:val="00886624"/>
    <w:rsid w:val="008866BC"/>
    <w:rsid w:val="008866C4"/>
    <w:rsid w:val="00886935"/>
    <w:rsid w:val="0088698C"/>
    <w:rsid w:val="008869C6"/>
    <w:rsid w:val="00886C50"/>
    <w:rsid w:val="00886EBB"/>
    <w:rsid w:val="0088742A"/>
    <w:rsid w:val="0088777F"/>
    <w:rsid w:val="00887DB9"/>
    <w:rsid w:val="00887F9B"/>
    <w:rsid w:val="00890431"/>
    <w:rsid w:val="00890725"/>
    <w:rsid w:val="00890A2C"/>
    <w:rsid w:val="00890AB1"/>
    <w:rsid w:val="00890B35"/>
    <w:rsid w:val="00890D2F"/>
    <w:rsid w:val="00890ED2"/>
    <w:rsid w:val="00890EDC"/>
    <w:rsid w:val="00891073"/>
    <w:rsid w:val="008911D3"/>
    <w:rsid w:val="008916E3"/>
    <w:rsid w:val="008918AA"/>
    <w:rsid w:val="008919C5"/>
    <w:rsid w:val="00891BF9"/>
    <w:rsid w:val="00891CBD"/>
    <w:rsid w:val="008920F1"/>
    <w:rsid w:val="00892280"/>
    <w:rsid w:val="00892404"/>
    <w:rsid w:val="008924B1"/>
    <w:rsid w:val="00892F48"/>
    <w:rsid w:val="0089337B"/>
    <w:rsid w:val="00893ED8"/>
    <w:rsid w:val="00893F9B"/>
    <w:rsid w:val="00894281"/>
    <w:rsid w:val="008944E2"/>
    <w:rsid w:val="008945D1"/>
    <w:rsid w:val="00894612"/>
    <w:rsid w:val="00894669"/>
    <w:rsid w:val="00894A7B"/>
    <w:rsid w:val="00894AE4"/>
    <w:rsid w:val="00894C0A"/>
    <w:rsid w:val="00894C6B"/>
    <w:rsid w:val="00894D2B"/>
    <w:rsid w:val="00894E83"/>
    <w:rsid w:val="00894F8D"/>
    <w:rsid w:val="00894FB1"/>
    <w:rsid w:val="00894FE6"/>
    <w:rsid w:val="0089502D"/>
    <w:rsid w:val="008952EC"/>
    <w:rsid w:val="008957A5"/>
    <w:rsid w:val="00895AAC"/>
    <w:rsid w:val="00895B2E"/>
    <w:rsid w:val="00895EDA"/>
    <w:rsid w:val="008960F4"/>
    <w:rsid w:val="0089638A"/>
    <w:rsid w:val="00896D37"/>
    <w:rsid w:val="00896D5F"/>
    <w:rsid w:val="00896D68"/>
    <w:rsid w:val="00897698"/>
    <w:rsid w:val="00897729"/>
    <w:rsid w:val="00897DD9"/>
    <w:rsid w:val="008A0043"/>
    <w:rsid w:val="008A0448"/>
    <w:rsid w:val="008A06F0"/>
    <w:rsid w:val="008A0C03"/>
    <w:rsid w:val="008A0C22"/>
    <w:rsid w:val="008A0C2B"/>
    <w:rsid w:val="008A0DAE"/>
    <w:rsid w:val="008A0DFB"/>
    <w:rsid w:val="008A10FF"/>
    <w:rsid w:val="008A1825"/>
    <w:rsid w:val="008A19D4"/>
    <w:rsid w:val="008A1E3C"/>
    <w:rsid w:val="008A2042"/>
    <w:rsid w:val="008A2675"/>
    <w:rsid w:val="008A2BC9"/>
    <w:rsid w:val="008A2C80"/>
    <w:rsid w:val="008A2F20"/>
    <w:rsid w:val="008A2F24"/>
    <w:rsid w:val="008A31CB"/>
    <w:rsid w:val="008A32F6"/>
    <w:rsid w:val="008A369C"/>
    <w:rsid w:val="008A387C"/>
    <w:rsid w:val="008A3C14"/>
    <w:rsid w:val="008A3C61"/>
    <w:rsid w:val="008A3DA3"/>
    <w:rsid w:val="008A3FCE"/>
    <w:rsid w:val="008A4272"/>
    <w:rsid w:val="008A42D3"/>
    <w:rsid w:val="008A46A4"/>
    <w:rsid w:val="008A4C08"/>
    <w:rsid w:val="008A4EC7"/>
    <w:rsid w:val="008A54DC"/>
    <w:rsid w:val="008A57BD"/>
    <w:rsid w:val="008A5E72"/>
    <w:rsid w:val="008A6055"/>
    <w:rsid w:val="008A610D"/>
    <w:rsid w:val="008A6152"/>
    <w:rsid w:val="008A62A9"/>
    <w:rsid w:val="008A63B6"/>
    <w:rsid w:val="008A675E"/>
    <w:rsid w:val="008A689B"/>
    <w:rsid w:val="008A6A72"/>
    <w:rsid w:val="008A6C44"/>
    <w:rsid w:val="008A6D0E"/>
    <w:rsid w:val="008A7017"/>
    <w:rsid w:val="008A7177"/>
    <w:rsid w:val="008A74FD"/>
    <w:rsid w:val="008A7AFB"/>
    <w:rsid w:val="008A7DAC"/>
    <w:rsid w:val="008B064D"/>
    <w:rsid w:val="008B08A8"/>
    <w:rsid w:val="008B128C"/>
    <w:rsid w:val="008B1441"/>
    <w:rsid w:val="008B1569"/>
    <w:rsid w:val="008B19B9"/>
    <w:rsid w:val="008B1B9A"/>
    <w:rsid w:val="008B1C31"/>
    <w:rsid w:val="008B1E69"/>
    <w:rsid w:val="008B27F3"/>
    <w:rsid w:val="008B2875"/>
    <w:rsid w:val="008B2B2A"/>
    <w:rsid w:val="008B340E"/>
    <w:rsid w:val="008B34BA"/>
    <w:rsid w:val="008B35DC"/>
    <w:rsid w:val="008B3A49"/>
    <w:rsid w:val="008B3C83"/>
    <w:rsid w:val="008B3D53"/>
    <w:rsid w:val="008B4586"/>
    <w:rsid w:val="008B46D6"/>
    <w:rsid w:val="008B4725"/>
    <w:rsid w:val="008B4EFC"/>
    <w:rsid w:val="008B4F56"/>
    <w:rsid w:val="008B57BE"/>
    <w:rsid w:val="008B5BEE"/>
    <w:rsid w:val="008B5C05"/>
    <w:rsid w:val="008B5C5B"/>
    <w:rsid w:val="008B6116"/>
    <w:rsid w:val="008B62B4"/>
    <w:rsid w:val="008B63EE"/>
    <w:rsid w:val="008B6700"/>
    <w:rsid w:val="008B672A"/>
    <w:rsid w:val="008B6752"/>
    <w:rsid w:val="008B694B"/>
    <w:rsid w:val="008B6A65"/>
    <w:rsid w:val="008B6E35"/>
    <w:rsid w:val="008B6EBE"/>
    <w:rsid w:val="008B6FC0"/>
    <w:rsid w:val="008B78B0"/>
    <w:rsid w:val="008B7ACC"/>
    <w:rsid w:val="008B7D94"/>
    <w:rsid w:val="008C02A9"/>
    <w:rsid w:val="008C08B5"/>
    <w:rsid w:val="008C0989"/>
    <w:rsid w:val="008C0B48"/>
    <w:rsid w:val="008C0B8B"/>
    <w:rsid w:val="008C0D07"/>
    <w:rsid w:val="008C10FA"/>
    <w:rsid w:val="008C1957"/>
    <w:rsid w:val="008C1D3A"/>
    <w:rsid w:val="008C2135"/>
    <w:rsid w:val="008C2178"/>
    <w:rsid w:val="008C226C"/>
    <w:rsid w:val="008C22D5"/>
    <w:rsid w:val="008C2751"/>
    <w:rsid w:val="008C28FC"/>
    <w:rsid w:val="008C29AA"/>
    <w:rsid w:val="008C29E6"/>
    <w:rsid w:val="008C2A35"/>
    <w:rsid w:val="008C2CCD"/>
    <w:rsid w:val="008C3211"/>
    <w:rsid w:val="008C33CA"/>
    <w:rsid w:val="008C3443"/>
    <w:rsid w:val="008C34F7"/>
    <w:rsid w:val="008C3688"/>
    <w:rsid w:val="008C39B8"/>
    <w:rsid w:val="008C3EB2"/>
    <w:rsid w:val="008C40B0"/>
    <w:rsid w:val="008C4120"/>
    <w:rsid w:val="008C4314"/>
    <w:rsid w:val="008C4345"/>
    <w:rsid w:val="008C4619"/>
    <w:rsid w:val="008C4845"/>
    <w:rsid w:val="008C486F"/>
    <w:rsid w:val="008C4934"/>
    <w:rsid w:val="008C4B70"/>
    <w:rsid w:val="008C4B97"/>
    <w:rsid w:val="008C4CC5"/>
    <w:rsid w:val="008C5046"/>
    <w:rsid w:val="008C511C"/>
    <w:rsid w:val="008C5204"/>
    <w:rsid w:val="008C5B06"/>
    <w:rsid w:val="008C619B"/>
    <w:rsid w:val="008C671A"/>
    <w:rsid w:val="008C67ED"/>
    <w:rsid w:val="008C6C23"/>
    <w:rsid w:val="008C7152"/>
    <w:rsid w:val="008C7346"/>
    <w:rsid w:val="008C73BD"/>
    <w:rsid w:val="008C7533"/>
    <w:rsid w:val="008C7581"/>
    <w:rsid w:val="008C7695"/>
    <w:rsid w:val="008C76A6"/>
    <w:rsid w:val="008C796F"/>
    <w:rsid w:val="008C7C39"/>
    <w:rsid w:val="008C7F58"/>
    <w:rsid w:val="008D0055"/>
    <w:rsid w:val="008D0412"/>
    <w:rsid w:val="008D0557"/>
    <w:rsid w:val="008D0D22"/>
    <w:rsid w:val="008D0D70"/>
    <w:rsid w:val="008D0DA6"/>
    <w:rsid w:val="008D0F60"/>
    <w:rsid w:val="008D1322"/>
    <w:rsid w:val="008D161E"/>
    <w:rsid w:val="008D17F0"/>
    <w:rsid w:val="008D18E7"/>
    <w:rsid w:val="008D1AFE"/>
    <w:rsid w:val="008D1C8F"/>
    <w:rsid w:val="008D1E9F"/>
    <w:rsid w:val="008D21C7"/>
    <w:rsid w:val="008D2C84"/>
    <w:rsid w:val="008D2CF5"/>
    <w:rsid w:val="008D37C8"/>
    <w:rsid w:val="008D3A8A"/>
    <w:rsid w:val="008D3AE2"/>
    <w:rsid w:val="008D3C50"/>
    <w:rsid w:val="008D3E8C"/>
    <w:rsid w:val="008D3ED9"/>
    <w:rsid w:val="008D403E"/>
    <w:rsid w:val="008D4376"/>
    <w:rsid w:val="008D442E"/>
    <w:rsid w:val="008D453E"/>
    <w:rsid w:val="008D47E9"/>
    <w:rsid w:val="008D48BE"/>
    <w:rsid w:val="008D4A3E"/>
    <w:rsid w:val="008D4C4D"/>
    <w:rsid w:val="008D4D6E"/>
    <w:rsid w:val="008D55A7"/>
    <w:rsid w:val="008D5D2D"/>
    <w:rsid w:val="008D5FF0"/>
    <w:rsid w:val="008D619E"/>
    <w:rsid w:val="008D62CC"/>
    <w:rsid w:val="008D6551"/>
    <w:rsid w:val="008D6611"/>
    <w:rsid w:val="008D66D1"/>
    <w:rsid w:val="008D66DD"/>
    <w:rsid w:val="008D73AA"/>
    <w:rsid w:val="008D7458"/>
    <w:rsid w:val="008D77C9"/>
    <w:rsid w:val="008D78A5"/>
    <w:rsid w:val="008D78EB"/>
    <w:rsid w:val="008D7A30"/>
    <w:rsid w:val="008D7C00"/>
    <w:rsid w:val="008D7C3B"/>
    <w:rsid w:val="008D7C53"/>
    <w:rsid w:val="008D7EB1"/>
    <w:rsid w:val="008D7F5A"/>
    <w:rsid w:val="008E027F"/>
    <w:rsid w:val="008E0417"/>
    <w:rsid w:val="008E051E"/>
    <w:rsid w:val="008E0528"/>
    <w:rsid w:val="008E0588"/>
    <w:rsid w:val="008E059D"/>
    <w:rsid w:val="008E07B0"/>
    <w:rsid w:val="008E0898"/>
    <w:rsid w:val="008E0F0C"/>
    <w:rsid w:val="008E0F8E"/>
    <w:rsid w:val="008E114B"/>
    <w:rsid w:val="008E188F"/>
    <w:rsid w:val="008E193E"/>
    <w:rsid w:val="008E20FB"/>
    <w:rsid w:val="008E22DE"/>
    <w:rsid w:val="008E23A0"/>
    <w:rsid w:val="008E25C6"/>
    <w:rsid w:val="008E2631"/>
    <w:rsid w:val="008E2C95"/>
    <w:rsid w:val="008E2D2C"/>
    <w:rsid w:val="008E2E85"/>
    <w:rsid w:val="008E3185"/>
    <w:rsid w:val="008E31BA"/>
    <w:rsid w:val="008E357B"/>
    <w:rsid w:val="008E3634"/>
    <w:rsid w:val="008E3775"/>
    <w:rsid w:val="008E39A1"/>
    <w:rsid w:val="008E3A98"/>
    <w:rsid w:val="008E3C93"/>
    <w:rsid w:val="008E3D7E"/>
    <w:rsid w:val="008E3E45"/>
    <w:rsid w:val="008E3EEA"/>
    <w:rsid w:val="008E4AD8"/>
    <w:rsid w:val="008E4CF6"/>
    <w:rsid w:val="008E5884"/>
    <w:rsid w:val="008E5B6A"/>
    <w:rsid w:val="008E5D4D"/>
    <w:rsid w:val="008E6223"/>
    <w:rsid w:val="008E634E"/>
    <w:rsid w:val="008E654A"/>
    <w:rsid w:val="008E6941"/>
    <w:rsid w:val="008E6D91"/>
    <w:rsid w:val="008E6DA4"/>
    <w:rsid w:val="008E6EA3"/>
    <w:rsid w:val="008E70E7"/>
    <w:rsid w:val="008E759D"/>
    <w:rsid w:val="008E7822"/>
    <w:rsid w:val="008E7A21"/>
    <w:rsid w:val="008E7D93"/>
    <w:rsid w:val="008E7DD1"/>
    <w:rsid w:val="008F0151"/>
    <w:rsid w:val="008F0170"/>
    <w:rsid w:val="008F01E5"/>
    <w:rsid w:val="008F0200"/>
    <w:rsid w:val="008F0582"/>
    <w:rsid w:val="008F0739"/>
    <w:rsid w:val="008F087B"/>
    <w:rsid w:val="008F087E"/>
    <w:rsid w:val="008F08D8"/>
    <w:rsid w:val="008F0A8C"/>
    <w:rsid w:val="008F0ED4"/>
    <w:rsid w:val="008F1171"/>
    <w:rsid w:val="008F1825"/>
    <w:rsid w:val="008F183A"/>
    <w:rsid w:val="008F1974"/>
    <w:rsid w:val="008F1B20"/>
    <w:rsid w:val="008F1B95"/>
    <w:rsid w:val="008F1D1C"/>
    <w:rsid w:val="008F1ED2"/>
    <w:rsid w:val="008F1F82"/>
    <w:rsid w:val="008F1FAC"/>
    <w:rsid w:val="008F1FFC"/>
    <w:rsid w:val="008F23B2"/>
    <w:rsid w:val="008F290C"/>
    <w:rsid w:val="008F2982"/>
    <w:rsid w:val="008F2BF2"/>
    <w:rsid w:val="008F3030"/>
    <w:rsid w:val="008F3278"/>
    <w:rsid w:val="008F34BA"/>
    <w:rsid w:val="008F34F0"/>
    <w:rsid w:val="008F3819"/>
    <w:rsid w:val="008F38D3"/>
    <w:rsid w:val="008F3C97"/>
    <w:rsid w:val="008F3D0C"/>
    <w:rsid w:val="008F4472"/>
    <w:rsid w:val="008F4DDD"/>
    <w:rsid w:val="008F53B5"/>
    <w:rsid w:val="008F59A8"/>
    <w:rsid w:val="008F5DC3"/>
    <w:rsid w:val="008F6137"/>
    <w:rsid w:val="008F63DB"/>
    <w:rsid w:val="008F64F5"/>
    <w:rsid w:val="008F6732"/>
    <w:rsid w:val="008F6840"/>
    <w:rsid w:val="008F690C"/>
    <w:rsid w:val="008F6A9D"/>
    <w:rsid w:val="008F6EA9"/>
    <w:rsid w:val="008F7065"/>
    <w:rsid w:val="008F7067"/>
    <w:rsid w:val="008F72AA"/>
    <w:rsid w:val="008F72B5"/>
    <w:rsid w:val="008F734B"/>
    <w:rsid w:val="008F7570"/>
    <w:rsid w:val="008F76B2"/>
    <w:rsid w:val="008F7C28"/>
    <w:rsid w:val="0090004B"/>
    <w:rsid w:val="00900077"/>
    <w:rsid w:val="00900239"/>
    <w:rsid w:val="00900432"/>
    <w:rsid w:val="00900473"/>
    <w:rsid w:val="00900479"/>
    <w:rsid w:val="0090047B"/>
    <w:rsid w:val="0090077F"/>
    <w:rsid w:val="00900ED8"/>
    <w:rsid w:val="0090153B"/>
    <w:rsid w:val="00901B1C"/>
    <w:rsid w:val="009026BC"/>
    <w:rsid w:val="00902CE0"/>
    <w:rsid w:val="00902EAE"/>
    <w:rsid w:val="00902FFC"/>
    <w:rsid w:val="00903061"/>
    <w:rsid w:val="009033C3"/>
    <w:rsid w:val="00903492"/>
    <w:rsid w:val="00903645"/>
    <w:rsid w:val="009039EC"/>
    <w:rsid w:val="00903CB9"/>
    <w:rsid w:val="00903DC1"/>
    <w:rsid w:val="009044CC"/>
    <w:rsid w:val="00904757"/>
    <w:rsid w:val="009047DF"/>
    <w:rsid w:val="00904A2D"/>
    <w:rsid w:val="00904C74"/>
    <w:rsid w:val="009057F7"/>
    <w:rsid w:val="0090589F"/>
    <w:rsid w:val="0090597B"/>
    <w:rsid w:val="009059F8"/>
    <w:rsid w:val="00905BBB"/>
    <w:rsid w:val="00905D0F"/>
    <w:rsid w:val="0090602F"/>
    <w:rsid w:val="009065CC"/>
    <w:rsid w:val="009065D7"/>
    <w:rsid w:val="009068E0"/>
    <w:rsid w:val="009068FA"/>
    <w:rsid w:val="00906B04"/>
    <w:rsid w:val="00907857"/>
    <w:rsid w:val="00907B2B"/>
    <w:rsid w:val="00907C6E"/>
    <w:rsid w:val="00907CB6"/>
    <w:rsid w:val="00907D32"/>
    <w:rsid w:val="00907D7A"/>
    <w:rsid w:val="00907E20"/>
    <w:rsid w:val="00907E5B"/>
    <w:rsid w:val="00907E6F"/>
    <w:rsid w:val="0091036E"/>
    <w:rsid w:val="00910782"/>
    <w:rsid w:val="009107AD"/>
    <w:rsid w:val="009108F7"/>
    <w:rsid w:val="00910C52"/>
    <w:rsid w:val="009114DD"/>
    <w:rsid w:val="0091159B"/>
    <w:rsid w:val="00911A4C"/>
    <w:rsid w:val="00911A6B"/>
    <w:rsid w:val="00911D4E"/>
    <w:rsid w:val="009125F6"/>
    <w:rsid w:val="00912A72"/>
    <w:rsid w:val="00912DD6"/>
    <w:rsid w:val="009133CB"/>
    <w:rsid w:val="00913620"/>
    <w:rsid w:val="00913821"/>
    <w:rsid w:val="00913E87"/>
    <w:rsid w:val="0091426D"/>
    <w:rsid w:val="00914631"/>
    <w:rsid w:val="00914928"/>
    <w:rsid w:val="00914C6D"/>
    <w:rsid w:val="00914D0F"/>
    <w:rsid w:val="00914EE5"/>
    <w:rsid w:val="00915102"/>
    <w:rsid w:val="009155B0"/>
    <w:rsid w:val="009156A4"/>
    <w:rsid w:val="00915890"/>
    <w:rsid w:val="00915B42"/>
    <w:rsid w:val="00916141"/>
    <w:rsid w:val="009165F1"/>
    <w:rsid w:val="0091662F"/>
    <w:rsid w:val="009166F0"/>
    <w:rsid w:val="00916DB1"/>
    <w:rsid w:val="0091728B"/>
    <w:rsid w:val="009175AA"/>
    <w:rsid w:val="009175F3"/>
    <w:rsid w:val="00917C28"/>
    <w:rsid w:val="009203D4"/>
    <w:rsid w:val="00920452"/>
    <w:rsid w:val="0092050E"/>
    <w:rsid w:val="0092078A"/>
    <w:rsid w:val="0092095E"/>
    <w:rsid w:val="00920974"/>
    <w:rsid w:val="00920FC9"/>
    <w:rsid w:val="00921632"/>
    <w:rsid w:val="00921731"/>
    <w:rsid w:val="009217F8"/>
    <w:rsid w:val="00921FD2"/>
    <w:rsid w:val="009221A7"/>
    <w:rsid w:val="00922326"/>
    <w:rsid w:val="009223B4"/>
    <w:rsid w:val="009224E1"/>
    <w:rsid w:val="009224FC"/>
    <w:rsid w:val="009226F2"/>
    <w:rsid w:val="00922B1B"/>
    <w:rsid w:val="00922B96"/>
    <w:rsid w:val="00923234"/>
    <w:rsid w:val="0092378F"/>
    <w:rsid w:val="009237BA"/>
    <w:rsid w:val="00923847"/>
    <w:rsid w:val="009238F1"/>
    <w:rsid w:val="00923AF8"/>
    <w:rsid w:val="00924076"/>
    <w:rsid w:val="0092410F"/>
    <w:rsid w:val="00924562"/>
    <w:rsid w:val="00924D47"/>
    <w:rsid w:val="00925253"/>
    <w:rsid w:val="0092539C"/>
    <w:rsid w:val="0092555D"/>
    <w:rsid w:val="00925928"/>
    <w:rsid w:val="0092595C"/>
    <w:rsid w:val="009259DB"/>
    <w:rsid w:val="00925A87"/>
    <w:rsid w:val="00925B5F"/>
    <w:rsid w:val="00925C4B"/>
    <w:rsid w:val="00925DFC"/>
    <w:rsid w:val="009260E1"/>
    <w:rsid w:val="00926418"/>
    <w:rsid w:val="0092648A"/>
    <w:rsid w:val="00926E97"/>
    <w:rsid w:val="00926EAB"/>
    <w:rsid w:val="00927044"/>
    <w:rsid w:val="00927159"/>
    <w:rsid w:val="00927166"/>
    <w:rsid w:val="009279A3"/>
    <w:rsid w:val="00927D8B"/>
    <w:rsid w:val="00927EBA"/>
    <w:rsid w:val="00927F1D"/>
    <w:rsid w:val="009300CE"/>
    <w:rsid w:val="009303B3"/>
    <w:rsid w:val="00930583"/>
    <w:rsid w:val="00930677"/>
    <w:rsid w:val="0093078D"/>
    <w:rsid w:val="009309BB"/>
    <w:rsid w:val="00930A95"/>
    <w:rsid w:val="00930B6E"/>
    <w:rsid w:val="00931165"/>
    <w:rsid w:val="0093135D"/>
    <w:rsid w:val="00931929"/>
    <w:rsid w:val="009319BE"/>
    <w:rsid w:val="00931A98"/>
    <w:rsid w:val="00931FBD"/>
    <w:rsid w:val="00932174"/>
    <w:rsid w:val="00932454"/>
    <w:rsid w:val="00932536"/>
    <w:rsid w:val="009326E5"/>
    <w:rsid w:val="0093291D"/>
    <w:rsid w:val="009329AA"/>
    <w:rsid w:val="00932D37"/>
    <w:rsid w:val="00932D67"/>
    <w:rsid w:val="00933170"/>
    <w:rsid w:val="0093324D"/>
    <w:rsid w:val="00933368"/>
    <w:rsid w:val="00933649"/>
    <w:rsid w:val="0093381F"/>
    <w:rsid w:val="00933861"/>
    <w:rsid w:val="009338CE"/>
    <w:rsid w:val="009338E1"/>
    <w:rsid w:val="00933B1E"/>
    <w:rsid w:val="00933C1E"/>
    <w:rsid w:val="0093407D"/>
    <w:rsid w:val="0093426A"/>
    <w:rsid w:val="00934270"/>
    <w:rsid w:val="009344FF"/>
    <w:rsid w:val="009346EA"/>
    <w:rsid w:val="00934E3A"/>
    <w:rsid w:val="009353A9"/>
    <w:rsid w:val="009355AB"/>
    <w:rsid w:val="00935624"/>
    <w:rsid w:val="00935729"/>
    <w:rsid w:val="00935790"/>
    <w:rsid w:val="00935857"/>
    <w:rsid w:val="0093588A"/>
    <w:rsid w:val="00935A20"/>
    <w:rsid w:val="00935A6C"/>
    <w:rsid w:val="00935B41"/>
    <w:rsid w:val="00935C4A"/>
    <w:rsid w:val="00935CCA"/>
    <w:rsid w:val="00935CEF"/>
    <w:rsid w:val="00935D43"/>
    <w:rsid w:val="009360D9"/>
    <w:rsid w:val="00936355"/>
    <w:rsid w:val="0093642B"/>
    <w:rsid w:val="00936513"/>
    <w:rsid w:val="00936AFD"/>
    <w:rsid w:val="00936C20"/>
    <w:rsid w:val="00936DF0"/>
    <w:rsid w:val="00937034"/>
    <w:rsid w:val="00937541"/>
    <w:rsid w:val="0093755C"/>
    <w:rsid w:val="009375FC"/>
    <w:rsid w:val="00937640"/>
    <w:rsid w:val="009377F7"/>
    <w:rsid w:val="0093791C"/>
    <w:rsid w:val="00937AFA"/>
    <w:rsid w:val="00937C81"/>
    <w:rsid w:val="00937E9A"/>
    <w:rsid w:val="0094055E"/>
    <w:rsid w:val="0094073E"/>
    <w:rsid w:val="009407D0"/>
    <w:rsid w:val="00940A70"/>
    <w:rsid w:val="00940C9E"/>
    <w:rsid w:val="00940CD6"/>
    <w:rsid w:val="00940EDE"/>
    <w:rsid w:val="00940F45"/>
    <w:rsid w:val="0094126F"/>
    <w:rsid w:val="00941363"/>
    <w:rsid w:val="00941547"/>
    <w:rsid w:val="00941750"/>
    <w:rsid w:val="0094184D"/>
    <w:rsid w:val="00941BA9"/>
    <w:rsid w:val="00941D15"/>
    <w:rsid w:val="00941D18"/>
    <w:rsid w:val="00941F81"/>
    <w:rsid w:val="009425EF"/>
    <w:rsid w:val="00942A0E"/>
    <w:rsid w:val="00942AE9"/>
    <w:rsid w:val="00942AF3"/>
    <w:rsid w:val="00942B61"/>
    <w:rsid w:val="00942F31"/>
    <w:rsid w:val="0094303A"/>
    <w:rsid w:val="0094318D"/>
    <w:rsid w:val="0094320C"/>
    <w:rsid w:val="009433DA"/>
    <w:rsid w:val="009433DC"/>
    <w:rsid w:val="009435DC"/>
    <w:rsid w:val="00943936"/>
    <w:rsid w:val="009439C5"/>
    <w:rsid w:val="00943B6C"/>
    <w:rsid w:val="00943C39"/>
    <w:rsid w:val="00943D76"/>
    <w:rsid w:val="00943E45"/>
    <w:rsid w:val="00943FD8"/>
    <w:rsid w:val="00944174"/>
    <w:rsid w:val="009448D7"/>
    <w:rsid w:val="00944E6D"/>
    <w:rsid w:val="00945004"/>
    <w:rsid w:val="00945008"/>
    <w:rsid w:val="009452E2"/>
    <w:rsid w:val="009455E7"/>
    <w:rsid w:val="0094572E"/>
    <w:rsid w:val="009457C7"/>
    <w:rsid w:val="00945B92"/>
    <w:rsid w:val="00945F53"/>
    <w:rsid w:val="00945FA3"/>
    <w:rsid w:val="00946212"/>
    <w:rsid w:val="0094628D"/>
    <w:rsid w:val="00946553"/>
    <w:rsid w:val="0094657B"/>
    <w:rsid w:val="009466DB"/>
    <w:rsid w:val="00946871"/>
    <w:rsid w:val="00946C01"/>
    <w:rsid w:val="009470B1"/>
    <w:rsid w:val="0094715E"/>
    <w:rsid w:val="009471CF"/>
    <w:rsid w:val="00947263"/>
    <w:rsid w:val="0094756B"/>
    <w:rsid w:val="0094758F"/>
    <w:rsid w:val="0094775A"/>
    <w:rsid w:val="0094782E"/>
    <w:rsid w:val="00947BC8"/>
    <w:rsid w:val="0095003D"/>
    <w:rsid w:val="009500E4"/>
    <w:rsid w:val="009501DC"/>
    <w:rsid w:val="00950556"/>
    <w:rsid w:val="009507A5"/>
    <w:rsid w:val="00950828"/>
    <w:rsid w:val="009510E8"/>
    <w:rsid w:val="00951458"/>
    <w:rsid w:val="009517A5"/>
    <w:rsid w:val="0095189F"/>
    <w:rsid w:val="00951A10"/>
    <w:rsid w:val="00951DC0"/>
    <w:rsid w:val="00951FC7"/>
    <w:rsid w:val="00951FE3"/>
    <w:rsid w:val="0095235B"/>
    <w:rsid w:val="0095258C"/>
    <w:rsid w:val="009526E8"/>
    <w:rsid w:val="00952C44"/>
    <w:rsid w:val="00952F14"/>
    <w:rsid w:val="009532E2"/>
    <w:rsid w:val="0095386A"/>
    <w:rsid w:val="0095400C"/>
    <w:rsid w:val="0095412E"/>
    <w:rsid w:val="0095421B"/>
    <w:rsid w:val="00954383"/>
    <w:rsid w:val="009545FC"/>
    <w:rsid w:val="00954627"/>
    <w:rsid w:val="00954702"/>
    <w:rsid w:val="00954767"/>
    <w:rsid w:val="00954B51"/>
    <w:rsid w:val="00954D79"/>
    <w:rsid w:val="00954F27"/>
    <w:rsid w:val="00955021"/>
    <w:rsid w:val="009550C4"/>
    <w:rsid w:val="00955B16"/>
    <w:rsid w:val="00955CE8"/>
    <w:rsid w:val="0095640A"/>
    <w:rsid w:val="009564C4"/>
    <w:rsid w:val="00956733"/>
    <w:rsid w:val="00956A6B"/>
    <w:rsid w:val="00956C1B"/>
    <w:rsid w:val="00956D42"/>
    <w:rsid w:val="00956E2D"/>
    <w:rsid w:val="00957010"/>
    <w:rsid w:val="0095719C"/>
    <w:rsid w:val="009573F8"/>
    <w:rsid w:val="00957422"/>
    <w:rsid w:val="00957782"/>
    <w:rsid w:val="009577F2"/>
    <w:rsid w:val="00957817"/>
    <w:rsid w:val="0095793A"/>
    <w:rsid w:val="00957A48"/>
    <w:rsid w:val="00957D32"/>
    <w:rsid w:val="00957D51"/>
    <w:rsid w:val="00957F85"/>
    <w:rsid w:val="00957FC8"/>
    <w:rsid w:val="0096085B"/>
    <w:rsid w:val="009608E7"/>
    <w:rsid w:val="0096095E"/>
    <w:rsid w:val="0096097E"/>
    <w:rsid w:val="00960CE1"/>
    <w:rsid w:val="009612D1"/>
    <w:rsid w:val="009613B1"/>
    <w:rsid w:val="009619AB"/>
    <w:rsid w:val="00961D54"/>
    <w:rsid w:val="00961E42"/>
    <w:rsid w:val="009620C1"/>
    <w:rsid w:val="00962174"/>
    <w:rsid w:val="0096237B"/>
    <w:rsid w:val="009626ED"/>
    <w:rsid w:val="00962983"/>
    <w:rsid w:val="00962BD7"/>
    <w:rsid w:val="00962D04"/>
    <w:rsid w:val="00962D77"/>
    <w:rsid w:val="00962E99"/>
    <w:rsid w:val="00962EC7"/>
    <w:rsid w:val="0096306A"/>
    <w:rsid w:val="009630A5"/>
    <w:rsid w:val="009630E0"/>
    <w:rsid w:val="00963467"/>
    <w:rsid w:val="00963966"/>
    <w:rsid w:val="009639EA"/>
    <w:rsid w:val="00963A34"/>
    <w:rsid w:val="00963A4A"/>
    <w:rsid w:val="00963B2D"/>
    <w:rsid w:val="00963B41"/>
    <w:rsid w:val="00963BFB"/>
    <w:rsid w:val="009641E8"/>
    <w:rsid w:val="00964207"/>
    <w:rsid w:val="00964328"/>
    <w:rsid w:val="0096447F"/>
    <w:rsid w:val="009644F6"/>
    <w:rsid w:val="009648F3"/>
    <w:rsid w:val="009655B6"/>
    <w:rsid w:val="009659D7"/>
    <w:rsid w:val="00965A5C"/>
    <w:rsid w:val="00965B8C"/>
    <w:rsid w:val="00965C25"/>
    <w:rsid w:val="00965EBE"/>
    <w:rsid w:val="00966805"/>
    <w:rsid w:val="00966AF7"/>
    <w:rsid w:val="00966D02"/>
    <w:rsid w:val="00966E69"/>
    <w:rsid w:val="00966EF3"/>
    <w:rsid w:val="009674C5"/>
    <w:rsid w:val="00967B22"/>
    <w:rsid w:val="00967B4C"/>
    <w:rsid w:val="00967D74"/>
    <w:rsid w:val="00967F7E"/>
    <w:rsid w:val="0097073E"/>
    <w:rsid w:val="00970750"/>
    <w:rsid w:val="00970863"/>
    <w:rsid w:val="00970E86"/>
    <w:rsid w:val="00971036"/>
    <w:rsid w:val="00971156"/>
    <w:rsid w:val="00971288"/>
    <w:rsid w:val="0097198E"/>
    <w:rsid w:val="00971BF4"/>
    <w:rsid w:val="00971D67"/>
    <w:rsid w:val="00971FD6"/>
    <w:rsid w:val="00972034"/>
    <w:rsid w:val="00972118"/>
    <w:rsid w:val="00972C6C"/>
    <w:rsid w:val="00972E99"/>
    <w:rsid w:val="0097303E"/>
    <w:rsid w:val="00973172"/>
    <w:rsid w:val="0097324D"/>
    <w:rsid w:val="009735B1"/>
    <w:rsid w:val="009738B6"/>
    <w:rsid w:val="00973A7C"/>
    <w:rsid w:val="00973B25"/>
    <w:rsid w:val="00973F74"/>
    <w:rsid w:val="0097404B"/>
    <w:rsid w:val="0097408F"/>
    <w:rsid w:val="00974258"/>
    <w:rsid w:val="0097461F"/>
    <w:rsid w:val="009746A5"/>
    <w:rsid w:val="009747A1"/>
    <w:rsid w:val="00974DDE"/>
    <w:rsid w:val="00975056"/>
    <w:rsid w:val="009752F1"/>
    <w:rsid w:val="009758B9"/>
    <w:rsid w:val="00975DCD"/>
    <w:rsid w:val="0097600A"/>
    <w:rsid w:val="009761A3"/>
    <w:rsid w:val="0097673F"/>
    <w:rsid w:val="00976838"/>
    <w:rsid w:val="0097693B"/>
    <w:rsid w:val="00976C22"/>
    <w:rsid w:val="00976D2D"/>
    <w:rsid w:val="0097763E"/>
    <w:rsid w:val="009776DC"/>
    <w:rsid w:val="00977A6D"/>
    <w:rsid w:val="00977E34"/>
    <w:rsid w:val="009801FC"/>
    <w:rsid w:val="009805D7"/>
    <w:rsid w:val="009807C8"/>
    <w:rsid w:val="00980B59"/>
    <w:rsid w:val="00980F11"/>
    <w:rsid w:val="00980FCC"/>
    <w:rsid w:val="0098105D"/>
    <w:rsid w:val="0098123D"/>
    <w:rsid w:val="0098176C"/>
    <w:rsid w:val="00981AD3"/>
    <w:rsid w:val="00981B55"/>
    <w:rsid w:val="00981BFE"/>
    <w:rsid w:val="00981D84"/>
    <w:rsid w:val="00982297"/>
    <w:rsid w:val="009822F1"/>
    <w:rsid w:val="00982602"/>
    <w:rsid w:val="00982816"/>
    <w:rsid w:val="00982A18"/>
    <w:rsid w:val="00982D2B"/>
    <w:rsid w:val="00983211"/>
    <w:rsid w:val="0098358A"/>
    <w:rsid w:val="009835FE"/>
    <w:rsid w:val="0098394C"/>
    <w:rsid w:val="00983AEB"/>
    <w:rsid w:val="00984110"/>
    <w:rsid w:val="0098423E"/>
    <w:rsid w:val="00984380"/>
    <w:rsid w:val="00984575"/>
    <w:rsid w:val="00984584"/>
    <w:rsid w:val="00984598"/>
    <w:rsid w:val="009847DD"/>
    <w:rsid w:val="009852B0"/>
    <w:rsid w:val="00985364"/>
    <w:rsid w:val="00985494"/>
    <w:rsid w:val="0098552D"/>
    <w:rsid w:val="00985BB5"/>
    <w:rsid w:val="00985BFB"/>
    <w:rsid w:val="00985C23"/>
    <w:rsid w:val="00985C81"/>
    <w:rsid w:val="00985EBB"/>
    <w:rsid w:val="00985ED8"/>
    <w:rsid w:val="00985F8E"/>
    <w:rsid w:val="00985F8F"/>
    <w:rsid w:val="00986010"/>
    <w:rsid w:val="0098603D"/>
    <w:rsid w:val="0098627B"/>
    <w:rsid w:val="00986342"/>
    <w:rsid w:val="0098650A"/>
    <w:rsid w:val="00986B0D"/>
    <w:rsid w:val="00986B15"/>
    <w:rsid w:val="00986DE6"/>
    <w:rsid w:val="00986E02"/>
    <w:rsid w:val="00986FDD"/>
    <w:rsid w:val="00987113"/>
    <w:rsid w:val="00987325"/>
    <w:rsid w:val="00987445"/>
    <w:rsid w:val="00987A34"/>
    <w:rsid w:val="00987BC6"/>
    <w:rsid w:val="00987F06"/>
    <w:rsid w:val="009900AC"/>
    <w:rsid w:val="00990249"/>
    <w:rsid w:val="0099024B"/>
    <w:rsid w:val="0099058F"/>
    <w:rsid w:val="009907A0"/>
    <w:rsid w:val="009907DA"/>
    <w:rsid w:val="00990904"/>
    <w:rsid w:val="00990DD4"/>
    <w:rsid w:val="0099132D"/>
    <w:rsid w:val="0099140C"/>
    <w:rsid w:val="009914A7"/>
    <w:rsid w:val="00991A6E"/>
    <w:rsid w:val="00991AD5"/>
    <w:rsid w:val="00991AF9"/>
    <w:rsid w:val="00991C90"/>
    <w:rsid w:val="00991EB1"/>
    <w:rsid w:val="00991ED7"/>
    <w:rsid w:val="009920A8"/>
    <w:rsid w:val="009921BD"/>
    <w:rsid w:val="009924FF"/>
    <w:rsid w:val="00992625"/>
    <w:rsid w:val="0099269E"/>
    <w:rsid w:val="009926BF"/>
    <w:rsid w:val="009929BE"/>
    <w:rsid w:val="009929E8"/>
    <w:rsid w:val="009930E4"/>
    <w:rsid w:val="0099320F"/>
    <w:rsid w:val="00993347"/>
    <w:rsid w:val="009933E9"/>
    <w:rsid w:val="009934D2"/>
    <w:rsid w:val="0099357E"/>
    <w:rsid w:val="00993851"/>
    <w:rsid w:val="009938C4"/>
    <w:rsid w:val="009939A5"/>
    <w:rsid w:val="00993D42"/>
    <w:rsid w:val="00993E60"/>
    <w:rsid w:val="0099413B"/>
    <w:rsid w:val="0099425D"/>
    <w:rsid w:val="00994296"/>
    <w:rsid w:val="009944C5"/>
    <w:rsid w:val="00994562"/>
    <w:rsid w:val="00994D8A"/>
    <w:rsid w:val="00995028"/>
    <w:rsid w:val="0099553A"/>
    <w:rsid w:val="0099566C"/>
    <w:rsid w:val="00995915"/>
    <w:rsid w:val="00995FF4"/>
    <w:rsid w:val="009961D3"/>
    <w:rsid w:val="00996378"/>
    <w:rsid w:val="00996503"/>
    <w:rsid w:val="009967DE"/>
    <w:rsid w:val="009970BF"/>
    <w:rsid w:val="00997609"/>
    <w:rsid w:val="009979D1"/>
    <w:rsid w:val="00997EDD"/>
    <w:rsid w:val="009A00CC"/>
    <w:rsid w:val="009A05BD"/>
    <w:rsid w:val="009A05C1"/>
    <w:rsid w:val="009A07D2"/>
    <w:rsid w:val="009A094B"/>
    <w:rsid w:val="009A0ADC"/>
    <w:rsid w:val="009A0C00"/>
    <w:rsid w:val="009A1122"/>
    <w:rsid w:val="009A12FE"/>
    <w:rsid w:val="009A166D"/>
    <w:rsid w:val="009A177D"/>
    <w:rsid w:val="009A19DA"/>
    <w:rsid w:val="009A2506"/>
    <w:rsid w:val="009A25E8"/>
    <w:rsid w:val="009A2B78"/>
    <w:rsid w:val="009A2D65"/>
    <w:rsid w:val="009A2EF0"/>
    <w:rsid w:val="009A3234"/>
    <w:rsid w:val="009A33C7"/>
    <w:rsid w:val="009A3655"/>
    <w:rsid w:val="009A3731"/>
    <w:rsid w:val="009A38BE"/>
    <w:rsid w:val="009A3DEE"/>
    <w:rsid w:val="009A3FCD"/>
    <w:rsid w:val="009A4323"/>
    <w:rsid w:val="009A43F1"/>
    <w:rsid w:val="009A4845"/>
    <w:rsid w:val="009A4C72"/>
    <w:rsid w:val="009A4CB7"/>
    <w:rsid w:val="009A4F87"/>
    <w:rsid w:val="009A4FDD"/>
    <w:rsid w:val="009A50B1"/>
    <w:rsid w:val="009A5857"/>
    <w:rsid w:val="009A5B4F"/>
    <w:rsid w:val="009A5F34"/>
    <w:rsid w:val="009A5FA0"/>
    <w:rsid w:val="009A6218"/>
    <w:rsid w:val="009A658C"/>
    <w:rsid w:val="009A658F"/>
    <w:rsid w:val="009A6B66"/>
    <w:rsid w:val="009A6B8D"/>
    <w:rsid w:val="009A6D55"/>
    <w:rsid w:val="009A6F9B"/>
    <w:rsid w:val="009A7074"/>
    <w:rsid w:val="009A72E0"/>
    <w:rsid w:val="009A733C"/>
    <w:rsid w:val="009A76F8"/>
    <w:rsid w:val="009A7AA9"/>
    <w:rsid w:val="009B011B"/>
    <w:rsid w:val="009B04C4"/>
    <w:rsid w:val="009B06D6"/>
    <w:rsid w:val="009B0737"/>
    <w:rsid w:val="009B075E"/>
    <w:rsid w:val="009B0AAB"/>
    <w:rsid w:val="009B0CA6"/>
    <w:rsid w:val="009B1079"/>
    <w:rsid w:val="009B12F1"/>
    <w:rsid w:val="009B1313"/>
    <w:rsid w:val="009B140D"/>
    <w:rsid w:val="009B16CA"/>
    <w:rsid w:val="009B195B"/>
    <w:rsid w:val="009B19FF"/>
    <w:rsid w:val="009B1D08"/>
    <w:rsid w:val="009B1D79"/>
    <w:rsid w:val="009B1E09"/>
    <w:rsid w:val="009B1E8B"/>
    <w:rsid w:val="009B2072"/>
    <w:rsid w:val="009B231C"/>
    <w:rsid w:val="009B2BA3"/>
    <w:rsid w:val="009B2C88"/>
    <w:rsid w:val="009B2D01"/>
    <w:rsid w:val="009B2DF0"/>
    <w:rsid w:val="009B2F12"/>
    <w:rsid w:val="009B3170"/>
    <w:rsid w:val="009B31E2"/>
    <w:rsid w:val="009B32A7"/>
    <w:rsid w:val="009B36DD"/>
    <w:rsid w:val="009B389B"/>
    <w:rsid w:val="009B3948"/>
    <w:rsid w:val="009B3A93"/>
    <w:rsid w:val="009B3AA5"/>
    <w:rsid w:val="009B3C7E"/>
    <w:rsid w:val="009B3D7D"/>
    <w:rsid w:val="009B3ECE"/>
    <w:rsid w:val="009B3F7E"/>
    <w:rsid w:val="009B4BBF"/>
    <w:rsid w:val="009B4E03"/>
    <w:rsid w:val="009B5175"/>
    <w:rsid w:val="009B52AF"/>
    <w:rsid w:val="009B52D6"/>
    <w:rsid w:val="009B558E"/>
    <w:rsid w:val="009B5975"/>
    <w:rsid w:val="009B6277"/>
    <w:rsid w:val="009B6306"/>
    <w:rsid w:val="009B65A2"/>
    <w:rsid w:val="009B6B14"/>
    <w:rsid w:val="009B6CBC"/>
    <w:rsid w:val="009B6D4A"/>
    <w:rsid w:val="009B6F09"/>
    <w:rsid w:val="009B6FD6"/>
    <w:rsid w:val="009B70AD"/>
    <w:rsid w:val="009B73DC"/>
    <w:rsid w:val="009B7524"/>
    <w:rsid w:val="009B7690"/>
    <w:rsid w:val="009B7DC9"/>
    <w:rsid w:val="009B7DCC"/>
    <w:rsid w:val="009B7F96"/>
    <w:rsid w:val="009C0122"/>
    <w:rsid w:val="009C0408"/>
    <w:rsid w:val="009C0A89"/>
    <w:rsid w:val="009C0B3B"/>
    <w:rsid w:val="009C0C05"/>
    <w:rsid w:val="009C1087"/>
    <w:rsid w:val="009C12C0"/>
    <w:rsid w:val="009C1519"/>
    <w:rsid w:val="009C1793"/>
    <w:rsid w:val="009C18D2"/>
    <w:rsid w:val="009C1ABE"/>
    <w:rsid w:val="009C2205"/>
    <w:rsid w:val="009C244C"/>
    <w:rsid w:val="009C2525"/>
    <w:rsid w:val="009C2583"/>
    <w:rsid w:val="009C25D4"/>
    <w:rsid w:val="009C2DAA"/>
    <w:rsid w:val="009C314C"/>
    <w:rsid w:val="009C334B"/>
    <w:rsid w:val="009C3433"/>
    <w:rsid w:val="009C3779"/>
    <w:rsid w:val="009C3A15"/>
    <w:rsid w:val="009C3B34"/>
    <w:rsid w:val="009C3DE2"/>
    <w:rsid w:val="009C3EBD"/>
    <w:rsid w:val="009C3EF5"/>
    <w:rsid w:val="009C420B"/>
    <w:rsid w:val="009C4245"/>
    <w:rsid w:val="009C42CD"/>
    <w:rsid w:val="009C46AB"/>
    <w:rsid w:val="009C48ED"/>
    <w:rsid w:val="009C4A78"/>
    <w:rsid w:val="009C4B21"/>
    <w:rsid w:val="009C4CDC"/>
    <w:rsid w:val="009C4D7B"/>
    <w:rsid w:val="009C5062"/>
    <w:rsid w:val="009C5293"/>
    <w:rsid w:val="009C5493"/>
    <w:rsid w:val="009C57E8"/>
    <w:rsid w:val="009C5A41"/>
    <w:rsid w:val="009C5B44"/>
    <w:rsid w:val="009C6134"/>
    <w:rsid w:val="009C6402"/>
    <w:rsid w:val="009C652D"/>
    <w:rsid w:val="009C6701"/>
    <w:rsid w:val="009C6856"/>
    <w:rsid w:val="009C6926"/>
    <w:rsid w:val="009C69CC"/>
    <w:rsid w:val="009C6A19"/>
    <w:rsid w:val="009C6A40"/>
    <w:rsid w:val="009C6C3E"/>
    <w:rsid w:val="009C6CC7"/>
    <w:rsid w:val="009C73FC"/>
    <w:rsid w:val="009C751A"/>
    <w:rsid w:val="009C78B9"/>
    <w:rsid w:val="009C79DD"/>
    <w:rsid w:val="009C7D94"/>
    <w:rsid w:val="009D0002"/>
    <w:rsid w:val="009D01BE"/>
    <w:rsid w:val="009D02C0"/>
    <w:rsid w:val="009D04C3"/>
    <w:rsid w:val="009D04FE"/>
    <w:rsid w:val="009D0A30"/>
    <w:rsid w:val="009D0E57"/>
    <w:rsid w:val="009D107F"/>
    <w:rsid w:val="009D11F0"/>
    <w:rsid w:val="009D13AE"/>
    <w:rsid w:val="009D147A"/>
    <w:rsid w:val="009D153C"/>
    <w:rsid w:val="009D1602"/>
    <w:rsid w:val="009D1C99"/>
    <w:rsid w:val="009D1E13"/>
    <w:rsid w:val="009D1EFD"/>
    <w:rsid w:val="009D1FAC"/>
    <w:rsid w:val="009D2046"/>
    <w:rsid w:val="009D21EE"/>
    <w:rsid w:val="009D2399"/>
    <w:rsid w:val="009D2456"/>
    <w:rsid w:val="009D2AD3"/>
    <w:rsid w:val="009D2C70"/>
    <w:rsid w:val="009D2CCC"/>
    <w:rsid w:val="009D31C7"/>
    <w:rsid w:val="009D35BD"/>
    <w:rsid w:val="009D3825"/>
    <w:rsid w:val="009D3939"/>
    <w:rsid w:val="009D395A"/>
    <w:rsid w:val="009D3A4B"/>
    <w:rsid w:val="009D3B7E"/>
    <w:rsid w:val="009D3BF2"/>
    <w:rsid w:val="009D3CCB"/>
    <w:rsid w:val="009D3D49"/>
    <w:rsid w:val="009D3FA2"/>
    <w:rsid w:val="009D4044"/>
    <w:rsid w:val="009D44E4"/>
    <w:rsid w:val="009D4699"/>
    <w:rsid w:val="009D4A35"/>
    <w:rsid w:val="009D4CBB"/>
    <w:rsid w:val="009D4E7E"/>
    <w:rsid w:val="009D5706"/>
    <w:rsid w:val="009D57A2"/>
    <w:rsid w:val="009D58A1"/>
    <w:rsid w:val="009D593E"/>
    <w:rsid w:val="009D5A61"/>
    <w:rsid w:val="009D5B97"/>
    <w:rsid w:val="009D5BE2"/>
    <w:rsid w:val="009D5DC6"/>
    <w:rsid w:val="009D6338"/>
    <w:rsid w:val="009D6349"/>
    <w:rsid w:val="009D6AD8"/>
    <w:rsid w:val="009D6C0B"/>
    <w:rsid w:val="009D6C1F"/>
    <w:rsid w:val="009D6CDA"/>
    <w:rsid w:val="009D6DDB"/>
    <w:rsid w:val="009D6F13"/>
    <w:rsid w:val="009D7065"/>
    <w:rsid w:val="009D7096"/>
    <w:rsid w:val="009D76C3"/>
    <w:rsid w:val="009D7874"/>
    <w:rsid w:val="009D78B4"/>
    <w:rsid w:val="009E0110"/>
    <w:rsid w:val="009E0218"/>
    <w:rsid w:val="009E022B"/>
    <w:rsid w:val="009E043F"/>
    <w:rsid w:val="009E059F"/>
    <w:rsid w:val="009E08E4"/>
    <w:rsid w:val="009E132F"/>
    <w:rsid w:val="009E1597"/>
    <w:rsid w:val="009E1773"/>
    <w:rsid w:val="009E199D"/>
    <w:rsid w:val="009E1A38"/>
    <w:rsid w:val="009E1A78"/>
    <w:rsid w:val="009E1AAB"/>
    <w:rsid w:val="009E1E1D"/>
    <w:rsid w:val="009E244F"/>
    <w:rsid w:val="009E25E5"/>
    <w:rsid w:val="009E2835"/>
    <w:rsid w:val="009E2FEB"/>
    <w:rsid w:val="009E321D"/>
    <w:rsid w:val="009E3520"/>
    <w:rsid w:val="009E36BD"/>
    <w:rsid w:val="009E3B9D"/>
    <w:rsid w:val="009E3C2B"/>
    <w:rsid w:val="009E3D15"/>
    <w:rsid w:val="009E3D6E"/>
    <w:rsid w:val="009E3DAF"/>
    <w:rsid w:val="009E4159"/>
    <w:rsid w:val="009E46A8"/>
    <w:rsid w:val="009E4B50"/>
    <w:rsid w:val="009E4C64"/>
    <w:rsid w:val="009E4EC9"/>
    <w:rsid w:val="009E5202"/>
    <w:rsid w:val="009E5227"/>
    <w:rsid w:val="009E5659"/>
    <w:rsid w:val="009E5663"/>
    <w:rsid w:val="009E5A35"/>
    <w:rsid w:val="009E5C5B"/>
    <w:rsid w:val="009E5D84"/>
    <w:rsid w:val="009E5EF1"/>
    <w:rsid w:val="009E677A"/>
    <w:rsid w:val="009E682D"/>
    <w:rsid w:val="009E6851"/>
    <w:rsid w:val="009E6AC9"/>
    <w:rsid w:val="009E6C38"/>
    <w:rsid w:val="009E6E63"/>
    <w:rsid w:val="009E7472"/>
    <w:rsid w:val="009E7661"/>
    <w:rsid w:val="009E7A99"/>
    <w:rsid w:val="009E7E98"/>
    <w:rsid w:val="009F02EA"/>
    <w:rsid w:val="009F02F7"/>
    <w:rsid w:val="009F08F1"/>
    <w:rsid w:val="009F08F9"/>
    <w:rsid w:val="009F0FD1"/>
    <w:rsid w:val="009F1156"/>
    <w:rsid w:val="009F115A"/>
    <w:rsid w:val="009F135A"/>
    <w:rsid w:val="009F138D"/>
    <w:rsid w:val="009F176A"/>
    <w:rsid w:val="009F18AA"/>
    <w:rsid w:val="009F18E7"/>
    <w:rsid w:val="009F1940"/>
    <w:rsid w:val="009F21F6"/>
    <w:rsid w:val="009F2370"/>
    <w:rsid w:val="009F26B1"/>
    <w:rsid w:val="009F2789"/>
    <w:rsid w:val="009F2D7A"/>
    <w:rsid w:val="009F2DEE"/>
    <w:rsid w:val="009F311E"/>
    <w:rsid w:val="009F370A"/>
    <w:rsid w:val="009F3992"/>
    <w:rsid w:val="009F3D3D"/>
    <w:rsid w:val="009F414E"/>
    <w:rsid w:val="009F42F5"/>
    <w:rsid w:val="009F4AA9"/>
    <w:rsid w:val="009F4CB2"/>
    <w:rsid w:val="009F4EE9"/>
    <w:rsid w:val="009F521F"/>
    <w:rsid w:val="009F5431"/>
    <w:rsid w:val="009F58F6"/>
    <w:rsid w:val="009F5D23"/>
    <w:rsid w:val="009F5F6F"/>
    <w:rsid w:val="009F6088"/>
    <w:rsid w:val="009F61F1"/>
    <w:rsid w:val="009F625F"/>
    <w:rsid w:val="009F62A7"/>
    <w:rsid w:val="009F649D"/>
    <w:rsid w:val="009F6635"/>
    <w:rsid w:val="009F66D8"/>
    <w:rsid w:val="009F67A0"/>
    <w:rsid w:val="009F6AB1"/>
    <w:rsid w:val="009F6C45"/>
    <w:rsid w:val="009F7289"/>
    <w:rsid w:val="009F7373"/>
    <w:rsid w:val="009F7411"/>
    <w:rsid w:val="009F7466"/>
    <w:rsid w:val="009F7628"/>
    <w:rsid w:val="009F789B"/>
    <w:rsid w:val="009F795D"/>
    <w:rsid w:val="009F79F8"/>
    <w:rsid w:val="009F7E30"/>
    <w:rsid w:val="00A000B3"/>
    <w:rsid w:val="00A003A5"/>
    <w:rsid w:val="00A00492"/>
    <w:rsid w:val="00A00B1F"/>
    <w:rsid w:val="00A00D02"/>
    <w:rsid w:val="00A00E11"/>
    <w:rsid w:val="00A00FB5"/>
    <w:rsid w:val="00A01190"/>
    <w:rsid w:val="00A01213"/>
    <w:rsid w:val="00A014B0"/>
    <w:rsid w:val="00A01598"/>
    <w:rsid w:val="00A0197A"/>
    <w:rsid w:val="00A01F01"/>
    <w:rsid w:val="00A01F1E"/>
    <w:rsid w:val="00A022FB"/>
    <w:rsid w:val="00A023FD"/>
    <w:rsid w:val="00A0246E"/>
    <w:rsid w:val="00A027AD"/>
    <w:rsid w:val="00A02E39"/>
    <w:rsid w:val="00A0302C"/>
    <w:rsid w:val="00A03169"/>
    <w:rsid w:val="00A032E9"/>
    <w:rsid w:val="00A03EF1"/>
    <w:rsid w:val="00A04D8C"/>
    <w:rsid w:val="00A0555D"/>
    <w:rsid w:val="00A05A8D"/>
    <w:rsid w:val="00A05A9C"/>
    <w:rsid w:val="00A05ABF"/>
    <w:rsid w:val="00A05ECE"/>
    <w:rsid w:val="00A06076"/>
    <w:rsid w:val="00A06103"/>
    <w:rsid w:val="00A06277"/>
    <w:rsid w:val="00A06348"/>
    <w:rsid w:val="00A06A2C"/>
    <w:rsid w:val="00A06BEC"/>
    <w:rsid w:val="00A06D57"/>
    <w:rsid w:val="00A070D3"/>
    <w:rsid w:val="00A07183"/>
    <w:rsid w:val="00A07271"/>
    <w:rsid w:val="00A072A6"/>
    <w:rsid w:val="00A074EE"/>
    <w:rsid w:val="00A076E7"/>
    <w:rsid w:val="00A077E3"/>
    <w:rsid w:val="00A07931"/>
    <w:rsid w:val="00A07A30"/>
    <w:rsid w:val="00A07D37"/>
    <w:rsid w:val="00A102E6"/>
    <w:rsid w:val="00A105E1"/>
    <w:rsid w:val="00A108F1"/>
    <w:rsid w:val="00A109E8"/>
    <w:rsid w:val="00A10A0F"/>
    <w:rsid w:val="00A10BEA"/>
    <w:rsid w:val="00A10BEF"/>
    <w:rsid w:val="00A10D06"/>
    <w:rsid w:val="00A10E77"/>
    <w:rsid w:val="00A10E9F"/>
    <w:rsid w:val="00A10F7B"/>
    <w:rsid w:val="00A10FDF"/>
    <w:rsid w:val="00A11126"/>
    <w:rsid w:val="00A11457"/>
    <w:rsid w:val="00A117EF"/>
    <w:rsid w:val="00A118A4"/>
    <w:rsid w:val="00A11A9B"/>
    <w:rsid w:val="00A11AD6"/>
    <w:rsid w:val="00A11E56"/>
    <w:rsid w:val="00A11ECD"/>
    <w:rsid w:val="00A11F62"/>
    <w:rsid w:val="00A12311"/>
    <w:rsid w:val="00A124D1"/>
    <w:rsid w:val="00A124F6"/>
    <w:rsid w:val="00A128A2"/>
    <w:rsid w:val="00A12A46"/>
    <w:rsid w:val="00A12C9C"/>
    <w:rsid w:val="00A12E71"/>
    <w:rsid w:val="00A12ED2"/>
    <w:rsid w:val="00A13025"/>
    <w:rsid w:val="00A13197"/>
    <w:rsid w:val="00A132E5"/>
    <w:rsid w:val="00A134DA"/>
    <w:rsid w:val="00A135D9"/>
    <w:rsid w:val="00A13753"/>
    <w:rsid w:val="00A1377D"/>
    <w:rsid w:val="00A13AE4"/>
    <w:rsid w:val="00A13ED9"/>
    <w:rsid w:val="00A14007"/>
    <w:rsid w:val="00A14134"/>
    <w:rsid w:val="00A14607"/>
    <w:rsid w:val="00A14810"/>
    <w:rsid w:val="00A148C7"/>
    <w:rsid w:val="00A14955"/>
    <w:rsid w:val="00A14D65"/>
    <w:rsid w:val="00A14F24"/>
    <w:rsid w:val="00A1506F"/>
    <w:rsid w:val="00A15586"/>
    <w:rsid w:val="00A15808"/>
    <w:rsid w:val="00A158A7"/>
    <w:rsid w:val="00A15B24"/>
    <w:rsid w:val="00A15B43"/>
    <w:rsid w:val="00A15BAF"/>
    <w:rsid w:val="00A15C79"/>
    <w:rsid w:val="00A15FC1"/>
    <w:rsid w:val="00A16316"/>
    <w:rsid w:val="00A1678E"/>
    <w:rsid w:val="00A16851"/>
    <w:rsid w:val="00A1694E"/>
    <w:rsid w:val="00A16ABE"/>
    <w:rsid w:val="00A16CDA"/>
    <w:rsid w:val="00A17191"/>
    <w:rsid w:val="00A175DE"/>
    <w:rsid w:val="00A17662"/>
    <w:rsid w:val="00A177B9"/>
    <w:rsid w:val="00A177D3"/>
    <w:rsid w:val="00A17A30"/>
    <w:rsid w:val="00A17C55"/>
    <w:rsid w:val="00A17C82"/>
    <w:rsid w:val="00A17CB0"/>
    <w:rsid w:val="00A17CE3"/>
    <w:rsid w:val="00A17E9B"/>
    <w:rsid w:val="00A20069"/>
    <w:rsid w:val="00A20556"/>
    <w:rsid w:val="00A20790"/>
    <w:rsid w:val="00A20892"/>
    <w:rsid w:val="00A209C8"/>
    <w:rsid w:val="00A20A22"/>
    <w:rsid w:val="00A20D15"/>
    <w:rsid w:val="00A20F9C"/>
    <w:rsid w:val="00A21525"/>
    <w:rsid w:val="00A216C4"/>
    <w:rsid w:val="00A21826"/>
    <w:rsid w:val="00A21A7F"/>
    <w:rsid w:val="00A22280"/>
    <w:rsid w:val="00A225F8"/>
    <w:rsid w:val="00A2296C"/>
    <w:rsid w:val="00A22CB8"/>
    <w:rsid w:val="00A23645"/>
    <w:rsid w:val="00A23994"/>
    <w:rsid w:val="00A239C1"/>
    <w:rsid w:val="00A23EA7"/>
    <w:rsid w:val="00A23F35"/>
    <w:rsid w:val="00A24022"/>
    <w:rsid w:val="00A24624"/>
    <w:rsid w:val="00A2467D"/>
    <w:rsid w:val="00A24750"/>
    <w:rsid w:val="00A24782"/>
    <w:rsid w:val="00A24790"/>
    <w:rsid w:val="00A24A9D"/>
    <w:rsid w:val="00A24CB6"/>
    <w:rsid w:val="00A24E81"/>
    <w:rsid w:val="00A252A4"/>
    <w:rsid w:val="00A2532C"/>
    <w:rsid w:val="00A25514"/>
    <w:rsid w:val="00A25653"/>
    <w:rsid w:val="00A2567A"/>
    <w:rsid w:val="00A25AB2"/>
    <w:rsid w:val="00A25DDA"/>
    <w:rsid w:val="00A25F5E"/>
    <w:rsid w:val="00A25F85"/>
    <w:rsid w:val="00A2624D"/>
    <w:rsid w:val="00A262AF"/>
    <w:rsid w:val="00A263EA"/>
    <w:rsid w:val="00A266F1"/>
    <w:rsid w:val="00A26C4A"/>
    <w:rsid w:val="00A27383"/>
    <w:rsid w:val="00A27611"/>
    <w:rsid w:val="00A27665"/>
    <w:rsid w:val="00A277E4"/>
    <w:rsid w:val="00A27876"/>
    <w:rsid w:val="00A27881"/>
    <w:rsid w:val="00A27FE7"/>
    <w:rsid w:val="00A30091"/>
    <w:rsid w:val="00A3018A"/>
    <w:rsid w:val="00A301F9"/>
    <w:rsid w:val="00A305AA"/>
    <w:rsid w:val="00A30932"/>
    <w:rsid w:val="00A30BA0"/>
    <w:rsid w:val="00A314EE"/>
    <w:rsid w:val="00A31511"/>
    <w:rsid w:val="00A31646"/>
    <w:rsid w:val="00A318A7"/>
    <w:rsid w:val="00A31D1F"/>
    <w:rsid w:val="00A31E69"/>
    <w:rsid w:val="00A31E6F"/>
    <w:rsid w:val="00A31EEE"/>
    <w:rsid w:val="00A31F6D"/>
    <w:rsid w:val="00A3208C"/>
    <w:rsid w:val="00A32593"/>
    <w:rsid w:val="00A329EC"/>
    <w:rsid w:val="00A32B74"/>
    <w:rsid w:val="00A32C4C"/>
    <w:rsid w:val="00A33379"/>
    <w:rsid w:val="00A33FDC"/>
    <w:rsid w:val="00A3449A"/>
    <w:rsid w:val="00A348D1"/>
    <w:rsid w:val="00A34B92"/>
    <w:rsid w:val="00A34EF9"/>
    <w:rsid w:val="00A34FD3"/>
    <w:rsid w:val="00A3517F"/>
    <w:rsid w:val="00A35245"/>
    <w:rsid w:val="00A35386"/>
    <w:rsid w:val="00A35816"/>
    <w:rsid w:val="00A35E1C"/>
    <w:rsid w:val="00A35FED"/>
    <w:rsid w:val="00A36B89"/>
    <w:rsid w:val="00A36EB9"/>
    <w:rsid w:val="00A37083"/>
    <w:rsid w:val="00A372D5"/>
    <w:rsid w:val="00A375FE"/>
    <w:rsid w:val="00A379B4"/>
    <w:rsid w:val="00A37AFF"/>
    <w:rsid w:val="00A37C4B"/>
    <w:rsid w:val="00A37FFA"/>
    <w:rsid w:val="00A40011"/>
    <w:rsid w:val="00A4009D"/>
    <w:rsid w:val="00A40104"/>
    <w:rsid w:val="00A40856"/>
    <w:rsid w:val="00A40A1B"/>
    <w:rsid w:val="00A40B96"/>
    <w:rsid w:val="00A40DCC"/>
    <w:rsid w:val="00A40F4F"/>
    <w:rsid w:val="00A40F58"/>
    <w:rsid w:val="00A411E4"/>
    <w:rsid w:val="00A41438"/>
    <w:rsid w:val="00A41960"/>
    <w:rsid w:val="00A41B39"/>
    <w:rsid w:val="00A41DD2"/>
    <w:rsid w:val="00A41EA0"/>
    <w:rsid w:val="00A41EA8"/>
    <w:rsid w:val="00A42013"/>
    <w:rsid w:val="00A4226C"/>
    <w:rsid w:val="00A42286"/>
    <w:rsid w:val="00A4241F"/>
    <w:rsid w:val="00A42B64"/>
    <w:rsid w:val="00A42C0C"/>
    <w:rsid w:val="00A430F0"/>
    <w:rsid w:val="00A432A6"/>
    <w:rsid w:val="00A43630"/>
    <w:rsid w:val="00A436D5"/>
    <w:rsid w:val="00A43B46"/>
    <w:rsid w:val="00A43BBA"/>
    <w:rsid w:val="00A43C4B"/>
    <w:rsid w:val="00A442E7"/>
    <w:rsid w:val="00A443E2"/>
    <w:rsid w:val="00A447C1"/>
    <w:rsid w:val="00A447D3"/>
    <w:rsid w:val="00A45316"/>
    <w:rsid w:val="00A4582B"/>
    <w:rsid w:val="00A458EF"/>
    <w:rsid w:val="00A45CC1"/>
    <w:rsid w:val="00A45D02"/>
    <w:rsid w:val="00A464B7"/>
    <w:rsid w:val="00A467A2"/>
    <w:rsid w:val="00A4727A"/>
    <w:rsid w:val="00A47352"/>
    <w:rsid w:val="00A47497"/>
    <w:rsid w:val="00A47684"/>
    <w:rsid w:val="00A4779E"/>
    <w:rsid w:val="00A4798B"/>
    <w:rsid w:val="00A479E1"/>
    <w:rsid w:val="00A47BC0"/>
    <w:rsid w:val="00A50050"/>
    <w:rsid w:val="00A5054E"/>
    <w:rsid w:val="00A50636"/>
    <w:rsid w:val="00A50815"/>
    <w:rsid w:val="00A5088D"/>
    <w:rsid w:val="00A50DEE"/>
    <w:rsid w:val="00A50E7D"/>
    <w:rsid w:val="00A510A1"/>
    <w:rsid w:val="00A512FE"/>
    <w:rsid w:val="00A515D0"/>
    <w:rsid w:val="00A51752"/>
    <w:rsid w:val="00A517F7"/>
    <w:rsid w:val="00A51898"/>
    <w:rsid w:val="00A519B8"/>
    <w:rsid w:val="00A51B30"/>
    <w:rsid w:val="00A51CF1"/>
    <w:rsid w:val="00A51D3A"/>
    <w:rsid w:val="00A527E5"/>
    <w:rsid w:val="00A52965"/>
    <w:rsid w:val="00A529B5"/>
    <w:rsid w:val="00A52A20"/>
    <w:rsid w:val="00A52DA6"/>
    <w:rsid w:val="00A52EFC"/>
    <w:rsid w:val="00A5372C"/>
    <w:rsid w:val="00A5373C"/>
    <w:rsid w:val="00A537E0"/>
    <w:rsid w:val="00A53839"/>
    <w:rsid w:val="00A5391C"/>
    <w:rsid w:val="00A53949"/>
    <w:rsid w:val="00A53AFD"/>
    <w:rsid w:val="00A53AFE"/>
    <w:rsid w:val="00A53B78"/>
    <w:rsid w:val="00A53D07"/>
    <w:rsid w:val="00A53E7C"/>
    <w:rsid w:val="00A54185"/>
    <w:rsid w:val="00A545E7"/>
    <w:rsid w:val="00A548D9"/>
    <w:rsid w:val="00A54935"/>
    <w:rsid w:val="00A54A2B"/>
    <w:rsid w:val="00A54AB4"/>
    <w:rsid w:val="00A5520A"/>
    <w:rsid w:val="00A5545A"/>
    <w:rsid w:val="00A55F26"/>
    <w:rsid w:val="00A56690"/>
    <w:rsid w:val="00A567F0"/>
    <w:rsid w:val="00A56962"/>
    <w:rsid w:val="00A569D8"/>
    <w:rsid w:val="00A56D77"/>
    <w:rsid w:val="00A56EE2"/>
    <w:rsid w:val="00A56EFC"/>
    <w:rsid w:val="00A57081"/>
    <w:rsid w:val="00A570FC"/>
    <w:rsid w:val="00A572AC"/>
    <w:rsid w:val="00A577F5"/>
    <w:rsid w:val="00A605B1"/>
    <w:rsid w:val="00A60926"/>
    <w:rsid w:val="00A6095E"/>
    <w:rsid w:val="00A609D8"/>
    <w:rsid w:val="00A60C14"/>
    <w:rsid w:val="00A60DF4"/>
    <w:rsid w:val="00A60F5A"/>
    <w:rsid w:val="00A60FB2"/>
    <w:rsid w:val="00A613A4"/>
    <w:rsid w:val="00A617FD"/>
    <w:rsid w:val="00A61D6F"/>
    <w:rsid w:val="00A61E89"/>
    <w:rsid w:val="00A621FD"/>
    <w:rsid w:val="00A6238A"/>
    <w:rsid w:val="00A62667"/>
    <w:rsid w:val="00A62767"/>
    <w:rsid w:val="00A62AA6"/>
    <w:rsid w:val="00A62BC1"/>
    <w:rsid w:val="00A62BD3"/>
    <w:rsid w:val="00A62E7B"/>
    <w:rsid w:val="00A63295"/>
    <w:rsid w:val="00A63548"/>
    <w:rsid w:val="00A637B5"/>
    <w:rsid w:val="00A63948"/>
    <w:rsid w:val="00A639AA"/>
    <w:rsid w:val="00A63A56"/>
    <w:rsid w:val="00A63A5D"/>
    <w:rsid w:val="00A63D90"/>
    <w:rsid w:val="00A6400C"/>
    <w:rsid w:val="00A642C3"/>
    <w:rsid w:val="00A6504F"/>
    <w:rsid w:val="00A65152"/>
    <w:rsid w:val="00A651A1"/>
    <w:rsid w:val="00A65936"/>
    <w:rsid w:val="00A6596E"/>
    <w:rsid w:val="00A65B80"/>
    <w:rsid w:val="00A65D65"/>
    <w:rsid w:val="00A65D8F"/>
    <w:rsid w:val="00A65E2E"/>
    <w:rsid w:val="00A65EF0"/>
    <w:rsid w:val="00A65F08"/>
    <w:rsid w:val="00A662A0"/>
    <w:rsid w:val="00A66539"/>
    <w:rsid w:val="00A66594"/>
    <w:rsid w:val="00A6675C"/>
    <w:rsid w:val="00A66C8E"/>
    <w:rsid w:val="00A66E6B"/>
    <w:rsid w:val="00A67016"/>
    <w:rsid w:val="00A6709C"/>
    <w:rsid w:val="00A67204"/>
    <w:rsid w:val="00A672BA"/>
    <w:rsid w:val="00A673E2"/>
    <w:rsid w:val="00A676EA"/>
    <w:rsid w:val="00A677F3"/>
    <w:rsid w:val="00A67863"/>
    <w:rsid w:val="00A67943"/>
    <w:rsid w:val="00A67C74"/>
    <w:rsid w:val="00A67D79"/>
    <w:rsid w:val="00A67D85"/>
    <w:rsid w:val="00A67E1E"/>
    <w:rsid w:val="00A700AD"/>
    <w:rsid w:val="00A7018F"/>
    <w:rsid w:val="00A703B0"/>
    <w:rsid w:val="00A70403"/>
    <w:rsid w:val="00A70555"/>
    <w:rsid w:val="00A7123A"/>
    <w:rsid w:val="00A71307"/>
    <w:rsid w:val="00A71931"/>
    <w:rsid w:val="00A71BA8"/>
    <w:rsid w:val="00A71CB8"/>
    <w:rsid w:val="00A71D67"/>
    <w:rsid w:val="00A720BC"/>
    <w:rsid w:val="00A721DB"/>
    <w:rsid w:val="00A7233E"/>
    <w:rsid w:val="00A723EF"/>
    <w:rsid w:val="00A726BF"/>
    <w:rsid w:val="00A72B65"/>
    <w:rsid w:val="00A72C02"/>
    <w:rsid w:val="00A72CBA"/>
    <w:rsid w:val="00A72F41"/>
    <w:rsid w:val="00A73057"/>
    <w:rsid w:val="00A73102"/>
    <w:rsid w:val="00A7319B"/>
    <w:rsid w:val="00A733C9"/>
    <w:rsid w:val="00A73401"/>
    <w:rsid w:val="00A7359A"/>
    <w:rsid w:val="00A73BF5"/>
    <w:rsid w:val="00A73C3F"/>
    <w:rsid w:val="00A73F1A"/>
    <w:rsid w:val="00A74160"/>
    <w:rsid w:val="00A74304"/>
    <w:rsid w:val="00A74400"/>
    <w:rsid w:val="00A7463D"/>
    <w:rsid w:val="00A7488D"/>
    <w:rsid w:val="00A749E0"/>
    <w:rsid w:val="00A74AA4"/>
    <w:rsid w:val="00A74EA8"/>
    <w:rsid w:val="00A74FB7"/>
    <w:rsid w:val="00A75007"/>
    <w:rsid w:val="00A75133"/>
    <w:rsid w:val="00A752FB"/>
    <w:rsid w:val="00A75605"/>
    <w:rsid w:val="00A756FC"/>
    <w:rsid w:val="00A757DD"/>
    <w:rsid w:val="00A76018"/>
    <w:rsid w:val="00A7601D"/>
    <w:rsid w:val="00A7623E"/>
    <w:rsid w:val="00A7633F"/>
    <w:rsid w:val="00A76538"/>
    <w:rsid w:val="00A770E6"/>
    <w:rsid w:val="00A7731F"/>
    <w:rsid w:val="00A7746C"/>
    <w:rsid w:val="00A7755C"/>
    <w:rsid w:val="00A77580"/>
    <w:rsid w:val="00A7772E"/>
    <w:rsid w:val="00A77AD2"/>
    <w:rsid w:val="00A77E3E"/>
    <w:rsid w:val="00A80039"/>
    <w:rsid w:val="00A80247"/>
    <w:rsid w:val="00A80931"/>
    <w:rsid w:val="00A80AA9"/>
    <w:rsid w:val="00A812D4"/>
    <w:rsid w:val="00A817EB"/>
    <w:rsid w:val="00A81BA2"/>
    <w:rsid w:val="00A81C88"/>
    <w:rsid w:val="00A81E0C"/>
    <w:rsid w:val="00A822C3"/>
    <w:rsid w:val="00A82ED2"/>
    <w:rsid w:val="00A82FB7"/>
    <w:rsid w:val="00A83032"/>
    <w:rsid w:val="00A83135"/>
    <w:rsid w:val="00A8323D"/>
    <w:rsid w:val="00A83472"/>
    <w:rsid w:val="00A8360A"/>
    <w:rsid w:val="00A83818"/>
    <w:rsid w:val="00A83BDD"/>
    <w:rsid w:val="00A83F87"/>
    <w:rsid w:val="00A83FA6"/>
    <w:rsid w:val="00A842C4"/>
    <w:rsid w:val="00A84685"/>
    <w:rsid w:val="00A84946"/>
    <w:rsid w:val="00A8499A"/>
    <w:rsid w:val="00A84DE1"/>
    <w:rsid w:val="00A84E0F"/>
    <w:rsid w:val="00A84ED3"/>
    <w:rsid w:val="00A84F8A"/>
    <w:rsid w:val="00A850F7"/>
    <w:rsid w:val="00A85576"/>
    <w:rsid w:val="00A855CF"/>
    <w:rsid w:val="00A8577A"/>
    <w:rsid w:val="00A858D1"/>
    <w:rsid w:val="00A85B45"/>
    <w:rsid w:val="00A85BB1"/>
    <w:rsid w:val="00A85F12"/>
    <w:rsid w:val="00A85F6C"/>
    <w:rsid w:val="00A8604F"/>
    <w:rsid w:val="00A8608A"/>
    <w:rsid w:val="00A8695E"/>
    <w:rsid w:val="00A869E6"/>
    <w:rsid w:val="00A86B57"/>
    <w:rsid w:val="00A870E3"/>
    <w:rsid w:val="00A87209"/>
    <w:rsid w:val="00A8751F"/>
    <w:rsid w:val="00A877EF"/>
    <w:rsid w:val="00A87881"/>
    <w:rsid w:val="00A87973"/>
    <w:rsid w:val="00A87A8D"/>
    <w:rsid w:val="00A87C93"/>
    <w:rsid w:val="00A9012C"/>
    <w:rsid w:val="00A9013B"/>
    <w:rsid w:val="00A902C6"/>
    <w:rsid w:val="00A907AA"/>
    <w:rsid w:val="00A90ADB"/>
    <w:rsid w:val="00A90B8D"/>
    <w:rsid w:val="00A912A9"/>
    <w:rsid w:val="00A913F6"/>
    <w:rsid w:val="00A91528"/>
    <w:rsid w:val="00A91772"/>
    <w:rsid w:val="00A91B0E"/>
    <w:rsid w:val="00A91B34"/>
    <w:rsid w:val="00A91BBC"/>
    <w:rsid w:val="00A91C71"/>
    <w:rsid w:val="00A91D93"/>
    <w:rsid w:val="00A91DAD"/>
    <w:rsid w:val="00A92016"/>
    <w:rsid w:val="00A920C5"/>
    <w:rsid w:val="00A923D3"/>
    <w:rsid w:val="00A92482"/>
    <w:rsid w:val="00A92B08"/>
    <w:rsid w:val="00A92B1B"/>
    <w:rsid w:val="00A93104"/>
    <w:rsid w:val="00A932D0"/>
    <w:rsid w:val="00A9337A"/>
    <w:rsid w:val="00A93469"/>
    <w:rsid w:val="00A93800"/>
    <w:rsid w:val="00A93A24"/>
    <w:rsid w:val="00A93EB6"/>
    <w:rsid w:val="00A942D2"/>
    <w:rsid w:val="00A9449D"/>
    <w:rsid w:val="00A94582"/>
    <w:rsid w:val="00A94775"/>
    <w:rsid w:val="00A947D1"/>
    <w:rsid w:val="00A94883"/>
    <w:rsid w:val="00A948FC"/>
    <w:rsid w:val="00A9498E"/>
    <w:rsid w:val="00A949C5"/>
    <w:rsid w:val="00A94CD7"/>
    <w:rsid w:val="00A94E0A"/>
    <w:rsid w:val="00A94F08"/>
    <w:rsid w:val="00A951F0"/>
    <w:rsid w:val="00A952DD"/>
    <w:rsid w:val="00A95852"/>
    <w:rsid w:val="00A95A53"/>
    <w:rsid w:val="00A96029"/>
    <w:rsid w:val="00A96099"/>
    <w:rsid w:val="00A96134"/>
    <w:rsid w:val="00A963E8"/>
    <w:rsid w:val="00A9651B"/>
    <w:rsid w:val="00A969EA"/>
    <w:rsid w:val="00A96E6C"/>
    <w:rsid w:val="00A96EA1"/>
    <w:rsid w:val="00A974B1"/>
    <w:rsid w:val="00A9759C"/>
    <w:rsid w:val="00A97842"/>
    <w:rsid w:val="00A97908"/>
    <w:rsid w:val="00A979E5"/>
    <w:rsid w:val="00A97A93"/>
    <w:rsid w:val="00A97CEB"/>
    <w:rsid w:val="00AA03D8"/>
    <w:rsid w:val="00AA0A4A"/>
    <w:rsid w:val="00AA0B8D"/>
    <w:rsid w:val="00AA100F"/>
    <w:rsid w:val="00AA1220"/>
    <w:rsid w:val="00AA147B"/>
    <w:rsid w:val="00AA14F8"/>
    <w:rsid w:val="00AA1636"/>
    <w:rsid w:val="00AA18C0"/>
    <w:rsid w:val="00AA19F2"/>
    <w:rsid w:val="00AA1A63"/>
    <w:rsid w:val="00AA1AEF"/>
    <w:rsid w:val="00AA1C6F"/>
    <w:rsid w:val="00AA1EFA"/>
    <w:rsid w:val="00AA20AA"/>
    <w:rsid w:val="00AA2309"/>
    <w:rsid w:val="00AA271D"/>
    <w:rsid w:val="00AA29A0"/>
    <w:rsid w:val="00AA2C7A"/>
    <w:rsid w:val="00AA2E2F"/>
    <w:rsid w:val="00AA3139"/>
    <w:rsid w:val="00AA316C"/>
    <w:rsid w:val="00AA320B"/>
    <w:rsid w:val="00AA329B"/>
    <w:rsid w:val="00AA3487"/>
    <w:rsid w:val="00AA3564"/>
    <w:rsid w:val="00AA3950"/>
    <w:rsid w:val="00AA3963"/>
    <w:rsid w:val="00AA3A3B"/>
    <w:rsid w:val="00AA3F92"/>
    <w:rsid w:val="00AA413C"/>
    <w:rsid w:val="00AA42BE"/>
    <w:rsid w:val="00AA4410"/>
    <w:rsid w:val="00AA495B"/>
    <w:rsid w:val="00AA4BFC"/>
    <w:rsid w:val="00AA5015"/>
    <w:rsid w:val="00AA50C3"/>
    <w:rsid w:val="00AA5323"/>
    <w:rsid w:val="00AA5BEF"/>
    <w:rsid w:val="00AA5D21"/>
    <w:rsid w:val="00AA5F67"/>
    <w:rsid w:val="00AA646C"/>
    <w:rsid w:val="00AA6647"/>
    <w:rsid w:val="00AA6839"/>
    <w:rsid w:val="00AA69E5"/>
    <w:rsid w:val="00AA6AD9"/>
    <w:rsid w:val="00AA6C13"/>
    <w:rsid w:val="00AA6E48"/>
    <w:rsid w:val="00AA708D"/>
    <w:rsid w:val="00AA709A"/>
    <w:rsid w:val="00AA7DA8"/>
    <w:rsid w:val="00AB04A6"/>
    <w:rsid w:val="00AB05D5"/>
    <w:rsid w:val="00AB06E2"/>
    <w:rsid w:val="00AB0857"/>
    <w:rsid w:val="00AB08E9"/>
    <w:rsid w:val="00AB0CB4"/>
    <w:rsid w:val="00AB0D12"/>
    <w:rsid w:val="00AB11A7"/>
    <w:rsid w:val="00AB11C5"/>
    <w:rsid w:val="00AB13D9"/>
    <w:rsid w:val="00AB1406"/>
    <w:rsid w:val="00AB1CF4"/>
    <w:rsid w:val="00AB1E67"/>
    <w:rsid w:val="00AB232F"/>
    <w:rsid w:val="00AB2401"/>
    <w:rsid w:val="00AB2696"/>
    <w:rsid w:val="00AB27D8"/>
    <w:rsid w:val="00AB2A91"/>
    <w:rsid w:val="00AB2F38"/>
    <w:rsid w:val="00AB3187"/>
    <w:rsid w:val="00AB3315"/>
    <w:rsid w:val="00AB36C4"/>
    <w:rsid w:val="00AB3795"/>
    <w:rsid w:val="00AB3803"/>
    <w:rsid w:val="00AB3883"/>
    <w:rsid w:val="00AB39C6"/>
    <w:rsid w:val="00AB39CB"/>
    <w:rsid w:val="00AB3CB2"/>
    <w:rsid w:val="00AB3F76"/>
    <w:rsid w:val="00AB3F83"/>
    <w:rsid w:val="00AB40C6"/>
    <w:rsid w:val="00AB4466"/>
    <w:rsid w:val="00AB4900"/>
    <w:rsid w:val="00AB49CB"/>
    <w:rsid w:val="00AB4B86"/>
    <w:rsid w:val="00AB4D16"/>
    <w:rsid w:val="00AB4D88"/>
    <w:rsid w:val="00AB5797"/>
    <w:rsid w:val="00AB57C4"/>
    <w:rsid w:val="00AB5891"/>
    <w:rsid w:val="00AB5E86"/>
    <w:rsid w:val="00AB6244"/>
    <w:rsid w:val="00AB68D3"/>
    <w:rsid w:val="00AB6B16"/>
    <w:rsid w:val="00AB6B67"/>
    <w:rsid w:val="00AB743A"/>
    <w:rsid w:val="00AB74D8"/>
    <w:rsid w:val="00AB751E"/>
    <w:rsid w:val="00AB760F"/>
    <w:rsid w:val="00AB7ABE"/>
    <w:rsid w:val="00AB7CFF"/>
    <w:rsid w:val="00AB7EA4"/>
    <w:rsid w:val="00AB7F50"/>
    <w:rsid w:val="00AB7FF7"/>
    <w:rsid w:val="00AC01CC"/>
    <w:rsid w:val="00AC03C3"/>
    <w:rsid w:val="00AC05EA"/>
    <w:rsid w:val="00AC06A8"/>
    <w:rsid w:val="00AC093F"/>
    <w:rsid w:val="00AC0B8C"/>
    <w:rsid w:val="00AC0D6A"/>
    <w:rsid w:val="00AC0E85"/>
    <w:rsid w:val="00AC0FD0"/>
    <w:rsid w:val="00AC1300"/>
    <w:rsid w:val="00AC1637"/>
    <w:rsid w:val="00AC17CF"/>
    <w:rsid w:val="00AC17F3"/>
    <w:rsid w:val="00AC18CB"/>
    <w:rsid w:val="00AC1A19"/>
    <w:rsid w:val="00AC2179"/>
    <w:rsid w:val="00AC23A1"/>
    <w:rsid w:val="00AC2476"/>
    <w:rsid w:val="00AC26DE"/>
    <w:rsid w:val="00AC2842"/>
    <w:rsid w:val="00AC2908"/>
    <w:rsid w:val="00AC2C1F"/>
    <w:rsid w:val="00AC2D4B"/>
    <w:rsid w:val="00AC30A9"/>
    <w:rsid w:val="00AC33C1"/>
    <w:rsid w:val="00AC37C6"/>
    <w:rsid w:val="00AC3933"/>
    <w:rsid w:val="00AC3B99"/>
    <w:rsid w:val="00AC3BA7"/>
    <w:rsid w:val="00AC3BF3"/>
    <w:rsid w:val="00AC3F54"/>
    <w:rsid w:val="00AC4223"/>
    <w:rsid w:val="00AC4410"/>
    <w:rsid w:val="00AC448A"/>
    <w:rsid w:val="00AC4581"/>
    <w:rsid w:val="00AC4621"/>
    <w:rsid w:val="00AC4811"/>
    <w:rsid w:val="00AC519E"/>
    <w:rsid w:val="00AC5759"/>
    <w:rsid w:val="00AC590B"/>
    <w:rsid w:val="00AC5961"/>
    <w:rsid w:val="00AC5ACE"/>
    <w:rsid w:val="00AC5F58"/>
    <w:rsid w:val="00AC5FBA"/>
    <w:rsid w:val="00AC5FE4"/>
    <w:rsid w:val="00AC6012"/>
    <w:rsid w:val="00AC632B"/>
    <w:rsid w:val="00AC6678"/>
    <w:rsid w:val="00AC66A6"/>
    <w:rsid w:val="00AC6B31"/>
    <w:rsid w:val="00AC6BFD"/>
    <w:rsid w:val="00AC6C1A"/>
    <w:rsid w:val="00AC6DAE"/>
    <w:rsid w:val="00AC6EB3"/>
    <w:rsid w:val="00AC6EB9"/>
    <w:rsid w:val="00AC7210"/>
    <w:rsid w:val="00AC73FB"/>
    <w:rsid w:val="00AC7659"/>
    <w:rsid w:val="00AC7915"/>
    <w:rsid w:val="00AD01FA"/>
    <w:rsid w:val="00AD06B1"/>
    <w:rsid w:val="00AD0808"/>
    <w:rsid w:val="00AD0895"/>
    <w:rsid w:val="00AD0B11"/>
    <w:rsid w:val="00AD0B98"/>
    <w:rsid w:val="00AD0E9B"/>
    <w:rsid w:val="00AD0F4D"/>
    <w:rsid w:val="00AD0F7D"/>
    <w:rsid w:val="00AD113C"/>
    <w:rsid w:val="00AD1654"/>
    <w:rsid w:val="00AD1881"/>
    <w:rsid w:val="00AD1BCF"/>
    <w:rsid w:val="00AD1E81"/>
    <w:rsid w:val="00AD1EC7"/>
    <w:rsid w:val="00AD210A"/>
    <w:rsid w:val="00AD265C"/>
    <w:rsid w:val="00AD287A"/>
    <w:rsid w:val="00AD2A88"/>
    <w:rsid w:val="00AD2DB5"/>
    <w:rsid w:val="00AD30A6"/>
    <w:rsid w:val="00AD30B2"/>
    <w:rsid w:val="00AD310D"/>
    <w:rsid w:val="00AD319F"/>
    <w:rsid w:val="00AD3232"/>
    <w:rsid w:val="00AD3258"/>
    <w:rsid w:val="00AD38A5"/>
    <w:rsid w:val="00AD3BAF"/>
    <w:rsid w:val="00AD3C72"/>
    <w:rsid w:val="00AD3E02"/>
    <w:rsid w:val="00AD4244"/>
    <w:rsid w:val="00AD4771"/>
    <w:rsid w:val="00AD4805"/>
    <w:rsid w:val="00AD4D44"/>
    <w:rsid w:val="00AD54E6"/>
    <w:rsid w:val="00AD57B8"/>
    <w:rsid w:val="00AD5B03"/>
    <w:rsid w:val="00AD5CC0"/>
    <w:rsid w:val="00AD5DC1"/>
    <w:rsid w:val="00AD5E01"/>
    <w:rsid w:val="00AD602F"/>
    <w:rsid w:val="00AD60B1"/>
    <w:rsid w:val="00AD611C"/>
    <w:rsid w:val="00AD626B"/>
    <w:rsid w:val="00AD6469"/>
    <w:rsid w:val="00AD6D75"/>
    <w:rsid w:val="00AD6E55"/>
    <w:rsid w:val="00AD7052"/>
    <w:rsid w:val="00AD7093"/>
    <w:rsid w:val="00AD7494"/>
    <w:rsid w:val="00AD75CC"/>
    <w:rsid w:val="00AD7A26"/>
    <w:rsid w:val="00AD7CC0"/>
    <w:rsid w:val="00AD7F1C"/>
    <w:rsid w:val="00AE0408"/>
    <w:rsid w:val="00AE0579"/>
    <w:rsid w:val="00AE077E"/>
    <w:rsid w:val="00AE0A8A"/>
    <w:rsid w:val="00AE0B50"/>
    <w:rsid w:val="00AE0D26"/>
    <w:rsid w:val="00AE0FEC"/>
    <w:rsid w:val="00AE10FF"/>
    <w:rsid w:val="00AE13D9"/>
    <w:rsid w:val="00AE159A"/>
    <w:rsid w:val="00AE174E"/>
    <w:rsid w:val="00AE1938"/>
    <w:rsid w:val="00AE1B4C"/>
    <w:rsid w:val="00AE1C91"/>
    <w:rsid w:val="00AE1CBE"/>
    <w:rsid w:val="00AE1D11"/>
    <w:rsid w:val="00AE1D71"/>
    <w:rsid w:val="00AE1F7B"/>
    <w:rsid w:val="00AE2201"/>
    <w:rsid w:val="00AE23F7"/>
    <w:rsid w:val="00AE2501"/>
    <w:rsid w:val="00AE25C5"/>
    <w:rsid w:val="00AE2A59"/>
    <w:rsid w:val="00AE2C06"/>
    <w:rsid w:val="00AE2F26"/>
    <w:rsid w:val="00AE3219"/>
    <w:rsid w:val="00AE32DD"/>
    <w:rsid w:val="00AE3401"/>
    <w:rsid w:val="00AE387A"/>
    <w:rsid w:val="00AE3B48"/>
    <w:rsid w:val="00AE3EBC"/>
    <w:rsid w:val="00AE3F7D"/>
    <w:rsid w:val="00AE40EE"/>
    <w:rsid w:val="00AE4291"/>
    <w:rsid w:val="00AE4408"/>
    <w:rsid w:val="00AE46B1"/>
    <w:rsid w:val="00AE474F"/>
    <w:rsid w:val="00AE4807"/>
    <w:rsid w:val="00AE4B3D"/>
    <w:rsid w:val="00AE4C24"/>
    <w:rsid w:val="00AE4E72"/>
    <w:rsid w:val="00AE5075"/>
    <w:rsid w:val="00AE554E"/>
    <w:rsid w:val="00AE5583"/>
    <w:rsid w:val="00AE559D"/>
    <w:rsid w:val="00AE5AB5"/>
    <w:rsid w:val="00AE5AF0"/>
    <w:rsid w:val="00AE5B5F"/>
    <w:rsid w:val="00AE5E64"/>
    <w:rsid w:val="00AE67DF"/>
    <w:rsid w:val="00AE6EAB"/>
    <w:rsid w:val="00AE6F2F"/>
    <w:rsid w:val="00AE6FD9"/>
    <w:rsid w:val="00AE709D"/>
    <w:rsid w:val="00AE70F9"/>
    <w:rsid w:val="00AE7127"/>
    <w:rsid w:val="00AE718E"/>
    <w:rsid w:val="00AE7190"/>
    <w:rsid w:val="00AE7587"/>
    <w:rsid w:val="00AE77EA"/>
    <w:rsid w:val="00AE7A7D"/>
    <w:rsid w:val="00AE7A83"/>
    <w:rsid w:val="00AE7CD2"/>
    <w:rsid w:val="00AE7DF7"/>
    <w:rsid w:val="00AF068B"/>
    <w:rsid w:val="00AF06B8"/>
    <w:rsid w:val="00AF09C8"/>
    <w:rsid w:val="00AF0AC4"/>
    <w:rsid w:val="00AF10C9"/>
    <w:rsid w:val="00AF12F3"/>
    <w:rsid w:val="00AF1357"/>
    <w:rsid w:val="00AF13A7"/>
    <w:rsid w:val="00AF13E9"/>
    <w:rsid w:val="00AF16DA"/>
    <w:rsid w:val="00AF16F1"/>
    <w:rsid w:val="00AF176E"/>
    <w:rsid w:val="00AF2017"/>
    <w:rsid w:val="00AF22D4"/>
    <w:rsid w:val="00AF22DE"/>
    <w:rsid w:val="00AF2AE7"/>
    <w:rsid w:val="00AF2F72"/>
    <w:rsid w:val="00AF310A"/>
    <w:rsid w:val="00AF3BD5"/>
    <w:rsid w:val="00AF3CBA"/>
    <w:rsid w:val="00AF3DAB"/>
    <w:rsid w:val="00AF400B"/>
    <w:rsid w:val="00AF401A"/>
    <w:rsid w:val="00AF45C4"/>
    <w:rsid w:val="00AF4631"/>
    <w:rsid w:val="00AF4695"/>
    <w:rsid w:val="00AF4949"/>
    <w:rsid w:val="00AF4A07"/>
    <w:rsid w:val="00AF4BB4"/>
    <w:rsid w:val="00AF4F99"/>
    <w:rsid w:val="00AF5012"/>
    <w:rsid w:val="00AF53AA"/>
    <w:rsid w:val="00AF59E6"/>
    <w:rsid w:val="00AF5B46"/>
    <w:rsid w:val="00AF5F7B"/>
    <w:rsid w:val="00AF640D"/>
    <w:rsid w:val="00AF65E6"/>
    <w:rsid w:val="00AF676D"/>
    <w:rsid w:val="00AF691E"/>
    <w:rsid w:val="00AF6ABE"/>
    <w:rsid w:val="00AF6B60"/>
    <w:rsid w:val="00AF6DAB"/>
    <w:rsid w:val="00AF6EA1"/>
    <w:rsid w:val="00AF6FAD"/>
    <w:rsid w:val="00AF70BD"/>
    <w:rsid w:val="00AF7468"/>
    <w:rsid w:val="00AF777D"/>
    <w:rsid w:val="00AF7943"/>
    <w:rsid w:val="00AF799A"/>
    <w:rsid w:val="00AF7A01"/>
    <w:rsid w:val="00AF7A70"/>
    <w:rsid w:val="00AF7D8B"/>
    <w:rsid w:val="00B001A3"/>
    <w:rsid w:val="00B00550"/>
    <w:rsid w:val="00B00586"/>
    <w:rsid w:val="00B0080A"/>
    <w:rsid w:val="00B00844"/>
    <w:rsid w:val="00B009D1"/>
    <w:rsid w:val="00B00B74"/>
    <w:rsid w:val="00B00CA8"/>
    <w:rsid w:val="00B00CFF"/>
    <w:rsid w:val="00B00E1A"/>
    <w:rsid w:val="00B0133A"/>
    <w:rsid w:val="00B01390"/>
    <w:rsid w:val="00B0153B"/>
    <w:rsid w:val="00B015A7"/>
    <w:rsid w:val="00B01611"/>
    <w:rsid w:val="00B01B95"/>
    <w:rsid w:val="00B01C16"/>
    <w:rsid w:val="00B01DFA"/>
    <w:rsid w:val="00B01E6F"/>
    <w:rsid w:val="00B023C3"/>
    <w:rsid w:val="00B02444"/>
    <w:rsid w:val="00B024AC"/>
    <w:rsid w:val="00B02575"/>
    <w:rsid w:val="00B02932"/>
    <w:rsid w:val="00B02AE1"/>
    <w:rsid w:val="00B02F34"/>
    <w:rsid w:val="00B039FA"/>
    <w:rsid w:val="00B04068"/>
    <w:rsid w:val="00B04091"/>
    <w:rsid w:val="00B0422C"/>
    <w:rsid w:val="00B04592"/>
    <w:rsid w:val="00B048BE"/>
    <w:rsid w:val="00B05781"/>
    <w:rsid w:val="00B05BCB"/>
    <w:rsid w:val="00B05D1F"/>
    <w:rsid w:val="00B06129"/>
    <w:rsid w:val="00B06139"/>
    <w:rsid w:val="00B062FF"/>
    <w:rsid w:val="00B0642F"/>
    <w:rsid w:val="00B065FA"/>
    <w:rsid w:val="00B069E0"/>
    <w:rsid w:val="00B06CC8"/>
    <w:rsid w:val="00B06F23"/>
    <w:rsid w:val="00B070C5"/>
    <w:rsid w:val="00B0716A"/>
    <w:rsid w:val="00B07373"/>
    <w:rsid w:val="00B073C2"/>
    <w:rsid w:val="00B074F1"/>
    <w:rsid w:val="00B076FA"/>
    <w:rsid w:val="00B07B96"/>
    <w:rsid w:val="00B07BFA"/>
    <w:rsid w:val="00B07F50"/>
    <w:rsid w:val="00B109A2"/>
    <w:rsid w:val="00B10A9B"/>
    <w:rsid w:val="00B10B68"/>
    <w:rsid w:val="00B10E80"/>
    <w:rsid w:val="00B11854"/>
    <w:rsid w:val="00B11936"/>
    <w:rsid w:val="00B11F22"/>
    <w:rsid w:val="00B120E3"/>
    <w:rsid w:val="00B122A4"/>
    <w:rsid w:val="00B1255A"/>
    <w:rsid w:val="00B129AD"/>
    <w:rsid w:val="00B12FFF"/>
    <w:rsid w:val="00B130A6"/>
    <w:rsid w:val="00B131DD"/>
    <w:rsid w:val="00B1353B"/>
    <w:rsid w:val="00B13658"/>
    <w:rsid w:val="00B13715"/>
    <w:rsid w:val="00B138D7"/>
    <w:rsid w:val="00B13970"/>
    <w:rsid w:val="00B141B8"/>
    <w:rsid w:val="00B141EB"/>
    <w:rsid w:val="00B14A23"/>
    <w:rsid w:val="00B14A5B"/>
    <w:rsid w:val="00B14B46"/>
    <w:rsid w:val="00B14E2D"/>
    <w:rsid w:val="00B14E6C"/>
    <w:rsid w:val="00B14FB3"/>
    <w:rsid w:val="00B150AE"/>
    <w:rsid w:val="00B15175"/>
    <w:rsid w:val="00B1533A"/>
    <w:rsid w:val="00B1562B"/>
    <w:rsid w:val="00B15653"/>
    <w:rsid w:val="00B15B89"/>
    <w:rsid w:val="00B15F09"/>
    <w:rsid w:val="00B1670B"/>
    <w:rsid w:val="00B16993"/>
    <w:rsid w:val="00B16A6B"/>
    <w:rsid w:val="00B16BFE"/>
    <w:rsid w:val="00B16C86"/>
    <w:rsid w:val="00B1703E"/>
    <w:rsid w:val="00B17272"/>
    <w:rsid w:val="00B173A0"/>
    <w:rsid w:val="00B17A1D"/>
    <w:rsid w:val="00B17D1D"/>
    <w:rsid w:val="00B17E43"/>
    <w:rsid w:val="00B20301"/>
    <w:rsid w:val="00B20381"/>
    <w:rsid w:val="00B2060C"/>
    <w:rsid w:val="00B2070A"/>
    <w:rsid w:val="00B207B8"/>
    <w:rsid w:val="00B209A3"/>
    <w:rsid w:val="00B20C62"/>
    <w:rsid w:val="00B20DCF"/>
    <w:rsid w:val="00B20E89"/>
    <w:rsid w:val="00B214CD"/>
    <w:rsid w:val="00B215CE"/>
    <w:rsid w:val="00B21A20"/>
    <w:rsid w:val="00B21CED"/>
    <w:rsid w:val="00B21D33"/>
    <w:rsid w:val="00B21FF7"/>
    <w:rsid w:val="00B222FA"/>
    <w:rsid w:val="00B225CC"/>
    <w:rsid w:val="00B22A77"/>
    <w:rsid w:val="00B22F47"/>
    <w:rsid w:val="00B2301A"/>
    <w:rsid w:val="00B23051"/>
    <w:rsid w:val="00B234C8"/>
    <w:rsid w:val="00B236DC"/>
    <w:rsid w:val="00B23880"/>
    <w:rsid w:val="00B23883"/>
    <w:rsid w:val="00B23B63"/>
    <w:rsid w:val="00B23C38"/>
    <w:rsid w:val="00B23E99"/>
    <w:rsid w:val="00B24093"/>
    <w:rsid w:val="00B246CF"/>
    <w:rsid w:val="00B246E5"/>
    <w:rsid w:val="00B247DB"/>
    <w:rsid w:val="00B2486A"/>
    <w:rsid w:val="00B25032"/>
    <w:rsid w:val="00B2508F"/>
    <w:rsid w:val="00B256F1"/>
    <w:rsid w:val="00B2599B"/>
    <w:rsid w:val="00B25C17"/>
    <w:rsid w:val="00B25C5E"/>
    <w:rsid w:val="00B25EC5"/>
    <w:rsid w:val="00B2613F"/>
    <w:rsid w:val="00B2617E"/>
    <w:rsid w:val="00B263E3"/>
    <w:rsid w:val="00B26987"/>
    <w:rsid w:val="00B269DF"/>
    <w:rsid w:val="00B26CDD"/>
    <w:rsid w:val="00B273B0"/>
    <w:rsid w:val="00B2757E"/>
    <w:rsid w:val="00B27686"/>
    <w:rsid w:val="00B27757"/>
    <w:rsid w:val="00B27836"/>
    <w:rsid w:val="00B27B1A"/>
    <w:rsid w:val="00B27B7C"/>
    <w:rsid w:val="00B27B7D"/>
    <w:rsid w:val="00B27C71"/>
    <w:rsid w:val="00B27DB2"/>
    <w:rsid w:val="00B27DDB"/>
    <w:rsid w:val="00B305B2"/>
    <w:rsid w:val="00B3097A"/>
    <w:rsid w:val="00B30C46"/>
    <w:rsid w:val="00B30DD6"/>
    <w:rsid w:val="00B31092"/>
    <w:rsid w:val="00B3109B"/>
    <w:rsid w:val="00B312E0"/>
    <w:rsid w:val="00B3131F"/>
    <w:rsid w:val="00B313E2"/>
    <w:rsid w:val="00B316B3"/>
    <w:rsid w:val="00B31B2B"/>
    <w:rsid w:val="00B31E21"/>
    <w:rsid w:val="00B31FEF"/>
    <w:rsid w:val="00B320C8"/>
    <w:rsid w:val="00B322B5"/>
    <w:rsid w:val="00B3255D"/>
    <w:rsid w:val="00B3256E"/>
    <w:rsid w:val="00B3266C"/>
    <w:rsid w:val="00B327D5"/>
    <w:rsid w:val="00B32846"/>
    <w:rsid w:val="00B328EB"/>
    <w:rsid w:val="00B328FC"/>
    <w:rsid w:val="00B32924"/>
    <w:rsid w:val="00B32DF6"/>
    <w:rsid w:val="00B3307C"/>
    <w:rsid w:val="00B3377F"/>
    <w:rsid w:val="00B337A6"/>
    <w:rsid w:val="00B337FA"/>
    <w:rsid w:val="00B33B17"/>
    <w:rsid w:val="00B33D05"/>
    <w:rsid w:val="00B34060"/>
    <w:rsid w:val="00B345F7"/>
    <w:rsid w:val="00B34747"/>
    <w:rsid w:val="00B34B3A"/>
    <w:rsid w:val="00B34CC7"/>
    <w:rsid w:val="00B3532B"/>
    <w:rsid w:val="00B35624"/>
    <w:rsid w:val="00B357E2"/>
    <w:rsid w:val="00B358AE"/>
    <w:rsid w:val="00B35D2D"/>
    <w:rsid w:val="00B35D30"/>
    <w:rsid w:val="00B3690C"/>
    <w:rsid w:val="00B36D39"/>
    <w:rsid w:val="00B36DA7"/>
    <w:rsid w:val="00B370A5"/>
    <w:rsid w:val="00B370C9"/>
    <w:rsid w:val="00B370D6"/>
    <w:rsid w:val="00B37247"/>
    <w:rsid w:val="00B372AC"/>
    <w:rsid w:val="00B3749A"/>
    <w:rsid w:val="00B3751C"/>
    <w:rsid w:val="00B379BD"/>
    <w:rsid w:val="00B37A12"/>
    <w:rsid w:val="00B37A75"/>
    <w:rsid w:val="00B37B25"/>
    <w:rsid w:val="00B37D42"/>
    <w:rsid w:val="00B40206"/>
    <w:rsid w:val="00B40233"/>
    <w:rsid w:val="00B4042E"/>
    <w:rsid w:val="00B40710"/>
    <w:rsid w:val="00B407FD"/>
    <w:rsid w:val="00B40879"/>
    <w:rsid w:val="00B4093F"/>
    <w:rsid w:val="00B40EEE"/>
    <w:rsid w:val="00B4181E"/>
    <w:rsid w:val="00B41DF8"/>
    <w:rsid w:val="00B41F07"/>
    <w:rsid w:val="00B420D5"/>
    <w:rsid w:val="00B42238"/>
    <w:rsid w:val="00B42482"/>
    <w:rsid w:val="00B42638"/>
    <w:rsid w:val="00B426FF"/>
    <w:rsid w:val="00B427A3"/>
    <w:rsid w:val="00B42AF2"/>
    <w:rsid w:val="00B42BB4"/>
    <w:rsid w:val="00B42C05"/>
    <w:rsid w:val="00B431B0"/>
    <w:rsid w:val="00B4320A"/>
    <w:rsid w:val="00B435E9"/>
    <w:rsid w:val="00B4384D"/>
    <w:rsid w:val="00B43AF1"/>
    <w:rsid w:val="00B43BD7"/>
    <w:rsid w:val="00B44491"/>
    <w:rsid w:val="00B444FE"/>
    <w:rsid w:val="00B445A7"/>
    <w:rsid w:val="00B447BF"/>
    <w:rsid w:val="00B44864"/>
    <w:rsid w:val="00B44975"/>
    <w:rsid w:val="00B451EF"/>
    <w:rsid w:val="00B45265"/>
    <w:rsid w:val="00B45467"/>
    <w:rsid w:val="00B4549E"/>
    <w:rsid w:val="00B455F0"/>
    <w:rsid w:val="00B457A6"/>
    <w:rsid w:val="00B45C63"/>
    <w:rsid w:val="00B4610E"/>
    <w:rsid w:val="00B4672E"/>
    <w:rsid w:val="00B468D4"/>
    <w:rsid w:val="00B46BA7"/>
    <w:rsid w:val="00B46BD6"/>
    <w:rsid w:val="00B47107"/>
    <w:rsid w:val="00B4731B"/>
    <w:rsid w:val="00B4733B"/>
    <w:rsid w:val="00B473B8"/>
    <w:rsid w:val="00B476E6"/>
    <w:rsid w:val="00B479B0"/>
    <w:rsid w:val="00B47B15"/>
    <w:rsid w:val="00B500AA"/>
    <w:rsid w:val="00B50118"/>
    <w:rsid w:val="00B5022E"/>
    <w:rsid w:val="00B50679"/>
    <w:rsid w:val="00B506CA"/>
    <w:rsid w:val="00B50732"/>
    <w:rsid w:val="00B5097F"/>
    <w:rsid w:val="00B50A0E"/>
    <w:rsid w:val="00B50B1B"/>
    <w:rsid w:val="00B50DDE"/>
    <w:rsid w:val="00B510EE"/>
    <w:rsid w:val="00B5114E"/>
    <w:rsid w:val="00B511B0"/>
    <w:rsid w:val="00B514F1"/>
    <w:rsid w:val="00B516BA"/>
    <w:rsid w:val="00B517B6"/>
    <w:rsid w:val="00B518A1"/>
    <w:rsid w:val="00B519D4"/>
    <w:rsid w:val="00B51BBA"/>
    <w:rsid w:val="00B52252"/>
    <w:rsid w:val="00B5230E"/>
    <w:rsid w:val="00B52541"/>
    <w:rsid w:val="00B525CE"/>
    <w:rsid w:val="00B525D8"/>
    <w:rsid w:val="00B5281F"/>
    <w:rsid w:val="00B52997"/>
    <w:rsid w:val="00B52DA8"/>
    <w:rsid w:val="00B5321B"/>
    <w:rsid w:val="00B534E0"/>
    <w:rsid w:val="00B536AA"/>
    <w:rsid w:val="00B538D3"/>
    <w:rsid w:val="00B53AC8"/>
    <w:rsid w:val="00B53BD7"/>
    <w:rsid w:val="00B53DD6"/>
    <w:rsid w:val="00B5410C"/>
    <w:rsid w:val="00B5411D"/>
    <w:rsid w:val="00B541E7"/>
    <w:rsid w:val="00B543B1"/>
    <w:rsid w:val="00B5451C"/>
    <w:rsid w:val="00B54982"/>
    <w:rsid w:val="00B550B8"/>
    <w:rsid w:val="00B55B2C"/>
    <w:rsid w:val="00B55BB8"/>
    <w:rsid w:val="00B55DBC"/>
    <w:rsid w:val="00B560D5"/>
    <w:rsid w:val="00B5610F"/>
    <w:rsid w:val="00B562DE"/>
    <w:rsid w:val="00B5630F"/>
    <w:rsid w:val="00B5645E"/>
    <w:rsid w:val="00B568B4"/>
    <w:rsid w:val="00B569B9"/>
    <w:rsid w:val="00B56B5D"/>
    <w:rsid w:val="00B56F4C"/>
    <w:rsid w:val="00B56F9C"/>
    <w:rsid w:val="00B573CB"/>
    <w:rsid w:val="00B57731"/>
    <w:rsid w:val="00B57D10"/>
    <w:rsid w:val="00B600D1"/>
    <w:rsid w:val="00B60116"/>
    <w:rsid w:val="00B60385"/>
    <w:rsid w:val="00B605B1"/>
    <w:rsid w:val="00B60C5F"/>
    <w:rsid w:val="00B60CBD"/>
    <w:rsid w:val="00B610BD"/>
    <w:rsid w:val="00B61289"/>
    <w:rsid w:val="00B6183B"/>
    <w:rsid w:val="00B61875"/>
    <w:rsid w:val="00B618CF"/>
    <w:rsid w:val="00B618D9"/>
    <w:rsid w:val="00B61ACB"/>
    <w:rsid w:val="00B61E11"/>
    <w:rsid w:val="00B6223C"/>
    <w:rsid w:val="00B6237C"/>
    <w:rsid w:val="00B630C4"/>
    <w:rsid w:val="00B6323F"/>
    <w:rsid w:val="00B6329D"/>
    <w:rsid w:val="00B63430"/>
    <w:rsid w:val="00B6355A"/>
    <w:rsid w:val="00B638B7"/>
    <w:rsid w:val="00B639BA"/>
    <w:rsid w:val="00B63E04"/>
    <w:rsid w:val="00B63E22"/>
    <w:rsid w:val="00B643C8"/>
    <w:rsid w:val="00B64501"/>
    <w:rsid w:val="00B64578"/>
    <w:rsid w:val="00B64880"/>
    <w:rsid w:val="00B6489A"/>
    <w:rsid w:val="00B64BF0"/>
    <w:rsid w:val="00B64C00"/>
    <w:rsid w:val="00B64C9B"/>
    <w:rsid w:val="00B64FDC"/>
    <w:rsid w:val="00B6528A"/>
    <w:rsid w:val="00B65818"/>
    <w:rsid w:val="00B65C48"/>
    <w:rsid w:val="00B65DFB"/>
    <w:rsid w:val="00B661D5"/>
    <w:rsid w:val="00B66622"/>
    <w:rsid w:val="00B66802"/>
    <w:rsid w:val="00B6683B"/>
    <w:rsid w:val="00B66AF5"/>
    <w:rsid w:val="00B66BAB"/>
    <w:rsid w:val="00B66C27"/>
    <w:rsid w:val="00B66DDE"/>
    <w:rsid w:val="00B670FC"/>
    <w:rsid w:val="00B671C2"/>
    <w:rsid w:val="00B67236"/>
    <w:rsid w:val="00B67349"/>
    <w:rsid w:val="00B6743B"/>
    <w:rsid w:val="00B676A2"/>
    <w:rsid w:val="00B67B46"/>
    <w:rsid w:val="00B67D34"/>
    <w:rsid w:val="00B70158"/>
    <w:rsid w:val="00B7020A"/>
    <w:rsid w:val="00B70380"/>
    <w:rsid w:val="00B707DF"/>
    <w:rsid w:val="00B70C0C"/>
    <w:rsid w:val="00B70CBF"/>
    <w:rsid w:val="00B715C2"/>
    <w:rsid w:val="00B71A2C"/>
    <w:rsid w:val="00B71A7D"/>
    <w:rsid w:val="00B71A86"/>
    <w:rsid w:val="00B71CEC"/>
    <w:rsid w:val="00B71E44"/>
    <w:rsid w:val="00B71F3E"/>
    <w:rsid w:val="00B71F7E"/>
    <w:rsid w:val="00B71FE7"/>
    <w:rsid w:val="00B72035"/>
    <w:rsid w:val="00B7206C"/>
    <w:rsid w:val="00B7256A"/>
    <w:rsid w:val="00B7256B"/>
    <w:rsid w:val="00B72722"/>
    <w:rsid w:val="00B7293D"/>
    <w:rsid w:val="00B72C99"/>
    <w:rsid w:val="00B731C5"/>
    <w:rsid w:val="00B73240"/>
    <w:rsid w:val="00B73348"/>
    <w:rsid w:val="00B73437"/>
    <w:rsid w:val="00B737B7"/>
    <w:rsid w:val="00B73846"/>
    <w:rsid w:val="00B73C77"/>
    <w:rsid w:val="00B74074"/>
    <w:rsid w:val="00B7431B"/>
    <w:rsid w:val="00B743BF"/>
    <w:rsid w:val="00B74666"/>
    <w:rsid w:val="00B748B7"/>
    <w:rsid w:val="00B74A1A"/>
    <w:rsid w:val="00B750C1"/>
    <w:rsid w:val="00B751C7"/>
    <w:rsid w:val="00B7524F"/>
    <w:rsid w:val="00B7545D"/>
    <w:rsid w:val="00B755D7"/>
    <w:rsid w:val="00B7634F"/>
    <w:rsid w:val="00B767BE"/>
    <w:rsid w:val="00B768AD"/>
    <w:rsid w:val="00B76959"/>
    <w:rsid w:val="00B76B19"/>
    <w:rsid w:val="00B76C33"/>
    <w:rsid w:val="00B7748A"/>
    <w:rsid w:val="00B775F3"/>
    <w:rsid w:val="00B7767B"/>
    <w:rsid w:val="00B77931"/>
    <w:rsid w:val="00B7795C"/>
    <w:rsid w:val="00B77C85"/>
    <w:rsid w:val="00B77CA7"/>
    <w:rsid w:val="00B77D29"/>
    <w:rsid w:val="00B77EC6"/>
    <w:rsid w:val="00B77F79"/>
    <w:rsid w:val="00B80256"/>
    <w:rsid w:val="00B8025C"/>
    <w:rsid w:val="00B80425"/>
    <w:rsid w:val="00B804FB"/>
    <w:rsid w:val="00B806B0"/>
    <w:rsid w:val="00B808CC"/>
    <w:rsid w:val="00B80B70"/>
    <w:rsid w:val="00B810C6"/>
    <w:rsid w:val="00B8147C"/>
    <w:rsid w:val="00B8151E"/>
    <w:rsid w:val="00B8174F"/>
    <w:rsid w:val="00B8199A"/>
    <w:rsid w:val="00B81A90"/>
    <w:rsid w:val="00B81AAD"/>
    <w:rsid w:val="00B81C10"/>
    <w:rsid w:val="00B81D98"/>
    <w:rsid w:val="00B81EFF"/>
    <w:rsid w:val="00B81FAE"/>
    <w:rsid w:val="00B82274"/>
    <w:rsid w:val="00B8228F"/>
    <w:rsid w:val="00B822E3"/>
    <w:rsid w:val="00B8261B"/>
    <w:rsid w:val="00B82960"/>
    <w:rsid w:val="00B82F4E"/>
    <w:rsid w:val="00B8340A"/>
    <w:rsid w:val="00B8355D"/>
    <w:rsid w:val="00B83957"/>
    <w:rsid w:val="00B83B0F"/>
    <w:rsid w:val="00B83E15"/>
    <w:rsid w:val="00B84671"/>
    <w:rsid w:val="00B84788"/>
    <w:rsid w:val="00B84C56"/>
    <w:rsid w:val="00B84CA0"/>
    <w:rsid w:val="00B84FD6"/>
    <w:rsid w:val="00B850FE"/>
    <w:rsid w:val="00B85304"/>
    <w:rsid w:val="00B8534F"/>
    <w:rsid w:val="00B85A5F"/>
    <w:rsid w:val="00B85ACF"/>
    <w:rsid w:val="00B85C88"/>
    <w:rsid w:val="00B85E53"/>
    <w:rsid w:val="00B85F76"/>
    <w:rsid w:val="00B8623F"/>
    <w:rsid w:val="00B864A3"/>
    <w:rsid w:val="00B86553"/>
    <w:rsid w:val="00B865FF"/>
    <w:rsid w:val="00B86606"/>
    <w:rsid w:val="00B8677C"/>
    <w:rsid w:val="00B86B08"/>
    <w:rsid w:val="00B86B12"/>
    <w:rsid w:val="00B86EB6"/>
    <w:rsid w:val="00B86F66"/>
    <w:rsid w:val="00B8704D"/>
    <w:rsid w:val="00B874BC"/>
    <w:rsid w:val="00B876F1"/>
    <w:rsid w:val="00B876F7"/>
    <w:rsid w:val="00B8778B"/>
    <w:rsid w:val="00B87B2B"/>
    <w:rsid w:val="00B901AB"/>
    <w:rsid w:val="00B902F0"/>
    <w:rsid w:val="00B90483"/>
    <w:rsid w:val="00B904D0"/>
    <w:rsid w:val="00B907EC"/>
    <w:rsid w:val="00B908D8"/>
    <w:rsid w:val="00B90BD7"/>
    <w:rsid w:val="00B9102E"/>
    <w:rsid w:val="00B913FF"/>
    <w:rsid w:val="00B91507"/>
    <w:rsid w:val="00B91704"/>
    <w:rsid w:val="00B917FE"/>
    <w:rsid w:val="00B91C2F"/>
    <w:rsid w:val="00B91E15"/>
    <w:rsid w:val="00B91E33"/>
    <w:rsid w:val="00B91E3A"/>
    <w:rsid w:val="00B91FB1"/>
    <w:rsid w:val="00B92038"/>
    <w:rsid w:val="00B921FE"/>
    <w:rsid w:val="00B9227C"/>
    <w:rsid w:val="00B92548"/>
    <w:rsid w:val="00B92EE6"/>
    <w:rsid w:val="00B92FF8"/>
    <w:rsid w:val="00B9311C"/>
    <w:rsid w:val="00B93674"/>
    <w:rsid w:val="00B93854"/>
    <w:rsid w:val="00B939F0"/>
    <w:rsid w:val="00B93B4D"/>
    <w:rsid w:val="00B93C7E"/>
    <w:rsid w:val="00B9416E"/>
    <w:rsid w:val="00B94351"/>
    <w:rsid w:val="00B947B6"/>
    <w:rsid w:val="00B94BCD"/>
    <w:rsid w:val="00B94BE3"/>
    <w:rsid w:val="00B94CBB"/>
    <w:rsid w:val="00B94EB8"/>
    <w:rsid w:val="00B9506E"/>
    <w:rsid w:val="00B952CB"/>
    <w:rsid w:val="00B953B5"/>
    <w:rsid w:val="00B9544C"/>
    <w:rsid w:val="00B95602"/>
    <w:rsid w:val="00B96C9E"/>
    <w:rsid w:val="00B96DB8"/>
    <w:rsid w:val="00B970BA"/>
    <w:rsid w:val="00B974D5"/>
    <w:rsid w:val="00B978FE"/>
    <w:rsid w:val="00B97CC7"/>
    <w:rsid w:val="00B97F1C"/>
    <w:rsid w:val="00B97FCB"/>
    <w:rsid w:val="00BA01BE"/>
    <w:rsid w:val="00BA03F3"/>
    <w:rsid w:val="00BA0541"/>
    <w:rsid w:val="00BA0A30"/>
    <w:rsid w:val="00BA0CBC"/>
    <w:rsid w:val="00BA0FA6"/>
    <w:rsid w:val="00BA1211"/>
    <w:rsid w:val="00BA13FE"/>
    <w:rsid w:val="00BA14F6"/>
    <w:rsid w:val="00BA1AAC"/>
    <w:rsid w:val="00BA22B8"/>
    <w:rsid w:val="00BA262F"/>
    <w:rsid w:val="00BA26B7"/>
    <w:rsid w:val="00BA2758"/>
    <w:rsid w:val="00BA2BF4"/>
    <w:rsid w:val="00BA2C02"/>
    <w:rsid w:val="00BA3111"/>
    <w:rsid w:val="00BA3249"/>
    <w:rsid w:val="00BA3A9F"/>
    <w:rsid w:val="00BA3BD9"/>
    <w:rsid w:val="00BA3D9B"/>
    <w:rsid w:val="00BA432C"/>
    <w:rsid w:val="00BA43A0"/>
    <w:rsid w:val="00BA4655"/>
    <w:rsid w:val="00BA4863"/>
    <w:rsid w:val="00BA4971"/>
    <w:rsid w:val="00BA4996"/>
    <w:rsid w:val="00BA529E"/>
    <w:rsid w:val="00BA5C1C"/>
    <w:rsid w:val="00BA5F92"/>
    <w:rsid w:val="00BA63E8"/>
    <w:rsid w:val="00BA6AD8"/>
    <w:rsid w:val="00BA6AD9"/>
    <w:rsid w:val="00BA6B79"/>
    <w:rsid w:val="00BA6CE7"/>
    <w:rsid w:val="00BA6D59"/>
    <w:rsid w:val="00BA6F93"/>
    <w:rsid w:val="00BA6FCC"/>
    <w:rsid w:val="00BA7000"/>
    <w:rsid w:val="00BA73E5"/>
    <w:rsid w:val="00BA75C4"/>
    <w:rsid w:val="00BA7A81"/>
    <w:rsid w:val="00BA7D0A"/>
    <w:rsid w:val="00BA7D2F"/>
    <w:rsid w:val="00BA7E10"/>
    <w:rsid w:val="00BB0235"/>
    <w:rsid w:val="00BB0565"/>
    <w:rsid w:val="00BB058D"/>
    <w:rsid w:val="00BB09F4"/>
    <w:rsid w:val="00BB0A28"/>
    <w:rsid w:val="00BB0C17"/>
    <w:rsid w:val="00BB0C8C"/>
    <w:rsid w:val="00BB0DE8"/>
    <w:rsid w:val="00BB0FDD"/>
    <w:rsid w:val="00BB1496"/>
    <w:rsid w:val="00BB1B8F"/>
    <w:rsid w:val="00BB1DDB"/>
    <w:rsid w:val="00BB1E16"/>
    <w:rsid w:val="00BB1FBB"/>
    <w:rsid w:val="00BB2063"/>
    <w:rsid w:val="00BB2112"/>
    <w:rsid w:val="00BB2128"/>
    <w:rsid w:val="00BB22FE"/>
    <w:rsid w:val="00BB28F5"/>
    <w:rsid w:val="00BB2BE2"/>
    <w:rsid w:val="00BB2F53"/>
    <w:rsid w:val="00BB32D0"/>
    <w:rsid w:val="00BB33FF"/>
    <w:rsid w:val="00BB36E8"/>
    <w:rsid w:val="00BB381C"/>
    <w:rsid w:val="00BB3A85"/>
    <w:rsid w:val="00BB3AAD"/>
    <w:rsid w:val="00BB43EC"/>
    <w:rsid w:val="00BB45F0"/>
    <w:rsid w:val="00BB4630"/>
    <w:rsid w:val="00BB4859"/>
    <w:rsid w:val="00BB49DC"/>
    <w:rsid w:val="00BB4C0D"/>
    <w:rsid w:val="00BB4E99"/>
    <w:rsid w:val="00BB51C2"/>
    <w:rsid w:val="00BB52D9"/>
    <w:rsid w:val="00BB5372"/>
    <w:rsid w:val="00BB5414"/>
    <w:rsid w:val="00BB557E"/>
    <w:rsid w:val="00BB55E4"/>
    <w:rsid w:val="00BB5AFF"/>
    <w:rsid w:val="00BB5C67"/>
    <w:rsid w:val="00BB5F8C"/>
    <w:rsid w:val="00BB6207"/>
    <w:rsid w:val="00BB6BDA"/>
    <w:rsid w:val="00BB6D51"/>
    <w:rsid w:val="00BB6EAC"/>
    <w:rsid w:val="00BB71D2"/>
    <w:rsid w:val="00BB7375"/>
    <w:rsid w:val="00BB75F4"/>
    <w:rsid w:val="00BB786F"/>
    <w:rsid w:val="00BB7A9C"/>
    <w:rsid w:val="00BB7CEB"/>
    <w:rsid w:val="00BC0390"/>
    <w:rsid w:val="00BC03E1"/>
    <w:rsid w:val="00BC04EB"/>
    <w:rsid w:val="00BC0610"/>
    <w:rsid w:val="00BC0AA1"/>
    <w:rsid w:val="00BC0C0D"/>
    <w:rsid w:val="00BC1528"/>
    <w:rsid w:val="00BC15B4"/>
    <w:rsid w:val="00BC1A6A"/>
    <w:rsid w:val="00BC1AF1"/>
    <w:rsid w:val="00BC1CF9"/>
    <w:rsid w:val="00BC229D"/>
    <w:rsid w:val="00BC25D5"/>
    <w:rsid w:val="00BC2708"/>
    <w:rsid w:val="00BC29CA"/>
    <w:rsid w:val="00BC2BFB"/>
    <w:rsid w:val="00BC2E95"/>
    <w:rsid w:val="00BC312C"/>
    <w:rsid w:val="00BC3140"/>
    <w:rsid w:val="00BC3166"/>
    <w:rsid w:val="00BC32F9"/>
    <w:rsid w:val="00BC33AC"/>
    <w:rsid w:val="00BC39DC"/>
    <w:rsid w:val="00BC3B55"/>
    <w:rsid w:val="00BC3BE6"/>
    <w:rsid w:val="00BC4278"/>
    <w:rsid w:val="00BC4418"/>
    <w:rsid w:val="00BC47ED"/>
    <w:rsid w:val="00BC48BD"/>
    <w:rsid w:val="00BC4AED"/>
    <w:rsid w:val="00BC5093"/>
    <w:rsid w:val="00BC51B0"/>
    <w:rsid w:val="00BC541D"/>
    <w:rsid w:val="00BC5802"/>
    <w:rsid w:val="00BC5C05"/>
    <w:rsid w:val="00BC5F1D"/>
    <w:rsid w:val="00BC5FE6"/>
    <w:rsid w:val="00BC60FF"/>
    <w:rsid w:val="00BC61E6"/>
    <w:rsid w:val="00BC63D3"/>
    <w:rsid w:val="00BC66E9"/>
    <w:rsid w:val="00BC6E38"/>
    <w:rsid w:val="00BC6F33"/>
    <w:rsid w:val="00BC6F5B"/>
    <w:rsid w:val="00BC706A"/>
    <w:rsid w:val="00BC743A"/>
    <w:rsid w:val="00BC752F"/>
    <w:rsid w:val="00BC75C0"/>
    <w:rsid w:val="00BC792C"/>
    <w:rsid w:val="00BC7E84"/>
    <w:rsid w:val="00BC7F4D"/>
    <w:rsid w:val="00BD0674"/>
    <w:rsid w:val="00BD08A5"/>
    <w:rsid w:val="00BD099D"/>
    <w:rsid w:val="00BD1004"/>
    <w:rsid w:val="00BD1037"/>
    <w:rsid w:val="00BD1387"/>
    <w:rsid w:val="00BD144C"/>
    <w:rsid w:val="00BD1F6C"/>
    <w:rsid w:val="00BD203A"/>
    <w:rsid w:val="00BD20D9"/>
    <w:rsid w:val="00BD2487"/>
    <w:rsid w:val="00BD2618"/>
    <w:rsid w:val="00BD2A14"/>
    <w:rsid w:val="00BD2DF6"/>
    <w:rsid w:val="00BD3518"/>
    <w:rsid w:val="00BD3D1F"/>
    <w:rsid w:val="00BD3D76"/>
    <w:rsid w:val="00BD3F22"/>
    <w:rsid w:val="00BD486D"/>
    <w:rsid w:val="00BD489C"/>
    <w:rsid w:val="00BD49CE"/>
    <w:rsid w:val="00BD4B0F"/>
    <w:rsid w:val="00BD4D8B"/>
    <w:rsid w:val="00BD4E9E"/>
    <w:rsid w:val="00BD4F73"/>
    <w:rsid w:val="00BD52CD"/>
    <w:rsid w:val="00BD5467"/>
    <w:rsid w:val="00BD55C0"/>
    <w:rsid w:val="00BD5BAD"/>
    <w:rsid w:val="00BD5BC6"/>
    <w:rsid w:val="00BD5DC0"/>
    <w:rsid w:val="00BD5E48"/>
    <w:rsid w:val="00BD63B2"/>
    <w:rsid w:val="00BD66B6"/>
    <w:rsid w:val="00BD676F"/>
    <w:rsid w:val="00BD6910"/>
    <w:rsid w:val="00BD6F3B"/>
    <w:rsid w:val="00BD6F74"/>
    <w:rsid w:val="00BD71B5"/>
    <w:rsid w:val="00BD71D8"/>
    <w:rsid w:val="00BD7D42"/>
    <w:rsid w:val="00BD7D56"/>
    <w:rsid w:val="00BD7E5A"/>
    <w:rsid w:val="00BD7F69"/>
    <w:rsid w:val="00BD7F96"/>
    <w:rsid w:val="00BE043D"/>
    <w:rsid w:val="00BE08C1"/>
    <w:rsid w:val="00BE0E13"/>
    <w:rsid w:val="00BE1323"/>
    <w:rsid w:val="00BE1736"/>
    <w:rsid w:val="00BE1D27"/>
    <w:rsid w:val="00BE1D60"/>
    <w:rsid w:val="00BE211D"/>
    <w:rsid w:val="00BE2128"/>
    <w:rsid w:val="00BE24A3"/>
    <w:rsid w:val="00BE24B5"/>
    <w:rsid w:val="00BE2888"/>
    <w:rsid w:val="00BE2ED5"/>
    <w:rsid w:val="00BE31B3"/>
    <w:rsid w:val="00BE31E7"/>
    <w:rsid w:val="00BE37BC"/>
    <w:rsid w:val="00BE416C"/>
    <w:rsid w:val="00BE44F6"/>
    <w:rsid w:val="00BE4554"/>
    <w:rsid w:val="00BE4784"/>
    <w:rsid w:val="00BE4AB5"/>
    <w:rsid w:val="00BE4C7D"/>
    <w:rsid w:val="00BE4D5C"/>
    <w:rsid w:val="00BE4DA7"/>
    <w:rsid w:val="00BE4ECD"/>
    <w:rsid w:val="00BE4FC7"/>
    <w:rsid w:val="00BE5060"/>
    <w:rsid w:val="00BE51C5"/>
    <w:rsid w:val="00BE5227"/>
    <w:rsid w:val="00BE5361"/>
    <w:rsid w:val="00BE5377"/>
    <w:rsid w:val="00BE5417"/>
    <w:rsid w:val="00BE54CE"/>
    <w:rsid w:val="00BE581A"/>
    <w:rsid w:val="00BE5A5A"/>
    <w:rsid w:val="00BE5D19"/>
    <w:rsid w:val="00BE6008"/>
    <w:rsid w:val="00BE6667"/>
    <w:rsid w:val="00BE687D"/>
    <w:rsid w:val="00BE6AA9"/>
    <w:rsid w:val="00BE6B19"/>
    <w:rsid w:val="00BE6B2B"/>
    <w:rsid w:val="00BE6F31"/>
    <w:rsid w:val="00BE74F1"/>
    <w:rsid w:val="00BE7541"/>
    <w:rsid w:val="00BE76EE"/>
    <w:rsid w:val="00BE77AD"/>
    <w:rsid w:val="00BE7977"/>
    <w:rsid w:val="00BE7CAA"/>
    <w:rsid w:val="00BE7CBB"/>
    <w:rsid w:val="00BE7E6B"/>
    <w:rsid w:val="00BF02AF"/>
    <w:rsid w:val="00BF05D1"/>
    <w:rsid w:val="00BF0967"/>
    <w:rsid w:val="00BF09E2"/>
    <w:rsid w:val="00BF0BDC"/>
    <w:rsid w:val="00BF1142"/>
    <w:rsid w:val="00BF1371"/>
    <w:rsid w:val="00BF1670"/>
    <w:rsid w:val="00BF1787"/>
    <w:rsid w:val="00BF1AC8"/>
    <w:rsid w:val="00BF260E"/>
    <w:rsid w:val="00BF261E"/>
    <w:rsid w:val="00BF26A8"/>
    <w:rsid w:val="00BF2C67"/>
    <w:rsid w:val="00BF30DA"/>
    <w:rsid w:val="00BF319E"/>
    <w:rsid w:val="00BF33ED"/>
    <w:rsid w:val="00BF3FD6"/>
    <w:rsid w:val="00BF40F9"/>
    <w:rsid w:val="00BF429F"/>
    <w:rsid w:val="00BF4583"/>
    <w:rsid w:val="00BF4A29"/>
    <w:rsid w:val="00BF4B3F"/>
    <w:rsid w:val="00BF4BF9"/>
    <w:rsid w:val="00BF4D79"/>
    <w:rsid w:val="00BF5208"/>
    <w:rsid w:val="00BF53B4"/>
    <w:rsid w:val="00BF53D5"/>
    <w:rsid w:val="00BF555B"/>
    <w:rsid w:val="00BF56AA"/>
    <w:rsid w:val="00BF57A1"/>
    <w:rsid w:val="00BF59F8"/>
    <w:rsid w:val="00BF5A18"/>
    <w:rsid w:val="00BF5C8B"/>
    <w:rsid w:val="00BF697F"/>
    <w:rsid w:val="00BF69CD"/>
    <w:rsid w:val="00BF6AB2"/>
    <w:rsid w:val="00BF7090"/>
    <w:rsid w:val="00BF7199"/>
    <w:rsid w:val="00BF798A"/>
    <w:rsid w:val="00BF79B2"/>
    <w:rsid w:val="00BF7B97"/>
    <w:rsid w:val="00BF7EDE"/>
    <w:rsid w:val="00BF7EE3"/>
    <w:rsid w:val="00C0014C"/>
    <w:rsid w:val="00C00B25"/>
    <w:rsid w:val="00C00B3C"/>
    <w:rsid w:val="00C00BF7"/>
    <w:rsid w:val="00C00D78"/>
    <w:rsid w:val="00C00DC4"/>
    <w:rsid w:val="00C01087"/>
    <w:rsid w:val="00C011CC"/>
    <w:rsid w:val="00C011D6"/>
    <w:rsid w:val="00C01474"/>
    <w:rsid w:val="00C017CD"/>
    <w:rsid w:val="00C01816"/>
    <w:rsid w:val="00C01AEB"/>
    <w:rsid w:val="00C01C8D"/>
    <w:rsid w:val="00C01DFC"/>
    <w:rsid w:val="00C02355"/>
    <w:rsid w:val="00C02538"/>
    <w:rsid w:val="00C02A74"/>
    <w:rsid w:val="00C02E57"/>
    <w:rsid w:val="00C02F05"/>
    <w:rsid w:val="00C02FCA"/>
    <w:rsid w:val="00C030AD"/>
    <w:rsid w:val="00C03245"/>
    <w:rsid w:val="00C03997"/>
    <w:rsid w:val="00C03D57"/>
    <w:rsid w:val="00C04138"/>
    <w:rsid w:val="00C042B1"/>
    <w:rsid w:val="00C043AC"/>
    <w:rsid w:val="00C0491B"/>
    <w:rsid w:val="00C04952"/>
    <w:rsid w:val="00C04D39"/>
    <w:rsid w:val="00C04E7A"/>
    <w:rsid w:val="00C04EB0"/>
    <w:rsid w:val="00C05345"/>
    <w:rsid w:val="00C055BA"/>
    <w:rsid w:val="00C05E6E"/>
    <w:rsid w:val="00C06106"/>
    <w:rsid w:val="00C0689C"/>
    <w:rsid w:val="00C06C8F"/>
    <w:rsid w:val="00C07220"/>
    <w:rsid w:val="00C0727B"/>
    <w:rsid w:val="00C07AF8"/>
    <w:rsid w:val="00C07E98"/>
    <w:rsid w:val="00C104E3"/>
    <w:rsid w:val="00C10569"/>
    <w:rsid w:val="00C1064C"/>
    <w:rsid w:val="00C1088D"/>
    <w:rsid w:val="00C108BE"/>
    <w:rsid w:val="00C10EE6"/>
    <w:rsid w:val="00C112A2"/>
    <w:rsid w:val="00C117A0"/>
    <w:rsid w:val="00C11BA3"/>
    <w:rsid w:val="00C11C42"/>
    <w:rsid w:val="00C11C44"/>
    <w:rsid w:val="00C11CD3"/>
    <w:rsid w:val="00C11E23"/>
    <w:rsid w:val="00C1285F"/>
    <w:rsid w:val="00C1287F"/>
    <w:rsid w:val="00C12A38"/>
    <w:rsid w:val="00C12C44"/>
    <w:rsid w:val="00C12C9B"/>
    <w:rsid w:val="00C12CF0"/>
    <w:rsid w:val="00C12D03"/>
    <w:rsid w:val="00C12DE0"/>
    <w:rsid w:val="00C12FC0"/>
    <w:rsid w:val="00C1339E"/>
    <w:rsid w:val="00C13553"/>
    <w:rsid w:val="00C13C94"/>
    <w:rsid w:val="00C13FCF"/>
    <w:rsid w:val="00C14119"/>
    <w:rsid w:val="00C141DB"/>
    <w:rsid w:val="00C14238"/>
    <w:rsid w:val="00C14672"/>
    <w:rsid w:val="00C147CF"/>
    <w:rsid w:val="00C1505A"/>
    <w:rsid w:val="00C154DF"/>
    <w:rsid w:val="00C155B0"/>
    <w:rsid w:val="00C15A88"/>
    <w:rsid w:val="00C15B40"/>
    <w:rsid w:val="00C162F1"/>
    <w:rsid w:val="00C164B6"/>
    <w:rsid w:val="00C16890"/>
    <w:rsid w:val="00C16EC2"/>
    <w:rsid w:val="00C16F27"/>
    <w:rsid w:val="00C1707B"/>
    <w:rsid w:val="00C17252"/>
    <w:rsid w:val="00C17970"/>
    <w:rsid w:val="00C17A56"/>
    <w:rsid w:val="00C17C0B"/>
    <w:rsid w:val="00C20698"/>
    <w:rsid w:val="00C20BCA"/>
    <w:rsid w:val="00C20CA0"/>
    <w:rsid w:val="00C20D93"/>
    <w:rsid w:val="00C20FF8"/>
    <w:rsid w:val="00C21A5B"/>
    <w:rsid w:val="00C21B7C"/>
    <w:rsid w:val="00C222CF"/>
    <w:rsid w:val="00C22363"/>
    <w:rsid w:val="00C225CC"/>
    <w:rsid w:val="00C22793"/>
    <w:rsid w:val="00C22814"/>
    <w:rsid w:val="00C22863"/>
    <w:rsid w:val="00C232C1"/>
    <w:rsid w:val="00C23795"/>
    <w:rsid w:val="00C23A26"/>
    <w:rsid w:val="00C23C98"/>
    <w:rsid w:val="00C23E8A"/>
    <w:rsid w:val="00C23EBC"/>
    <w:rsid w:val="00C23F0D"/>
    <w:rsid w:val="00C2405F"/>
    <w:rsid w:val="00C2414A"/>
    <w:rsid w:val="00C241D7"/>
    <w:rsid w:val="00C241F6"/>
    <w:rsid w:val="00C24D62"/>
    <w:rsid w:val="00C25152"/>
    <w:rsid w:val="00C2528F"/>
    <w:rsid w:val="00C25542"/>
    <w:rsid w:val="00C255FA"/>
    <w:rsid w:val="00C25A83"/>
    <w:rsid w:val="00C25B5B"/>
    <w:rsid w:val="00C25B7B"/>
    <w:rsid w:val="00C25E2B"/>
    <w:rsid w:val="00C261A0"/>
    <w:rsid w:val="00C261D3"/>
    <w:rsid w:val="00C26321"/>
    <w:rsid w:val="00C265AD"/>
    <w:rsid w:val="00C26773"/>
    <w:rsid w:val="00C26817"/>
    <w:rsid w:val="00C26E7C"/>
    <w:rsid w:val="00C26EE4"/>
    <w:rsid w:val="00C26F7A"/>
    <w:rsid w:val="00C2709E"/>
    <w:rsid w:val="00C2713B"/>
    <w:rsid w:val="00C2752A"/>
    <w:rsid w:val="00C2799F"/>
    <w:rsid w:val="00C279A4"/>
    <w:rsid w:val="00C301FD"/>
    <w:rsid w:val="00C30594"/>
    <w:rsid w:val="00C307B7"/>
    <w:rsid w:val="00C30950"/>
    <w:rsid w:val="00C30A20"/>
    <w:rsid w:val="00C30D51"/>
    <w:rsid w:val="00C30DFD"/>
    <w:rsid w:val="00C310D7"/>
    <w:rsid w:val="00C3111A"/>
    <w:rsid w:val="00C31186"/>
    <w:rsid w:val="00C3169B"/>
    <w:rsid w:val="00C31751"/>
    <w:rsid w:val="00C3193F"/>
    <w:rsid w:val="00C31A0E"/>
    <w:rsid w:val="00C31CCB"/>
    <w:rsid w:val="00C31F66"/>
    <w:rsid w:val="00C321AC"/>
    <w:rsid w:val="00C3233C"/>
    <w:rsid w:val="00C32461"/>
    <w:rsid w:val="00C324CD"/>
    <w:rsid w:val="00C32938"/>
    <w:rsid w:val="00C32B18"/>
    <w:rsid w:val="00C330F2"/>
    <w:rsid w:val="00C33268"/>
    <w:rsid w:val="00C333B9"/>
    <w:rsid w:val="00C333F0"/>
    <w:rsid w:val="00C3360E"/>
    <w:rsid w:val="00C33C19"/>
    <w:rsid w:val="00C33D9C"/>
    <w:rsid w:val="00C33F2C"/>
    <w:rsid w:val="00C34015"/>
    <w:rsid w:val="00C343FA"/>
    <w:rsid w:val="00C34493"/>
    <w:rsid w:val="00C34740"/>
    <w:rsid w:val="00C34884"/>
    <w:rsid w:val="00C34962"/>
    <w:rsid w:val="00C349A6"/>
    <w:rsid w:val="00C34A99"/>
    <w:rsid w:val="00C34B0A"/>
    <w:rsid w:val="00C34B5B"/>
    <w:rsid w:val="00C357A2"/>
    <w:rsid w:val="00C35809"/>
    <w:rsid w:val="00C35B29"/>
    <w:rsid w:val="00C35DF9"/>
    <w:rsid w:val="00C35E6F"/>
    <w:rsid w:val="00C35EC3"/>
    <w:rsid w:val="00C364D0"/>
    <w:rsid w:val="00C367E4"/>
    <w:rsid w:val="00C36D63"/>
    <w:rsid w:val="00C36EC0"/>
    <w:rsid w:val="00C371A1"/>
    <w:rsid w:val="00C3746B"/>
    <w:rsid w:val="00C37824"/>
    <w:rsid w:val="00C37F28"/>
    <w:rsid w:val="00C403E1"/>
    <w:rsid w:val="00C40577"/>
    <w:rsid w:val="00C4093B"/>
    <w:rsid w:val="00C4099A"/>
    <w:rsid w:val="00C40B33"/>
    <w:rsid w:val="00C40C02"/>
    <w:rsid w:val="00C40D42"/>
    <w:rsid w:val="00C40DE0"/>
    <w:rsid w:val="00C4105D"/>
    <w:rsid w:val="00C41120"/>
    <w:rsid w:val="00C41334"/>
    <w:rsid w:val="00C41575"/>
    <w:rsid w:val="00C416F1"/>
    <w:rsid w:val="00C418A3"/>
    <w:rsid w:val="00C41965"/>
    <w:rsid w:val="00C41A26"/>
    <w:rsid w:val="00C41B5B"/>
    <w:rsid w:val="00C41F86"/>
    <w:rsid w:val="00C42217"/>
    <w:rsid w:val="00C42336"/>
    <w:rsid w:val="00C424D7"/>
    <w:rsid w:val="00C42543"/>
    <w:rsid w:val="00C4257E"/>
    <w:rsid w:val="00C4352F"/>
    <w:rsid w:val="00C43947"/>
    <w:rsid w:val="00C43B2D"/>
    <w:rsid w:val="00C43B99"/>
    <w:rsid w:val="00C43BAE"/>
    <w:rsid w:val="00C43BFF"/>
    <w:rsid w:val="00C43CA5"/>
    <w:rsid w:val="00C43CF8"/>
    <w:rsid w:val="00C43E58"/>
    <w:rsid w:val="00C43E78"/>
    <w:rsid w:val="00C43F67"/>
    <w:rsid w:val="00C43F86"/>
    <w:rsid w:val="00C440C8"/>
    <w:rsid w:val="00C44193"/>
    <w:rsid w:val="00C447A4"/>
    <w:rsid w:val="00C449C5"/>
    <w:rsid w:val="00C44C65"/>
    <w:rsid w:val="00C4522E"/>
    <w:rsid w:val="00C45675"/>
    <w:rsid w:val="00C4588B"/>
    <w:rsid w:val="00C4595A"/>
    <w:rsid w:val="00C45F8C"/>
    <w:rsid w:val="00C46223"/>
    <w:rsid w:val="00C4624A"/>
    <w:rsid w:val="00C462E0"/>
    <w:rsid w:val="00C4665C"/>
    <w:rsid w:val="00C46ABA"/>
    <w:rsid w:val="00C4727D"/>
    <w:rsid w:val="00C47432"/>
    <w:rsid w:val="00C47764"/>
    <w:rsid w:val="00C47815"/>
    <w:rsid w:val="00C479BB"/>
    <w:rsid w:val="00C479EE"/>
    <w:rsid w:val="00C47A37"/>
    <w:rsid w:val="00C47B7F"/>
    <w:rsid w:val="00C47D33"/>
    <w:rsid w:val="00C5031F"/>
    <w:rsid w:val="00C503B7"/>
    <w:rsid w:val="00C506BD"/>
    <w:rsid w:val="00C506F9"/>
    <w:rsid w:val="00C5081C"/>
    <w:rsid w:val="00C50AA3"/>
    <w:rsid w:val="00C50AC9"/>
    <w:rsid w:val="00C50ECF"/>
    <w:rsid w:val="00C50F39"/>
    <w:rsid w:val="00C50FB1"/>
    <w:rsid w:val="00C513B8"/>
    <w:rsid w:val="00C516B5"/>
    <w:rsid w:val="00C51A89"/>
    <w:rsid w:val="00C521A0"/>
    <w:rsid w:val="00C52297"/>
    <w:rsid w:val="00C52393"/>
    <w:rsid w:val="00C523B4"/>
    <w:rsid w:val="00C5250F"/>
    <w:rsid w:val="00C52568"/>
    <w:rsid w:val="00C52693"/>
    <w:rsid w:val="00C527A3"/>
    <w:rsid w:val="00C52ACC"/>
    <w:rsid w:val="00C52F0F"/>
    <w:rsid w:val="00C535E4"/>
    <w:rsid w:val="00C53875"/>
    <w:rsid w:val="00C538E9"/>
    <w:rsid w:val="00C53B4B"/>
    <w:rsid w:val="00C53B7D"/>
    <w:rsid w:val="00C53DDF"/>
    <w:rsid w:val="00C53E14"/>
    <w:rsid w:val="00C53F20"/>
    <w:rsid w:val="00C540C0"/>
    <w:rsid w:val="00C5440A"/>
    <w:rsid w:val="00C54716"/>
    <w:rsid w:val="00C547AD"/>
    <w:rsid w:val="00C547D2"/>
    <w:rsid w:val="00C54CCE"/>
    <w:rsid w:val="00C54EB9"/>
    <w:rsid w:val="00C54FED"/>
    <w:rsid w:val="00C550C1"/>
    <w:rsid w:val="00C5517B"/>
    <w:rsid w:val="00C55356"/>
    <w:rsid w:val="00C55451"/>
    <w:rsid w:val="00C55EDB"/>
    <w:rsid w:val="00C55EEC"/>
    <w:rsid w:val="00C55F8E"/>
    <w:rsid w:val="00C561A9"/>
    <w:rsid w:val="00C56908"/>
    <w:rsid w:val="00C56C35"/>
    <w:rsid w:val="00C56D1E"/>
    <w:rsid w:val="00C56E13"/>
    <w:rsid w:val="00C56F0C"/>
    <w:rsid w:val="00C573A9"/>
    <w:rsid w:val="00C573C1"/>
    <w:rsid w:val="00C57B37"/>
    <w:rsid w:val="00C57D50"/>
    <w:rsid w:val="00C57EE7"/>
    <w:rsid w:val="00C603E1"/>
    <w:rsid w:val="00C60657"/>
    <w:rsid w:val="00C60CCA"/>
    <w:rsid w:val="00C60E02"/>
    <w:rsid w:val="00C60FE1"/>
    <w:rsid w:val="00C6108C"/>
    <w:rsid w:val="00C613A2"/>
    <w:rsid w:val="00C6168E"/>
    <w:rsid w:val="00C617B8"/>
    <w:rsid w:val="00C618E4"/>
    <w:rsid w:val="00C61A11"/>
    <w:rsid w:val="00C61AF5"/>
    <w:rsid w:val="00C61DA1"/>
    <w:rsid w:val="00C61E23"/>
    <w:rsid w:val="00C61E27"/>
    <w:rsid w:val="00C61FD6"/>
    <w:rsid w:val="00C62147"/>
    <w:rsid w:val="00C62352"/>
    <w:rsid w:val="00C62939"/>
    <w:rsid w:val="00C62A8A"/>
    <w:rsid w:val="00C62F05"/>
    <w:rsid w:val="00C63172"/>
    <w:rsid w:val="00C63284"/>
    <w:rsid w:val="00C63304"/>
    <w:rsid w:val="00C6358E"/>
    <w:rsid w:val="00C63A55"/>
    <w:rsid w:val="00C63C69"/>
    <w:rsid w:val="00C641CB"/>
    <w:rsid w:val="00C64644"/>
    <w:rsid w:val="00C64BE2"/>
    <w:rsid w:val="00C64D21"/>
    <w:rsid w:val="00C64DF4"/>
    <w:rsid w:val="00C65090"/>
    <w:rsid w:val="00C658AD"/>
    <w:rsid w:val="00C66122"/>
    <w:rsid w:val="00C6613D"/>
    <w:rsid w:val="00C661AB"/>
    <w:rsid w:val="00C6641B"/>
    <w:rsid w:val="00C6675B"/>
    <w:rsid w:val="00C669E3"/>
    <w:rsid w:val="00C669E4"/>
    <w:rsid w:val="00C676D3"/>
    <w:rsid w:val="00C678B2"/>
    <w:rsid w:val="00C67A3C"/>
    <w:rsid w:val="00C67AD4"/>
    <w:rsid w:val="00C67C08"/>
    <w:rsid w:val="00C67D30"/>
    <w:rsid w:val="00C67F97"/>
    <w:rsid w:val="00C70031"/>
    <w:rsid w:val="00C7006C"/>
    <w:rsid w:val="00C70167"/>
    <w:rsid w:val="00C702B6"/>
    <w:rsid w:val="00C70531"/>
    <w:rsid w:val="00C70756"/>
    <w:rsid w:val="00C707E1"/>
    <w:rsid w:val="00C708C4"/>
    <w:rsid w:val="00C708D7"/>
    <w:rsid w:val="00C70C3C"/>
    <w:rsid w:val="00C70D14"/>
    <w:rsid w:val="00C70DA2"/>
    <w:rsid w:val="00C70E65"/>
    <w:rsid w:val="00C70EBC"/>
    <w:rsid w:val="00C70ED9"/>
    <w:rsid w:val="00C70F28"/>
    <w:rsid w:val="00C71381"/>
    <w:rsid w:val="00C7139A"/>
    <w:rsid w:val="00C7167E"/>
    <w:rsid w:val="00C717B6"/>
    <w:rsid w:val="00C71919"/>
    <w:rsid w:val="00C71A00"/>
    <w:rsid w:val="00C71A48"/>
    <w:rsid w:val="00C71B07"/>
    <w:rsid w:val="00C71F0C"/>
    <w:rsid w:val="00C7214E"/>
    <w:rsid w:val="00C7237C"/>
    <w:rsid w:val="00C7241D"/>
    <w:rsid w:val="00C72CA7"/>
    <w:rsid w:val="00C72DA3"/>
    <w:rsid w:val="00C72E53"/>
    <w:rsid w:val="00C733E3"/>
    <w:rsid w:val="00C73A54"/>
    <w:rsid w:val="00C73C4D"/>
    <w:rsid w:val="00C73CC1"/>
    <w:rsid w:val="00C73DAB"/>
    <w:rsid w:val="00C74304"/>
    <w:rsid w:val="00C7454B"/>
    <w:rsid w:val="00C7465C"/>
    <w:rsid w:val="00C747BA"/>
    <w:rsid w:val="00C74965"/>
    <w:rsid w:val="00C74A37"/>
    <w:rsid w:val="00C74C86"/>
    <w:rsid w:val="00C74C8C"/>
    <w:rsid w:val="00C74FFE"/>
    <w:rsid w:val="00C75183"/>
    <w:rsid w:val="00C7547B"/>
    <w:rsid w:val="00C75543"/>
    <w:rsid w:val="00C75600"/>
    <w:rsid w:val="00C75868"/>
    <w:rsid w:val="00C75AE0"/>
    <w:rsid w:val="00C75BF7"/>
    <w:rsid w:val="00C75CD9"/>
    <w:rsid w:val="00C75E05"/>
    <w:rsid w:val="00C75EEA"/>
    <w:rsid w:val="00C765D0"/>
    <w:rsid w:val="00C7664B"/>
    <w:rsid w:val="00C766C6"/>
    <w:rsid w:val="00C768A4"/>
    <w:rsid w:val="00C76FB0"/>
    <w:rsid w:val="00C770B9"/>
    <w:rsid w:val="00C771BF"/>
    <w:rsid w:val="00C772D2"/>
    <w:rsid w:val="00C77665"/>
    <w:rsid w:val="00C77805"/>
    <w:rsid w:val="00C77A7B"/>
    <w:rsid w:val="00C77C50"/>
    <w:rsid w:val="00C77D20"/>
    <w:rsid w:val="00C77E82"/>
    <w:rsid w:val="00C80120"/>
    <w:rsid w:val="00C8018F"/>
    <w:rsid w:val="00C809C7"/>
    <w:rsid w:val="00C80BFC"/>
    <w:rsid w:val="00C80C08"/>
    <w:rsid w:val="00C80C5B"/>
    <w:rsid w:val="00C80E90"/>
    <w:rsid w:val="00C80FE2"/>
    <w:rsid w:val="00C812CF"/>
    <w:rsid w:val="00C8152E"/>
    <w:rsid w:val="00C81758"/>
    <w:rsid w:val="00C8185E"/>
    <w:rsid w:val="00C8193D"/>
    <w:rsid w:val="00C819A5"/>
    <w:rsid w:val="00C81CE0"/>
    <w:rsid w:val="00C825C0"/>
    <w:rsid w:val="00C82B3A"/>
    <w:rsid w:val="00C82CED"/>
    <w:rsid w:val="00C82DDD"/>
    <w:rsid w:val="00C8319C"/>
    <w:rsid w:val="00C83309"/>
    <w:rsid w:val="00C836B7"/>
    <w:rsid w:val="00C837A4"/>
    <w:rsid w:val="00C843FF"/>
    <w:rsid w:val="00C84690"/>
    <w:rsid w:val="00C846CE"/>
    <w:rsid w:val="00C8492C"/>
    <w:rsid w:val="00C84C90"/>
    <w:rsid w:val="00C84DEE"/>
    <w:rsid w:val="00C84E5F"/>
    <w:rsid w:val="00C84EEE"/>
    <w:rsid w:val="00C85227"/>
    <w:rsid w:val="00C85458"/>
    <w:rsid w:val="00C854FD"/>
    <w:rsid w:val="00C85594"/>
    <w:rsid w:val="00C85685"/>
    <w:rsid w:val="00C8568F"/>
    <w:rsid w:val="00C856E1"/>
    <w:rsid w:val="00C85A27"/>
    <w:rsid w:val="00C85D25"/>
    <w:rsid w:val="00C861A7"/>
    <w:rsid w:val="00C863DE"/>
    <w:rsid w:val="00C86B4E"/>
    <w:rsid w:val="00C86D05"/>
    <w:rsid w:val="00C874BE"/>
    <w:rsid w:val="00C875D1"/>
    <w:rsid w:val="00C876A2"/>
    <w:rsid w:val="00C87715"/>
    <w:rsid w:val="00C87A18"/>
    <w:rsid w:val="00C87F22"/>
    <w:rsid w:val="00C9014F"/>
    <w:rsid w:val="00C901EC"/>
    <w:rsid w:val="00C90309"/>
    <w:rsid w:val="00C90479"/>
    <w:rsid w:val="00C9061A"/>
    <w:rsid w:val="00C90A27"/>
    <w:rsid w:val="00C91086"/>
    <w:rsid w:val="00C911CE"/>
    <w:rsid w:val="00C9136B"/>
    <w:rsid w:val="00C914F9"/>
    <w:rsid w:val="00C918E8"/>
    <w:rsid w:val="00C91A0E"/>
    <w:rsid w:val="00C91B2F"/>
    <w:rsid w:val="00C91D4D"/>
    <w:rsid w:val="00C91EA6"/>
    <w:rsid w:val="00C92015"/>
    <w:rsid w:val="00C920EC"/>
    <w:rsid w:val="00C9230F"/>
    <w:rsid w:val="00C925C4"/>
    <w:rsid w:val="00C92708"/>
    <w:rsid w:val="00C9298D"/>
    <w:rsid w:val="00C92A79"/>
    <w:rsid w:val="00C92DD2"/>
    <w:rsid w:val="00C93003"/>
    <w:rsid w:val="00C9330D"/>
    <w:rsid w:val="00C93546"/>
    <w:rsid w:val="00C936BB"/>
    <w:rsid w:val="00C93748"/>
    <w:rsid w:val="00C93EB1"/>
    <w:rsid w:val="00C93F5F"/>
    <w:rsid w:val="00C93FED"/>
    <w:rsid w:val="00C9415D"/>
    <w:rsid w:val="00C941C0"/>
    <w:rsid w:val="00C9484A"/>
    <w:rsid w:val="00C94EAE"/>
    <w:rsid w:val="00C94F73"/>
    <w:rsid w:val="00C9529C"/>
    <w:rsid w:val="00C954B5"/>
    <w:rsid w:val="00C95524"/>
    <w:rsid w:val="00C955AA"/>
    <w:rsid w:val="00C95904"/>
    <w:rsid w:val="00C95DE0"/>
    <w:rsid w:val="00C96560"/>
    <w:rsid w:val="00C9697B"/>
    <w:rsid w:val="00C969DE"/>
    <w:rsid w:val="00C96BED"/>
    <w:rsid w:val="00C96D1D"/>
    <w:rsid w:val="00C96E02"/>
    <w:rsid w:val="00C96FE9"/>
    <w:rsid w:val="00C970A5"/>
    <w:rsid w:val="00C97169"/>
    <w:rsid w:val="00C97279"/>
    <w:rsid w:val="00C972F2"/>
    <w:rsid w:val="00C97316"/>
    <w:rsid w:val="00C9746E"/>
    <w:rsid w:val="00C9749C"/>
    <w:rsid w:val="00C97C6A"/>
    <w:rsid w:val="00CA0438"/>
    <w:rsid w:val="00CA0626"/>
    <w:rsid w:val="00CA0718"/>
    <w:rsid w:val="00CA0E78"/>
    <w:rsid w:val="00CA17CF"/>
    <w:rsid w:val="00CA1AB2"/>
    <w:rsid w:val="00CA1B5A"/>
    <w:rsid w:val="00CA1C94"/>
    <w:rsid w:val="00CA2115"/>
    <w:rsid w:val="00CA22B2"/>
    <w:rsid w:val="00CA22CA"/>
    <w:rsid w:val="00CA29A4"/>
    <w:rsid w:val="00CA2AB4"/>
    <w:rsid w:val="00CA2AF0"/>
    <w:rsid w:val="00CA2B4C"/>
    <w:rsid w:val="00CA2C56"/>
    <w:rsid w:val="00CA2C92"/>
    <w:rsid w:val="00CA2D9F"/>
    <w:rsid w:val="00CA2E19"/>
    <w:rsid w:val="00CA3A79"/>
    <w:rsid w:val="00CA3C6B"/>
    <w:rsid w:val="00CA3E22"/>
    <w:rsid w:val="00CA4332"/>
    <w:rsid w:val="00CA48B7"/>
    <w:rsid w:val="00CA4B7F"/>
    <w:rsid w:val="00CA4BBF"/>
    <w:rsid w:val="00CA4C16"/>
    <w:rsid w:val="00CA4C60"/>
    <w:rsid w:val="00CA4FDA"/>
    <w:rsid w:val="00CA53CE"/>
    <w:rsid w:val="00CA57E3"/>
    <w:rsid w:val="00CA59E1"/>
    <w:rsid w:val="00CA62C5"/>
    <w:rsid w:val="00CA6312"/>
    <w:rsid w:val="00CA63B1"/>
    <w:rsid w:val="00CA6662"/>
    <w:rsid w:val="00CA6727"/>
    <w:rsid w:val="00CA6D19"/>
    <w:rsid w:val="00CA6FC7"/>
    <w:rsid w:val="00CA71A9"/>
    <w:rsid w:val="00CA72AC"/>
    <w:rsid w:val="00CA7376"/>
    <w:rsid w:val="00CA7424"/>
    <w:rsid w:val="00CA7E74"/>
    <w:rsid w:val="00CA7FBC"/>
    <w:rsid w:val="00CB02E4"/>
    <w:rsid w:val="00CB04F6"/>
    <w:rsid w:val="00CB065E"/>
    <w:rsid w:val="00CB0B69"/>
    <w:rsid w:val="00CB0BAE"/>
    <w:rsid w:val="00CB0C32"/>
    <w:rsid w:val="00CB0E94"/>
    <w:rsid w:val="00CB0EBB"/>
    <w:rsid w:val="00CB16DF"/>
    <w:rsid w:val="00CB17AD"/>
    <w:rsid w:val="00CB18C2"/>
    <w:rsid w:val="00CB1995"/>
    <w:rsid w:val="00CB19B7"/>
    <w:rsid w:val="00CB19EE"/>
    <w:rsid w:val="00CB1B3A"/>
    <w:rsid w:val="00CB1D50"/>
    <w:rsid w:val="00CB20DE"/>
    <w:rsid w:val="00CB20EF"/>
    <w:rsid w:val="00CB2165"/>
    <w:rsid w:val="00CB2500"/>
    <w:rsid w:val="00CB26AF"/>
    <w:rsid w:val="00CB2923"/>
    <w:rsid w:val="00CB2B8B"/>
    <w:rsid w:val="00CB2B8E"/>
    <w:rsid w:val="00CB2DDF"/>
    <w:rsid w:val="00CB2EE9"/>
    <w:rsid w:val="00CB2F1B"/>
    <w:rsid w:val="00CB3081"/>
    <w:rsid w:val="00CB390A"/>
    <w:rsid w:val="00CB3E59"/>
    <w:rsid w:val="00CB405D"/>
    <w:rsid w:val="00CB40CC"/>
    <w:rsid w:val="00CB432A"/>
    <w:rsid w:val="00CB4727"/>
    <w:rsid w:val="00CB4740"/>
    <w:rsid w:val="00CB4B60"/>
    <w:rsid w:val="00CB4C1B"/>
    <w:rsid w:val="00CB4C49"/>
    <w:rsid w:val="00CB4DB7"/>
    <w:rsid w:val="00CB4DF5"/>
    <w:rsid w:val="00CB4FD8"/>
    <w:rsid w:val="00CB5384"/>
    <w:rsid w:val="00CB5677"/>
    <w:rsid w:val="00CB574C"/>
    <w:rsid w:val="00CB58EB"/>
    <w:rsid w:val="00CB59AE"/>
    <w:rsid w:val="00CB5AFF"/>
    <w:rsid w:val="00CB5BE6"/>
    <w:rsid w:val="00CB5CD6"/>
    <w:rsid w:val="00CB5EEC"/>
    <w:rsid w:val="00CB613F"/>
    <w:rsid w:val="00CB6461"/>
    <w:rsid w:val="00CB6766"/>
    <w:rsid w:val="00CB6B51"/>
    <w:rsid w:val="00CB6F74"/>
    <w:rsid w:val="00CB73FE"/>
    <w:rsid w:val="00CB7520"/>
    <w:rsid w:val="00CB768E"/>
    <w:rsid w:val="00CB76BE"/>
    <w:rsid w:val="00CB7B69"/>
    <w:rsid w:val="00CB7F32"/>
    <w:rsid w:val="00CC0117"/>
    <w:rsid w:val="00CC01E8"/>
    <w:rsid w:val="00CC0223"/>
    <w:rsid w:val="00CC06E2"/>
    <w:rsid w:val="00CC09BA"/>
    <w:rsid w:val="00CC0A59"/>
    <w:rsid w:val="00CC0DE1"/>
    <w:rsid w:val="00CC0EAD"/>
    <w:rsid w:val="00CC1655"/>
    <w:rsid w:val="00CC1884"/>
    <w:rsid w:val="00CC197E"/>
    <w:rsid w:val="00CC1D82"/>
    <w:rsid w:val="00CC1EF7"/>
    <w:rsid w:val="00CC2047"/>
    <w:rsid w:val="00CC22A8"/>
    <w:rsid w:val="00CC22CA"/>
    <w:rsid w:val="00CC27E5"/>
    <w:rsid w:val="00CC2CB1"/>
    <w:rsid w:val="00CC33F0"/>
    <w:rsid w:val="00CC3482"/>
    <w:rsid w:val="00CC362A"/>
    <w:rsid w:val="00CC3AD0"/>
    <w:rsid w:val="00CC3F33"/>
    <w:rsid w:val="00CC3F5B"/>
    <w:rsid w:val="00CC4009"/>
    <w:rsid w:val="00CC43B8"/>
    <w:rsid w:val="00CC452D"/>
    <w:rsid w:val="00CC457E"/>
    <w:rsid w:val="00CC4C0B"/>
    <w:rsid w:val="00CC4D97"/>
    <w:rsid w:val="00CC54AD"/>
    <w:rsid w:val="00CC558C"/>
    <w:rsid w:val="00CC57C1"/>
    <w:rsid w:val="00CC59D2"/>
    <w:rsid w:val="00CC5BD6"/>
    <w:rsid w:val="00CC5BF9"/>
    <w:rsid w:val="00CC5C1B"/>
    <w:rsid w:val="00CC5F1A"/>
    <w:rsid w:val="00CC61D8"/>
    <w:rsid w:val="00CC660F"/>
    <w:rsid w:val="00CC6660"/>
    <w:rsid w:val="00CC6D44"/>
    <w:rsid w:val="00CC7164"/>
    <w:rsid w:val="00CC745C"/>
    <w:rsid w:val="00CC75A4"/>
    <w:rsid w:val="00CC7811"/>
    <w:rsid w:val="00CD041A"/>
    <w:rsid w:val="00CD0680"/>
    <w:rsid w:val="00CD0B85"/>
    <w:rsid w:val="00CD0CA5"/>
    <w:rsid w:val="00CD0FAA"/>
    <w:rsid w:val="00CD1833"/>
    <w:rsid w:val="00CD18CD"/>
    <w:rsid w:val="00CD1A35"/>
    <w:rsid w:val="00CD1E0D"/>
    <w:rsid w:val="00CD204F"/>
    <w:rsid w:val="00CD2119"/>
    <w:rsid w:val="00CD24D9"/>
    <w:rsid w:val="00CD25D9"/>
    <w:rsid w:val="00CD26C1"/>
    <w:rsid w:val="00CD2723"/>
    <w:rsid w:val="00CD2AEF"/>
    <w:rsid w:val="00CD2D35"/>
    <w:rsid w:val="00CD2FAC"/>
    <w:rsid w:val="00CD30A1"/>
    <w:rsid w:val="00CD3194"/>
    <w:rsid w:val="00CD3247"/>
    <w:rsid w:val="00CD3375"/>
    <w:rsid w:val="00CD347E"/>
    <w:rsid w:val="00CD399B"/>
    <w:rsid w:val="00CD3D34"/>
    <w:rsid w:val="00CD3E7A"/>
    <w:rsid w:val="00CD4344"/>
    <w:rsid w:val="00CD43C1"/>
    <w:rsid w:val="00CD4803"/>
    <w:rsid w:val="00CD4BE7"/>
    <w:rsid w:val="00CD4C36"/>
    <w:rsid w:val="00CD4E94"/>
    <w:rsid w:val="00CD5101"/>
    <w:rsid w:val="00CD51BC"/>
    <w:rsid w:val="00CD5378"/>
    <w:rsid w:val="00CD56A0"/>
    <w:rsid w:val="00CD6018"/>
    <w:rsid w:val="00CD604C"/>
    <w:rsid w:val="00CD6153"/>
    <w:rsid w:val="00CD619A"/>
    <w:rsid w:val="00CD62BD"/>
    <w:rsid w:val="00CD64D9"/>
    <w:rsid w:val="00CD657B"/>
    <w:rsid w:val="00CD66A0"/>
    <w:rsid w:val="00CD7170"/>
    <w:rsid w:val="00CD7556"/>
    <w:rsid w:val="00CD75F9"/>
    <w:rsid w:val="00CD77B3"/>
    <w:rsid w:val="00CD781A"/>
    <w:rsid w:val="00CD7AA7"/>
    <w:rsid w:val="00CD7AC2"/>
    <w:rsid w:val="00CE03B6"/>
    <w:rsid w:val="00CE042C"/>
    <w:rsid w:val="00CE052F"/>
    <w:rsid w:val="00CE09D9"/>
    <w:rsid w:val="00CE0BC5"/>
    <w:rsid w:val="00CE11C7"/>
    <w:rsid w:val="00CE154D"/>
    <w:rsid w:val="00CE198C"/>
    <w:rsid w:val="00CE1E9A"/>
    <w:rsid w:val="00CE2024"/>
    <w:rsid w:val="00CE206E"/>
    <w:rsid w:val="00CE215E"/>
    <w:rsid w:val="00CE24F8"/>
    <w:rsid w:val="00CE282A"/>
    <w:rsid w:val="00CE2A67"/>
    <w:rsid w:val="00CE2B46"/>
    <w:rsid w:val="00CE2D72"/>
    <w:rsid w:val="00CE3539"/>
    <w:rsid w:val="00CE3CE2"/>
    <w:rsid w:val="00CE413D"/>
    <w:rsid w:val="00CE41CF"/>
    <w:rsid w:val="00CE4734"/>
    <w:rsid w:val="00CE493E"/>
    <w:rsid w:val="00CE500F"/>
    <w:rsid w:val="00CE52E7"/>
    <w:rsid w:val="00CE566B"/>
    <w:rsid w:val="00CE5917"/>
    <w:rsid w:val="00CE5A57"/>
    <w:rsid w:val="00CE5C15"/>
    <w:rsid w:val="00CE5D9B"/>
    <w:rsid w:val="00CE5F26"/>
    <w:rsid w:val="00CE6503"/>
    <w:rsid w:val="00CE68A4"/>
    <w:rsid w:val="00CE6AE5"/>
    <w:rsid w:val="00CE6D81"/>
    <w:rsid w:val="00CE760C"/>
    <w:rsid w:val="00CE784A"/>
    <w:rsid w:val="00CE7914"/>
    <w:rsid w:val="00CE7BEE"/>
    <w:rsid w:val="00CE7D3D"/>
    <w:rsid w:val="00CF0277"/>
    <w:rsid w:val="00CF03F3"/>
    <w:rsid w:val="00CF043A"/>
    <w:rsid w:val="00CF0A68"/>
    <w:rsid w:val="00CF0B0D"/>
    <w:rsid w:val="00CF0B81"/>
    <w:rsid w:val="00CF100A"/>
    <w:rsid w:val="00CF1353"/>
    <w:rsid w:val="00CF1957"/>
    <w:rsid w:val="00CF1B18"/>
    <w:rsid w:val="00CF1C46"/>
    <w:rsid w:val="00CF20F4"/>
    <w:rsid w:val="00CF27E7"/>
    <w:rsid w:val="00CF280B"/>
    <w:rsid w:val="00CF2BFA"/>
    <w:rsid w:val="00CF2C2C"/>
    <w:rsid w:val="00CF2E60"/>
    <w:rsid w:val="00CF3002"/>
    <w:rsid w:val="00CF340F"/>
    <w:rsid w:val="00CF3746"/>
    <w:rsid w:val="00CF3ADA"/>
    <w:rsid w:val="00CF3C54"/>
    <w:rsid w:val="00CF3C94"/>
    <w:rsid w:val="00CF423E"/>
    <w:rsid w:val="00CF4859"/>
    <w:rsid w:val="00CF505A"/>
    <w:rsid w:val="00CF50E9"/>
    <w:rsid w:val="00CF531A"/>
    <w:rsid w:val="00CF5AFF"/>
    <w:rsid w:val="00CF5C14"/>
    <w:rsid w:val="00CF5D84"/>
    <w:rsid w:val="00CF6128"/>
    <w:rsid w:val="00CF643E"/>
    <w:rsid w:val="00CF646C"/>
    <w:rsid w:val="00CF6498"/>
    <w:rsid w:val="00CF6502"/>
    <w:rsid w:val="00CF654C"/>
    <w:rsid w:val="00CF69CC"/>
    <w:rsid w:val="00CF6F2B"/>
    <w:rsid w:val="00CF73E2"/>
    <w:rsid w:val="00CF7922"/>
    <w:rsid w:val="00CF7DC1"/>
    <w:rsid w:val="00CF7FD6"/>
    <w:rsid w:val="00D003DE"/>
    <w:rsid w:val="00D00653"/>
    <w:rsid w:val="00D007BD"/>
    <w:rsid w:val="00D008BD"/>
    <w:rsid w:val="00D00EC5"/>
    <w:rsid w:val="00D00FCC"/>
    <w:rsid w:val="00D013F2"/>
    <w:rsid w:val="00D015C3"/>
    <w:rsid w:val="00D0198E"/>
    <w:rsid w:val="00D019F6"/>
    <w:rsid w:val="00D01CDA"/>
    <w:rsid w:val="00D01FEB"/>
    <w:rsid w:val="00D02214"/>
    <w:rsid w:val="00D02240"/>
    <w:rsid w:val="00D022C8"/>
    <w:rsid w:val="00D02313"/>
    <w:rsid w:val="00D0240B"/>
    <w:rsid w:val="00D02736"/>
    <w:rsid w:val="00D02DE3"/>
    <w:rsid w:val="00D0303E"/>
    <w:rsid w:val="00D030A4"/>
    <w:rsid w:val="00D03196"/>
    <w:rsid w:val="00D031E9"/>
    <w:rsid w:val="00D0351C"/>
    <w:rsid w:val="00D035F8"/>
    <w:rsid w:val="00D03613"/>
    <w:rsid w:val="00D037A0"/>
    <w:rsid w:val="00D038E7"/>
    <w:rsid w:val="00D03D56"/>
    <w:rsid w:val="00D03E5D"/>
    <w:rsid w:val="00D047ED"/>
    <w:rsid w:val="00D049DE"/>
    <w:rsid w:val="00D04C06"/>
    <w:rsid w:val="00D04E34"/>
    <w:rsid w:val="00D04F6F"/>
    <w:rsid w:val="00D0501A"/>
    <w:rsid w:val="00D05677"/>
    <w:rsid w:val="00D05847"/>
    <w:rsid w:val="00D05934"/>
    <w:rsid w:val="00D05D18"/>
    <w:rsid w:val="00D05E9A"/>
    <w:rsid w:val="00D060CA"/>
    <w:rsid w:val="00D061FF"/>
    <w:rsid w:val="00D06502"/>
    <w:rsid w:val="00D068C8"/>
    <w:rsid w:val="00D06CB9"/>
    <w:rsid w:val="00D06D1D"/>
    <w:rsid w:val="00D06F0D"/>
    <w:rsid w:val="00D0744E"/>
    <w:rsid w:val="00D075BD"/>
    <w:rsid w:val="00D07835"/>
    <w:rsid w:val="00D0791C"/>
    <w:rsid w:val="00D079CA"/>
    <w:rsid w:val="00D07D68"/>
    <w:rsid w:val="00D07FBC"/>
    <w:rsid w:val="00D10237"/>
    <w:rsid w:val="00D104B9"/>
    <w:rsid w:val="00D104FC"/>
    <w:rsid w:val="00D1056F"/>
    <w:rsid w:val="00D10623"/>
    <w:rsid w:val="00D109DE"/>
    <w:rsid w:val="00D10DEA"/>
    <w:rsid w:val="00D11053"/>
    <w:rsid w:val="00D11074"/>
    <w:rsid w:val="00D11206"/>
    <w:rsid w:val="00D1132C"/>
    <w:rsid w:val="00D11368"/>
    <w:rsid w:val="00D117D3"/>
    <w:rsid w:val="00D119DC"/>
    <w:rsid w:val="00D11BE3"/>
    <w:rsid w:val="00D11C49"/>
    <w:rsid w:val="00D11FEF"/>
    <w:rsid w:val="00D121B6"/>
    <w:rsid w:val="00D12268"/>
    <w:rsid w:val="00D12427"/>
    <w:rsid w:val="00D124EA"/>
    <w:rsid w:val="00D12510"/>
    <w:rsid w:val="00D12BD4"/>
    <w:rsid w:val="00D12BE1"/>
    <w:rsid w:val="00D1350D"/>
    <w:rsid w:val="00D1354A"/>
    <w:rsid w:val="00D13615"/>
    <w:rsid w:val="00D13778"/>
    <w:rsid w:val="00D13A0F"/>
    <w:rsid w:val="00D141E6"/>
    <w:rsid w:val="00D14210"/>
    <w:rsid w:val="00D148DB"/>
    <w:rsid w:val="00D14A9C"/>
    <w:rsid w:val="00D14D3E"/>
    <w:rsid w:val="00D14DD7"/>
    <w:rsid w:val="00D14F91"/>
    <w:rsid w:val="00D14FFF"/>
    <w:rsid w:val="00D1537A"/>
    <w:rsid w:val="00D157BD"/>
    <w:rsid w:val="00D1586E"/>
    <w:rsid w:val="00D15B49"/>
    <w:rsid w:val="00D15D85"/>
    <w:rsid w:val="00D15E65"/>
    <w:rsid w:val="00D1607A"/>
    <w:rsid w:val="00D160E0"/>
    <w:rsid w:val="00D16217"/>
    <w:rsid w:val="00D162CC"/>
    <w:rsid w:val="00D166DB"/>
    <w:rsid w:val="00D166F5"/>
    <w:rsid w:val="00D170BC"/>
    <w:rsid w:val="00D17757"/>
    <w:rsid w:val="00D179E6"/>
    <w:rsid w:val="00D179EC"/>
    <w:rsid w:val="00D17B06"/>
    <w:rsid w:val="00D17C34"/>
    <w:rsid w:val="00D17E6E"/>
    <w:rsid w:val="00D17E93"/>
    <w:rsid w:val="00D2023C"/>
    <w:rsid w:val="00D20377"/>
    <w:rsid w:val="00D2053F"/>
    <w:rsid w:val="00D20577"/>
    <w:rsid w:val="00D20BAB"/>
    <w:rsid w:val="00D20C4B"/>
    <w:rsid w:val="00D20D5E"/>
    <w:rsid w:val="00D20ECD"/>
    <w:rsid w:val="00D2121D"/>
    <w:rsid w:val="00D21532"/>
    <w:rsid w:val="00D21671"/>
    <w:rsid w:val="00D2178C"/>
    <w:rsid w:val="00D21A1F"/>
    <w:rsid w:val="00D21DCE"/>
    <w:rsid w:val="00D220F5"/>
    <w:rsid w:val="00D222A1"/>
    <w:rsid w:val="00D22468"/>
    <w:rsid w:val="00D2264F"/>
    <w:rsid w:val="00D2291F"/>
    <w:rsid w:val="00D229C7"/>
    <w:rsid w:val="00D22CB7"/>
    <w:rsid w:val="00D23480"/>
    <w:rsid w:val="00D235C5"/>
    <w:rsid w:val="00D235D2"/>
    <w:rsid w:val="00D236A5"/>
    <w:rsid w:val="00D23746"/>
    <w:rsid w:val="00D23D89"/>
    <w:rsid w:val="00D23FAE"/>
    <w:rsid w:val="00D242DD"/>
    <w:rsid w:val="00D24407"/>
    <w:rsid w:val="00D24418"/>
    <w:rsid w:val="00D24576"/>
    <w:rsid w:val="00D24844"/>
    <w:rsid w:val="00D248A1"/>
    <w:rsid w:val="00D2490F"/>
    <w:rsid w:val="00D2497D"/>
    <w:rsid w:val="00D24B67"/>
    <w:rsid w:val="00D24C77"/>
    <w:rsid w:val="00D252A4"/>
    <w:rsid w:val="00D259C0"/>
    <w:rsid w:val="00D260DC"/>
    <w:rsid w:val="00D26468"/>
    <w:rsid w:val="00D26CC4"/>
    <w:rsid w:val="00D26F49"/>
    <w:rsid w:val="00D27207"/>
    <w:rsid w:val="00D2723C"/>
    <w:rsid w:val="00D2748F"/>
    <w:rsid w:val="00D2798A"/>
    <w:rsid w:val="00D27AD7"/>
    <w:rsid w:val="00D301DD"/>
    <w:rsid w:val="00D30234"/>
    <w:rsid w:val="00D30406"/>
    <w:rsid w:val="00D3045D"/>
    <w:rsid w:val="00D30684"/>
    <w:rsid w:val="00D30CF6"/>
    <w:rsid w:val="00D30D24"/>
    <w:rsid w:val="00D311A0"/>
    <w:rsid w:val="00D311C1"/>
    <w:rsid w:val="00D31433"/>
    <w:rsid w:val="00D3185A"/>
    <w:rsid w:val="00D31CED"/>
    <w:rsid w:val="00D31ED8"/>
    <w:rsid w:val="00D3237D"/>
    <w:rsid w:val="00D32517"/>
    <w:rsid w:val="00D32759"/>
    <w:rsid w:val="00D32C4E"/>
    <w:rsid w:val="00D32C75"/>
    <w:rsid w:val="00D33289"/>
    <w:rsid w:val="00D3332B"/>
    <w:rsid w:val="00D33429"/>
    <w:rsid w:val="00D334BA"/>
    <w:rsid w:val="00D335DF"/>
    <w:rsid w:val="00D336A9"/>
    <w:rsid w:val="00D339B5"/>
    <w:rsid w:val="00D33D66"/>
    <w:rsid w:val="00D33FEA"/>
    <w:rsid w:val="00D3402F"/>
    <w:rsid w:val="00D347A1"/>
    <w:rsid w:val="00D347D3"/>
    <w:rsid w:val="00D34B37"/>
    <w:rsid w:val="00D34BAF"/>
    <w:rsid w:val="00D34D38"/>
    <w:rsid w:val="00D34F98"/>
    <w:rsid w:val="00D35010"/>
    <w:rsid w:val="00D3526F"/>
    <w:rsid w:val="00D35270"/>
    <w:rsid w:val="00D3545E"/>
    <w:rsid w:val="00D35624"/>
    <w:rsid w:val="00D3618A"/>
    <w:rsid w:val="00D36238"/>
    <w:rsid w:val="00D364B7"/>
    <w:rsid w:val="00D364DE"/>
    <w:rsid w:val="00D364F4"/>
    <w:rsid w:val="00D36936"/>
    <w:rsid w:val="00D36B75"/>
    <w:rsid w:val="00D36E58"/>
    <w:rsid w:val="00D371EB"/>
    <w:rsid w:val="00D3753A"/>
    <w:rsid w:val="00D376BD"/>
    <w:rsid w:val="00D376C8"/>
    <w:rsid w:val="00D3772B"/>
    <w:rsid w:val="00D37744"/>
    <w:rsid w:val="00D3778F"/>
    <w:rsid w:val="00D37807"/>
    <w:rsid w:val="00D37F5F"/>
    <w:rsid w:val="00D37FF1"/>
    <w:rsid w:val="00D4019E"/>
    <w:rsid w:val="00D403AC"/>
    <w:rsid w:val="00D405D4"/>
    <w:rsid w:val="00D40D1A"/>
    <w:rsid w:val="00D412C5"/>
    <w:rsid w:val="00D4176E"/>
    <w:rsid w:val="00D41AD2"/>
    <w:rsid w:val="00D41F71"/>
    <w:rsid w:val="00D422E7"/>
    <w:rsid w:val="00D42333"/>
    <w:rsid w:val="00D428C9"/>
    <w:rsid w:val="00D42914"/>
    <w:rsid w:val="00D42A66"/>
    <w:rsid w:val="00D42C99"/>
    <w:rsid w:val="00D42E07"/>
    <w:rsid w:val="00D43089"/>
    <w:rsid w:val="00D43340"/>
    <w:rsid w:val="00D4374C"/>
    <w:rsid w:val="00D438EE"/>
    <w:rsid w:val="00D43C1F"/>
    <w:rsid w:val="00D43DE6"/>
    <w:rsid w:val="00D43E79"/>
    <w:rsid w:val="00D441D7"/>
    <w:rsid w:val="00D4423A"/>
    <w:rsid w:val="00D4441B"/>
    <w:rsid w:val="00D448F8"/>
    <w:rsid w:val="00D452E0"/>
    <w:rsid w:val="00D454A7"/>
    <w:rsid w:val="00D4554F"/>
    <w:rsid w:val="00D456C2"/>
    <w:rsid w:val="00D45AA1"/>
    <w:rsid w:val="00D45FBB"/>
    <w:rsid w:val="00D461C4"/>
    <w:rsid w:val="00D4640F"/>
    <w:rsid w:val="00D465E8"/>
    <w:rsid w:val="00D46688"/>
    <w:rsid w:val="00D46910"/>
    <w:rsid w:val="00D46AD7"/>
    <w:rsid w:val="00D46AF8"/>
    <w:rsid w:val="00D46DCA"/>
    <w:rsid w:val="00D46E13"/>
    <w:rsid w:val="00D46FD3"/>
    <w:rsid w:val="00D4714F"/>
    <w:rsid w:val="00D47757"/>
    <w:rsid w:val="00D4777C"/>
    <w:rsid w:val="00D477ED"/>
    <w:rsid w:val="00D47A5C"/>
    <w:rsid w:val="00D47CBB"/>
    <w:rsid w:val="00D47D24"/>
    <w:rsid w:val="00D47F9A"/>
    <w:rsid w:val="00D50123"/>
    <w:rsid w:val="00D505D6"/>
    <w:rsid w:val="00D509CC"/>
    <w:rsid w:val="00D50CF1"/>
    <w:rsid w:val="00D50D7E"/>
    <w:rsid w:val="00D50DB5"/>
    <w:rsid w:val="00D511F4"/>
    <w:rsid w:val="00D512CE"/>
    <w:rsid w:val="00D5149E"/>
    <w:rsid w:val="00D5158E"/>
    <w:rsid w:val="00D519F6"/>
    <w:rsid w:val="00D51A9C"/>
    <w:rsid w:val="00D51A9F"/>
    <w:rsid w:val="00D51C3D"/>
    <w:rsid w:val="00D51D09"/>
    <w:rsid w:val="00D5265E"/>
    <w:rsid w:val="00D526E4"/>
    <w:rsid w:val="00D52A25"/>
    <w:rsid w:val="00D52CD6"/>
    <w:rsid w:val="00D52D69"/>
    <w:rsid w:val="00D52E74"/>
    <w:rsid w:val="00D52F9B"/>
    <w:rsid w:val="00D5307A"/>
    <w:rsid w:val="00D53666"/>
    <w:rsid w:val="00D53922"/>
    <w:rsid w:val="00D5429F"/>
    <w:rsid w:val="00D542E6"/>
    <w:rsid w:val="00D544ED"/>
    <w:rsid w:val="00D545D2"/>
    <w:rsid w:val="00D547EE"/>
    <w:rsid w:val="00D5489B"/>
    <w:rsid w:val="00D54E7D"/>
    <w:rsid w:val="00D54E92"/>
    <w:rsid w:val="00D54EEF"/>
    <w:rsid w:val="00D55367"/>
    <w:rsid w:val="00D55444"/>
    <w:rsid w:val="00D5571D"/>
    <w:rsid w:val="00D55E49"/>
    <w:rsid w:val="00D55E64"/>
    <w:rsid w:val="00D560E2"/>
    <w:rsid w:val="00D5638A"/>
    <w:rsid w:val="00D56630"/>
    <w:rsid w:val="00D56B1E"/>
    <w:rsid w:val="00D56DCA"/>
    <w:rsid w:val="00D570EB"/>
    <w:rsid w:val="00D57212"/>
    <w:rsid w:val="00D5748A"/>
    <w:rsid w:val="00D57555"/>
    <w:rsid w:val="00D5798C"/>
    <w:rsid w:val="00D57E2D"/>
    <w:rsid w:val="00D6007C"/>
    <w:rsid w:val="00D60108"/>
    <w:rsid w:val="00D605F9"/>
    <w:rsid w:val="00D60D66"/>
    <w:rsid w:val="00D60FB7"/>
    <w:rsid w:val="00D61837"/>
    <w:rsid w:val="00D61F13"/>
    <w:rsid w:val="00D620B7"/>
    <w:rsid w:val="00D6214F"/>
    <w:rsid w:val="00D621FF"/>
    <w:rsid w:val="00D62A97"/>
    <w:rsid w:val="00D62ADF"/>
    <w:rsid w:val="00D639C1"/>
    <w:rsid w:val="00D63E10"/>
    <w:rsid w:val="00D63E2B"/>
    <w:rsid w:val="00D6415E"/>
    <w:rsid w:val="00D649BF"/>
    <w:rsid w:val="00D65005"/>
    <w:rsid w:val="00D65134"/>
    <w:rsid w:val="00D65262"/>
    <w:rsid w:val="00D656EE"/>
    <w:rsid w:val="00D66037"/>
    <w:rsid w:val="00D6604C"/>
    <w:rsid w:val="00D6611A"/>
    <w:rsid w:val="00D6654C"/>
    <w:rsid w:val="00D66831"/>
    <w:rsid w:val="00D66E0F"/>
    <w:rsid w:val="00D66F81"/>
    <w:rsid w:val="00D66FB9"/>
    <w:rsid w:val="00D66FDE"/>
    <w:rsid w:val="00D67195"/>
    <w:rsid w:val="00D67436"/>
    <w:rsid w:val="00D679BB"/>
    <w:rsid w:val="00D67B86"/>
    <w:rsid w:val="00D67BAC"/>
    <w:rsid w:val="00D67D60"/>
    <w:rsid w:val="00D67F1E"/>
    <w:rsid w:val="00D70292"/>
    <w:rsid w:val="00D70297"/>
    <w:rsid w:val="00D702B3"/>
    <w:rsid w:val="00D704A0"/>
    <w:rsid w:val="00D704AC"/>
    <w:rsid w:val="00D704F0"/>
    <w:rsid w:val="00D70673"/>
    <w:rsid w:val="00D70CF5"/>
    <w:rsid w:val="00D70DF0"/>
    <w:rsid w:val="00D71948"/>
    <w:rsid w:val="00D719B6"/>
    <w:rsid w:val="00D71A42"/>
    <w:rsid w:val="00D71B8D"/>
    <w:rsid w:val="00D71D51"/>
    <w:rsid w:val="00D71E2E"/>
    <w:rsid w:val="00D71ED3"/>
    <w:rsid w:val="00D71F97"/>
    <w:rsid w:val="00D720E7"/>
    <w:rsid w:val="00D7250C"/>
    <w:rsid w:val="00D727AD"/>
    <w:rsid w:val="00D72BFE"/>
    <w:rsid w:val="00D72EF8"/>
    <w:rsid w:val="00D736EE"/>
    <w:rsid w:val="00D73D50"/>
    <w:rsid w:val="00D73E04"/>
    <w:rsid w:val="00D74033"/>
    <w:rsid w:val="00D7423F"/>
    <w:rsid w:val="00D747A1"/>
    <w:rsid w:val="00D748E0"/>
    <w:rsid w:val="00D74963"/>
    <w:rsid w:val="00D74A09"/>
    <w:rsid w:val="00D74A70"/>
    <w:rsid w:val="00D74B04"/>
    <w:rsid w:val="00D74E9F"/>
    <w:rsid w:val="00D75131"/>
    <w:rsid w:val="00D751B3"/>
    <w:rsid w:val="00D75248"/>
    <w:rsid w:val="00D754B3"/>
    <w:rsid w:val="00D75920"/>
    <w:rsid w:val="00D75943"/>
    <w:rsid w:val="00D75B5E"/>
    <w:rsid w:val="00D75DB1"/>
    <w:rsid w:val="00D75E28"/>
    <w:rsid w:val="00D75EF3"/>
    <w:rsid w:val="00D760BB"/>
    <w:rsid w:val="00D7617B"/>
    <w:rsid w:val="00D76B35"/>
    <w:rsid w:val="00D76FD7"/>
    <w:rsid w:val="00D771A4"/>
    <w:rsid w:val="00D772CC"/>
    <w:rsid w:val="00D7742C"/>
    <w:rsid w:val="00D77459"/>
    <w:rsid w:val="00D77B05"/>
    <w:rsid w:val="00D77E15"/>
    <w:rsid w:val="00D80048"/>
    <w:rsid w:val="00D802EB"/>
    <w:rsid w:val="00D8045A"/>
    <w:rsid w:val="00D805CF"/>
    <w:rsid w:val="00D806E0"/>
    <w:rsid w:val="00D80903"/>
    <w:rsid w:val="00D80985"/>
    <w:rsid w:val="00D81026"/>
    <w:rsid w:val="00D81179"/>
    <w:rsid w:val="00D812BC"/>
    <w:rsid w:val="00D814F0"/>
    <w:rsid w:val="00D816C3"/>
    <w:rsid w:val="00D81AD5"/>
    <w:rsid w:val="00D81D54"/>
    <w:rsid w:val="00D81F16"/>
    <w:rsid w:val="00D820C4"/>
    <w:rsid w:val="00D8263D"/>
    <w:rsid w:val="00D82ACD"/>
    <w:rsid w:val="00D82C40"/>
    <w:rsid w:val="00D82CB1"/>
    <w:rsid w:val="00D82E22"/>
    <w:rsid w:val="00D8323D"/>
    <w:rsid w:val="00D83350"/>
    <w:rsid w:val="00D835E5"/>
    <w:rsid w:val="00D83930"/>
    <w:rsid w:val="00D839AC"/>
    <w:rsid w:val="00D83A6F"/>
    <w:rsid w:val="00D83D5E"/>
    <w:rsid w:val="00D840A6"/>
    <w:rsid w:val="00D84C43"/>
    <w:rsid w:val="00D84DBC"/>
    <w:rsid w:val="00D84FE0"/>
    <w:rsid w:val="00D850A5"/>
    <w:rsid w:val="00D851E7"/>
    <w:rsid w:val="00D85272"/>
    <w:rsid w:val="00D8544F"/>
    <w:rsid w:val="00D85608"/>
    <w:rsid w:val="00D857D0"/>
    <w:rsid w:val="00D85C1E"/>
    <w:rsid w:val="00D85DFF"/>
    <w:rsid w:val="00D85E0D"/>
    <w:rsid w:val="00D8629A"/>
    <w:rsid w:val="00D863B9"/>
    <w:rsid w:val="00D866C2"/>
    <w:rsid w:val="00D867C4"/>
    <w:rsid w:val="00D86CB4"/>
    <w:rsid w:val="00D86EAB"/>
    <w:rsid w:val="00D86FF8"/>
    <w:rsid w:val="00D87422"/>
    <w:rsid w:val="00D87429"/>
    <w:rsid w:val="00D874BF"/>
    <w:rsid w:val="00D876AB"/>
    <w:rsid w:val="00D87D4F"/>
    <w:rsid w:val="00D9006A"/>
    <w:rsid w:val="00D90371"/>
    <w:rsid w:val="00D90598"/>
    <w:rsid w:val="00D9076C"/>
    <w:rsid w:val="00D90876"/>
    <w:rsid w:val="00D90A26"/>
    <w:rsid w:val="00D90BC4"/>
    <w:rsid w:val="00D90CA0"/>
    <w:rsid w:val="00D90D2E"/>
    <w:rsid w:val="00D912E7"/>
    <w:rsid w:val="00D91675"/>
    <w:rsid w:val="00D918EC"/>
    <w:rsid w:val="00D91B53"/>
    <w:rsid w:val="00D91C66"/>
    <w:rsid w:val="00D91C97"/>
    <w:rsid w:val="00D91DBF"/>
    <w:rsid w:val="00D920EB"/>
    <w:rsid w:val="00D922A8"/>
    <w:rsid w:val="00D92333"/>
    <w:rsid w:val="00D924BD"/>
    <w:rsid w:val="00D924FB"/>
    <w:rsid w:val="00D92552"/>
    <w:rsid w:val="00D92590"/>
    <w:rsid w:val="00D92854"/>
    <w:rsid w:val="00D92D56"/>
    <w:rsid w:val="00D92DDC"/>
    <w:rsid w:val="00D92F80"/>
    <w:rsid w:val="00D93108"/>
    <w:rsid w:val="00D932F3"/>
    <w:rsid w:val="00D934B1"/>
    <w:rsid w:val="00D9354D"/>
    <w:rsid w:val="00D93657"/>
    <w:rsid w:val="00D936D9"/>
    <w:rsid w:val="00D93943"/>
    <w:rsid w:val="00D93961"/>
    <w:rsid w:val="00D940DB"/>
    <w:rsid w:val="00D94462"/>
    <w:rsid w:val="00D9461C"/>
    <w:rsid w:val="00D94764"/>
    <w:rsid w:val="00D94B44"/>
    <w:rsid w:val="00D94C74"/>
    <w:rsid w:val="00D94D03"/>
    <w:rsid w:val="00D94D19"/>
    <w:rsid w:val="00D94D49"/>
    <w:rsid w:val="00D94FCE"/>
    <w:rsid w:val="00D951FE"/>
    <w:rsid w:val="00D952F7"/>
    <w:rsid w:val="00D95477"/>
    <w:rsid w:val="00D957AB"/>
    <w:rsid w:val="00D958ED"/>
    <w:rsid w:val="00D959C4"/>
    <w:rsid w:val="00D95A2F"/>
    <w:rsid w:val="00D95A69"/>
    <w:rsid w:val="00D95AD0"/>
    <w:rsid w:val="00D95C9C"/>
    <w:rsid w:val="00D95FBF"/>
    <w:rsid w:val="00D964E5"/>
    <w:rsid w:val="00D96518"/>
    <w:rsid w:val="00D96E5D"/>
    <w:rsid w:val="00D96FD9"/>
    <w:rsid w:val="00D970D3"/>
    <w:rsid w:val="00D9711F"/>
    <w:rsid w:val="00D9732A"/>
    <w:rsid w:val="00D9735B"/>
    <w:rsid w:val="00D975CD"/>
    <w:rsid w:val="00D97638"/>
    <w:rsid w:val="00D976D3"/>
    <w:rsid w:val="00D978BF"/>
    <w:rsid w:val="00D978C6"/>
    <w:rsid w:val="00D97A15"/>
    <w:rsid w:val="00D97DEF"/>
    <w:rsid w:val="00D97FC9"/>
    <w:rsid w:val="00DA008D"/>
    <w:rsid w:val="00DA04E7"/>
    <w:rsid w:val="00DA05A3"/>
    <w:rsid w:val="00DA0662"/>
    <w:rsid w:val="00DA07F7"/>
    <w:rsid w:val="00DA087F"/>
    <w:rsid w:val="00DA0D94"/>
    <w:rsid w:val="00DA10B3"/>
    <w:rsid w:val="00DA1220"/>
    <w:rsid w:val="00DA1327"/>
    <w:rsid w:val="00DA1760"/>
    <w:rsid w:val="00DA1966"/>
    <w:rsid w:val="00DA1A21"/>
    <w:rsid w:val="00DA1CBC"/>
    <w:rsid w:val="00DA1E65"/>
    <w:rsid w:val="00DA1EBD"/>
    <w:rsid w:val="00DA1EE4"/>
    <w:rsid w:val="00DA1FD5"/>
    <w:rsid w:val="00DA232F"/>
    <w:rsid w:val="00DA23D9"/>
    <w:rsid w:val="00DA24FF"/>
    <w:rsid w:val="00DA271F"/>
    <w:rsid w:val="00DA2AFE"/>
    <w:rsid w:val="00DA2BF5"/>
    <w:rsid w:val="00DA2D2A"/>
    <w:rsid w:val="00DA2EA3"/>
    <w:rsid w:val="00DA2ECA"/>
    <w:rsid w:val="00DA35E4"/>
    <w:rsid w:val="00DA37E8"/>
    <w:rsid w:val="00DA3820"/>
    <w:rsid w:val="00DA39B4"/>
    <w:rsid w:val="00DA3A0C"/>
    <w:rsid w:val="00DA3AA9"/>
    <w:rsid w:val="00DA3E4E"/>
    <w:rsid w:val="00DA3FAD"/>
    <w:rsid w:val="00DA45BB"/>
    <w:rsid w:val="00DA46F5"/>
    <w:rsid w:val="00DA4B60"/>
    <w:rsid w:val="00DA4C1F"/>
    <w:rsid w:val="00DA4C3B"/>
    <w:rsid w:val="00DA50C7"/>
    <w:rsid w:val="00DA512E"/>
    <w:rsid w:val="00DA514D"/>
    <w:rsid w:val="00DA5998"/>
    <w:rsid w:val="00DA5B50"/>
    <w:rsid w:val="00DA5DBF"/>
    <w:rsid w:val="00DA6167"/>
    <w:rsid w:val="00DA64FD"/>
    <w:rsid w:val="00DA6726"/>
    <w:rsid w:val="00DA67AE"/>
    <w:rsid w:val="00DA68CF"/>
    <w:rsid w:val="00DA6C54"/>
    <w:rsid w:val="00DA7045"/>
    <w:rsid w:val="00DA7087"/>
    <w:rsid w:val="00DA71D1"/>
    <w:rsid w:val="00DA77B8"/>
    <w:rsid w:val="00DA7866"/>
    <w:rsid w:val="00DA78A9"/>
    <w:rsid w:val="00DA7D25"/>
    <w:rsid w:val="00DA7E74"/>
    <w:rsid w:val="00DB012E"/>
    <w:rsid w:val="00DB0A5F"/>
    <w:rsid w:val="00DB0AD3"/>
    <w:rsid w:val="00DB0E4A"/>
    <w:rsid w:val="00DB12CB"/>
    <w:rsid w:val="00DB14CE"/>
    <w:rsid w:val="00DB1693"/>
    <w:rsid w:val="00DB1BC6"/>
    <w:rsid w:val="00DB1DDF"/>
    <w:rsid w:val="00DB1F71"/>
    <w:rsid w:val="00DB2035"/>
    <w:rsid w:val="00DB23DD"/>
    <w:rsid w:val="00DB298D"/>
    <w:rsid w:val="00DB2AF7"/>
    <w:rsid w:val="00DB2B1F"/>
    <w:rsid w:val="00DB2B2C"/>
    <w:rsid w:val="00DB2B3C"/>
    <w:rsid w:val="00DB3192"/>
    <w:rsid w:val="00DB31B5"/>
    <w:rsid w:val="00DB3295"/>
    <w:rsid w:val="00DB3348"/>
    <w:rsid w:val="00DB33F5"/>
    <w:rsid w:val="00DB341F"/>
    <w:rsid w:val="00DB375E"/>
    <w:rsid w:val="00DB3878"/>
    <w:rsid w:val="00DB3B04"/>
    <w:rsid w:val="00DB3BD7"/>
    <w:rsid w:val="00DB3D0B"/>
    <w:rsid w:val="00DB40CE"/>
    <w:rsid w:val="00DB41C0"/>
    <w:rsid w:val="00DB43E7"/>
    <w:rsid w:val="00DB494E"/>
    <w:rsid w:val="00DB4AE4"/>
    <w:rsid w:val="00DB4B4C"/>
    <w:rsid w:val="00DB4BBD"/>
    <w:rsid w:val="00DB5608"/>
    <w:rsid w:val="00DB5A4E"/>
    <w:rsid w:val="00DB5C71"/>
    <w:rsid w:val="00DB5DD4"/>
    <w:rsid w:val="00DB6A0B"/>
    <w:rsid w:val="00DB6D5F"/>
    <w:rsid w:val="00DB7299"/>
    <w:rsid w:val="00DB7349"/>
    <w:rsid w:val="00DB7664"/>
    <w:rsid w:val="00DB795F"/>
    <w:rsid w:val="00DB7F18"/>
    <w:rsid w:val="00DB7FE7"/>
    <w:rsid w:val="00DC16BA"/>
    <w:rsid w:val="00DC1807"/>
    <w:rsid w:val="00DC1A99"/>
    <w:rsid w:val="00DC1D87"/>
    <w:rsid w:val="00DC234F"/>
    <w:rsid w:val="00DC2463"/>
    <w:rsid w:val="00DC2D56"/>
    <w:rsid w:val="00DC2E60"/>
    <w:rsid w:val="00DC2E6E"/>
    <w:rsid w:val="00DC2F52"/>
    <w:rsid w:val="00DC3929"/>
    <w:rsid w:val="00DC466F"/>
    <w:rsid w:val="00DC4760"/>
    <w:rsid w:val="00DC4E15"/>
    <w:rsid w:val="00DC5244"/>
    <w:rsid w:val="00DC5453"/>
    <w:rsid w:val="00DC5DF6"/>
    <w:rsid w:val="00DC66B5"/>
    <w:rsid w:val="00DC6BC1"/>
    <w:rsid w:val="00DC6CE3"/>
    <w:rsid w:val="00DC6E8E"/>
    <w:rsid w:val="00DC7176"/>
    <w:rsid w:val="00DC740F"/>
    <w:rsid w:val="00DC7539"/>
    <w:rsid w:val="00DC7907"/>
    <w:rsid w:val="00DC790E"/>
    <w:rsid w:val="00DC7996"/>
    <w:rsid w:val="00DC7D1E"/>
    <w:rsid w:val="00DD0353"/>
    <w:rsid w:val="00DD067D"/>
    <w:rsid w:val="00DD1168"/>
    <w:rsid w:val="00DD1921"/>
    <w:rsid w:val="00DD1949"/>
    <w:rsid w:val="00DD1C92"/>
    <w:rsid w:val="00DD221D"/>
    <w:rsid w:val="00DD2397"/>
    <w:rsid w:val="00DD2458"/>
    <w:rsid w:val="00DD265F"/>
    <w:rsid w:val="00DD2720"/>
    <w:rsid w:val="00DD278C"/>
    <w:rsid w:val="00DD282D"/>
    <w:rsid w:val="00DD2991"/>
    <w:rsid w:val="00DD2AF8"/>
    <w:rsid w:val="00DD30E9"/>
    <w:rsid w:val="00DD3182"/>
    <w:rsid w:val="00DD334E"/>
    <w:rsid w:val="00DD34CA"/>
    <w:rsid w:val="00DD36AE"/>
    <w:rsid w:val="00DD383B"/>
    <w:rsid w:val="00DD3980"/>
    <w:rsid w:val="00DD3BB3"/>
    <w:rsid w:val="00DD3EC4"/>
    <w:rsid w:val="00DD41A3"/>
    <w:rsid w:val="00DD42A3"/>
    <w:rsid w:val="00DD43DC"/>
    <w:rsid w:val="00DD447D"/>
    <w:rsid w:val="00DD4682"/>
    <w:rsid w:val="00DD4749"/>
    <w:rsid w:val="00DD4AD3"/>
    <w:rsid w:val="00DD4D68"/>
    <w:rsid w:val="00DD4DE1"/>
    <w:rsid w:val="00DD515A"/>
    <w:rsid w:val="00DD5268"/>
    <w:rsid w:val="00DD5934"/>
    <w:rsid w:val="00DD5B1C"/>
    <w:rsid w:val="00DD6798"/>
    <w:rsid w:val="00DD691F"/>
    <w:rsid w:val="00DD70AA"/>
    <w:rsid w:val="00DD7313"/>
    <w:rsid w:val="00DD7389"/>
    <w:rsid w:val="00DD73BE"/>
    <w:rsid w:val="00DD77E7"/>
    <w:rsid w:val="00DD7894"/>
    <w:rsid w:val="00DD7924"/>
    <w:rsid w:val="00DE0726"/>
    <w:rsid w:val="00DE0821"/>
    <w:rsid w:val="00DE0872"/>
    <w:rsid w:val="00DE10A3"/>
    <w:rsid w:val="00DE1243"/>
    <w:rsid w:val="00DE1345"/>
    <w:rsid w:val="00DE1599"/>
    <w:rsid w:val="00DE17AD"/>
    <w:rsid w:val="00DE1A64"/>
    <w:rsid w:val="00DE1AC4"/>
    <w:rsid w:val="00DE1B7F"/>
    <w:rsid w:val="00DE2799"/>
    <w:rsid w:val="00DE2BE5"/>
    <w:rsid w:val="00DE2CE8"/>
    <w:rsid w:val="00DE2EC0"/>
    <w:rsid w:val="00DE2F42"/>
    <w:rsid w:val="00DE3405"/>
    <w:rsid w:val="00DE34E8"/>
    <w:rsid w:val="00DE36B8"/>
    <w:rsid w:val="00DE3758"/>
    <w:rsid w:val="00DE39E1"/>
    <w:rsid w:val="00DE39FE"/>
    <w:rsid w:val="00DE3C1B"/>
    <w:rsid w:val="00DE3D39"/>
    <w:rsid w:val="00DE44E9"/>
    <w:rsid w:val="00DE480B"/>
    <w:rsid w:val="00DE483B"/>
    <w:rsid w:val="00DE48AC"/>
    <w:rsid w:val="00DE499D"/>
    <w:rsid w:val="00DE49F2"/>
    <w:rsid w:val="00DE4B3B"/>
    <w:rsid w:val="00DE4C86"/>
    <w:rsid w:val="00DE5324"/>
    <w:rsid w:val="00DE5332"/>
    <w:rsid w:val="00DE5474"/>
    <w:rsid w:val="00DE56DF"/>
    <w:rsid w:val="00DE56FB"/>
    <w:rsid w:val="00DE57A9"/>
    <w:rsid w:val="00DE598E"/>
    <w:rsid w:val="00DE5C87"/>
    <w:rsid w:val="00DE5EE5"/>
    <w:rsid w:val="00DE5F29"/>
    <w:rsid w:val="00DE648E"/>
    <w:rsid w:val="00DE6575"/>
    <w:rsid w:val="00DE65CD"/>
    <w:rsid w:val="00DE6A9E"/>
    <w:rsid w:val="00DE6DE5"/>
    <w:rsid w:val="00DE6F7F"/>
    <w:rsid w:val="00DE75C6"/>
    <w:rsid w:val="00DE788C"/>
    <w:rsid w:val="00DE7B4D"/>
    <w:rsid w:val="00DE7F6C"/>
    <w:rsid w:val="00DE7FAD"/>
    <w:rsid w:val="00DF0028"/>
    <w:rsid w:val="00DF01D0"/>
    <w:rsid w:val="00DF049C"/>
    <w:rsid w:val="00DF0645"/>
    <w:rsid w:val="00DF06D4"/>
    <w:rsid w:val="00DF0750"/>
    <w:rsid w:val="00DF0DDF"/>
    <w:rsid w:val="00DF0EEA"/>
    <w:rsid w:val="00DF100F"/>
    <w:rsid w:val="00DF11EF"/>
    <w:rsid w:val="00DF1587"/>
    <w:rsid w:val="00DF17F3"/>
    <w:rsid w:val="00DF1A4F"/>
    <w:rsid w:val="00DF23EF"/>
    <w:rsid w:val="00DF249D"/>
    <w:rsid w:val="00DF2768"/>
    <w:rsid w:val="00DF2AEA"/>
    <w:rsid w:val="00DF30AC"/>
    <w:rsid w:val="00DF320C"/>
    <w:rsid w:val="00DF343F"/>
    <w:rsid w:val="00DF3556"/>
    <w:rsid w:val="00DF3C8D"/>
    <w:rsid w:val="00DF3CE0"/>
    <w:rsid w:val="00DF3D72"/>
    <w:rsid w:val="00DF4030"/>
    <w:rsid w:val="00DF406C"/>
    <w:rsid w:val="00DF410F"/>
    <w:rsid w:val="00DF41B2"/>
    <w:rsid w:val="00DF42C6"/>
    <w:rsid w:val="00DF43B1"/>
    <w:rsid w:val="00DF44B7"/>
    <w:rsid w:val="00DF48A3"/>
    <w:rsid w:val="00DF4B42"/>
    <w:rsid w:val="00DF4CAC"/>
    <w:rsid w:val="00DF4D9B"/>
    <w:rsid w:val="00DF5212"/>
    <w:rsid w:val="00DF53B7"/>
    <w:rsid w:val="00DF53E5"/>
    <w:rsid w:val="00DF5793"/>
    <w:rsid w:val="00DF5B1B"/>
    <w:rsid w:val="00DF5D15"/>
    <w:rsid w:val="00DF5E5A"/>
    <w:rsid w:val="00DF6A82"/>
    <w:rsid w:val="00DF6D5A"/>
    <w:rsid w:val="00DF70B3"/>
    <w:rsid w:val="00DF70CC"/>
    <w:rsid w:val="00DF72D9"/>
    <w:rsid w:val="00DF7339"/>
    <w:rsid w:val="00DF75AA"/>
    <w:rsid w:val="00DF762D"/>
    <w:rsid w:val="00DF7AC0"/>
    <w:rsid w:val="00E002F0"/>
    <w:rsid w:val="00E00493"/>
    <w:rsid w:val="00E00764"/>
    <w:rsid w:val="00E00CF7"/>
    <w:rsid w:val="00E00D25"/>
    <w:rsid w:val="00E011D7"/>
    <w:rsid w:val="00E01B03"/>
    <w:rsid w:val="00E01B86"/>
    <w:rsid w:val="00E01C7F"/>
    <w:rsid w:val="00E01E0A"/>
    <w:rsid w:val="00E023E3"/>
    <w:rsid w:val="00E02941"/>
    <w:rsid w:val="00E02A82"/>
    <w:rsid w:val="00E02AF6"/>
    <w:rsid w:val="00E02DCB"/>
    <w:rsid w:val="00E031E1"/>
    <w:rsid w:val="00E03346"/>
    <w:rsid w:val="00E03732"/>
    <w:rsid w:val="00E037CE"/>
    <w:rsid w:val="00E03AB8"/>
    <w:rsid w:val="00E03C9F"/>
    <w:rsid w:val="00E03DB6"/>
    <w:rsid w:val="00E03E42"/>
    <w:rsid w:val="00E03EAB"/>
    <w:rsid w:val="00E04007"/>
    <w:rsid w:val="00E040BD"/>
    <w:rsid w:val="00E043AB"/>
    <w:rsid w:val="00E043BC"/>
    <w:rsid w:val="00E04539"/>
    <w:rsid w:val="00E047DB"/>
    <w:rsid w:val="00E047F1"/>
    <w:rsid w:val="00E049A1"/>
    <w:rsid w:val="00E04EF5"/>
    <w:rsid w:val="00E050CF"/>
    <w:rsid w:val="00E05186"/>
    <w:rsid w:val="00E051C5"/>
    <w:rsid w:val="00E053C1"/>
    <w:rsid w:val="00E05BBB"/>
    <w:rsid w:val="00E06073"/>
    <w:rsid w:val="00E061DF"/>
    <w:rsid w:val="00E06631"/>
    <w:rsid w:val="00E06B56"/>
    <w:rsid w:val="00E07242"/>
    <w:rsid w:val="00E072AD"/>
    <w:rsid w:val="00E0734F"/>
    <w:rsid w:val="00E07603"/>
    <w:rsid w:val="00E0760E"/>
    <w:rsid w:val="00E07B11"/>
    <w:rsid w:val="00E07B3B"/>
    <w:rsid w:val="00E07C94"/>
    <w:rsid w:val="00E07E7E"/>
    <w:rsid w:val="00E07FC0"/>
    <w:rsid w:val="00E10214"/>
    <w:rsid w:val="00E1087D"/>
    <w:rsid w:val="00E10B76"/>
    <w:rsid w:val="00E10C75"/>
    <w:rsid w:val="00E10F1B"/>
    <w:rsid w:val="00E114E0"/>
    <w:rsid w:val="00E116AA"/>
    <w:rsid w:val="00E1180E"/>
    <w:rsid w:val="00E11A52"/>
    <w:rsid w:val="00E11B8C"/>
    <w:rsid w:val="00E11DF0"/>
    <w:rsid w:val="00E11F8E"/>
    <w:rsid w:val="00E12362"/>
    <w:rsid w:val="00E12692"/>
    <w:rsid w:val="00E129A0"/>
    <w:rsid w:val="00E13052"/>
    <w:rsid w:val="00E1375C"/>
    <w:rsid w:val="00E13A9D"/>
    <w:rsid w:val="00E13CE1"/>
    <w:rsid w:val="00E13DEF"/>
    <w:rsid w:val="00E141D8"/>
    <w:rsid w:val="00E141DC"/>
    <w:rsid w:val="00E14483"/>
    <w:rsid w:val="00E146C5"/>
    <w:rsid w:val="00E14A03"/>
    <w:rsid w:val="00E14E63"/>
    <w:rsid w:val="00E14FB3"/>
    <w:rsid w:val="00E1553A"/>
    <w:rsid w:val="00E1558E"/>
    <w:rsid w:val="00E157B1"/>
    <w:rsid w:val="00E157BA"/>
    <w:rsid w:val="00E15917"/>
    <w:rsid w:val="00E166EC"/>
    <w:rsid w:val="00E168BA"/>
    <w:rsid w:val="00E168E6"/>
    <w:rsid w:val="00E16BE4"/>
    <w:rsid w:val="00E16D46"/>
    <w:rsid w:val="00E16FF9"/>
    <w:rsid w:val="00E171AC"/>
    <w:rsid w:val="00E17447"/>
    <w:rsid w:val="00E1762F"/>
    <w:rsid w:val="00E1776A"/>
    <w:rsid w:val="00E177A2"/>
    <w:rsid w:val="00E1781B"/>
    <w:rsid w:val="00E17911"/>
    <w:rsid w:val="00E17ADF"/>
    <w:rsid w:val="00E17B72"/>
    <w:rsid w:val="00E17CCB"/>
    <w:rsid w:val="00E17EF8"/>
    <w:rsid w:val="00E17F5C"/>
    <w:rsid w:val="00E17F5D"/>
    <w:rsid w:val="00E20114"/>
    <w:rsid w:val="00E2017B"/>
    <w:rsid w:val="00E204BF"/>
    <w:rsid w:val="00E20717"/>
    <w:rsid w:val="00E20744"/>
    <w:rsid w:val="00E20B4E"/>
    <w:rsid w:val="00E20BDF"/>
    <w:rsid w:val="00E20BEC"/>
    <w:rsid w:val="00E20DA9"/>
    <w:rsid w:val="00E211C8"/>
    <w:rsid w:val="00E213B3"/>
    <w:rsid w:val="00E2162F"/>
    <w:rsid w:val="00E21886"/>
    <w:rsid w:val="00E219CB"/>
    <w:rsid w:val="00E2216A"/>
    <w:rsid w:val="00E221BD"/>
    <w:rsid w:val="00E22758"/>
    <w:rsid w:val="00E22799"/>
    <w:rsid w:val="00E22FF5"/>
    <w:rsid w:val="00E2309B"/>
    <w:rsid w:val="00E2318D"/>
    <w:rsid w:val="00E235BF"/>
    <w:rsid w:val="00E237EF"/>
    <w:rsid w:val="00E23AF5"/>
    <w:rsid w:val="00E23CEC"/>
    <w:rsid w:val="00E23DE2"/>
    <w:rsid w:val="00E23E4D"/>
    <w:rsid w:val="00E23E9F"/>
    <w:rsid w:val="00E23F2F"/>
    <w:rsid w:val="00E240AB"/>
    <w:rsid w:val="00E2433D"/>
    <w:rsid w:val="00E243E1"/>
    <w:rsid w:val="00E2448D"/>
    <w:rsid w:val="00E25066"/>
    <w:rsid w:val="00E252C1"/>
    <w:rsid w:val="00E25964"/>
    <w:rsid w:val="00E26735"/>
    <w:rsid w:val="00E26F63"/>
    <w:rsid w:val="00E2719F"/>
    <w:rsid w:val="00E273CC"/>
    <w:rsid w:val="00E27510"/>
    <w:rsid w:val="00E27A9E"/>
    <w:rsid w:val="00E27AFD"/>
    <w:rsid w:val="00E27FCD"/>
    <w:rsid w:val="00E302C8"/>
    <w:rsid w:val="00E307D6"/>
    <w:rsid w:val="00E310FA"/>
    <w:rsid w:val="00E315CE"/>
    <w:rsid w:val="00E3175C"/>
    <w:rsid w:val="00E3196E"/>
    <w:rsid w:val="00E31D2C"/>
    <w:rsid w:val="00E31D97"/>
    <w:rsid w:val="00E3290F"/>
    <w:rsid w:val="00E32A39"/>
    <w:rsid w:val="00E32C67"/>
    <w:rsid w:val="00E32D0D"/>
    <w:rsid w:val="00E332F6"/>
    <w:rsid w:val="00E333F1"/>
    <w:rsid w:val="00E335E2"/>
    <w:rsid w:val="00E33901"/>
    <w:rsid w:val="00E340F0"/>
    <w:rsid w:val="00E34412"/>
    <w:rsid w:val="00E345C1"/>
    <w:rsid w:val="00E34DC1"/>
    <w:rsid w:val="00E34E2A"/>
    <w:rsid w:val="00E35312"/>
    <w:rsid w:val="00E354DE"/>
    <w:rsid w:val="00E3565E"/>
    <w:rsid w:val="00E35674"/>
    <w:rsid w:val="00E359A4"/>
    <w:rsid w:val="00E35A21"/>
    <w:rsid w:val="00E35FBE"/>
    <w:rsid w:val="00E360B1"/>
    <w:rsid w:val="00E360E5"/>
    <w:rsid w:val="00E36391"/>
    <w:rsid w:val="00E36855"/>
    <w:rsid w:val="00E36F7F"/>
    <w:rsid w:val="00E37001"/>
    <w:rsid w:val="00E3781C"/>
    <w:rsid w:val="00E37A8B"/>
    <w:rsid w:val="00E40420"/>
    <w:rsid w:val="00E40529"/>
    <w:rsid w:val="00E407EC"/>
    <w:rsid w:val="00E409F6"/>
    <w:rsid w:val="00E40E41"/>
    <w:rsid w:val="00E40EEB"/>
    <w:rsid w:val="00E41018"/>
    <w:rsid w:val="00E41337"/>
    <w:rsid w:val="00E4152F"/>
    <w:rsid w:val="00E4187D"/>
    <w:rsid w:val="00E41B82"/>
    <w:rsid w:val="00E41F11"/>
    <w:rsid w:val="00E42104"/>
    <w:rsid w:val="00E4214B"/>
    <w:rsid w:val="00E425F2"/>
    <w:rsid w:val="00E426F5"/>
    <w:rsid w:val="00E4309E"/>
    <w:rsid w:val="00E43185"/>
    <w:rsid w:val="00E43294"/>
    <w:rsid w:val="00E43670"/>
    <w:rsid w:val="00E43675"/>
    <w:rsid w:val="00E440AB"/>
    <w:rsid w:val="00E443EA"/>
    <w:rsid w:val="00E444B1"/>
    <w:rsid w:val="00E4473B"/>
    <w:rsid w:val="00E4473F"/>
    <w:rsid w:val="00E447AE"/>
    <w:rsid w:val="00E448C4"/>
    <w:rsid w:val="00E448FD"/>
    <w:rsid w:val="00E449C8"/>
    <w:rsid w:val="00E44BC7"/>
    <w:rsid w:val="00E44C34"/>
    <w:rsid w:val="00E44F80"/>
    <w:rsid w:val="00E45008"/>
    <w:rsid w:val="00E45215"/>
    <w:rsid w:val="00E457C3"/>
    <w:rsid w:val="00E4587D"/>
    <w:rsid w:val="00E458F6"/>
    <w:rsid w:val="00E45FA8"/>
    <w:rsid w:val="00E45FEE"/>
    <w:rsid w:val="00E46254"/>
    <w:rsid w:val="00E463F4"/>
    <w:rsid w:val="00E46729"/>
    <w:rsid w:val="00E4673B"/>
    <w:rsid w:val="00E46799"/>
    <w:rsid w:val="00E467F1"/>
    <w:rsid w:val="00E46C34"/>
    <w:rsid w:val="00E4703B"/>
    <w:rsid w:val="00E47279"/>
    <w:rsid w:val="00E472C7"/>
    <w:rsid w:val="00E4791F"/>
    <w:rsid w:val="00E47968"/>
    <w:rsid w:val="00E47993"/>
    <w:rsid w:val="00E47D00"/>
    <w:rsid w:val="00E47E28"/>
    <w:rsid w:val="00E47F7C"/>
    <w:rsid w:val="00E501FC"/>
    <w:rsid w:val="00E50267"/>
    <w:rsid w:val="00E506C9"/>
    <w:rsid w:val="00E507CF"/>
    <w:rsid w:val="00E50987"/>
    <w:rsid w:val="00E50A65"/>
    <w:rsid w:val="00E50D8A"/>
    <w:rsid w:val="00E50F14"/>
    <w:rsid w:val="00E511FF"/>
    <w:rsid w:val="00E51200"/>
    <w:rsid w:val="00E514E5"/>
    <w:rsid w:val="00E51B5D"/>
    <w:rsid w:val="00E51EDE"/>
    <w:rsid w:val="00E5236D"/>
    <w:rsid w:val="00E5258A"/>
    <w:rsid w:val="00E525EB"/>
    <w:rsid w:val="00E52638"/>
    <w:rsid w:val="00E526D7"/>
    <w:rsid w:val="00E527B8"/>
    <w:rsid w:val="00E52825"/>
    <w:rsid w:val="00E52A5B"/>
    <w:rsid w:val="00E52AEC"/>
    <w:rsid w:val="00E52B49"/>
    <w:rsid w:val="00E52B8B"/>
    <w:rsid w:val="00E52D23"/>
    <w:rsid w:val="00E52FD0"/>
    <w:rsid w:val="00E52FEE"/>
    <w:rsid w:val="00E53291"/>
    <w:rsid w:val="00E53627"/>
    <w:rsid w:val="00E53646"/>
    <w:rsid w:val="00E53A0C"/>
    <w:rsid w:val="00E53ABD"/>
    <w:rsid w:val="00E53B59"/>
    <w:rsid w:val="00E53E38"/>
    <w:rsid w:val="00E54671"/>
    <w:rsid w:val="00E547E5"/>
    <w:rsid w:val="00E5496E"/>
    <w:rsid w:val="00E54A76"/>
    <w:rsid w:val="00E54DCF"/>
    <w:rsid w:val="00E54EDD"/>
    <w:rsid w:val="00E54F10"/>
    <w:rsid w:val="00E54FA2"/>
    <w:rsid w:val="00E553A6"/>
    <w:rsid w:val="00E554DF"/>
    <w:rsid w:val="00E557C8"/>
    <w:rsid w:val="00E55889"/>
    <w:rsid w:val="00E55985"/>
    <w:rsid w:val="00E55AE6"/>
    <w:rsid w:val="00E55C69"/>
    <w:rsid w:val="00E56019"/>
    <w:rsid w:val="00E56353"/>
    <w:rsid w:val="00E5669D"/>
    <w:rsid w:val="00E56B21"/>
    <w:rsid w:val="00E5728A"/>
    <w:rsid w:val="00E5732C"/>
    <w:rsid w:val="00E57B3A"/>
    <w:rsid w:val="00E601CB"/>
    <w:rsid w:val="00E604DD"/>
    <w:rsid w:val="00E60B09"/>
    <w:rsid w:val="00E60D85"/>
    <w:rsid w:val="00E60E3A"/>
    <w:rsid w:val="00E61237"/>
    <w:rsid w:val="00E61297"/>
    <w:rsid w:val="00E616FD"/>
    <w:rsid w:val="00E61C16"/>
    <w:rsid w:val="00E61CEC"/>
    <w:rsid w:val="00E61E6B"/>
    <w:rsid w:val="00E62059"/>
    <w:rsid w:val="00E621D4"/>
    <w:rsid w:val="00E62462"/>
    <w:rsid w:val="00E62A6B"/>
    <w:rsid w:val="00E62D40"/>
    <w:rsid w:val="00E62E0F"/>
    <w:rsid w:val="00E63637"/>
    <w:rsid w:val="00E6373F"/>
    <w:rsid w:val="00E6378D"/>
    <w:rsid w:val="00E638B2"/>
    <w:rsid w:val="00E639C0"/>
    <w:rsid w:val="00E644A8"/>
    <w:rsid w:val="00E64603"/>
    <w:rsid w:val="00E6470C"/>
    <w:rsid w:val="00E6476B"/>
    <w:rsid w:val="00E648A6"/>
    <w:rsid w:val="00E64B6A"/>
    <w:rsid w:val="00E64CA1"/>
    <w:rsid w:val="00E65045"/>
    <w:rsid w:val="00E654C2"/>
    <w:rsid w:val="00E65510"/>
    <w:rsid w:val="00E6576F"/>
    <w:rsid w:val="00E658BC"/>
    <w:rsid w:val="00E6592D"/>
    <w:rsid w:val="00E6597D"/>
    <w:rsid w:val="00E65ADE"/>
    <w:rsid w:val="00E65B32"/>
    <w:rsid w:val="00E65E29"/>
    <w:rsid w:val="00E6601D"/>
    <w:rsid w:val="00E6617E"/>
    <w:rsid w:val="00E66286"/>
    <w:rsid w:val="00E6629D"/>
    <w:rsid w:val="00E6653D"/>
    <w:rsid w:val="00E668E7"/>
    <w:rsid w:val="00E674E4"/>
    <w:rsid w:val="00E675AA"/>
    <w:rsid w:val="00E67A25"/>
    <w:rsid w:val="00E67A70"/>
    <w:rsid w:val="00E67A8B"/>
    <w:rsid w:val="00E67D57"/>
    <w:rsid w:val="00E67E4C"/>
    <w:rsid w:val="00E67E85"/>
    <w:rsid w:val="00E67F8D"/>
    <w:rsid w:val="00E705F2"/>
    <w:rsid w:val="00E70663"/>
    <w:rsid w:val="00E7067D"/>
    <w:rsid w:val="00E70721"/>
    <w:rsid w:val="00E70768"/>
    <w:rsid w:val="00E70B71"/>
    <w:rsid w:val="00E70D87"/>
    <w:rsid w:val="00E70D89"/>
    <w:rsid w:val="00E718BA"/>
    <w:rsid w:val="00E71D2D"/>
    <w:rsid w:val="00E71EEF"/>
    <w:rsid w:val="00E7202A"/>
    <w:rsid w:val="00E7215A"/>
    <w:rsid w:val="00E722F4"/>
    <w:rsid w:val="00E7231F"/>
    <w:rsid w:val="00E723CC"/>
    <w:rsid w:val="00E724CD"/>
    <w:rsid w:val="00E72609"/>
    <w:rsid w:val="00E726F1"/>
    <w:rsid w:val="00E727BD"/>
    <w:rsid w:val="00E72887"/>
    <w:rsid w:val="00E72A06"/>
    <w:rsid w:val="00E72B70"/>
    <w:rsid w:val="00E72C38"/>
    <w:rsid w:val="00E731DD"/>
    <w:rsid w:val="00E7352E"/>
    <w:rsid w:val="00E736C9"/>
    <w:rsid w:val="00E73700"/>
    <w:rsid w:val="00E737A6"/>
    <w:rsid w:val="00E73C56"/>
    <w:rsid w:val="00E73CA6"/>
    <w:rsid w:val="00E73D09"/>
    <w:rsid w:val="00E73D7D"/>
    <w:rsid w:val="00E73DB2"/>
    <w:rsid w:val="00E73F2A"/>
    <w:rsid w:val="00E7407A"/>
    <w:rsid w:val="00E7408B"/>
    <w:rsid w:val="00E748D8"/>
    <w:rsid w:val="00E74B90"/>
    <w:rsid w:val="00E74BA0"/>
    <w:rsid w:val="00E74FC7"/>
    <w:rsid w:val="00E75442"/>
    <w:rsid w:val="00E75529"/>
    <w:rsid w:val="00E75D44"/>
    <w:rsid w:val="00E7661B"/>
    <w:rsid w:val="00E76C75"/>
    <w:rsid w:val="00E76CA2"/>
    <w:rsid w:val="00E7716B"/>
    <w:rsid w:val="00E771B5"/>
    <w:rsid w:val="00E77845"/>
    <w:rsid w:val="00E77860"/>
    <w:rsid w:val="00E77987"/>
    <w:rsid w:val="00E77A20"/>
    <w:rsid w:val="00E77CE8"/>
    <w:rsid w:val="00E8011D"/>
    <w:rsid w:val="00E80287"/>
    <w:rsid w:val="00E80496"/>
    <w:rsid w:val="00E8054F"/>
    <w:rsid w:val="00E806AE"/>
    <w:rsid w:val="00E80717"/>
    <w:rsid w:val="00E807BB"/>
    <w:rsid w:val="00E809FE"/>
    <w:rsid w:val="00E80AE2"/>
    <w:rsid w:val="00E8120D"/>
    <w:rsid w:val="00E8144E"/>
    <w:rsid w:val="00E81A4D"/>
    <w:rsid w:val="00E81D6C"/>
    <w:rsid w:val="00E820F6"/>
    <w:rsid w:val="00E82277"/>
    <w:rsid w:val="00E8239E"/>
    <w:rsid w:val="00E826FD"/>
    <w:rsid w:val="00E82849"/>
    <w:rsid w:val="00E82992"/>
    <w:rsid w:val="00E82A8F"/>
    <w:rsid w:val="00E82BE9"/>
    <w:rsid w:val="00E82D70"/>
    <w:rsid w:val="00E832A4"/>
    <w:rsid w:val="00E836D3"/>
    <w:rsid w:val="00E83748"/>
    <w:rsid w:val="00E83A05"/>
    <w:rsid w:val="00E83A8B"/>
    <w:rsid w:val="00E83D4D"/>
    <w:rsid w:val="00E84025"/>
    <w:rsid w:val="00E842CC"/>
    <w:rsid w:val="00E84C03"/>
    <w:rsid w:val="00E84CC6"/>
    <w:rsid w:val="00E84D7D"/>
    <w:rsid w:val="00E8577D"/>
    <w:rsid w:val="00E859F3"/>
    <w:rsid w:val="00E85C21"/>
    <w:rsid w:val="00E85DBB"/>
    <w:rsid w:val="00E85F5C"/>
    <w:rsid w:val="00E8622F"/>
    <w:rsid w:val="00E86246"/>
    <w:rsid w:val="00E86441"/>
    <w:rsid w:val="00E8648E"/>
    <w:rsid w:val="00E86540"/>
    <w:rsid w:val="00E86B7A"/>
    <w:rsid w:val="00E872C4"/>
    <w:rsid w:val="00E87362"/>
    <w:rsid w:val="00E8755C"/>
    <w:rsid w:val="00E87673"/>
    <w:rsid w:val="00E8783A"/>
    <w:rsid w:val="00E87D91"/>
    <w:rsid w:val="00E87E9E"/>
    <w:rsid w:val="00E901CE"/>
    <w:rsid w:val="00E90246"/>
    <w:rsid w:val="00E90600"/>
    <w:rsid w:val="00E9077F"/>
    <w:rsid w:val="00E90B8B"/>
    <w:rsid w:val="00E90F9E"/>
    <w:rsid w:val="00E914B8"/>
    <w:rsid w:val="00E919E7"/>
    <w:rsid w:val="00E91BE1"/>
    <w:rsid w:val="00E91EF7"/>
    <w:rsid w:val="00E91F38"/>
    <w:rsid w:val="00E921D8"/>
    <w:rsid w:val="00E9220C"/>
    <w:rsid w:val="00E925A1"/>
    <w:rsid w:val="00E92725"/>
    <w:rsid w:val="00E927C2"/>
    <w:rsid w:val="00E92BB5"/>
    <w:rsid w:val="00E92E68"/>
    <w:rsid w:val="00E92F36"/>
    <w:rsid w:val="00E93175"/>
    <w:rsid w:val="00E93635"/>
    <w:rsid w:val="00E93850"/>
    <w:rsid w:val="00E938AC"/>
    <w:rsid w:val="00E940CE"/>
    <w:rsid w:val="00E94511"/>
    <w:rsid w:val="00E94BDB"/>
    <w:rsid w:val="00E954AF"/>
    <w:rsid w:val="00E95869"/>
    <w:rsid w:val="00E959D4"/>
    <w:rsid w:val="00E95BD5"/>
    <w:rsid w:val="00E95E3B"/>
    <w:rsid w:val="00E95EF0"/>
    <w:rsid w:val="00E95F8F"/>
    <w:rsid w:val="00E96028"/>
    <w:rsid w:val="00E96261"/>
    <w:rsid w:val="00E963D2"/>
    <w:rsid w:val="00E9645D"/>
    <w:rsid w:val="00E964A4"/>
    <w:rsid w:val="00E9656D"/>
    <w:rsid w:val="00E968D9"/>
    <w:rsid w:val="00E96C6C"/>
    <w:rsid w:val="00E97000"/>
    <w:rsid w:val="00E97009"/>
    <w:rsid w:val="00E97027"/>
    <w:rsid w:val="00E97116"/>
    <w:rsid w:val="00E97301"/>
    <w:rsid w:val="00E973D0"/>
    <w:rsid w:val="00E9746F"/>
    <w:rsid w:val="00E97493"/>
    <w:rsid w:val="00E97585"/>
    <w:rsid w:val="00E97600"/>
    <w:rsid w:val="00E9772E"/>
    <w:rsid w:val="00E97BD8"/>
    <w:rsid w:val="00EA015D"/>
    <w:rsid w:val="00EA03D8"/>
    <w:rsid w:val="00EA0435"/>
    <w:rsid w:val="00EA0696"/>
    <w:rsid w:val="00EA09BB"/>
    <w:rsid w:val="00EA09F9"/>
    <w:rsid w:val="00EA0A27"/>
    <w:rsid w:val="00EA0A3C"/>
    <w:rsid w:val="00EA0AB0"/>
    <w:rsid w:val="00EA0BA2"/>
    <w:rsid w:val="00EA0E77"/>
    <w:rsid w:val="00EA0EFA"/>
    <w:rsid w:val="00EA10C7"/>
    <w:rsid w:val="00EA1201"/>
    <w:rsid w:val="00EA17C8"/>
    <w:rsid w:val="00EA194D"/>
    <w:rsid w:val="00EA19C6"/>
    <w:rsid w:val="00EA1ACD"/>
    <w:rsid w:val="00EA1AED"/>
    <w:rsid w:val="00EA1D66"/>
    <w:rsid w:val="00EA26DB"/>
    <w:rsid w:val="00EA291C"/>
    <w:rsid w:val="00EA30ED"/>
    <w:rsid w:val="00EA32D3"/>
    <w:rsid w:val="00EA34C0"/>
    <w:rsid w:val="00EA39D2"/>
    <w:rsid w:val="00EA409E"/>
    <w:rsid w:val="00EA43D6"/>
    <w:rsid w:val="00EA46FC"/>
    <w:rsid w:val="00EA4AE9"/>
    <w:rsid w:val="00EA51C1"/>
    <w:rsid w:val="00EA5563"/>
    <w:rsid w:val="00EA56DA"/>
    <w:rsid w:val="00EA59C9"/>
    <w:rsid w:val="00EA5C4E"/>
    <w:rsid w:val="00EA61C2"/>
    <w:rsid w:val="00EA631B"/>
    <w:rsid w:val="00EA633D"/>
    <w:rsid w:val="00EA6AD8"/>
    <w:rsid w:val="00EA6AF5"/>
    <w:rsid w:val="00EA6CC1"/>
    <w:rsid w:val="00EA6EC2"/>
    <w:rsid w:val="00EA6ED6"/>
    <w:rsid w:val="00EA6FDE"/>
    <w:rsid w:val="00EA719A"/>
    <w:rsid w:val="00EB0400"/>
    <w:rsid w:val="00EB0406"/>
    <w:rsid w:val="00EB0429"/>
    <w:rsid w:val="00EB0984"/>
    <w:rsid w:val="00EB09A7"/>
    <w:rsid w:val="00EB0CA8"/>
    <w:rsid w:val="00EB0D53"/>
    <w:rsid w:val="00EB0DC4"/>
    <w:rsid w:val="00EB0EB0"/>
    <w:rsid w:val="00EB0ED8"/>
    <w:rsid w:val="00EB0F07"/>
    <w:rsid w:val="00EB0F71"/>
    <w:rsid w:val="00EB11D6"/>
    <w:rsid w:val="00EB12D5"/>
    <w:rsid w:val="00EB132A"/>
    <w:rsid w:val="00EB150D"/>
    <w:rsid w:val="00EB1589"/>
    <w:rsid w:val="00EB17F7"/>
    <w:rsid w:val="00EB1930"/>
    <w:rsid w:val="00EB1B4D"/>
    <w:rsid w:val="00EB1C1C"/>
    <w:rsid w:val="00EB1E09"/>
    <w:rsid w:val="00EB2411"/>
    <w:rsid w:val="00EB2708"/>
    <w:rsid w:val="00EB2830"/>
    <w:rsid w:val="00EB3013"/>
    <w:rsid w:val="00EB30A3"/>
    <w:rsid w:val="00EB3196"/>
    <w:rsid w:val="00EB3221"/>
    <w:rsid w:val="00EB3388"/>
    <w:rsid w:val="00EB3435"/>
    <w:rsid w:val="00EB3694"/>
    <w:rsid w:val="00EB3700"/>
    <w:rsid w:val="00EB37D1"/>
    <w:rsid w:val="00EB3974"/>
    <w:rsid w:val="00EB3BA4"/>
    <w:rsid w:val="00EB3D73"/>
    <w:rsid w:val="00EB3DCF"/>
    <w:rsid w:val="00EB3F77"/>
    <w:rsid w:val="00EB449E"/>
    <w:rsid w:val="00EB4880"/>
    <w:rsid w:val="00EB4DCD"/>
    <w:rsid w:val="00EB4F33"/>
    <w:rsid w:val="00EB50BC"/>
    <w:rsid w:val="00EB56FC"/>
    <w:rsid w:val="00EB5759"/>
    <w:rsid w:val="00EB584C"/>
    <w:rsid w:val="00EB587C"/>
    <w:rsid w:val="00EB58F3"/>
    <w:rsid w:val="00EB5B99"/>
    <w:rsid w:val="00EB5C9C"/>
    <w:rsid w:val="00EB5FAF"/>
    <w:rsid w:val="00EB610D"/>
    <w:rsid w:val="00EB611E"/>
    <w:rsid w:val="00EB6381"/>
    <w:rsid w:val="00EB64B1"/>
    <w:rsid w:val="00EB653C"/>
    <w:rsid w:val="00EB67BA"/>
    <w:rsid w:val="00EB69CF"/>
    <w:rsid w:val="00EB6BE9"/>
    <w:rsid w:val="00EB6BF9"/>
    <w:rsid w:val="00EB6CF1"/>
    <w:rsid w:val="00EB6E24"/>
    <w:rsid w:val="00EB73F4"/>
    <w:rsid w:val="00EB75E1"/>
    <w:rsid w:val="00EB78AC"/>
    <w:rsid w:val="00EB78CD"/>
    <w:rsid w:val="00EB7A29"/>
    <w:rsid w:val="00EB7A67"/>
    <w:rsid w:val="00EB7B26"/>
    <w:rsid w:val="00EB7B92"/>
    <w:rsid w:val="00EB7C54"/>
    <w:rsid w:val="00EB7CEF"/>
    <w:rsid w:val="00EB7DA2"/>
    <w:rsid w:val="00EC02A4"/>
    <w:rsid w:val="00EC0374"/>
    <w:rsid w:val="00EC0DC6"/>
    <w:rsid w:val="00EC0F74"/>
    <w:rsid w:val="00EC0F76"/>
    <w:rsid w:val="00EC10B6"/>
    <w:rsid w:val="00EC12FD"/>
    <w:rsid w:val="00EC16EB"/>
    <w:rsid w:val="00EC173F"/>
    <w:rsid w:val="00EC1865"/>
    <w:rsid w:val="00EC19BD"/>
    <w:rsid w:val="00EC1AEB"/>
    <w:rsid w:val="00EC1CC4"/>
    <w:rsid w:val="00EC1CCD"/>
    <w:rsid w:val="00EC1D8E"/>
    <w:rsid w:val="00EC1E0C"/>
    <w:rsid w:val="00EC20C0"/>
    <w:rsid w:val="00EC214B"/>
    <w:rsid w:val="00EC2247"/>
    <w:rsid w:val="00EC23FC"/>
    <w:rsid w:val="00EC270A"/>
    <w:rsid w:val="00EC2883"/>
    <w:rsid w:val="00EC297B"/>
    <w:rsid w:val="00EC29D0"/>
    <w:rsid w:val="00EC3138"/>
    <w:rsid w:val="00EC31C9"/>
    <w:rsid w:val="00EC31D6"/>
    <w:rsid w:val="00EC32B7"/>
    <w:rsid w:val="00EC36B7"/>
    <w:rsid w:val="00EC3925"/>
    <w:rsid w:val="00EC406F"/>
    <w:rsid w:val="00EC4679"/>
    <w:rsid w:val="00EC4B4B"/>
    <w:rsid w:val="00EC4D32"/>
    <w:rsid w:val="00EC578A"/>
    <w:rsid w:val="00EC5834"/>
    <w:rsid w:val="00EC5A82"/>
    <w:rsid w:val="00EC5DA0"/>
    <w:rsid w:val="00EC62D1"/>
    <w:rsid w:val="00EC6711"/>
    <w:rsid w:val="00EC6BE3"/>
    <w:rsid w:val="00EC719B"/>
    <w:rsid w:val="00EC7676"/>
    <w:rsid w:val="00EC79F8"/>
    <w:rsid w:val="00EC7A81"/>
    <w:rsid w:val="00EC7B2D"/>
    <w:rsid w:val="00ED010A"/>
    <w:rsid w:val="00ED078F"/>
    <w:rsid w:val="00ED0866"/>
    <w:rsid w:val="00ED089D"/>
    <w:rsid w:val="00ED0B0F"/>
    <w:rsid w:val="00ED1367"/>
    <w:rsid w:val="00ED1476"/>
    <w:rsid w:val="00ED147F"/>
    <w:rsid w:val="00ED15F7"/>
    <w:rsid w:val="00ED16BD"/>
    <w:rsid w:val="00ED1AAB"/>
    <w:rsid w:val="00ED1B46"/>
    <w:rsid w:val="00ED1C69"/>
    <w:rsid w:val="00ED1F73"/>
    <w:rsid w:val="00ED2162"/>
    <w:rsid w:val="00ED2335"/>
    <w:rsid w:val="00ED25F4"/>
    <w:rsid w:val="00ED271F"/>
    <w:rsid w:val="00ED2912"/>
    <w:rsid w:val="00ED2AD5"/>
    <w:rsid w:val="00ED2E3E"/>
    <w:rsid w:val="00ED3174"/>
    <w:rsid w:val="00ED3246"/>
    <w:rsid w:val="00ED34F9"/>
    <w:rsid w:val="00ED370F"/>
    <w:rsid w:val="00ED3857"/>
    <w:rsid w:val="00ED3929"/>
    <w:rsid w:val="00ED3999"/>
    <w:rsid w:val="00ED3A17"/>
    <w:rsid w:val="00ED3C1D"/>
    <w:rsid w:val="00ED3D1A"/>
    <w:rsid w:val="00ED3DF9"/>
    <w:rsid w:val="00ED3E9C"/>
    <w:rsid w:val="00ED3EE0"/>
    <w:rsid w:val="00ED3FF7"/>
    <w:rsid w:val="00ED3FFE"/>
    <w:rsid w:val="00ED41ED"/>
    <w:rsid w:val="00ED4215"/>
    <w:rsid w:val="00ED4A68"/>
    <w:rsid w:val="00ED4C92"/>
    <w:rsid w:val="00ED52A9"/>
    <w:rsid w:val="00ED56BC"/>
    <w:rsid w:val="00ED57DA"/>
    <w:rsid w:val="00ED58CF"/>
    <w:rsid w:val="00ED5A0B"/>
    <w:rsid w:val="00ED5DF0"/>
    <w:rsid w:val="00ED5FD4"/>
    <w:rsid w:val="00ED604D"/>
    <w:rsid w:val="00ED61AA"/>
    <w:rsid w:val="00ED69C0"/>
    <w:rsid w:val="00ED7364"/>
    <w:rsid w:val="00ED73EA"/>
    <w:rsid w:val="00ED77ED"/>
    <w:rsid w:val="00ED7957"/>
    <w:rsid w:val="00ED7AD0"/>
    <w:rsid w:val="00ED7B96"/>
    <w:rsid w:val="00ED7BC4"/>
    <w:rsid w:val="00ED7BC9"/>
    <w:rsid w:val="00ED7C74"/>
    <w:rsid w:val="00ED7D64"/>
    <w:rsid w:val="00ED7E6C"/>
    <w:rsid w:val="00EE04F4"/>
    <w:rsid w:val="00EE05BB"/>
    <w:rsid w:val="00EE089B"/>
    <w:rsid w:val="00EE0A5A"/>
    <w:rsid w:val="00EE0C83"/>
    <w:rsid w:val="00EE0C84"/>
    <w:rsid w:val="00EE0D59"/>
    <w:rsid w:val="00EE1098"/>
    <w:rsid w:val="00EE2185"/>
    <w:rsid w:val="00EE2262"/>
    <w:rsid w:val="00EE2263"/>
    <w:rsid w:val="00EE248B"/>
    <w:rsid w:val="00EE2606"/>
    <w:rsid w:val="00EE28EB"/>
    <w:rsid w:val="00EE2995"/>
    <w:rsid w:val="00EE2F76"/>
    <w:rsid w:val="00EE3099"/>
    <w:rsid w:val="00EE338A"/>
    <w:rsid w:val="00EE35E4"/>
    <w:rsid w:val="00EE3AC1"/>
    <w:rsid w:val="00EE3AF9"/>
    <w:rsid w:val="00EE3B91"/>
    <w:rsid w:val="00EE3B97"/>
    <w:rsid w:val="00EE3C91"/>
    <w:rsid w:val="00EE3CB0"/>
    <w:rsid w:val="00EE3FB3"/>
    <w:rsid w:val="00EE41D8"/>
    <w:rsid w:val="00EE43DF"/>
    <w:rsid w:val="00EE480F"/>
    <w:rsid w:val="00EE4ADF"/>
    <w:rsid w:val="00EE4C48"/>
    <w:rsid w:val="00EE5156"/>
    <w:rsid w:val="00EE51F7"/>
    <w:rsid w:val="00EE5535"/>
    <w:rsid w:val="00EE56D1"/>
    <w:rsid w:val="00EE5890"/>
    <w:rsid w:val="00EE58CA"/>
    <w:rsid w:val="00EE5A7D"/>
    <w:rsid w:val="00EE5C2F"/>
    <w:rsid w:val="00EE5CF9"/>
    <w:rsid w:val="00EE63A5"/>
    <w:rsid w:val="00EE63B9"/>
    <w:rsid w:val="00EE6850"/>
    <w:rsid w:val="00EE6900"/>
    <w:rsid w:val="00EE6D0C"/>
    <w:rsid w:val="00EE730D"/>
    <w:rsid w:val="00EE7410"/>
    <w:rsid w:val="00EE7B01"/>
    <w:rsid w:val="00EE7EF5"/>
    <w:rsid w:val="00EF0186"/>
    <w:rsid w:val="00EF036F"/>
    <w:rsid w:val="00EF1014"/>
    <w:rsid w:val="00EF107D"/>
    <w:rsid w:val="00EF1122"/>
    <w:rsid w:val="00EF12CE"/>
    <w:rsid w:val="00EF1473"/>
    <w:rsid w:val="00EF1479"/>
    <w:rsid w:val="00EF1617"/>
    <w:rsid w:val="00EF1752"/>
    <w:rsid w:val="00EF1B42"/>
    <w:rsid w:val="00EF221B"/>
    <w:rsid w:val="00EF2373"/>
    <w:rsid w:val="00EF23A9"/>
    <w:rsid w:val="00EF2574"/>
    <w:rsid w:val="00EF2647"/>
    <w:rsid w:val="00EF28B7"/>
    <w:rsid w:val="00EF2EA2"/>
    <w:rsid w:val="00EF36B1"/>
    <w:rsid w:val="00EF3A65"/>
    <w:rsid w:val="00EF3A86"/>
    <w:rsid w:val="00EF3BA7"/>
    <w:rsid w:val="00EF4092"/>
    <w:rsid w:val="00EF411B"/>
    <w:rsid w:val="00EF429D"/>
    <w:rsid w:val="00EF433F"/>
    <w:rsid w:val="00EF446C"/>
    <w:rsid w:val="00EF45C0"/>
    <w:rsid w:val="00EF4978"/>
    <w:rsid w:val="00EF49CC"/>
    <w:rsid w:val="00EF4E91"/>
    <w:rsid w:val="00EF4ED7"/>
    <w:rsid w:val="00EF5027"/>
    <w:rsid w:val="00EF5363"/>
    <w:rsid w:val="00EF5642"/>
    <w:rsid w:val="00EF5798"/>
    <w:rsid w:val="00EF5838"/>
    <w:rsid w:val="00EF5C8B"/>
    <w:rsid w:val="00EF5CA4"/>
    <w:rsid w:val="00EF5D37"/>
    <w:rsid w:val="00EF626C"/>
    <w:rsid w:val="00EF6390"/>
    <w:rsid w:val="00EF68E2"/>
    <w:rsid w:val="00EF6A69"/>
    <w:rsid w:val="00EF6DBD"/>
    <w:rsid w:val="00EF6EEA"/>
    <w:rsid w:val="00EF70DB"/>
    <w:rsid w:val="00EF740F"/>
    <w:rsid w:val="00EF75B8"/>
    <w:rsid w:val="00EF789A"/>
    <w:rsid w:val="00EF78AC"/>
    <w:rsid w:val="00EF7A5E"/>
    <w:rsid w:val="00EF7BF8"/>
    <w:rsid w:val="00EF7D49"/>
    <w:rsid w:val="00EF7F1B"/>
    <w:rsid w:val="00F003CC"/>
    <w:rsid w:val="00F00496"/>
    <w:rsid w:val="00F00CE1"/>
    <w:rsid w:val="00F00CFE"/>
    <w:rsid w:val="00F00D42"/>
    <w:rsid w:val="00F012E0"/>
    <w:rsid w:val="00F013B5"/>
    <w:rsid w:val="00F017D2"/>
    <w:rsid w:val="00F01B1A"/>
    <w:rsid w:val="00F01B96"/>
    <w:rsid w:val="00F01BC7"/>
    <w:rsid w:val="00F01E2D"/>
    <w:rsid w:val="00F02F7A"/>
    <w:rsid w:val="00F02FA8"/>
    <w:rsid w:val="00F03024"/>
    <w:rsid w:val="00F03564"/>
    <w:rsid w:val="00F035BD"/>
    <w:rsid w:val="00F0388F"/>
    <w:rsid w:val="00F03E41"/>
    <w:rsid w:val="00F04077"/>
    <w:rsid w:val="00F0411F"/>
    <w:rsid w:val="00F0419D"/>
    <w:rsid w:val="00F04310"/>
    <w:rsid w:val="00F043AC"/>
    <w:rsid w:val="00F0443B"/>
    <w:rsid w:val="00F0444D"/>
    <w:rsid w:val="00F044F5"/>
    <w:rsid w:val="00F04917"/>
    <w:rsid w:val="00F04982"/>
    <w:rsid w:val="00F04B7B"/>
    <w:rsid w:val="00F04C8F"/>
    <w:rsid w:val="00F05142"/>
    <w:rsid w:val="00F05361"/>
    <w:rsid w:val="00F0550E"/>
    <w:rsid w:val="00F0568D"/>
    <w:rsid w:val="00F057BE"/>
    <w:rsid w:val="00F058F7"/>
    <w:rsid w:val="00F05AD8"/>
    <w:rsid w:val="00F05E6E"/>
    <w:rsid w:val="00F0601B"/>
    <w:rsid w:val="00F061B1"/>
    <w:rsid w:val="00F06217"/>
    <w:rsid w:val="00F0684E"/>
    <w:rsid w:val="00F06A70"/>
    <w:rsid w:val="00F06DA2"/>
    <w:rsid w:val="00F06F74"/>
    <w:rsid w:val="00F0722B"/>
    <w:rsid w:val="00F07770"/>
    <w:rsid w:val="00F100A4"/>
    <w:rsid w:val="00F10105"/>
    <w:rsid w:val="00F108F7"/>
    <w:rsid w:val="00F10E99"/>
    <w:rsid w:val="00F1110F"/>
    <w:rsid w:val="00F11128"/>
    <w:rsid w:val="00F11377"/>
    <w:rsid w:val="00F1151D"/>
    <w:rsid w:val="00F11AB8"/>
    <w:rsid w:val="00F120DB"/>
    <w:rsid w:val="00F124F5"/>
    <w:rsid w:val="00F12574"/>
    <w:rsid w:val="00F12578"/>
    <w:rsid w:val="00F12623"/>
    <w:rsid w:val="00F12779"/>
    <w:rsid w:val="00F12897"/>
    <w:rsid w:val="00F12990"/>
    <w:rsid w:val="00F12A41"/>
    <w:rsid w:val="00F12AE6"/>
    <w:rsid w:val="00F12B4E"/>
    <w:rsid w:val="00F12C52"/>
    <w:rsid w:val="00F12F61"/>
    <w:rsid w:val="00F130ED"/>
    <w:rsid w:val="00F13185"/>
    <w:rsid w:val="00F1398B"/>
    <w:rsid w:val="00F13AA9"/>
    <w:rsid w:val="00F13B9B"/>
    <w:rsid w:val="00F13CDD"/>
    <w:rsid w:val="00F13DA3"/>
    <w:rsid w:val="00F13E59"/>
    <w:rsid w:val="00F13E81"/>
    <w:rsid w:val="00F13FB6"/>
    <w:rsid w:val="00F14371"/>
    <w:rsid w:val="00F14439"/>
    <w:rsid w:val="00F146AD"/>
    <w:rsid w:val="00F14952"/>
    <w:rsid w:val="00F149C1"/>
    <w:rsid w:val="00F14A25"/>
    <w:rsid w:val="00F150A4"/>
    <w:rsid w:val="00F16628"/>
    <w:rsid w:val="00F16AF9"/>
    <w:rsid w:val="00F16BC8"/>
    <w:rsid w:val="00F16EDF"/>
    <w:rsid w:val="00F17169"/>
    <w:rsid w:val="00F17211"/>
    <w:rsid w:val="00F17287"/>
    <w:rsid w:val="00F178FD"/>
    <w:rsid w:val="00F17B97"/>
    <w:rsid w:val="00F17D33"/>
    <w:rsid w:val="00F208FF"/>
    <w:rsid w:val="00F20945"/>
    <w:rsid w:val="00F20C3D"/>
    <w:rsid w:val="00F20CF4"/>
    <w:rsid w:val="00F20FA6"/>
    <w:rsid w:val="00F21553"/>
    <w:rsid w:val="00F216B8"/>
    <w:rsid w:val="00F2191A"/>
    <w:rsid w:val="00F21AC2"/>
    <w:rsid w:val="00F21B4C"/>
    <w:rsid w:val="00F21BE6"/>
    <w:rsid w:val="00F21BF8"/>
    <w:rsid w:val="00F21E4B"/>
    <w:rsid w:val="00F23053"/>
    <w:rsid w:val="00F232DC"/>
    <w:rsid w:val="00F233E8"/>
    <w:rsid w:val="00F238F1"/>
    <w:rsid w:val="00F23916"/>
    <w:rsid w:val="00F23AFF"/>
    <w:rsid w:val="00F23D8A"/>
    <w:rsid w:val="00F23EEC"/>
    <w:rsid w:val="00F24021"/>
    <w:rsid w:val="00F2410A"/>
    <w:rsid w:val="00F242E2"/>
    <w:rsid w:val="00F242F9"/>
    <w:rsid w:val="00F24410"/>
    <w:rsid w:val="00F244A7"/>
    <w:rsid w:val="00F2481D"/>
    <w:rsid w:val="00F25284"/>
    <w:rsid w:val="00F254B5"/>
    <w:rsid w:val="00F257FD"/>
    <w:rsid w:val="00F2587E"/>
    <w:rsid w:val="00F259E4"/>
    <w:rsid w:val="00F25B95"/>
    <w:rsid w:val="00F25D61"/>
    <w:rsid w:val="00F25D87"/>
    <w:rsid w:val="00F25DCB"/>
    <w:rsid w:val="00F2631A"/>
    <w:rsid w:val="00F2653E"/>
    <w:rsid w:val="00F26F7F"/>
    <w:rsid w:val="00F27656"/>
    <w:rsid w:val="00F27948"/>
    <w:rsid w:val="00F27CD2"/>
    <w:rsid w:val="00F3008B"/>
    <w:rsid w:val="00F302ED"/>
    <w:rsid w:val="00F3070A"/>
    <w:rsid w:val="00F30897"/>
    <w:rsid w:val="00F30AB8"/>
    <w:rsid w:val="00F30E3E"/>
    <w:rsid w:val="00F30FB8"/>
    <w:rsid w:val="00F3103F"/>
    <w:rsid w:val="00F3176A"/>
    <w:rsid w:val="00F3177C"/>
    <w:rsid w:val="00F31E7A"/>
    <w:rsid w:val="00F321D0"/>
    <w:rsid w:val="00F32274"/>
    <w:rsid w:val="00F3229A"/>
    <w:rsid w:val="00F324CF"/>
    <w:rsid w:val="00F325FE"/>
    <w:rsid w:val="00F32662"/>
    <w:rsid w:val="00F32735"/>
    <w:rsid w:val="00F32A47"/>
    <w:rsid w:val="00F32A70"/>
    <w:rsid w:val="00F33576"/>
    <w:rsid w:val="00F33871"/>
    <w:rsid w:val="00F34033"/>
    <w:rsid w:val="00F340EB"/>
    <w:rsid w:val="00F340F4"/>
    <w:rsid w:val="00F34564"/>
    <w:rsid w:val="00F3492B"/>
    <w:rsid w:val="00F34BF4"/>
    <w:rsid w:val="00F34D31"/>
    <w:rsid w:val="00F34D3A"/>
    <w:rsid w:val="00F352CC"/>
    <w:rsid w:val="00F354B5"/>
    <w:rsid w:val="00F3558B"/>
    <w:rsid w:val="00F35F25"/>
    <w:rsid w:val="00F360FF"/>
    <w:rsid w:val="00F3657B"/>
    <w:rsid w:val="00F36711"/>
    <w:rsid w:val="00F36823"/>
    <w:rsid w:val="00F36A57"/>
    <w:rsid w:val="00F37008"/>
    <w:rsid w:val="00F372F9"/>
    <w:rsid w:val="00F3752C"/>
    <w:rsid w:val="00F377D1"/>
    <w:rsid w:val="00F3783A"/>
    <w:rsid w:val="00F37A6D"/>
    <w:rsid w:val="00F37B48"/>
    <w:rsid w:val="00F37BA6"/>
    <w:rsid w:val="00F37BBF"/>
    <w:rsid w:val="00F37D74"/>
    <w:rsid w:val="00F4038D"/>
    <w:rsid w:val="00F40776"/>
    <w:rsid w:val="00F40F6B"/>
    <w:rsid w:val="00F41420"/>
    <w:rsid w:val="00F4184D"/>
    <w:rsid w:val="00F4194E"/>
    <w:rsid w:val="00F41992"/>
    <w:rsid w:val="00F41E29"/>
    <w:rsid w:val="00F41F84"/>
    <w:rsid w:val="00F41F94"/>
    <w:rsid w:val="00F4219F"/>
    <w:rsid w:val="00F423B7"/>
    <w:rsid w:val="00F42456"/>
    <w:rsid w:val="00F4248D"/>
    <w:rsid w:val="00F4370C"/>
    <w:rsid w:val="00F43CBA"/>
    <w:rsid w:val="00F43D56"/>
    <w:rsid w:val="00F43D7D"/>
    <w:rsid w:val="00F43F3E"/>
    <w:rsid w:val="00F444BD"/>
    <w:rsid w:val="00F44787"/>
    <w:rsid w:val="00F44A2B"/>
    <w:rsid w:val="00F44C6C"/>
    <w:rsid w:val="00F451FD"/>
    <w:rsid w:val="00F45378"/>
    <w:rsid w:val="00F45665"/>
    <w:rsid w:val="00F45870"/>
    <w:rsid w:val="00F458EB"/>
    <w:rsid w:val="00F45BA6"/>
    <w:rsid w:val="00F45DCF"/>
    <w:rsid w:val="00F45DF6"/>
    <w:rsid w:val="00F45E3A"/>
    <w:rsid w:val="00F45E5B"/>
    <w:rsid w:val="00F45F6F"/>
    <w:rsid w:val="00F4618F"/>
    <w:rsid w:val="00F46455"/>
    <w:rsid w:val="00F469AB"/>
    <w:rsid w:val="00F46B2F"/>
    <w:rsid w:val="00F46B37"/>
    <w:rsid w:val="00F46B62"/>
    <w:rsid w:val="00F46C26"/>
    <w:rsid w:val="00F46C4D"/>
    <w:rsid w:val="00F46F40"/>
    <w:rsid w:val="00F46F7A"/>
    <w:rsid w:val="00F47309"/>
    <w:rsid w:val="00F47319"/>
    <w:rsid w:val="00F4759E"/>
    <w:rsid w:val="00F47BC3"/>
    <w:rsid w:val="00F47EC4"/>
    <w:rsid w:val="00F47F7C"/>
    <w:rsid w:val="00F50252"/>
    <w:rsid w:val="00F5036C"/>
    <w:rsid w:val="00F5051D"/>
    <w:rsid w:val="00F505C9"/>
    <w:rsid w:val="00F50754"/>
    <w:rsid w:val="00F50767"/>
    <w:rsid w:val="00F50772"/>
    <w:rsid w:val="00F50F40"/>
    <w:rsid w:val="00F5127A"/>
    <w:rsid w:val="00F519A7"/>
    <w:rsid w:val="00F519BC"/>
    <w:rsid w:val="00F51A09"/>
    <w:rsid w:val="00F51BDB"/>
    <w:rsid w:val="00F5215A"/>
    <w:rsid w:val="00F521A1"/>
    <w:rsid w:val="00F521B2"/>
    <w:rsid w:val="00F524F8"/>
    <w:rsid w:val="00F5251C"/>
    <w:rsid w:val="00F5266A"/>
    <w:rsid w:val="00F52EE5"/>
    <w:rsid w:val="00F53059"/>
    <w:rsid w:val="00F5307C"/>
    <w:rsid w:val="00F53507"/>
    <w:rsid w:val="00F536FC"/>
    <w:rsid w:val="00F5379B"/>
    <w:rsid w:val="00F537C0"/>
    <w:rsid w:val="00F53814"/>
    <w:rsid w:val="00F538AA"/>
    <w:rsid w:val="00F53C12"/>
    <w:rsid w:val="00F53EA4"/>
    <w:rsid w:val="00F53F71"/>
    <w:rsid w:val="00F54618"/>
    <w:rsid w:val="00F548B4"/>
    <w:rsid w:val="00F5496D"/>
    <w:rsid w:val="00F54B91"/>
    <w:rsid w:val="00F54C3F"/>
    <w:rsid w:val="00F54EAA"/>
    <w:rsid w:val="00F5532C"/>
    <w:rsid w:val="00F557B8"/>
    <w:rsid w:val="00F559B5"/>
    <w:rsid w:val="00F55C4F"/>
    <w:rsid w:val="00F55FBA"/>
    <w:rsid w:val="00F56384"/>
    <w:rsid w:val="00F56412"/>
    <w:rsid w:val="00F566EB"/>
    <w:rsid w:val="00F56707"/>
    <w:rsid w:val="00F568FA"/>
    <w:rsid w:val="00F56DEC"/>
    <w:rsid w:val="00F57046"/>
    <w:rsid w:val="00F5707E"/>
    <w:rsid w:val="00F5727F"/>
    <w:rsid w:val="00F57935"/>
    <w:rsid w:val="00F57B81"/>
    <w:rsid w:val="00F57F65"/>
    <w:rsid w:val="00F602BB"/>
    <w:rsid w:val="00F60422"/>
    <w:rsid w:val="00F60618"/>
    <w:rsid w:val="00F60BB9"/>
    <w:rsid w:val="00F60C1E"/>
    <w:rsid w:val="00F60D14"/>
    <w:rsid w:val="00F6127E"/>
    <w:rsid w:val="00F61345"/>
    <w:rsid w:val="00F6154B"/>
    <w:rsid w:val="00F615C3"/>
    <w:rsid w:val="00F6161D"/>
    <w:rsid w:val="00F61A89"/>
    <w:rsid w:val="00F61CCA"/>
    <w:rsid w:val="00F61EAC"/>
    <w:rsid w:val="00F623A1"/>
    <w:rsid w:val="00F624E2"/>
    <w:rsid w:val="00F62943"/>
    <w:rsid w:val="00F629FF"/>
    <w:rsid w:val="00F62A65"/>
    <w:rsid w:val="00F62E3E"/>
    <w:rsid w:val="00F62F0F"/>
    <w:rsid w:val="00F62FCE"/>
    <w:rsid w:val="00F62FF2"/>
    <w:rsid w:val="00F6320C"/>
    <w:rsid w:val="00F63382"/>
    <w:rsid w:val="00F63528"/>
    <w:rsid w:val="00F638A0"/>
    <w:rsid w:val="00F638B4"/>
    <w:rsid w:val="00F63BA6"/>
    <w:rsid w:val="00F63FFD"/>
    <w:rsid w:val="00F64224"/>
    <w:rsid w:val="00F642FF"/>
    <w:rsid w:val="00F647F5"/>
    <w:rsid w:val="00F65255"/>
    <w:rsid w:val="00F65440"/>
    <w:rsid w:val="00F65A27"/>
    <w:rsid w:val="00F65C41"/>
    <w:rsid w:val="00F65CB8"/>
    <w:rsid w:val="00F6615F"/>
    <w:rsid w:val="00F665FB"/>
    <w:rsid w:val="00F66BB2"/>
    <w:rsid w:val="00F66DC0"/>
    <w:rsid w:val="00F671F3"/>
    <w:rsid w:val="00F67670"/>
    <w:rsid w:val="00F6774F"/>
    <w:rsid w:val="00F67923"/>
    <w:rsid w:val="00F67CF0"/>
    <w:rsid w:val="00F701D2"/>
    <w:rsid w:val="00F7022F"/>
    <w:rsid w:val="00F70266"/>
    <w:rsid w:val="00F703E0"/>
    <w:rsid w:val="00F705A3"/>
    <w:rsid w:val="00F706ED"/>
    <w:rsid w:val="00F70799"/>
    <w:rsid w:val="00F707AE"/>
    <w:rsid w:val="00F70871"/>
    <w:rsid w:val="00F70B23"/>
    <w:rsid w:val="00F70CAC"/>
    <w:rsid w:val="00F70D62"/>
    <w:rsid w:val="00F7118D"/>
    <w:rsid w:val="00F7131B"/>
    <w:rsid w:val="00F713EA"/>
    <w:rsid w:val="00F715E7"/>
    <w:rsid w:val="00F717F3"/>
    <w:rsid w:val="00F7195C"/>
    <w:rsid w:val="00F71B12"/>
    <w:rsid w:val="00F72086"/>
    <w:rsid w:val="00F72170"/>
    <w:rsid w:val="00F72CB8"/>
    <w:rsid w:val="00F72EC4"/>
    <w:rsid w:val="00F72FEC"/>
    <w:rsid w:val="00F73151"/>
    <w:rsid w:val="00F732C2"/>
    <w:rsid w:val="00F732F1"/>
    <w:rsid w:val="00F73388"/>
    <w:rsid w:val="00F733E1"/>
    <w:rsid w:val="00F73500"/>
    <w:rsid w:val="00F73A7A"/>
    <w:rsid w:val="00F73AF2"/>
    <w:rsid w:val="00F73D59"/>
    <w:rsid w:val="00F73F17"/>
    <w:rsid w:val="00F741C5"/>
    <w:rsid w:val="00F74621"/>
    <w:rsid w:val="00F747FA"/>
    <w:rsid w:val="00F7482B"/>
    <w:rsid w:val="00F74ABF"/>
    <w:rsid w:val="00F74F94"/>
    <w:rsid w:val="00F754A6"/>
    <w:rsid w:val="00F75619"/>
    <w:rsid w:val="00F757D1"/>
    <w:rsid w:val="00F76011"/>
    <w:rsid w:val="00F762B0"/>
    <w:rsid w:val="00F76AB9"/>
    <w:rsid w:val="00F76EEF"/>
    <w:rsid w:val="00F76EFF"/>
    <w:rsid w:val="00F77142"/>
    <w:rsid w:val="00F7764E"/>
    <w:rsid w:val="00F77A31"/>
    <w:rsid w:val="00F77AE7"/>
    <w:rsid w:val="00F77C39"/>
    <w:rsid w:val="00F77CF3"/>
    <w:rsid w:val="00F80069"/>
    <w:rsid w:val="00F8013D"/>
    <w:rsid w:val="00F80224"/>
    <w:rsid w:val="00F803CD"/>
    <w:rsid w:val="00F80793"/>
    <w:rsid w:val="00F80856"/>
    <w:rsid w:val="00F808F4"/>
    <w:rsid w:val="00F80CDA"/>
    <w:rsid w:val="00F81066"/>
    <w:rsid w:val="00F81145"/>
    <w:rsid w:val="00F81413"/>
    <w:rsid w:val="00F81504"/>
    <w:rsid w:val="00F81651"/>
    <w:rsid w:val="00F81666"/>
    <w:rsid w:val="00F818A0"/>
    <w:rsid w:val="00F818AF"/>
    <w:rsid w:val="00F819A7"/>
    <w:rsid w:val="00F81C95"/>
    <w:rsid w:val="00F81E13"/>
    <w:rsid w:val="00F81E60"/>
    <w:rsid w:val="00F82323"/>
    <w:rsid w:val="00F82384"/>
    <w:rsid w:val="00F82420"/>
    <w:rsid w:val="00F82D29"/>
    <w:rsid w:val="00F82F56"/>
    <w:rsid w:val="00F835EA"/>
    <w:rsid w:val="00F83629"/>
    <w:rsid w:val="00F83750"/>
    <w:rsid w:val="00F83C07"/>
    <w:rsid w:val="00F83D9B"/>
    <w:rsid w:val="00F8438A"/>
    <w:rsid w:val="00F8453D"/>
    <w:rsid w:val="00F84750"/>
    <w:rsid w:val="00F84949"/>
    <w:rsid w:val="00F84B74"/>
    <w:rsid w:val="00F84F49"/>
    <w:rsid w:val="00F8557F"/>
    <w:rsid w:val="00F85AF0"/>
    <w:rsid w:val="00F86539"/>
    <w:rsid w:val="00F86976"/>
    <w:rsid w:val="00F870F9"/>
    <w:rsid w:val="00F872DA"/>
    <w:rsid w:val="00F8777F"/>
    <w:rsid w:val="00F909D9"/>
    <w:rsid w:val="00F90ADD"/>
    <w:rsid w:val="00F90E1A"/>
    <w:rsid w:val="00F912F1"/>
    <w:rsid w:val="00F91689"/>
    <w:rsid w:val="00F91907"/>
    <w:rsid w:val="00F919C0"/>
    <w:rsid w:val="00F91A13"/>
    <w:rsid w:val="00F91BC5"/>
    <w:rsid w:val="00F91CCF"/>
    <w:rsid w:val="00F91E84"/>
    <w:rsid w:val="00F92933"/>
    <w:rsid w:val="00F9297E"/>
    <w:rsid w:val="00F92C78"/>
    <w:rsid w:val="00F9306B"/>
    <w:rsid w:val="00F93195"/>
    <w:rsid w:val="00F9319A"/>
    <w:rsid w:val="00F9337F"/>
    <w:rsid w:val="00F9372D"/>
    <w:rsid w:val="00F93901"/>
    <w:rsid w:val="00F93FCB"/>
    <w:rsid w:val="00F94818"/>
    <w:rsid w:val="00F94C71"/>
    <w:rsid w:val="00F94EC9"/>
    <w:rsid w:val="00F9508C"/>
    <w:rsid w:val="00F9510D"/>
    <w:rsid w:val="00F958B8"/>
    <w:rsid w:val="00F95B70"/>
    <w:rsid w:val="00F95C1D"/>
    <w:rsid w:val="00F95C75"/>
    <w:rsid w:val="00F9653D"/>
    <w:rsid w:val="00F970C8"/>
    <w:rsid w:val="00F970DD"/>
    <w:rsid w:val="00F971D2"/>
    <w:rsid w:val="00F97500"/>
    <w:rsid w:val="00F975C0"/>
    <w:rsid w:val="00F97A16"/>
    <w:rsid w:val="00F97C7D"/>
    <w:rsid w:val="00F97CCE"/>
    <w:rsid w:val="00F97E1F"/>
    <w:rsid w:val="00FA0052"/>
    <w:rsid w:val="00FA02FD"/>
    <w:rsid w:val="00FA03DE"/>
    <w:rsid w:val="00FA04F1"/>
    <w:rsid w:val="00FA04F3"/>
    <w:rsid w:val="00FA08E2"/>
    <w:rsid w:val="00FA0C85"/>
    <w:rsid w:val="00FA0EF2"/>
    <w:rsid w:val="00FA10C7"/>
    <w:rsid w:val="00FA15D7"/>
    <w:rsid w:val="00FA15FB"/>
    <w:rsid w:val="00FA17F5"/>
    <w:rsid w:val="00FA200D"/>
    <w:rsid w:val="00FA21E6"/>
    <w:rsid w:val="00FA28F4"/>
    <w:rsid w:val="00FA31FC"/>
    <w:rsid w:val="00FA3349"/>
    <w:rsid w:val="00FA3633"/>
    <w:rsid w:val="00FA3C68"/>
    <w:rsid w:val="00FA3F54"/>
    <w:rsid w:val="00FA40CA"/>
    <w:rsid w:val="00FA41D7"/>
    <w:rsid w:val="00FA438D"/>
    <w:rsid w:val="00FA43E9"/>
    <w:rsid w:val="00FA4DE0"/>
    <w:rsid w:val="00FA4F83"/>
    <w:rsid w:val="00FA5133"/>
    <w:rsid w:val="00FA5263"/>
    <w:rsid w:val="00FA53B3"/>
    <w:rsid w:val="00FA559F"/>
    <w:rsid w:val="00FA5BE0"/>
    <w:rsid w:val="00FA5E05"/>
    <w:rsid w:val="00FA5F62"/>
    <w:rsid w:val="00FA637C"/>
    <w:rsid w:val="00FA6522"/>
    <w:rsid w:val="00FA6693"/>
    <w:rsid w:val="00FA685E"/>
    <w:rsid w:val="00FA6A55"/>
    <w:rsid w:val="00FA6AE6"/>
    <w:rsid w:val="00FA6B7B"/>
    <w:rsid w:val="00FA7087"/>
    <w:rsid w:val="00FA71DD"/>
    <w:rsid w:val="00FA728E"/>
    <w:rsid w:val="00FA72C2"/>
    <w:rsid w:val="00FA75EA"/>
    <w:rsid w:val="00FA767D"/>
    <w:rsid w:val="00FA77CF"/>
    <w:rsid w:val="00FA7A34"/>
    <w:rsid w:val="00FB018A"/>
    <w:rsid w:val="00FB0257"/>
    <w:rsid w:val="00FB0D98"/>
    <w:rsid w:val="00FB111C"/>
    <w:rsid w:val="00FB112C"/>
    <w:rsid w:val="00FB165B"/>
    <w:rsid w:val="00FB1E88"/>
    <w:rsid w:val="00FB1F57"/>
    <w:rsid w:val="00FB2105"/>
    <w:rsid w:val="00FB2297"/>
    <w:rsid w:val="00FB2310"/>
    <w:rsid w:val="00FB23C1"/>
    <w:rsid w:val="00FB248D"/>
    <w:rsid w:val="00FB2691"/>
    <w:rsid w:val="00FB2721"/>
    <w:rsid w:val="00FB291C"/>
    <w:rsid w:val="00FB2BC5"/>
    <w:rsid w:val="00FB2CFB"/>
    <w:rsid w:val="00FB322E"/>
    <w:rsid w:val="00FB3670"/>
    <w:rsid w:val="00FB3DD3"/>
    <w:rsid w:val="00FB3F07"/>
    <w:rsid w:val="00FB3F6F"/>
    <w:rsid w:val="00FB414C"/>
    <w:rsid w:val="00FB42FA"/>
    <w:rsid w:val="00FB43E8"/>
    <w:rsid w:val="00FB49A1"/>
    <w:rsid w:val="00FB4D4E"/>
    <w:rsid w:val="00FB4E87"/>
    <w:rsid w:val="00FB531B"/>
    <w:rsid w:val="00FB564D"/>
    <w:rsid w:val="00FB5809"/>
    <w:rsid w:val="00FB5AEC"/>
    <w:rsid w:val="00FB5C87"/>
    <w:rsid w:val="00FB5F5C"/>
    <w:rsid w:val="00FB635A"/>
    <w:rsid w:val="00FB640B"/>
    <w:rsid w:val="00FB6605"/>
    <w:rsid w:val="00FB6A55"/>
    <w:rsid w:val="00FB6A8A"/>
    <w:rsid w:val="00FB705A"/>
    <w:rsid w:val="00FB7229"/>
    <w:rsid w:val="00FB7CEE"/>
    <w:rsid w:val="00FB7D43"/>
    <w:rsid w:val="00FB7FEF"/>
    <w:rsid w:val="00FC0193"/>
    <w:rsid w:val="00FC0454"/>
    <w:rsid w:val="00FC0794"/>
    <w:rsid w:val="00FC080D"/>
    <w:rsid w:val="00FC08A4"/>
    <w:rsid w:val="00FC1212"/>
    <w:rsid w:val="00FC141F"/>
    <w:rsid w:val="00FC16FF"/>
    <w:rsid w:val="00FC216B"/>
    <w:rsid w:val="00FC21C7"/>
    <w:rsid w:val="00FC22FF"/>
    <w:rsid w:val="00FC2893"/>
    <w:rsid w:val="00FC2A8F"/>
    <w:rsid w:val="00FC2D82"/>
    <w:rsid w:val="00FC2DD5"/>
    <w:rsid w:val="00FC2F39"/>
    <w:rsid w:val="00FC3059"/>
    <w:rsid w:val="00FC32D8"/>
    <w:rsid w:val="00FC33FF"/>
    <w:rsid w:val="00FC354D"/>
    <w:rsid w:val="00FC3594"/>
    <w:rsid w:val="00FC3D5E"/>
    <w:rsid w:val="00FC3E5E"/>
    <w:rsid w:val="00FC41C6"/>
    <w:rsid w:val="00FC432A"/>
    <w:rsid w:val="00FC44D7"/>
    <w:rsid w:val="00FC4AC7"/>
    <w:rsid w:val="00FC4D34"/>
    <w:rsid w:val="00FC4DBA"/>
    <w:rsid w:val="00FC502D"/>
    <w:rsid w:val="00FC5269"/>
    <w:rsid w:val="00FC53B7"/>
    <w:rsid w:val="00FC561E"/>
    <w:rsid w:val="00FC56A8"/>
    <w:rsid w:val="00FC5723"/>
    <w:rsid w:val="00FC581A"/>
    <w:rsid w:val="00FC59CC"/>
    <w:rsid w:val="00FC5A57"/>
    <w:rsid w:val="00FC5CD9"/>
    <w:rsid w:val="00FC618F"/>
    <w:rsid w:val="00FC641A"/>
    <w:rsid w:val="00FC70ED"/>
    <w:rsid w:val="00FC721F"/>
    <w:rsid w:val="00FC738B"/>
    <w:rsid w:val="00FC7563"/>
    <w:rsid w:val="00FC75C5"/>
    <w:rsid w:val="00FC79BA"/>
    <w:rsid w:val="00FC7A2C"/>
    <w:rsid w:val="00FC7B26"/>
    <w:rsid w:val="00FD0021"/>
    <w:rsid w:val="00FD042B"/>
    <w:rsid w:val="00FD056E"/>
    <w:rsid w:val="00FD0925"/>
    <w:rsid w:val="00FD0D7D"/>
    <w:rsid w:val="00FD0F5B"/>
    <w:rsid w:val="00FD107C"/>
    <w:rsid w:val="00FD1249"/>
    <w:rsid w:val="00FD15CB"/>
    <w:rsid w:val="00FD16D6"/>
    <w:rsid w:val="00FD197C"/>
    <w:rsid w:val="00FD1B56"/>
    <w:rsid w:val="00FD1C04"/>
    <w:rsid w:val="00FD20CF"/>
    <w:rsid w:val="00FD225B"/>
    <w:rsid w:val="00FD244F"/>
    <w:rsid w:val="00FD2454"/>
    <w:rsid w:val="00FD2534"/>
    <w:rsid w:val="00FD27A5"/>
    <w:rsid w:val="00FD29C5"/>
    <w:rsid w:val="00FD29CA"/>
    <w:rsid w:val="00FD2A77"/>
    <w:rsid w:val="00FD2BBD"/>
    <w:rsid w:val="00FD2E10"/>
    <w:rsid w:val="00FD3123"/>
    <w:rsid w:val="00FD3163"/>
    <w:rsid w:val="00FD31FC"/>
    <w:rsid w:val="00FD3401"/>
    <w:rsid w:val="00FD34F5"/>
    <w:rsid w:val="00FD3907"/>
    <w:rsid w:val="00FD3A86"/>
    <w:rsid w:val="00FD468F"/>
    <w:rsid w:val="00FD47C8"/>
    <w:rsid w:val="00FD4DA3"/>
    <w:rsid w:val="00FD4EF5"/>
    <w:rsid w:val="00FD51C3"/>
    <w:rsid w:val="00FD54FB"/>
    <w:rsid w:val="00FD5638"/>
    <w:rsid w:val="00FD59B5"/>
    <w:rsid w:val="00FD59E8"/>
    <w:rsid w:val="00FD5BB1"/>
    <w:rsid w:val="00FD5F41"/>
    <w:rsid w:val="00FD5FE0"/>
    <w:rsid w:val="00FD611C"/>
    <w:rsid w:val="00FD62EB"/>
    <w:rsid w:val="00FD6488"/>
    <w:rsid w:val="00FD66E4"/>
    <w:rsid w:val="00FD6727"/>
    <w:rsid w:val="00FD684A"/>
    <w:rsid w:val="00FD6B5A"/>
    <w:rsid w:val="00FD6B5B"/>
    <w:rsid w:val="00FD6EEF"/>
    <w:rsid w:val="00FD7002"/>
    <w:rsid w:val="00FD755E"/>
    <w:rsid w:val="00FD7861"/>
    <w:rsid w:val="00FD786F"/>
    <w:rsid w:val="00FD7BBB"/>
    <w:rsid w:val="00FD7E90"/>
    <w:rsid w:val="00FE0349"/>
    <w:rsid w:val="00FE084F"/>
    <w:rsid w:val="00FE0A25"/>
    <w:rsid w:val="00FE0B87"/>
    <w:rsid w:val="00FE0BB6"/>
    <w:rsid w:val="00FE0E95"/>
    <w:rsid w:val="00FE0EE6"/>
    <w:rsid w:val="00FE0F43"/>
    <w:rsid w:val="00FE10C4"/>
    <w:rsid w:val="00FE11D4"/>
    <w:rsid w:val="00FE120E"/>
    <w:rsid w:val="00FE1263"/>
    <w:rsid w:val="00FE12AA"/>
    <w:rsid w:val="00FE12B0"/>
    <w:rsid w:val="00FE1304"/>
    <w:rsid w:val="00FE1B42"/>
    <w:rsid w:val="00FE1BD2"/>
    <w:rsid w:val="00FE1C2A"/>
    <w:rsid w:val="00FE1DA5"/>
    <w:rsid w:val="00FE22AB"/>
    <w:rsid w:val="00FE258F"/>
    <w:rsid w:val="00FE2851"/>
    <w:rsid w:val="00FE2BF7"/>
    <w:rsid w:val="00FE339A"/>
    <w:rsid w:val="00FE3704"/>
    <w:rsid w:val="00FE39F6"/>
    <w:rsid w:val="00FE3ADC"/>
    <w:rsid w:val="00FE3F1C"/>
    <w:rsid w:val="00FE4079"/>
    <w:rsid w:val="00FE45B9"/>
    <w:rsid w:val="00FE46B4"/>
    <w:rsid w:val="00FE484C"/>
    <w:rsid w:val="00FE4C45"/>
    <w:rsid w:val="00FE4CF1"/>
    <w:rsid w:val="00FE4CFE"/>
    <w:rsid w:val="00FE4F8B"/>
    <w:rsid w:val="00FE50B8"/>
    <w:rsid w:val="00FE51E6"/>
    <w:rsid w:val="00FE56EF"/>
    <w:rsid w:val="00FE5DE6"/>
    <w:rsid w:val="00FE5EA2"/>
    <w:rsid w:val="00FE5FDC"/>
    <w:rsid w:val="00FE6093"/>
    <w:rsid w:val="00FE64E6"/>
    <w:rsid w:val="00FE64F9"/>
    <w:rsid w:val="00FE6642"/>
    <w:rsid w:val="00FE677F"/>
    <w:rsid w:val="00FE72A0"/>
    <w:rsid w:val="00FE73F3"/>
    <w:rsid w:val="00FE7F99"/>
    <w:rsid w:val="00FF01B7"/>
    <w:rsid w:val="00FF0282"/>
    <w:rsid w:val="00FF03DE"/>
    <w:rsid w:val="00FF0775"/>
    <w:rsid w:val="00FF07B7"/>
    <w:rsid w:val="00FF0BCA"/>
    <w:rsid w:val="00FF0C96"/>
    <w:rsid w:val="00FF1154"/>
    <w:rsid w:val="00FF130D"/>
    <w:rsid w:val="00FF1704"/>
    <w:rsid w:val="00FF172C"/>
    <w:rsid w:val="00FF17B6"/>
    <w:rsid w:val="00FF1D34"/>
    <w:rsid w:val="00FF21B2"/>
    <w:rsid w:val="00FF2324"/>
    <w:rsid w:val="00FF2723"/>
    <w:rsid w:val="00FF27B1"/>
    <w:rsid w:val="00FF282C"/>
    <w:rsid w:val="00FF2C8C"/>
    <w:rsid w:val="00FF2DAD"/>
    <w:rsid w:val="00FF2DCF"/>
    <w:rsid w:val="00FF3138"/>
    <w:rsid w:val="00FF34A0"/>
    <w:rsid w:val="00FF36F6"/>
    <w:rsid w:val="00FF3702"/>
    <w:rsid w:val="00FF3B1A"/>
    <w:rsid w:val="00FF451D"/>
    <w:rsid w:val="00FF478C"/>
    <w:rsid w:val="00FF4920"/>
    <w:rsid w:val="00FF4E66"/>
    <w:rsid w:val="00FF4F3C"/>
    <w:rsid w:val="00FF5045"/>
    <w:rsid w:val="00FF5252"/>
    <w:rsid w:val="00FF531A"/>
    <w:rsid w:val="00FF54B3"/>
    <w:rsid w:val="00FF5543"/>
    <w:rsid w:val="00FF5714"/>
    <w:rsid w:val="00FF5754"/>
    <w:rsid w:val="00FF5765"/>
    <w:rsid w:val="00FF6019"/>
    <w:rsid w:val="00FF649E"/>
    <w:rsid w:val="00FF65B0"/>
    <w:rsid w:val="00FF6605"/>
    <w:rsid w:val="00FF6683"/>
    <w:rsid w:val="00FF66BF"/>
    <w:rsid w:val="00FF6740"/>
    <w:rsid w:val="00FF682A"/>
    <w:rsid w:val="00FF6966"/>
    <w:rsid w:val="00FF6981"/>
    <w:rsid w:val="00FF6ED6"/>
    <w:rsid w:val="00FF76EC"/>
    <w:rsid w:val="00FF7857"/>
    <w:rsid w:val="00FF7D1F"/>
    <w:rsid w:val="00FF7D76"/>
    <w:rsid w:val="00FF7E55"/>
    <w:rsid w:val="082FB483"/>
    <w:rsid w:val="0A923535"/>
    <w:rsid w:val="0C09508B"/>
    <w:rsid w:val="0CE62BAD"/>
    <w:rsid w:val="104CC8DF"/>
    <w:rsid w:val="16C2AA89"/>
    <w:rsid w:val="2AE040BD"/>
    <w:rsid w:val="2B113C62"/>
    <w:rsid w:val="345097FD"/>
    <w:rsid w:val="373482FF"/>
    <w:rsid w:val="382B37EF"/>
    <w:rsid w:val="3F3D9A2B"/>
    <w:rsid w:val="44E211CC"/>
    <w:rsid w:val="476112F2"/>
    <w:rsid w:val="575E4E8D"/>
    <w:rsid w:val="58921AD9"/>
    <w:rsid w:val="5D7EE159"/>
    <w:rsid w:val="68AB30A2"/>
    <w:rsid w:val="75E16C64"/>
    <w:rsid w:val="7723F2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37D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4DBC"/>
    <w:pPr>
      <w:spacing w:before="240" w:after="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outlineLvl w:val="1"/>
    </w:pPr>
    <w:rPr>
      <w:b/>
      <w:smallCaps/>
      <w:sz w:val="28"/>
    </w:rPr>
  </w:style>
  <w:style w:type="paragraph" w:styleId="Heading3">
    <w:name w:val="heading 3"/>
    <w:basedOn w:val="Normal"/>
    <w:next w:val="Normal"/>
    <w:link w:val="Heading3Char"/>
    <w:qFormat/>
    <w:rsid w:val="00F5251C"/>
    <w:pPr>
      <w:keepNext/>
      <w:spacing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AF799A"/>
    <w:pPr>
      <w:tabs>
        <w:tab w:val="left" w:pos="1800"/>
        <w:tab w:val="right" w:leader="dot" w:pos="9017"/>
      </w:tabs>
      <w:spacing w:before="60" w:after="60"/>
      <w:ind w:left="1797" w:right="720" w:hanging="1077"/>
    </w:pPr>
    <w:rPr>
      <w:noProof/>
    </w:rPr>
  </w:style>
  <w:style w:type="paragraph" w:customStyle="1" w:styleId="TableText">
    <w:name w:val="TableText"/>
    <w:basedOn w:val="Normal"/>
    <w:link w:val="TableTextChar"/>
    <w:rsid w:val="00574BF8"/>
    <w:pPr>
      <w:keepNext/>
      <w:spacing w:before="40"/>
    </w:pPr>
    <w:rPr>
      <w:rFonts w:ascii="Arial Narrow" w:hAnsi="Arial Narrow"/>
      <w:sz w:val="18"/>
    </w:rPr>
  </w:style>
  <w:style w:type="character" w:customStyle="1" w:styleId="TableTextChar">
    <w:name w:val="TableText Char"/>
    <w:link w:val="TableText"/>
    <w:rsid w:val="00310008"/>
    <w:rPr>
      <w:rFonts w:ascii="Arial Narrow" w:hAnsi="Arial Narrow" w:cs="Tahoma"/>
      <w:sz w:val="18"/>
      <w:szCs w:val="22"/>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FF03DE"/>
    <w:pPr>
      <w:tabs>
        <w:tab w:val="left" w:pos="0"/>
        <w:tab w:val="left" w:pos="426"/>
        <w:tab w:val="right" w:leader="dot" w:pos="9015"/>
      </w:tabs>
      <w:spacing w:before="60" w:after="60"/>
      <w:ind w:right="-45"/>
    </w:pPr>
    <w:rPr>
      <w:b/>
      <w:noProof/>
    </w:rPr>
  </w:style>
  <w:style w:type="paragraph" w:styleId="TOC2">
    <w:name w:val="toc 2"/>
    <w:basedOn w:val="Normal"/>
    <w:next w:val="Normal"/>
    <w:autoRedefine/>
    <w:uiPriority w:val="39"/>
    <w:qFormat/>
    <w:rsid w:val="003214C3"/>
    <w:pPr>
      <w:tabs>
        <w:tab w:val="left" w:pos="851"/>
        <w:tab w:val="right" w:leader="dot" w:pos="9017"/>
      </w:tabs>
      <w:spacing w:before="60" w:after="60" w:line="240" w:lineRule="auto"/>
      <w:ind w:left="851" w:right="522" w:hanging="567"/>
    </w:pPr>
    <w:rPr>
      <w:noProof/>
    </w:rPr>
  </w:style>
  <w:style w:type="paragraph" w:styleId="TOC3">
    <w:name w:val="toc 3"/>
    <w:basedOn w:val="Normal"/>
    <w:next w:val="Normal"/>
    <w:autoRedefine/>
    <w:uiPriority w:val="39"/>
    <w:qFormat/>
    <w:rsid w:val="0053551E"/>
    <w:pPr>
      <w:tabs>
        <w:tab w:val="right" w:leader="dot" w:pos="9016"/>
      </w:tabs>
      <w:spacing w:before="60" w:after="60" w:line="240" w:lineRule="auto"/>
      <w:ind w:left="567"/>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A26C4A"/>
    <w:pPr>
      <w:ind w:left="1760"/>
      <w:jc w:val="both"/>
    </w:pPr>
    <w:rPr>
      <w:sz w:val="144"/>
      <w:szCs w:val="144"/>
    </w:r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pPr>
    <w:rPr>
      <w:rFonts w:ascii="Arial" w:hAnsi="Arial"/>
      <w:b/>
      <w:sz w:val="18"/>
      <w:lang w:val="en-GB" w:eastAsia="en-US"/>
    </w:rPr>
  </w:style>
  <w:style w:type="table" w:styleId="TableGrid">
    <w:name w:val="Table Grid"/>
    <w:aliases w:val="Summary box"/>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___WRD_EMBED_SUB_173" w:hAnsi="___WRD_EMBED_SUB_173"/>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___WRD_EMBED_SUB_173" w:hAnsi="___WRD_EMBED_SUB_173"/>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numId w:val="7"/>
      </w:numPr>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796F7E"/>
    <w:pPr>
      <w:widowControl w:val="0"/>
      <w:spacing w:before="0" w:after="120" w:line="240" w:lineRule="auto"/>
      <w:jc w:val="both"/>
    </w:pPr>
    <w:rPr>
      <w:rFonts w:ascii="Arial" w:hAnsi="Arial" w:cs="Arial"/>
      <w:snapToGrid w:val="0"/>
      <w:sz w:val="18"/>
      <w:szCs w:val="20"/>
      <w:lang w:eastAsia="en-US"/>
    </w:rPr>
  </w:style>
  <w:style w:type="character" w:customStyle="1" w:styleId="TablenotesChar0">
    <w:name w:val="Tablenotes Char"/>
    <w:basedOn w:val="DefaultParagraphFont"/>
    <w:link w:val="Tablenotes0"/>
    <w:rsid w:val="00796F7E"/>
    <w:rPr>
      <w:rFonts w:ascii="Arial" w:hAnsi="Arial"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5C3B2B"/>
    <w:pPr>
      <w:spacing w:before="0" w:after="24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paragraph" w:customStyle="1" w:styleId="EndNoteBibliographyTitle">
    <w:name w:val="EndNote Bibliography Title"/>
    <w:basedOn w:val="Normal"/>
    <w:link w:val="EndNoteBibliographyTitleChar"/>
    <w:rsid w:val="006B3067"/>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6B3067"/>
    <w:rPr>
      <w:rFonts w:ascii="Calibri" w:hAnsi="Calibri" w:cs="Calibri"/>
      <w:noProof/>
      <w:sz w:val="22"/>
      <w:szCs w:val="22"/>
    </w:rPr>
  </w:style>
  <w:style w:type="paragraph" w:customStyle="1" w:styleId="EndNoteBibliography">
    <w:name w:val="EndNote Bibliography"/>
    <w:basedOn w:val="Normal"/>
    <w:link w:val="EndNoteBibliographyChar"/>
    <w:rsid w:val="006B3067"/>
    <w:pPr>
      <w:spacing w:line="240" w:lineRule="auto"/>
      <w:jc w:val="both"/>
    </w:pPr>
    <w:rPr>
      <w:rFonts w:cs="Calibri"/>
      <w:noProof/>
    </w:rPr>
  </w:style>
  <w:style w:type="character" w:customStyle="1" w:styleId="EndNoteBibliographyChar">
    <w:name w:val="EndNote Bibliography Char"/>
    <w:basedOn w:val="DefaultParagraphFont"/>
    <w:link w:val="EndNoteBibliography"/>
    <w:rsid w:val="006B3067"/>
    <w:rPr>
      <w:rFonts w:ascii="Calibri" w:hAnsi="Calibri" w:cs="Calibri"/>
      <w:noProof/>
      <w:sz w:val="22"/>
      <w:szCs w:val="22"/>
    </w:rPr>
  </w:style>
  <w:style w:type="character" w:customStyle="1" w:styleId="UnresolvedMention1">
    <w:name w:val="Unresolved Mention1"/>
    <w:basedOn w:val="DefaultParagraphFont"/>
    <w:uiPriority w:val="99"/>
    <w:unhideWhenUsed/>
    <w:rsid w:val="00701625"/>
    <w:rPr>
      <w:color w:val="605E5C"/>
      <w:shd w:val="clear" w:color="auto" w:fill="E1DFDD"/>
    </w:rPr>
  </w:style>
  <w:style w:type="character" w:customStyle="1" w:styleId="ListParagraphChar">
    <w:name w:val="List Paragraph Char"/>
    <w:basedOn w:val="DefaultParagraphFont"/>
    <w:link w:val="ListParagraph"/>
    <w:uiPriority w:val="34"/>
    <w:rsid w:val="002C6694"/>
    <w:rPr>
      <w:rFonts w:ascii="Calibri" w:hAnsi="Calibri" w:cs="Tahoma"/>
      <w:sz w:val="22"/>
      <w:szCs w:val="22"/>
    </w:rPr>
  </w:style>
  <w:style w:type="paragraph" w:customStyle="1" w:styleId="Tabletextboldleft">
    <w:name w:val="Table text bold left"/>
    <w:basedOn w:val="Normal"/>
    <w:link w:val="TabletextboldleftChar"/>
    <w:qFormat/>
    <w:rsid w:val="00916141"/>
    <w:pPr>
      <w:keepNext/>
      <w:spacing w:after="0" w:line="240" w:lineRule="auto"/>
    </w:pPr>
    <w:rPr>
      <w:rFonts w:ascii="Arial Narrow" w:hAnsi="Arial Narrow" w:cs="Arial"/>
      <w:b/>
      <w:sz w:val="20"/>
      <w:szCs w:val="20"/>
      <w:lang w:eastAsia="en-US"/>
    </w:rPr>
  </w:style>
  <w:style w:type="character" w:customStyle="1" w:styleId="TabletextboldleftChar">
    <w:name w:val="Table text bold left Char"/>
    <w:basedOn w:val="DefaultParagraphFont"/>
    <w:link w:val="Tabletextboldleft"/>
    <w:rsid w:val="00916141"/>
    <w:rPr>
      <w:rFonts w:ascii="Arial Narrow" w:hAnsi="Arial Narrow" w:cs="Arial"/>
      <w:b/>
      <w:lang w:eastAsia="en-US"/>
    </w:rPr>
  </w:style>
  <w:style w:type="paragraph" w:customStyle="1" w:styleId="CommentTabletext">
    <w:name w:val="Comment Table text"/>
    <w:basedOn w:val="Comment"/>
    <w:qFormat/>
    <w:rsid w:val="00916141"/>
    <w:pPr>
      <w:spacing w:before="40" w:line="240" w:lineRule="auto"/>
      <w:ind w:left="720"/>
    </w:pPr>
    <w:rPr>
      <w:rFonts w:ascii="Arial Narrow" w:hAnsi="Arial Narrow"/>
      <w:sz w:val="20"/>
      <w:szCs w:val="20"/>
    </w:rPr>
  </w:style>
  <w:style w:type="character" w:customStyle="1" w:styleId="UnresolvedMention2">
    <w:name w:val="Unresolved Mention2"/>
    <w:basedOn w:val="DefaultParagraphFont"/>
    <w:uiPriority w:val="99"/>
    <w:unhideWhenUsed/>
    <w:rsid w:val="006E0193"/>
    <w:rPr>
      <w:color w:val="605E5C"/>
      <w:shd w:val="clear" w:color="auto" w:fill="E1DFDD"/>
    </w:rPr>
  </w:style>
  <w:style w:type="character" w:styleId="IntenseEmphasis">
    <w:name w:val="Intense Emphasis"/>
    <w:basedOn w:val="DefaultParagraphFont"/>
    <w:uiPriority w:val="21"/>
    <w:qFormat/>
    <w:rsid w:val="00E6576F"/>
    <w:rPr>
      <w:i/>
      <w:iCs/>
      <w:color w:val="4F81BD" w:themeColor="accent1"/>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locked/>
    <w:rsid w:val="00D12268"/>
    <w:rPr>
      <w:rFonts w:ascii="Arial Narrow" w:hAnsi="Arial Narrow" w:cs="Tahoma"/>
      <w:b/>
      <w:bCs/>
      <w:szCs w:val="22"/>
    </w:rPr>
  </w:style>
  <w:style w:type="character" w:styleId="UnresolvedMention">
    <w:name w:val="Unresolved Mention"/>
    <w:basedOn w:val="DefaultParagraphFont"/>
    <w:uiPriority w:val="99"/>
    <w:semiHidden/>
    <w:unhideWhenUsed/>
    <w:rsid w:val="00127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46531165">
      <w:bodyDiv w:val="1"/>
      <w:marLeft w:val="0"/>
      <w:marRight w:val="0"/>
      <w:marTop w:val="0"/>
      <w:marBottom w:val="0"/>
      <w:divBdr>
        <w:top w:val="none" w:sz="0" w:space="0" w:color="auto"/>
        <w:left w:val="none" w:sz="0" w:space="0" w:color="auto"/>
        <w:bottom w:val="none" w:sz="0" w:space="0" w:color="auto"/>
        <w:right w:val="none" w:sz="0" w:space="0" w:color="auto"/>
      </w:divBdr>
    </w:div>
    <w:div w:id="67195582">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72238317">
      <w:bodyDiv w:val="1"/>
      <w:marLeft w:val="0"/>
      <w:marRight w:val="0"/>
      <w:marTop w:val="0"/>
      <w:marBottom w:val="0"/>
      <w:divBdr>
        <w:top w:val="none" w:sz="0" w:space="0" w:color="auto"/>
        <w:left w:val="none" w:sz="0" w:space="0" w:color="auto"/>
        <w:bottom w:val="none" w:sz="0" w:space="0" w:color="auto"/>
        <w:right w:val="none" w:sz="0" w:space="0" w:color="auto"/>
      </w:divBdr>
    </w:div>
    <w:div w:id="84153370">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23890814">
      <w:bodyDiv w:val="1"/>
      <w:marLeft w:val="0"/>
      <w:marRight w:val="0"/>
      <w:marTop w:val="0"/>
      <w:marBottom w:val="0"/>
      <w:divBdr>
        <w:top w:val="none" w:sz="0" w:space="0" w:color="auto"/>
        <w:left w:val="none" w:sz="0" w:space="0" w:color="auto"/>
        <w:bottom w:val="none" w:sz="0" w:space="0" w:color="auto"/>
        <w:right w:val="none" w:sz="0" w:space="0" w:color="auto"/>
      </w:divBdr>
    </w:div>
    <w:div w:id="145439790">
      <w:bodyDiv w:val="1"/>
      <w:marLeft w:val="0"/>
      <w:marRight w:val="0"/>
      <w:marTop w:val="0"/>
      <w:marBottom w:val="0"/>
      <w:divBdr>
        <w:top w:val="none" w:sz="0" w:space="0" w:color="auto"/>
        <w:left w:val="none" w:sz="0" w:space="0" w:color="auto"/>
        <w:bottom w:val="none" w:sz="0" w:space="0" w:color="auto"/>
        <w:right w:val="none" w:sz="0" w:space="0" w:color="auto"/>
      </w:divBdr>
    </w:div>
    <w:div w:id="148326959">
      <w:bodyDiv w:val="1"/>
      <w:marLeft w:val="0"/>
      <w:marRight w:val="0"/>
      <w:marTop w:val="0"/>
      <w:marBottom w:val="0"/>
      <w:divBdr>
        <w:top w:val="none" w:sz="0" w:space="0" w:color="auto"/>
        <w:left w:val="none" w:sz="0" w:space="0" w:color="auto"/>
        <w:bottom w:val="none" w:sz="0" w:space="0" w:color="auto"/>
        <w:right w:val="none" w:sz="0" w:space="0" w:color="auto"/>
      </w:divBdr>
    </w:div>
    <w:div w:id="162402946">
      <w:bodyDiv w:val="1"/>
      <w:marLeft w:val="0"/>
      <w:marRight w:val="0"/>
      <w:marTop w:val="0"/>
      <w:marBottom w:val="0"/>
      <w:divBdr>
        <w:top w:val="none" w:sz="0" w:space="0" w:color="auto"/>
        <w:left w:val="none" w:sz="0" w:space="0" w:color="auto"/>
        <w:bottom w:val="none" w:sz="0" w:space="0" w:color="auto"/>
        <w:right w:val="none" w:sz="0" w:space="0" w:color="auto"/>
      </w:divBdr>
    </w:div>
    <w:div w:id="165479491">
      <w:bodyDiv w:val="1"/>
      <w:marLeft w:val="0"/>
      <w:marRight w:val="0"/>
      <w:marTop w:val="0"/>
      <w:marBottom w:val="0"/>
      <w:divBdr>
        <w:top w:val="none" w:sz="0" w:space="0" w:color="auto"/>
        <w:left w:val="none" w:sz="0" w:space="0" w:color="auto"/>
        <w:bottom w:val="none" w:sz="0" w:space="0" w:color="auto"/>
        <w:right w:val="none" w:sz="0" w:space="0" w:color="auto"/>
      </w:divBdr>
    </w:div>
    <w:div w:id="171577898">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1724568">
      <w:bodyDiv w:val="1"/>
      <w:marLeft w:val="0"/>
      <w:marRight w:val="0"/>
      <w:marTop w:val="0"/>
      <w:marBottom w:val="0"/>
      <w:divBdr>
        <w:top w:val="none" w:sz="0" w:space="0" w:color="auto"/>
        <w:left w:val="none" w:sz="0" w:space="0" w:color="auto"/>
        <w:bottom w:val="none" w:sz="0" w:space="0" w:color="auto"/>
        <w:right w:val="none" w:sz="0" w:space="0" w:color="auto"/>
      </w:divBdr>
    </w:div>
    <w:div w:id="192350031">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01476348">
      <w:bodyDiv w:val="1"/>
      <w:marLeft w:val="0"/>
      <w:marRight w:val="0"/>
      <w:marTop w:val="0"/>
      <w:marBottom w:val="0"/>
      <w:divBdr>
        <w:top w:val="none" w:sz="0" w:space="0" w:color="auto"/>
        <w:left w:val="none" w:sz="0" w:space="0" w:color="auto"/>
        <w:bottom w:val="none" w:sz="0" w:space="0" w:color="auto"/>
        <w:right w:val="none" w:sz="0" w:space="0" w:color="auto"/>
      </w:divBdr>
    </w:div>
    <w:div w:id="204175454">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3441671">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1228391">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72634040">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39897663">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50498385">
      <w:bodyDiv w:val="1"/>
      <w:marLeft w:val="0"/>
      <w:marRight w:val="0"/>
      <w:marTop w:val="0"/>
      <w:marBottom w:val="0"/>
      <w:divBdr>
        <w:top w:val="none" w:sz="0" w:space="0" w:color="auto"/>
        <w:left w:val="none" w:sz="0" w:space="0" w:color="auto"/>
        <w:bottom w:val="none" w:sz="0" w:space="0" w:color="auto"/>
        <w:right w:val="none" w:sz="0" w:space="0" w:color="auto"/>
      </w:divBdr>
    </w:div>
    <w:div w:id="370423926">
      <w:bodyDiv w:val="1"/>
      <w:marLeft w:val="0"/>
      <w:marRight w:val="0"/>
      <w:marTop w:val="0"/>
      <w:marBottom w:val="0"/>
      <w:divBdr>
        <w:top w:val="none" w:sz="0" w:space="0" w:color="auto"/>
        <w:left w:val="none" w:sz="0" w:space="0" w:color="auto"/>
        <w:bottom w:val="none" w:sz="0" w:space="0" w:color="auto"/>
        <w:right w:val="none" w:sz="0" w:space="0" w:color="auto"/>
      </w:divBdr>
    </w:div>
    <w:div w:id="375475520">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28693936">
      <w:bodyDiv w:val="1"/>
      <w:marLeft w:val="0"/>
      <w:marRight w:val="0"/>
      <w:marTop w:val="0"/>
      <w:marBottom w:val="0"/>
      <w:divBdr>
        <w:top w:val="none" w:sz="0" w:space="0" w:color="auto"/>
        <w:left w:val="none" w:sz="0" w:space="0" w:color="auto"/>
        <w:bottom w:val="none" w:sz="0" w:space="0" w:color="auto"/>
        <w:right w:val="none" w:sz="0" w:space="0" w:color="auto"/>
      </w:divBdr>
    </w:div>
    <w:div w:id="429590124">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43965579">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494147138">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57127812">
      <w:bodyDiv w:val="1"/>
      <w:marLeft w:val="0"/>
      <w:marRight w:val="0"/>
      <w:marTop w:val="0"/>
      <w:marBottom w:val="0"/>
      <w:divBdr>
        <w:top w:val="none" w:sz="0" w:space="0" w:color="auto"/>
        <w:left w:val="none" w:sz="0" w:space="0" w:color="auto"/>
        <w:bottom w:val="none" w:sz="0" w:space="0" w:color="auto"/>
        <w:right w:val="none" w:sz="0" w:space="0" w:color="auto"/>
      </w:divBdr>
    </w:div>
    <w:div w:id="564024805">
      <w:bodyDiv w:val="1"/>
      <w:marLeft w:val="0"/>
      <w:marRight w:val="0"/>
      <w:marTop w:val="0"/>
      <w:marBottom w:val="0"/>
      <w:divBdr>
        <w:top w:val="none" w:sz="0" w:space="0" w:color="auto"/>
        <w:left w:val="none" w:sz="0" w:space="0" w:color="auto"/>
        <w:bottom w:val="none" w:sz="0" w:space="0" w:color="auto"/>
        <w:right w:val="none" w:sz="0" w:space="0" w:color="auto"/>
      </w:divBdr>
    </w:div>
    <w:div w:id="567568912">
      <w:bodyDiv w:val="1"/>
      <w:marLeft w:val="0"/>
      <w:marRight w:val="0"/>
      <w:marTop w:val="0"/>
      <w:marBottom w:val="0"/>
      <w:divBdr>
        <w:top w:val="none" w:sz="0" w:space="0" w:color="auto"/>
        <w:left w:val="none" w:sz="0" w:space="0" w:color="auto"/>
        <w:bottom w:val="none" w:sz="0" w:space="0" w:color="auto"/>
        <w:right w:val="none" w:sz="0" w:space="0" w:color="auto"/>
      </w:divBdr>
    </w:div>
    <w:div w:id="569969567">
      <w:bodyDiv w:val="1"/>
      <w:marLeft w:val="0"/>
      <w:marRight w:val="0"/>
      <w:marTop w:val="0"/>
      <w:marBottom w:val="0"/>
      <w:divBdr>
        <w:top w:val="none" w:sz="0" w:space="0" w:color="auto"/>
        <w:left w:val="none" w:sz="0" w:space="0" w:color="auto"/>
        <w:bottom w:val="none" w:sz="0" w:space="0" w:color="auto"/>
        <w:right w:val="none" w:sz="0" w:space="0" w:color="auto"/>
      </w:divBdr>
    </w:div>
    <w:div w:id="574707101">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344875">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29702593">
      <w:bodyDiv w:val="1"/>
      <w:marLeft w:val="0"/>
      <w:marRight w:val="0"/>
      <w:marTop w:val="0"/>
      <w:marBottom w:val="0"/>
      <w:divBdr>
        <w:top w:val="none" w:sz="0" w:space="0" w:color="auto"/>
        <w:left w:val="none" w:sz="0" w:space="0" w:color="auto"/>
        <w:bottom w:val="none" w:sz="0" w:space="0" w:color="auto"/>
        <w:right w:val="none" w:sz="0" w:space="0" w:color="auto"/>
      </w:divBdr>
    </w:div>
    <w:div w:id="631058885">
      <w:bodyDiv w:val="1"/>
      <w:marLeft w:val="0"/>
      <w:marRight w:val="0"/>
      <w:marTop w:val="0"/>
      <w:marBottom w:val="0"/>
      <w:divBdr>
        <w:top w:val="none" w:sz="0" w:space="0" w:color="auto"/>
        <w:left w:val="none" w:sz="0" w:space="0" w:color="auto"/>
        <w:bottom w:val="none" w:sz="0" w:space="0" w:color="auto"/>
        <w:right w:val="none" w:sz="0" w:space="0" w:color="auto"/>
      </w:divBdr>
    </w:div>
    <w:div w:id="638078137">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674386032">
      <w:bodyDiv w:val="1"/>
      <w:marLeft w:val="0"/>
      <w:marRight w:val="0"/>
      <w:marTop w:val="0"/>
      <w:marBottom w:val="0"/>
      <w:divBdr>
        <w:top w:val="none" w:sz="0" w:space="0" w:color="auto"/>
        <w:left w:val="none" w:sz="0" w:space="0" w:color="auto"/>
        <w:bottom w:val="none" w:sz="0" w:space="0" w:color="auto"/>
        <w:right w:val="none" w:sz="0" w:space="0" w:color="auto"/>
      </w:divBdr>
    </w:div>
    <w:div w:id="687173235">
      <w:bodyDiv w:val="1"/>
      <w:marLeft w:val="0"/>
      <w:marRight w:val="0"/>
      <w:marTop w:val="0"/>
      <w:marBottom w:val="0"/>
      <w:divBdr>
        <w:top w:val="none" w:sz="0" w:space="0" w:color="auto"/>
        <w:left w:val="none" w:sz="0" w:space="0" w:color="auto"/>
        <w:bottom w:val="none" w:sz="0" w:space="0" w:color="auto"/>
        <w:right w:val="none" w:sz="0" w:space="0" w:color="auto"/>
      </w:divBdr>
    </w:div>
    <w:div w:id="693460192">
      <w:bodyDiv w:val="1"/>
      <w:marLeft w:val="0"/>
      <w:marRight w:val="0"/>
      <w:marTop w:val="0"/>
      <w:marBottom w:val="0"/>
      <w:divBdr>
        <w:top w:val="none" w:sz="0" w:space="0" w:color="auto"/>
        <w:left w:val="none" w:sz="0" w:space="0" w:color="auto"/>
        <w:bottom w:val="none" w:sz="0" w:space="0" w:color="auto"/>
        <w:right w:val="none" w:sz="0" w:space="0" w:color="auto"/>
      </w:divBdr>
    </w:div>
    <w:div w:id="708072511">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24181816">
      <w:bodyDiv w:val="1"/>
      <w:marLeft w:val="0"/>
      <w:marRight w:val="0"/>
      <w:marTop w:val="0"/>
      <w:marBottom w:val="0"/>
      <w:divBdr>
        <w:top w:val="none" w:sz="0" w:space="0" w:color="auto"/>
        <w:left w:val="none" w:sz="0" w:space="0" w:color="auto"/>
        <w:bottom w:val="none" w:sz="0" w:space="0" w:color="auto"/>
        <w:right w:val="none" w:sz="0" w:space="0" w:color="auto"/>
      </w:divBdr>
    </w:div>
    <w:div w:id="724724110">
      <w:bodyDiv w:val="1"/>
      <w:marLeft w:val="0"/>
      <w:marRight w:val="0"/>
      <w:marTop w:val="0"/>
      <w:marBottom w:val="0"/>
      <w:divBdr>
        <w:top w:val="none" w:sz="0" w:space="0" w:color="auto"/>
        <w:left w:val="none" w:sz="0" w:space="0" w:color="auto"/>
        <w:bottom w:val="none" w:sz="0" w:space="0" w:color="auto"/>
        <w:right w:val="none" w:sz="0" w:space="0" w:color="auto"/>
      </w:divBdr>
    </w:div>
    <w:div w:id="762533671">
      <w:bodyDiv w:val="1"/>
      <w:marLeft w:val="0"/>
      <w:marRight w:val="0"/>
      <w:marTop w:val="0"/>
      <w:marBottom w:val="0"/>
      <w:divBdr>
        <w:top w:val="none" w:sz="0" w:space="0" w:color="auto"/>
        <w:left w:val="none" w:sz="0" w:space="0" w:color="auto"/>
        <w:bottom w:val="none" w:sz="0" w:space="0" w:color="auto"/>
        <w:right w:val="none" w:sz="0" w:space="0" w:color="auto"/>
      </w:divBdr>
    </w:div>
    <w:div w:id="783812652">
      <w:bodyDiv w:val="1"/>
      <w:marLeft w:val="0"/>
      <w:marRight w:val="0"/>
      <w:marTop w:val="0"/>
      <w:marBottom w:val="0"/>
      <w:divBdr>
        <w:top w:val="none" w:sz="0" w:space="0" w:color="auto"/>
        <w:left w:val="none" w:sz="0" w:space="0" w:color="auto"/>
        <w:bottom w:val="none" w:sz="0" w:space="0" w:color="auto"/>
        <w:right w:val="none" w:sz="0" w:space="0" w:color="auto"/>
      </w:divBdr>
    </w:div>
    <w:div w:id="805052566">
      <w:bodyDiv w:val="1"/>
      <w:marLeft w:val="0"/>
      <w:marRight w:val="0"/>
      <w:marTop w:val="0"/>
      <w:marBottom w:val="0"/>
      <w:divBdr>
        <w:top w:val="none" w:sz="0" w:space="0" w:color="auto"/>
        <w:left w:val="none" w:sz="0" w:space="0" w:color="auto"/>
        <w:bottom w:val="none" w:sz="0" w:space="0" w:color="auto"/>
        <w:right w:val="none" w:sz="0" w:space="0" w:color="auto"/>
      </w:divBdr>
    </w:div>
    <w:div w:id="873276214">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78470872">
      <w:bodyDiv w:val="1"/>
      <w:marLeft w:val="0"/>
      <w:marRight w:val="0"/>
      <w:marTop w:val="0"/>
      <w:marBottom w:val="0"/>
      <w:divBdr>
        <w:top w:val="none" w:sz="0" w:space="0" w:color="auto"/>
        <w:left w:val="none" w:sz="0" w:space="0" w:color="auto"/>
        <w:bottom w:val="none" w:sz="0" w:space="0" w:color="auto"/>
        <w:right w:val="none" w:sz="0" w:space="0" w:color="auto"/>
      </w:divBdr>
    </w:div>
    <w:div w:id="888959482">
      <w:bodyDiv w:val="1"/>
      <w:marLeft w:val="0"/>
      <w:marRight w:val="0"/>
      <w:marTop w:val="0"/>
      <w:marBottom w:val="0"/>
      <w:divBdr>
        <w:top w:val="none" w:sz="0" w:space="0" w:color="auto"/>
        <w:left w:val="none" w:sz="0" w:space="0" w:color="auto"/>
        <w:bottom w:val="none" w:sz="0" w:space="0" w:color="auto"/>
        <w:right w:val="none" w:sz="0" w:space="0" w:color="auto"/>
      </w:divBdr>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2565844">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33366819">
      <w:bodyDiv w:val="1"/>
      <w:marLeft w:val="0"/>
      <w:marRight w:val="0"/>
      <w:marTop w:val="0"/>
      <w:marBottom w:val="0"/>
      <w:divBdr>
        <w:top w:val="none" w:sz="0" w:space="0" w:color="auto"/>
        <w:left w:val="none" w:sz="0" w:space="0" w:color="auto"/>
        <w:bottom w:val="none" w:sz="0" w:space="0" w:color="auto"/>
        <w:right w:val="none" w:sz="0" w:space="0" w:color="auto"/>
      </w:divBdr>
    </w:div>
    <w:div w:id="936212433">
      <w:bodyDiv w:val="1"/>
      <w:marLeft w:val="0"/>
      <w:marRight w:val="0"/>
      <w:marTop w:val="0"/>
      <w:marBottom w:val="0"/>
      <w:divBdr>
        <w:top w:val="none" w:sz="0" w:space="0" w:color="auto"/>
        <w:left w:val="none" w:sz="0" w:space="0" w:color="auto"/>
        <w:bottom w:val="none" w:sz="0" w:space="0" w:color="auto"/>
        <w:right w:val="none" w:sz="0" w:space="0" w:color="auto"/>
      </w:divBdr>
    </w:div>
    <w:div w:id="944003154">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008575">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0407316">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89676510">
      <w:bodyDiv w:val="1"/>
      <w:marLeft w:val="0"/>
      <w:marRight w:val="0"/>
      <w:marTop w:val="0"/>
      <w:marBottom w:val="0"/>
      <w:divBdr>
        <w:top w:val="none" w:sz="0" w:space="0" w:color="auto"/>
        <w:left w:val="none" w:sz="0" w:space="0" w:color="auto"/>
        <w:bottom w:val="none" w:sz="0" w:space="0" w:color="auto"/>
        <w:right w:val="none" w:sz="0" w:space="0" w:color="auto"/>
      </w:divBdr>
    </w:div>
    <w:div w:id="996423372">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4332446">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52073204">
      <w:bodyDiv w:val="1"/>
      <w:marLeft w:val="0"/>
      <w:marRight w:val="0"/>
      <w:marTop w:val="0"/>
      <w:marBottom w:val="0"/>
      <w:divBdr>
        <w:top w:val="none" w:sz="0" w:space="0" w:color="auto"/>
        <w:left w:val="none" w:sz="0" w:space="0" w:color="auto"/>
        <w:bottom w:val="none" w:sz="0" w:space="0" w:color="auto"/>
        <w:right w:val="none" w:sz="0" w:space="0" w:color="auto"/>
      </w:divBdr>
    </w:div>
    <w:div w:id="1062295792">
      <w:bodyDiv w:val="1"/>
      <w:marLeft w:val="0"/>
      <w:marRight w:val="0"/>
      <w:marTop w:val="0"/>
      <w:marBottom w:val="0"/>
      <w:divBdr>
        <w:top w:val="none" w:sz="0" w:space="0" w:color="auto"/>
        <w:left w:val="none" w:sz="0" w:space="0" w:color="auto"/>
        <w:bottom w:val="none" w:sz="0" w:space="0" w:color="auto"/>
        <w:right w:val="none" w:sz="0" w:space="0" w:color="auto"/>
      </w:divBdr>
    </w:div>
    <w:div w:id="1065877845">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1216906">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085107571">
      <w:bodyDiv w:val="1"/>
      <w:marLeft w:val="0"/>
      <w:marRight w:val="0"/>
      <w:marTop w:val="0"/>
      <w:marBottom w:val="0"/>
      <w:divBdr>
        <w:top w:val="none" w:sz="0" w:space="0" w:color="auto"/>
        <w:left w:val="none" w:sz="0" w:space="0" w:color="auto"/>
        <w:bottom w:val="none" w:sz="0" w:space="0" w:color="auto"/>
        <w:right w:val="none" w:sz="0" w:space="0" w:color="auto"/>
      </w:divBdr>
    </w:div>
    <w:div w:id="1100877130">
      <w:bodyDiv w:val="1"/>
      <w:marLeft w:val="0"/>
      <w:marRight w:val="0"/>
      <w:marTop w:val="0"/>
      <w:marBottom w:val="0"/>
      <w:divBdr>
        <w:top w:val="none" w:sz="0" w:space="0" w:color="auto"/>
        <w:left w:val="none" w:sz="0" w:space="0" w:color="auto"/>
        <w:bottom w:val="none" w:sz="0" w:space="0" w:color="auto"/>
        <w:right w:val="none" w:sz="0" w:space="0" w:color="auto"/>
      </w:divBdr>
    </w:div>
    <w:div w:id="112330762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35291331">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82474674">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37129508">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23507271">
      <w:bodyDiv w:val="1"/>
      <w:marLeft w:val="0"/>
      <w:marRight w:val="0"/>
      <w:marTop w:val="0"/>
      <w:marBottom w:val="0"/>
      <w:divBdr>
        <w:top w:val="none" w:sz="0" w:space="0" w:color="auto"/>
        <w:left w:val="none" w:sz="0" w:space="0" w:color="auto"/>
        <w:bottom w:val="none" w:sz="0" w:space="0" w:color="auto"/>
        <w:right w:val="none" w:sz="0" w:space="0" w:color="auto"/>
      </w:divBdr>
    </w:div>
    <w:div w:id="1331525969">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348747625">
      <w:bodyDiv w:val="1"/>
      <w:marLeft w:val="0"/>
      <w:marRight w:val="0"/>
      <w:marTop w:val="0"/>
      <w:marBottom w:val="0"/>
      <w:divBdr>
        <w:top w:val="none" w:sz="0" w:space="0" w:color="auto"/>
        <w:left w:val="none" w:sz="0" w:space="0" w:color="auto"/>
        <w:bottom w:val="none" w:sz="0" w:space="0" w:color="auto"/>
        <w:right w:val="none" w:sz="0" w:space="0" w:color="auto"/>
      </w:divBdr>
    </w:div>
    <w:div w:id="1357072729">
      <w:bodyDiv w:val="1"/>
      <w:marLeft w:val="0"/>
      <w:marRight w:val="0"/>
      <w:marTop w:val="0"/>
      <w:marBottom w:val="0"/>
      <w:divBdr>
        <w:top w:val="none" w:sz="0" w:space="0" w:color="auto"/>
        <w:left w:val="none" w:sz="0" w:space="0" w:color="auto"/>
        <w:bottom w:val="none" w:sz="0" w:space="0" w:color="auto"/>
        <w:right w:val="none" w:sz="0" w:space="0" w:color="auto"/>
      </w:divBdr>
    </w:div>
    <w:div w:id="1371879029">
      <w:bodyDiv w:val="1"/>
      <w:marLeft w:val="0"/>
      <w:marRight w:val="0"/>
      <w:marTop w:val="0"/>
      <w:marBottom w:val="0"/>
      <w:divBdr>
        <w:top w:val="none" w:sz="0" w:space="0" w:color="auto"/>
        <w:left w:val="none" w:sz="0" w:space="0" w:color="auto"/>
        <w:bottom w:val="none" w:sz="0" w:space="0" w:color="auto"/>
        <w:right w:val="none" w:sz="0" w:space="0" w:color="auto"/>
      </w:divBdr>
    </w:div>
    <w:div w:id="1386490523">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38215562">
      <w:bodyDiv w:val="1"/>
      <w:marLeft w:val="0"/>
      <w:marRight w:val="0"/>
      <w:marTop w:val="0"/>
      <w:marBottom w:val="0"/>
      <w:divBdr>
        <w:top w:val="none" w:sz="0" w:space="0" w:color="auto"/>
        <w:left w:val="none" w:sz="0" w:space="0" w:color="auto"/>
        <w:bottom w:val="none" w:sz="0" w:space="0" w:color="auto"/>
        <w:right w:val="none" w:sz="0" w:space="0" w:color="auto"/>
      </w:divBdr>
    </w:div>
    <w:div w:id="1441336285">
      <w:bodyDiv w:val="1"/>
      <w:marLeft w:val="0"/>
      <w:marRight w:val="0"/>
      <w:marTop w:val="0"/>
      <w:marBottom w:val="0"/>
      <w:divBdr>
        <w:top w:val="none" w:sz="0" w:space="0" w:color="auto"/>
        <w:left w:val="none" w:sz="0" w:space="0" w:color="auto"/>
        <w:bottom w:val="none" w:sz="0" w:space="0" w:color="auto"/>
        <w:right w:val="none" w:sz="0" w:space="0" w:color="auto"/>
      </w:divBdr>
    </w:div>
    <w:div w:id="1443525978">
      <w:bodyDiv w:val="1"/>
      <w:marLeft w:val="0"/>
      <w:marRight w:val="0"/>
      <w:marTop w:val="0"/>
      <w:marBottom w:val="0"/>
      <w:divBdr>
        <w:top w:val="none" w:sz="0" w:space="0" w:color="auto"/>
        <w:left w:val="none" w:sz="0" w:space="0" w:color="auto"/>
        <w:bottom w:val="none" w:sz="0" w:space="0" w:color="auto"/>
        <w:right w:val="none" w:sz="0" w:space="0" w:color="auto"/>
      </w:divBdr>
    </w:div>
    <w:div w:id="1458446982">
      <w:bodyDiv w:val="1"/>
      <w:marLeft w:val="0"/>
      <w:marRight w:val="0"/>
      <w:marTop w:val="0"/>
      <w:marBottom w:val="0"/>
      <w:divBdr>
        <w:top w:val="none" w:sz="0" w:space="0" w:color="auto"/>
        <w:left w:val="none" w:sz="0" w:space="0" w:color="auto"/>
        <w:bottom w:val="none" w:sz="0" w:space="0" w:color="auto"/>
        <w:right w:val="none" w:sz="0" w:space="0" w:color="auto"/>
      </w:divBdr>
    </w:div>
    <w:div w:id="1471827545">
      <w:bodyDiv w:val="1"/>
      <w:marLeft w:val="0"/>
      <w:marRight w:val="0"/>
      <w:marTop w:val="0"/>
      <w:marBottom w:val="0"/>
      <w:divBdr>
        <w:top w:val="none" w:sz="0" w:space="0" w:color="auto"/>
        <w:left w:val="none" w:sz="0" w:space="0" w:color="auto"/>
        <w:bottom w:val="none" w:sz="0" w:space="0" w:color="auto"/>
        <w:right w:val="none" w:sz="0" w:space="0" w:color="auto"/>
      </w:divBdr>
    </w:div>
    <w:div w:id="1485899675">
      <w:bodyDiv w:val="1"/>
      <w:marLeft w:val="0"/>
      <w:marRight w:val="0"/>
      <w:marTop w:val="0"/>
      <w:marBottom w:val="0"/>
      <w:divBdr>
        <w:top w:val="none" w:sz="0" w:space="0" w:color="auto"/>
        <w:left w:val="none" w:sz="0" w:space="0" w:color="auto"/>
        <w:bottom w:val="none" w:sz="0" w:space="0" w:color="auto"/>
        <w:right w:val="none" w:sz="0" w:space="0" w:color="auto"/>
      </w:divBdr>
    </w:div>
    <w:div w:id="1514613342">
      <w:bodyDiv w:val="1"/>
      <w:marLeft w:val="0"/>
      <w:marRight w:val="0"/>
      <w:marTop w:val="0"/>
      <w:marBottom w:val="0"/>
      <w:divBdr>
        <w:top w:val="none" w:sz="0" w:space="0" w:color="auto"/>
        <w:left w:val="none" w:sz="0" w:space="0" w:color="auto"/>
        <w:bottom w:val="none" w:sz="0" w:space="0" w:color="auto"/>
        <w:right w:val="none" w:sz="0" w:space="0" w:color="auto"/>
      </w:divBdr>
    </w:div>
    <w:div w:id="1514805560">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03487534">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38222136">
      <w:bodyDiv w:val="1"/>
      <w:marLeft w:val="0"/>
      <w:marRight w:val="0"/>
      <w:marTop w:val="0"/>
      <w:marBottom w:val="0"/>
      <w:divBdr>
        <w:top w:val="none" w:sz="0" w:space="0" w:color="auto"/>
        <w:left w:val="none" w:sz="0" w:space="0" w:color="auto"/>
        <w:bottom w:val="none" w:sz="0" w:space="0" w:color="auto"/>
        <w:right w:val="none" w:sz="0" w:space="0" w:color="auto"/>
      </w:divBdr>
    </w:div>
    <w:div w:id="1638875359">
      <w:bodyDiv w:val="1"/>
      <w:marLeft w:val="0"/>
      <w:marRight w:val="0"/>
      <w:marTop w:val="0"/>
      <w:marBottom w:val="0"/>
      <w:divBdr>
        <w:top w:val="none" w:sz="0" w:space="0" w:color="auto"/>
        <w:left w:val="none" w:sz="0" w:space="0" w:color="auto"/>
        <w:bottom w:val="none" w:sz="0" w:space="0" w:color="auto"/>
        <w:right w:val="none" w:sz="0" w:space="0" w:color="auto"/>
      </w:divBdr>
    </w:div>
    <w:div w:id="1658922157">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15077641">
      <w:bodyDiv w:val="1"/>
      <w:marLeft w:val="0"/>
      <w:marRight w:val="0"/>
      <w:marTop w:val="0"/>
      <w:marBottom w:val="0"/>
      <w:divBdr>
        <w:top w:val="none" w:sz="0" w:space="0" w:color="auto"/>
        <w:left w:val="none" w:sz="0" w:space="0" w:color="auto"/>
        <w:bottom w:val="none" w:sz="0" w:space="0" w:color="auto"/>
        <w:right w:val="none" w:sz="0" w:space="0" w:color="auto"/>
      </w:divBdr>
    </w:div>
    <w:div w:id="1720394732">
      <w:bodyDiv w:val="1"/>
      <w:marLeft w:val="0"/>
      <w:marRight w:val="0"/>
      <w:marTop w:val="0"/>
      <w:marBottom w:val="0"/>
      <w:divBdr>
        <w:top w:val="none" w:sz="0" w:space="0" w:color="auto"/>
        <w:left w:val="none" w:sz="0" w:space="0" w:color="auto"/>
        <w:bottom w:val="none" w:sz="0" w:space="0" w:color="auto"/>
        <w:right w:val="none" w:sz="0" w:space="0" w:color="auto"/>
      </w:divBdr>
    </w:div>
    <w:div w:id="1722360359">
      <w:bodyDiv w:val="1"/>
      <w:marLeft w:val="0"/>
      <w:marRight w:val="0"/>
      <w:marTop w:val="0"/>
      <w:marBottom w:val="0"/>
      <w:divBdr>
        <w:top w:val="none" w:sz="0" w:space="0" w:color="auto"/>
        <w:left w:val="none" w:sz="0" w:space="0" w:color="auto"/>
        <w:bottom w:val="none" w:sz="0" w:space="0" w:color="auto"/>
        <w:right w:val="none" w:sz="0" w:space="0" w:color="auto"/>
      </w:divBdr>
    </w:div>
    <w:div w:id="1723941452">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50301525">
      <w:bodyDiv w:val="1"/>
      <w:marLeft w:val="0"/>
      <w:marRight w:val="0"/>
      <w:marTop w:val="0"/>
      <w:marBottom w:val="0"/>
      <w:divBdr>
        <w:top w:val="none" w:sz="0" w:space="0" w:color="auto"/>
        <w:left w:val="none" w:sz="0" w:space="0" w:color="auto"/>
        <w:bottom w:val="none" w:sz="0" w:space="0" w:color="auto"/>
        <w:right w:val="none" w:sz="0" w:space="0" w:color="auto"/>
      </w:divBdr>
    </w:div>
    <w:div w:id="1761640282">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01535277">
      <w:bodyDiv w:val="1"/>
      <w:marLeft w:val="0"/>
      <w:marRight w:val="0"/>
      <w:marTop w:val="0"/>
      <w:marBottom w:val="0"/>
      <w:divBdr>
        <w:top w:val="none" w:sz="0" w:space="0" w:color="auto"/>
        <w:left w:val="none" w:sz="0" w:space="0" w:color="auto"/>
        <w:bottom w:val="none" w:sz="0" w:space="0" w:color="auto"/>
        <w:right w:val="none" w:sz="0" w:space="0" w:color="auto"/>
      </w:divBdr>
    </w:div>
    <w:div w:id="1811971299">
      <w:bodyDiv w:val="1"/>
      <w:marLeft w:val="0"/>
      <w:marRight w:val="0"/>
      <w:marTop w:val="0"/>
      <w:marBottom w:val="0"/>
      <w:divBdr>
        <w:top w:val="none" w:sz="0" w:space="0" w:color="auto"/>
        <w:left w:val="none" w:sz="0" w:space="0" w:color="auto"/>
        <w:bottom w:val="none" w:sz="0" w:space="0" w:color="auto"/>
        <w:right w:val="none" w:sz="0" w:space="0" w:color="auto"/>
      </w:divBdr>
    </w:div>
    <w:div w:id="1823277773">
      <w:bodyDiv w:val="1"/>
      <w:marLeft w:val="0"/>
      <w:marRight w:val="0"/>
      <w:marTop w:val="0"/>
      <w:marBottom w:val="0"/>
      <w:divBdr>
        <w:top w:val="none" w:sz="0" w:space="0" w:color="auto"/>
        <w:left w:val="none" w:sz="0" w:space="0" w:color="auto"/>
        <w:bottom w:val="none" w:sz="0" w:space="0" w:color="auto"/>
        <w:right w:val="none" w:sz="0" w:space="0" w:color="auto"/>
      </w:divBdr>
    </w:div>
    <w:div w:id="1823959187">
      <w:bodyDiv w:val="1"/>
      <w:marLeft w:val="0"/>
      <w:marRight w:val="0"/>
      <w:marTop w:val="0"/>
      <w:marBottom w:val="0"/>
      <w:divBdr>
        <w:top w:val="none" w:sz="0" w:space="0" w:color="auto"/>
        <w:left w:val="none" w:sz="0" w:space="0" w:color="auto"/>
        <w:bottom w:val="none" w:sz="0" w:space="0" w:color="auto"/>
        <w:right w:val="none" w:sz="0" w:space="0" w:color="auto"/>
      </w:divBdr>
    </w:div>
    <w:div w:id="1835030721">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69441199">
      <w:bodyDiv w:val="1"/>
      <w:marLeft w:val="0"/>
      <w:marRight w:val="0"/>
      <w:marTop w:val="0"/>
      <w:marBottom w:val="0"/>
      <w:divBdr>
        <w:top w:val="none" w:sz="0" w:space="0" w:color="auto"/>
        <w:left w:val="none" w:sz="0" w:space="0" w:color="auto"/>
        <w:bottom w:val="none" w:sz="0" w:space="0" w:color="auto"/>
        <w:right w:val="none" w:sz="0" w:space="0" w:color="auto"/>
      </w:divBdr>
    </w:div>
    <w:div w:id="1879733716">
      <w:bodyDiv w:val="1"/>
      <w:marLeft w:val="0"/>
      <w:marRight w:val="0"/>
      <w:marTop w:val="0"/>
      <w:marBottom w:val="0"/>
      <w:divBdr>
        <w:top w:val="none" w:sz="0" w:space="0" w:color="auto"/>
        <w:left w:val="none" w:sz="0" w:space="0" w:color="auto"/>
        <w:bottom w:val="none" w:sz="0" w:space="0" w:color="auto"/>
        <w:right w:val="none" w:sz="0" w:space="0" w:color="auto"/>
      </w:divBdr>
    </w:div>
    <w:div w:id="1895309382">
      <w:bodyDiv w:val="1"/>
      <w:marLeft w:val="0"/>
      <w:marRight w:val="0"/>
      <w:marTop w:val="0"/>
      <w:marBottom w:val="0"/>
      <w:divBdr>
        <w:top w:val="none" w:sz="0" w:space="0" w:color="auto"/>
        <w:left w:val="none" w:sz="0" w:space="0" w:color="auto"/>
        <w:bottom w:val="none" w:sz="0" w:space="0" w:color="auto"/>
        <w:right w:val="none" w:sz="0" w:space="0" w:color="auto"/>
      </w:divBdr>
    </w:div>
    <w:div w:id="190159435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48538788">
      <w:bodyDiv w:val="1"/>
      <w:marLeft w:val="0"/>
      <w:marRight w:val="0"/>
      <w:marTop w:val="0"/>
      <w:marBottom w:val="0"/>
      <w:divBdr>
        <w:top w:val="none" w:sz="0" w:space="0" w:color="auto"/>
        <w:left w:val="none" w:sz="0" w:space="0" w:color="auto"/>
        <w:bottom w:val="none" w:sz="0" w:space="0" w:color="auto"/>
        <w:right w:val="none" w:sz="0" w:space="0" w:color="auto"/>
      </w:divBdr>
    </w:div>
    <w:div w:id="1954094138">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1962373502">
      <w:bodyDiv w:val="1"/>
      <w:marLeft w:val="0"/>
      <w:marRight w:val="0"/>
      <w:marTop w:val="0"/>
      <w:marBottom w:val="0"/>
      <w:divBdr>
        <w:top w:val="none" w:sz="0" w:space="0" w:color="auto"/>
        <w:left w:val="none" w:sz="0" w:space="0" w:color="auto"/>
        <w:bottom w:val="none" w:sz="0" w:space="0" w:color="auto"/>
        <w:right w:val="none" w:sz="0" w:space="0" w:color="auto"/>
      </w:divBdr>
    </w:div>
    <w:div w:id="1977639373">
      <w:bodyDiv w:val="1"/>
      <w:marLeft w:val="0"/>
      <w:marRight w:val="0"/>
      <w:marTop w:val="0"/>
      <w:marBottom w:val="0"/>
      <w:divBdr>
        <w:top w:val="none" w:sz="0" w:space="0" w:color="auto"/>
        <w:left w:val="none" w:sz="0" w:space="0" w:color="auto"/>
        <w:bottom w:val="none" w:sz="0" w:space="0" w:color="auto"/>
        <w:right w:val="none" w:sz="0" w:space="0" w:color="auto"/>
      </w:divBdr>
    </w:div>
    <w:div w:id="1986348586">
      <w:bodyDiv w:val="1"/>
      <w:marLeft w:val="0"/>
      <w:marRight w:val="0"/>
      <w:marTop w:val="0"/>
      <w:marBottom w:val="0"/>
      <w:divBdr>
        <w:top w:val="none" w:sz="0" w:space="0" w:color="auto"/>
        <w:left w:val="none" w:sz="0" w:space="0" w:color="auto"/>
        <w:bottom w:val="none" w:sz="0" w:space="0" w:color="auto"/>
        <w:right w:val="none" w:sz="0" w:space="0" w:color="auto"/>
      </w:divBdr>
    </w:div>
    <w:div w:id="1999066944">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3502984">
      <w:bodyDiv w:val="1"/>
      <w:marLeft w:val="0"/>
      <w:marRight w:val="0"/>
      <w:marTop w:val="0"/>
      <w:marBottom w:val="0"/>
      <w:divBdr>
        <w:top w:val="none" w:sz="0" w:space="0" w:color="auto"/>
        <w:left w:val="none" w:sz="0" w:space="0" w:color="auto"/>
        <w:bottom w:val="none" w:sz="0" w:space="0" w:color="auto"/>
        <w:right w:val="none" w:sz="0" w:space="0" w:color="auto"/>
      </w:divBdr>
    </w:div>
    <w:div w:id="2004816403">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07434062">
      <w:bodyDiv w:val="1"/>
      <w:marLeft w:val="0"/>
      <w:marRight w:val="0"/>
      <w:marTop w:val="0"/>
      <w:marBottom w:val="0"/>
      <w:divBdr>
        <w:top w:val="none" w:sz="0" w:space="0" w:color="auto"/>
        <w:left w:val="none" w:sz="0" w:space="0" w:color="auto"/>
        <w:bottom w:val="none" w:sz="0" w:space="0" w:color="auto"/>
        <w:right w:val="none" w:sz="0" w:space="0" w:color="auto"/>
      </w:divBdr>
    </w:div>
    <w:div w:id="2014531991">
      <w:bodyDiv w:val="1"/>
      <w:marLeft w:val="0"/>
      <w:marRight w:val="0"/>
      <w:marTop w:val="0"/>
      <w:marBottom w:val="0"/>
      <w:divBdr>
        <w:top w:val="none" w:sz="0" w:space="0" w:color="auto"/>
        <w:left w:val="none" w:sz="0" w:space="0" w:color="auto"/>
        <w:bottom w:val="none" w:sz="0" w:space="0" w:color="auto"/>
        <w:right w:val="none" w:sz="0" w:space="0" w:color="auto"/>
      </w:divBdr>
    </w:div>
    <w:div w:id="2034842731">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46061304">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64980074">
      <w:bodyDiv w:val="1"/>
      <w:marLeft w:val="0"/>
      <w:marRight w:val="0"/>
      <w:marTop w:val="0"/>
      <w:marBottom w:val="0"/>
      <w:divBdr>
        <w:top w:val="none" w:sz="0" w:space="0" w:color="auto"/>
        <w:left w:val="none" w:sz="0" w:space="0" w:color="auto"/>
        <w:bottom w:val="none" w:sz="0" w:space="0" w:color="auto"/>
        <w:right w:val="none" w:sz="0" w:space="0" w:color="auto"/>
      </w:divBdr>
    </w:div>
    <w:div w:id="2077628292">
      <w:bodyDiv w:val="1"/>
      <w:marLeft w:val="0"/>
      <w:marRight w:val="0"/>
      <w:marTop w:val="0"/>
      <w:marBottom w:val="0"/>
      <w:divBdr>
        <w:top w:val="none" w:sz="0" w:space="0" w:color="auto"/>
        <w:left w:val="none" w:sz="0" w:space="0" w:color="auto"/>
        <w:bottom w:val="none" w:sz="0" w:space="0" w:color="auto"/>
        <w:right w:val="none" w:sz="0" w:space="0" w:color="auto"/>
      </w:divBdr>
    </w:div>
    <w:div w:id="2083717506">
      <w:bodyDiv w:val="1"/>
      <w:marLeft w:val="0"/>
      <w:marRight w:val="0"/>
      <w:marTop w:val="0"/>
      <w:marBottom w:val="0"/>
      <w:divBdr>
        <w:top w:val="none" w:sz="0" w:space="0" w:color="auto"/>
        <w:left w:val="none" w:sz="0" w:space="0" w:color="auto"/>
        <w:bottom w:val="none" w:sz="0" w:space="0" w:color="auto"/>
        <w:right w:val="none" w:sz="0" w:space="0" w:color="auto"/>
      </w:divBdr>
    </w:div>
    <w:div w:id="2092652116">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1451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tiff"/><Relationship Id="rId21" Type="http://schemas.openxmlformats.org/officeDocument/2006/relationships/header" Target="header7.xml"/><Relationship Id="rId42" Type="http://schemas.openxmlformats.org/officeDocument/2006/relationships/hyperlink" Target="https://www.pbs.gov.au/medicine/item/1209P" TargetMode="External"/><Relationship Id="rId47" Type="http://schemas.openxmlformats.org/officeDocument/2006/relationships/hyperlink" Target="http://www9.health.gov.au/mbs/fullDisplay.cfm?type=item&amp;qt=ItemID&amp;q=105" TargetMode="External"/><Relationship Id="rId63" Type="http://schemas.openxmlformats.org/officeDocument/2006/relationships/hyperlink" Target="https://www.aihw.gov.au/reports/cancer/cancer-in-australia-2019" TargetMode="External"/><Relationship Id="rId6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emf"/><Relationship Id="rId11" Type="http://schemas.openxmlformats.org/officeDocument/2006/relationships/hyperlink" Target="mailto:hta@health.gov.au" TargetMode="External"/><Relationship Id="rId24" Type="http://schemas.openxmlformats.org/officeDocument/2006/relationships/image" Target="media/image2.jpg"/><Relationship Id="rId32" Type="http://schemas.openxmlformats.org/officeDocument/2006/relationships/hyperlink" Target="https://www.cadth.ca" TargetMode="External"/><Relationship Id="rId37" Type="http://schemas.openxmlformats.org/officeDocument/2006/relationships/hyperlink" Target="https://www.aihw.gov.au/reports/radiotherapy/radiotherapy-in-australia-2018-19/contents/radiotherapy-courses" TargetMode="External"/><Relationship Id="rId40" Type="http://schemas.openxmlformats.org/officeDocument/2006/relationships/hyperlink" Target="http://www9.health.gov.au/mbs/fullDisplay.cfm?type=item&amp;q=104&amp;qt=item&amp;criteria=104" TargetMode="External"/><Relationship Id="rId45" Type="http://schemas.openxmlformats.org/officeDocument/2006/relationships/hyperlink" Target="http://www9.health.gov.au/mbs/fullDisplay.cfm?type=item&amp;q=15565&amp;qt=ItemID" TargetMode="External"/><Relationship Id="rId53" Type="http://schemas.openxmlformats.org/officeDocument/2006/relationships/hyperlink" Target="https://www.pbs.gov.au/medicine/item/4321K-5146W" TargetMode="External"/><Relationship Id="rId58" Type="http://schemas.openxmlformats.org/officeDocument/2006/relationships/hyperlink" Target="http://www9.health.gov.au/mbs/fullDisplay.cfm?type=item&amp;q=66716&amp;qt=item&amp;criteria=66716" TargetMode="External"/><Relationship Id="rId66" Type="http://schemas.openxmlformats.org/officeDocument/2006/relationships/hyperlink" Target="https://www.canceraustralia.gov.au/affected-cancer/treatment/radiation-therapy"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3.xml"/><Relationship Id="rId30" Type="http://schemas.openxmlformats.org/officeDocument/2006/relationships/image" Target="media/image7.emf"/><Relationship Id="rId35" Type="http://schemas.openxmlformats.org/officeDocument/2006/relationships/hyperlink" Target="https://www.aihw.gov.au/reports/cancer/cancer-data-in-australia/contents/cancer-summary-data-visualisation" TargetMode="External"/><Relationship Id="rId43" Type="http://schemas.openxmlformats.org/officeDocument/2006/relationships/hyperlink" Target="http://www9.health.gov.au/mbs/fullDisplay.cfm?type=item&amp;q=15275&amp;qt=ItemID" TargetMode="External"/><Relationship Id="rId48" Type="http://schemas.openxmlformats.org/officeDocument/2006/relationships/hyperlink" Target="https://www.pbs.gov.au/medicine/item/10592L" TargetMode="External"/><Relationship Id="rId56" Type="http://schemas.openxmlformats.org/officeDocument/2006/relationships/hyperlink" Target="http://www9.health.gov.au/mbs/fullDisplay.cfm?type=item&amp;q=65070&amp;qt=item&amp;criteria=65070" TargetMode="External"/><Relationship Id="rId64" Type="http://schemas.openxmlformats.org/officeDocument/2006/relationships/hyperlink" Target="https://www.aihw.gov.au/reports/cancer/cancer-data-in-australia/contents/cancer-summary-data-visualisation" TargetMode="External"/><Relationship Id="rId69" Type="http://schemas.openxmlformats.org/officeDocument/2006/relationships/header" Target="header10.xml"/><Relationship Id="rId8" Type="http://schemas.openxmlformats.org/officeDocument/2006/relationships/hyperlink" Target="http://www.msac.gov.au/" TargetMode="External"/><Relationship Id="rId51" Type="http://schemas.openxmlformats.org/officeDocument/2006/relationships/hyperlink" Target="https://www.pbs.gov.au/medicine/item/10831C-11710H-1502C-2441L-2881P-2882Q-5113D-5114E-5516H" TargetMode="External"/><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3.tiff"/><Relationship Id="rId33" Type="http://schemas.openxmlformats.org/officeDocument/2006/relationships/image" Target="media/image8.png"/><Relationship Id="rId38" Type="http://schemas.openxmlformats.org/officeDocument/2006/relationships/hyperlink" Target="http://www9.health.gov.au/mbs/fullDisplay.cfm?type=item&amp;q=37217&amp;qt=item&amp;criteria=37217" TargetMode="External"/><Relationship Id="rId46" Type="http://schemas.openxmlformats.org/officeDocument/2006/relationships/hyperlink" Target="http://www9.health.gov.au/mbs/fullDisplay.cfm?type=item&amp;qt=ItemID&amp;q=23" TargetMode="External"/><Relationship Id="rId59" Type="http://schemas.openxmlformats.org/officeDocument/2006/relationships/hyperlink" Target="http://www9.health.gov.au/mbs/fullDisplay.cfm?type=item&amp;q=58900&amp;qt=item&amp;criteria=58900" TargetMode="External"/><Relationship Id="rId67" Type="http://schemas.openxmlformats.org/officeDocument/2006/relationships/hyperlink" Target="https://www.cancercouncil.com.au/cancer-information/cancer-treatment/radiation-therapy/" TargetMode="External"/><Relationship Id="rId20" Type="http://schemas.openxmlformats.org/officeDocument/2006/relationships/header" Target="header6.xml"/><Relationship Id="rId41" Type="http://schemas.openxmlformats.org/officeDocument/2006/relationships/hyperlink" Target="http://www9.health.gov.au/mbs/fullDisplay.cfm?type=item&amp;q=21980&amp;qt=item" TargetMode="External"/><Relationship Id="rId54" Type="http://schemas.openxmlformats.org/officeDocument/2006/relationships/hyperlink" Target="https://www.pbs.gov.au/medicine/item/4422r" TargetMode="External"/><Relationship Id="rId62" Type="http://schemas.openxmlformats.org/officeDocument/2006/relationships/footer" Target="footer5.xm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ebs.tga.gov.au/" TargetMode="External"/><Relationship Id="rId28" Type="http://schemas.openxmlformats.org/officeDocument/2006/relationships/image" Target="media/image5.emf"/><Relationship Id="rId36" Type="http://schemas.openxmlformats.org/officeDocument/2006/relationships/hyperlink" Target="https://www.aihw.gov.au/reports/radiotherapy/radiotherapy-in-australia-2018-19/contents/radiotherapy-courses" TargetMode="External"/><Relationship Id="rId49" Type="http://schemas.openxmlformats.org/officeDocument/2006/relationships/hyperlink" Target="https://www.pbs.gov.au/medicine/item/10831C-11710H-1502C-2441L-2881P-2882Q-5113D-5114E-5516H" TargetMode="External"/><Relationship Id="rId57" Type="http://schemas.openxmlformats.org/officeDocument/2006/relationships/hyperlink" Target="http://www9.health.gov.au/mbs/fullDisplay.cfm?type=item&amp;qt=ItemID&amp;q=32084" TargetMode="External"/><Relationship Id="rId10" Type="http://schemas.openxmlformats.org/officeDocument/2006/relationships/hyperlink" Target="http://www.msac.gov.au/" TargetMode="External"/><Relationship Id="rId31" Type="http://schemas.openxmlformats.org/officeDocument/2006/relationships/hyperlink" Target="https://www.journalslibrary.nihr.ac.uk" TargetMode="External"/><Relationship Id="rId44" Type="http://schemas.openxmlformats.org/officeDocument/2006/relationships/hyperlink" Target="http://www9.health.gov.au/mbs/fullDisplay.cfm?type=item&amp;q=15555&amp;qt=ItemID" TargetMode="External"/><Relationship Id="rId52" Type="http://schemas.openxmlformats.org/officeDocument/2006/relationships/hyperlink" Target="http://www9.health.gov.au/mbs/fullDisplay.cfm?type=item&amp;q=11900&amp;qt=item&amp;criteria=11900" TargetMode="External"/><Relationship Id="rId60" Type="http://schemas.openxmlformats.org/officeDocument/2006/relationships/hyperlink" Target="http://www9.health.gov.au/mbs/fullDisplay.cfm?type=item&amp;q=10954&amp;qt=item&amp;criteria=10954" TargetMode="External"/><Relationship Id="rId65" Type="http://schemas.openxmlformats.org/officeDocument/2006/relationships/hyperlink" Target="https://www.aihw.gov.au/reports/radiotherapy/radiotherapy-in-australia-2018-19"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g.gov.au/" TargetMode="Externa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www9.health.gov.au/mbs/fullDisplay.cfm?type=item&amp;q=55603&amp;qt=item&amp;criteria=55603" TargetMode="External"/><Relationship Id="rId34" Type="http://schemas.openxmlformats.org/officeDocument/2006/relationships/hyperlink" Target="https://ncci.canceraustralia.gov.au/diagnosis/cancer-incidence/cancer-incidence" TargetMode="External"/><Relationship Id="rId50" Type="http://schemas.openxmlformats.org/officeDocument/2006/relationships/hyperlink" Target="https://www.pbs.gov.au/medicine/item/4049D" TargetMode="External"/><Relationship Id="rId55" Type="http://schemas.openxmlformats.org/officeDocument/2006/relationships/hyperlink" Target="https://www.pbs.gov.au/medicine/item/12022R-12066C-1215Y-3316M-4275B" TargetMode="External"/><Relationship Id="rId7" Type="http://schemas.openxmlformats.org/officeDocument/2006/relationships/endnotes" Target="endnotes.xml"/><Relationship Id="rId7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s://ctep.cancer.gov/protocolDevelopment/electronic_applications/ctc.htm" TargetMode="External"/><Relationship Id="rId1" Type="http://schemas.openxmlformats.org/officeDocument/2006/relationships/hyperlink" Target="https://www.ncbi.nlm.nih.gov/books/NBK115843/bin/appe-fm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4D742-472A-4586-A215-675F7D184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50113</Words>
  <Characters>824166</Characters>
  <Application>Microsoft Office Word</Application>
  <DocSecurity>0</DocSecurity>
  <Lines>6868</Lines>
  <Paragraphs>1745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2021-12-08T00:57:00Z</dcterms:created>
  <dcterms:modified xsi:type="dcterms:W3CDTF">2021-12-08T01:18:00Z</dcterms:modified>
</cp:coreProperties>
</file>