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78039"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099EE19C" wp14:editId="2F41DAE4">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F2F05AB"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69F92771" w14:textId="77777777" w:rsidR="00BC1364" w:rsidRPr="00F715D1" w:rsidRDefault="00BC1364" w:rsidP="00F715D1">
      <w:pPr>
        <w:pStyle w:val="Subtitle"/>
      </w:pPr>
      <w:r w:rsidRPr="00F715D1">
        <w:t xml:space="preserve">Application No. </w:t>
      </w:r>
      <w:r w:rsidR="003B6286" w:rsidRPr="003B6286">
        <w:t>1485 – Sentinel Lymph Node Biopsy (SLNB) for intermediate thickness and thick melanoma</w:t>
      </w:r>
    </w:p>
    <w:p w14:paraId="166B0E58" w14:textId="77777777" w:rsidR="00BC1364" w:rsidRPr="00F715D1" w:rsidRDefault="00B35595" w:rsidP="00270C0B">
      <w:pPr>
        <w:tabs>
          <w:tab w:val="left" w:pos="3686"/>
        </w:tabs>
        <w:spacing w:before="360"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AF229E">
        <w:rPr>
          <w:rFonts w:ascii="Arial" w:hAnsi="Arial" w:cs="Arial"/>
          <w:b/>
          <w:szCs w:val="24"/>
        </w:rPr>
        <w:t xml:space="preserve">Australian Society of Specialist </w:t>
      </w:r>
      <w:r w:rsidR="003B6286">
        <w:rPr>
          <w:rFonts w:ascii="Arial" w:hAnsi="Arial" w:cs="Arial"/>
          <w:b/>
          <w:szCs w:val="24"/>
        </w:rPr>
        <w:t xml:space="preserve">General </w:t>
      </w:r>
      <w:r w:rsidR="00AF229E">
        <w:rPr>
          <w:rFonts w:ascii="Arial" w:hAnsi="Arial" w:cs="Arial"/>
          <w:b/>
          <w:szCs w:val="24"/>
        </w:rPr>
        <w:tab/>
      </w:r>
      <w:r w:rsidR="003B6286">
        <w:rPr>
          <w:rFonts w:ascii="Arial" w:hAnsi="Arial" w:cs="Arial"/>
          <w:b/>
          <w:szCs w:val="24"/>
        </w:rPr>
        <w:t xml:space="preserve">Surgeons </w:t>
      </w:r>
    </w:p>
    <w:p w14:paraId="2411F5DA"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3B6286">
        <w:rPr>
          <w:rFonts w:ascii="Arial" w:hAnsi="Arial" w:cs="Arial"/>
          <w:b/>
          <w:szCs w:val="24"/>
        </w:rPr>
        <w:t>73</w:t>
      </w:r>
      <w:r w:rsidR="003B6286" w:rsidRPr="003B6286">
        <w:rPr>
          <w:rFonts w:ascii="Arial" w:hAnsi="Arial" w:cs="Arial"/>
          <w:b/>
          <w:szCs w:val="24"/>
          <w:vertAlign w:val="superscript"/>
        </w:rPr>
        <w:t>rd</w:t>
      </w:r>
      <w:r w:rsidR="003B6286">
        <w:rPr>
          <w:rFonts w:ascii="Arial" w:hAnsi="Arial" w:cs="Arial"/>
          <w:b/>
          <w:szCs w:val="24"/>
        </w:rPr>
        <w:t xml:space="preserve"> </w:t>
      </w:r>
      <w:r w:rsidRPr="00F715D1">
        <w:rPr>
          <w:rFonts w:ascii="Arial" w:hAnsi="Arial" w:cs="Arial"/>
          <w:b/>
          <w:szCs w:val="24"/>
        </w:rPr>
        <w:t xml:space="preserve">Meeting, </w:t>
      </w:r>
      <w:r w:rsidR="003B6286">
        <w:rPr>
          <w:rFonts w:ascii="Arial" w:hAnsi="Arial" w:cs="Arial"/>
          <w:b/>
          <w:szCs w:val="24"/>
        </w:rPr>
        <w:t>26-27 July 2018</w:t>
      </w:r>
    </w:p>
    <w:p w14:paraId="6011624B"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15F4B6A2" w14:textId="77777777" w:rsidR="003D7F29" w:rsidRPr="00F715D1" w:rsidRDefault="003D7F29" w:rsidP="00F715D1">
      <w:pPr>
        <w:pStyle w:val="Heading1"/>
      </w:pPr>
      <w:r w:rsidRPr="00F715D1">
        <w:t>Purpose of application</w:t>
      </w:r>
      <w:r w:rsidR="00822C7E" w:rsidRPr="00F715D1">
        <w:t xml:space="preserve"> </w:t>
      </w:r>
    </w:p>
    <w:p w14:paraId="680F2117" w14:textId="77777777" w:rsidR="00361C72" w:rsidRDefault="00270C0B" w:rsidP="00361C72">
      <w:pPr>
        <w:tabs>
          <w:tab w:val="left" w:pos="720"/>
          <w:tab w:val="left" w:pos="1140"/>
        </w:tabs>
      </w:pPr>
      <w:r>
        <w:rPr>
          <w:szCs w:val="24"/>
        </w:rPr>
        <w:t>An</w:t>
      </w:r>
      <w:r w:rsidRPr="00F203BC">
        <w:rPr>
          <w:szCs w:val="24"/>
        </w:rPr>
        <w:t xml:space="preserve"> application </w:t>
      </w:r>
      <w:r>
        <w:t>requesting Medicare Benefit Schedule</w:t>
      </w:r>
      <w:r w:rsidRPr="00C34F01">
        <w:t xml:space="preserve"> </w:t>
      </w:r>
      <w:r>
        <w:t>(MBS) listing</w:t>
      </w:r>
      <w:r w:rsidRPr="00C34F01">
        <w:t xml:space="preserve"> for</w:t>
      </w:r>
      <w:r>
        <w:rPr>
          <w:szCs w:val="24"/>
        </w:rPr>
        <w:t xml:space="preserve"> </w:t>
      </w:r>
      <w:r w:rsidR="00361C72" w:rsidRPr="001E0838">
        <w:t>sentinel lymph node biopsy (</w:t>
      </w:r>
      <w:r w:rsidR="00361C72">
        <w:t>SLNB</w:t>
      </w:r>
      <w:r w:rsidR="00361C72" w:rsidRPr="001E0838">
        <w:t xml:space="preserve">) in patients with intermediate thickness (&gt;1 to 4 mm) and thick (&gt;4 mm) melanoma </w:t>
      </w:r>
      <w:r>
        <w:t xml:space="preserve">was </w:t>
      </w:r>
      <w:r w:rsidRPr="000C4999">
        <w:rPr>
          <w:szCs w:val="24"/>
        </w:rPr>
        <w:t xml:space="preserve">received </w:t>
      </w:r>
      <w:r>
        <w:rPr>
          <w:szCs w:val="24"/>
        </w:rPr>
        <w:t xml:space="preserve">from </w:t>
      </w:r>
      <w:r w:rsidRPr="00270C0B">
        <w:rPr>
          <w:szCs w:val="24"/>
        </w:rPr>
        <w:t>Australian</w:t>
      </w:r>
      <w:r>
        <w:rPr>
          <w:szCs w:val="24"/>
        </w:rPr>
        <w:t xml:space="preserve"> Society of Specialist General </w:t>
      </w:r>
      <w:r w:rsidRPr="00270C0B">
        <w:rPr>
          <w:szCs w:val="24"/>
        </w:rPr>
        <w:t>Surgeons</w:t>
      </w:r>
      <w:r>
        <w:rPr>
          <w:szCs w:val="24"/>
        </w:rPr>
        <w:t xml:space="preserve"> by the </w:t>
      </w:r>
      <w:r w:rsidRPr="000C4999">
        <w:rPr>
          <w:szCs w:val="24"/>
        </w:rPr>
        <w:t>Department of Health</w:t>
      </w:r>
      <w:r w:rsidR="00361C72" w:rsidRPr="001E0838">
        <w:t>.</w:t>
      </w:r>
    </w:p>
    <w:p w14:paraId="2775710F" w14:textId="77777777" w:rsidR="00E977EE" w:rsidRPr="00F715D1" w:rsidRDefault="00E977EE" w:rsidP="00F715D1">
      <w:pPr>
        <w:pStyle w:val="Heading1"/>
      </w:pPr>
      <w:r w:rsidRPr="00F715D1">
        <w:t>MSAC’s advice to the Minister</w:t>
      </w:r>
    </w:p>
    <w:p w14:paraId="5F7F1008" w14:textId="77777777" w:rsidR="00CD7F53" w:rsidRDefault="00CD7F53" w:rsidP="00CD7F53">
      <w:r w:rsidRPr="00CA5587">
        <w:t xml:space="preserve">After considering the strength of the available evidence in relation to comparative safety, clinical effectiveness </w:t>
      </w:r>
      <w:r w:rsidRPr="009B1A8E">
        <w:t>and</w:t>
      </w:r>
      <w:r>
        <w:t xml:space="preserve"> cost-</w:t>
      </w:r>
      <w:r w:rsidRPr="00CA5587">
        <w:t>effectiveness, MSAC deferred</w:t>
      </w:r>
      <w:r>
        <w:t xml:space="preserve"> its advice on MBS</w:t>
      </w:r>
      <w:bookmarkStart w:id="0" w:name="Editing"/>
      <w:bookmarkEnd w:id="0"/>
      <w:r w:rsidRPr="00CA5587">
        <w:t xml:space="preserve"> funding </w:t>
      </w:r>
      <w:r>
        <w:t xml:space="preserve">for SLNB </w:t>
      </w:r>
      <w:r w:rsidRPr="00606E71">
        <w:t xml:space="preserve">for </w:t>
      </w:r>
      <w:r>
        <w:t>intermediate thickness and thick cutaneous</w:t>
      </w:r>
      <w:r w:rsidRPr="00606E71">
        <w:t xml:space="preserve"> melanoma</w:t>
      </w:r>
      <w:r>
        <w:t>.</w:t>
      </w:r>
    </w:p>
    <w:p w14:paraId="2896FCF7" w14:textId="6601752A" w:rsidR="00CD7F53" w:rsidRDefault="00CD7F53" w:rsidP="00CD7F53">
      <w:pPr>
        <w:spacing w:before="240"/>
        <w:rPr>
          <w:color w:val="000000"/>
        </w:rPr>
      </w:pPr>
      <w:r w:rsidRPr="00335A16">
        <w:t>MSAC did not accept the rationale for a</w:t>
      </w:r>
      <w:r>
        <w:t xml:space="preserve"> </w:t>
      </w:r>
      <w:r w:rsidRPr="00335A16">
        <w:t>fee increase</w:t>
      </w:r>
      <w:r>
        <w:t xml:space="preserve"> for a SLNB-specific MBS item</w:t>
      </w:r>
      <w:r w:rsidRPr="00335A16">
        <w:t xml:space="preserve">, compared to the current </w:t>
      </w:r>
      <w:r>
        <w:t xml:space="preserve">non-specific </w:t>
      </w:r>
      <w:r w:rsidRPr="00335A16">
        <w:t xml:space="preserve">MBS items </w:t>
      </w:r>
      <w:r w:rsidR="005D1EB3">
        <w:t xml:space="preserve">under which </w:t>
      </w:r>
      <w:r w:rsidRPr="00335A16">
        <w:t xml:space="preserve">this service is </w:t>
      </w:r>
      <w:r>
        <w:t xml:space="preserve">currently </w:t>
      </w:r>
      <w:r w:rsidRPr="00335A16">
        <w:t xml:space="preserve">being claimed, </w:t>
      </w:r>
      <w:r w:rsidR="005D1EB3">
        <w:t>since</w:t>
      </w:r>
      <w:r w:rsidR="005D1EB3" w:rsidRPr="00335A16">
        <w:t xml:space="preserve"> </w:t>
      </w:r>
      <w:r>
        <w:t xml:space="preserve">there was insufficient </w:t>
      </w:r>
      <w:r w:rsidR="005D1EB3">
        <w:t>evidence of</w:t>
      </w:r>
      <w:r>
        <w:t xml:space="preserve"> </w:t>
      </w:r>
      <w:r w:rsidR="005D1EB3">
        <w:t xml:space="preserve">a </w:t>
      </w:r>
      <w:r>
        <w:t>difference</w:t>
      </w:r>
      <w:r w:rsidRPr="00335A16">
        <w:t xml:space="preserve"> in patient health outcomes or clinical management</w:t>
      </w:r>
      <w:r>
        <w:t xml:space="preserve"> as a consequence of using SLNB compared to not using it.</w:t>
      </w:r>
    </w:p>
    <w:p w14:paraId="43736573" w14:textId="4297EA3F" w:rsidR="000853C7" w:rsidRDefault="000853C7" w:rsidP="00CD7F53">
      <w:pPr>
        <w:pStyle w:val="Default"/>
        <w:spacing w:before="240" w:after="240"/>
      </w:pPr>
      <w:r>
        <w:t xml:space="preserve">While </w:t>
      </w:r>
      <w:r w:rsidR="00CD7F53">
        <w:t xml:space="preserve">MSAC acknowledged the prognostic value of SLNB in staging of melanoma and the </w:t>
      </w:r>
      <w:proofErr w:type="gramStart"/>
      <w:r w:rsidR="00CD7F53">
        <w:t>potential</w:t>
      </w:r>
      <w:proofErr w:type="gramEnd"/>
      <w:r w:rsidR="00CD7F53">
        <w:t xml:space="preserve"> for this to determine patient access to adjuvant therapies</w:t>
      </w:r>
      <w:r>
        <w:t>,</w:t>
      </w:r>
      <w:r w:rsidR="00CD7F53">
        <w:t xml:space="preserve"> </w:t>
      </w:r>
      <w:r w:rsidR="00CD7F53" w:rsidRPr="00335A16">
        <w:t>MSAC deferred its advice to request further clarification of the patient selection criteria for adjuvant treatment</w:t>
      </w:r>
      <w:r w:rsidR="00CD7F53">
        <w:t xml:space="preserve"> of melanoma and the role of SLNB in </w:t>
      </w:r>
      <w:r w:rsidR="005D1EB3">
        <w:t>selecting patients for such treatment</w:t>
      </w:r>
      <w:r w:rsidR="00CD7F53" w:rsidRPr="00335A16">
        <w:t xml:space="preserve">. </w:t>
      </w:r>
    </w:p>
    <w:p w14:paraId="3D07BED3" w14:textId="00DD87ED" w:rsidR="00CF7307" w:rsidRPr="0041184F" w:rsidRDefault="00CD7F53" w:rsidP="00CD7F53">
      <w:pPr>
        <w:pStyle w:val="Default"/>
        <w:spacing w:before="240" w:after="240"/>
        <w:rPr>
          <w:b/>
          <w:i/>
          <w:color w:val="auto"/>
        </w:rPr>
      </w:pPr>
      <w:r w:rsidRPr="00335A16">
        <w:t xml:space="preserve">MSAC considered </w:t>
      </w:r>
      <w:r>
        <w:t xml:space="preserve">that </w:t>
      </w:r>
      <w:r w:rsidRPr="00335A16">
        <w:t xml:space="preserve">it would be helpful to </w:t>
      </w:r>
      <w:r>
        <w:t>discuss</w:t>
      </w:r>
      <w:r w:rsidRPr="00335A16">
        <w:t xml:space="preserve"> </w:t>
      </w:r>
      <w:r>
        <w:t xml:space="preserve">this application </w:t>
      </w:r>
      <w:r w:rsidR="005D1EB3">
        <w:t xml:space="preserve">further </w:t>
      </w:r>
      <w:r w:rsidRPr="00335A16">
        <w:t xml:space="preserve">with </w:t>
      </w:r>
      <w:r>
        <w:t xml:space="preserve">the </w:t>
      </w:r>
      <w:r w:rsidRPr="00215584">
        <w:t>Oncology Clinical Committee</w:t>
      </w:r>
      <w:r w:rsidRPr="00335A16">
        <w:t xml:space="preserve"> </w:t>
      </w:r>
      <w:r w:rsidR="005D1EB3">
        <w:t>of</w:t>
      </w:r>
      <w:r w:rsidR="005D1EB3" w:rsidRPr="00335A16">
        <w:t xml:space="preserve"> </w:t>
      </w:r>
      <w:r w:rsidRPr="00335A16">
        <w:t xml:space="preserve">the MBS </w:t>
      </w:r>
      <w:r>
        <w:t>Review T</w:t>
      </w:r>
      <w:r w:rsidRPr="00335A16">
        <w:t xml:space="preserve">askforce, and </w:t>
      </w:r>
      <w:r w:rsidR="005D1EB3">
        <w:t>to</w:t>
      </w:r>
      <w:r w:rsidR="005D1EB3" w:rsidRPr="00335A16">
        <w:t xml:space="preserve"> </w:t>
      </w:r>
      <w:r w:rsidRPr="00335A16">
        <w:t xml:space="preserve">seek input from </w:t>
      </w:r>
      <w:r>
        <w:t xml:space="preserve">the </w:t>
      </w:r>
      <w:r w:rsidRPr="00335A16">
        <w:t>M</w:t>
      </w:r>
      <w:r>
        <w:t xml:space="preserve">edical </w:t>
      </w:r>
      <w:r w:rsidRPr="00335A16">
        <w:t>O</w:t>
      </w:r>
      <w:r>
        <w:t xml:space="preserve">ncology </w:t>
      </w:r>
      <w:r w:rsidRPr="00335A16">
        <w:t>G</w:t>
      </w:r>
      <w:r>
        <w:t xml:space="preserve">roup of </w:t>
      </w:r>
      <w:r w:rsidRPr="00335A16">
        <w:t>A</w:t>
      </w:r>
      <w:r>
        <w:t>ustralia and melanoma surgeons.</w:t>
      </w:r>
    </w:p>
    <w:p w14:paraId="6D307A85" w14:textId="77777777" w:rsidR="00550354" w:rsidRPr="00F715D1" w:rsidRDefault="00550354" w:rsidP="00F715D1">
      <w:pPr>
        <w:pStyle w:val="Heading1"/>
      </w:pPr>
      <w:r w:rsidRPr="00F715D1">
        <w:t xml:space="preserve">Summary of consideration and rationale for MSAC’s advice </w:t>
      </w:r>
    </w:p>
    <w:p w14:paraId="77D9204C" w14:textId="21F3CEB4" w:rsidR="000853C7" w:rsidRDefault="000853C7" w:rsidP="000853C7">
      <w:pPr>
        <w:spacing w:before="240"/>
      </w:pPr>
      <w:r>
        <w:t xml:space="preserve">MSAC noted that SLNB is performed with </w:t>
      </w:r>
      <w:r w:rsidR="005D1EB3">
        <w:t xml:space="preserve">lymphoscintigraphy followed by </w:t>
      </w:r>
      <w:proofErr w:type="spellStart"/>
      <w:r>
        <w:t>lymphotropic</w:t>
      </w:r>
      <w:proofErr w:type="spellEnd"/>
      <w:r>
        <w:t xml:space="preserve"> dye injection and intraoperative gamma probe</w:t>
      </w:r>
      <w:r w:rsidR="005D1EB3">
        <w:t xml:space="preserve"> guidance</w:t>
      </w:r>
      <w:r>
        <w:t xml:space="preserve">. The procedure is performed as an </w:t>
      </w:r>
      <w:r>
        <w:lastRenderedPageBreak/>
        <w:t xml:space="preserve">inpatient/day procedure (requiring surgeon and </w:t>
      </w:r>
      <w:r w:rsidRPr="003C4154">
        <w:t>anaesthetist). MSAC</w:t>
      </w:r>
      <w:r>
        <w:t xml:space="preserve"> noted that SLNB for melanoma is recognised as having prognostic value</w:t>
      </w:r>
      <w:r w:rsidRPr="00EC63EC">
        <w:t xml:space="preserve"> </w:t>
      </w:r>
      <w:r>
        <w:t xml:space="preserve">for patients with </w:t>
      </w:r>
      <w:r w:rsidR="005D1EB3">
        <w:t xml:space="preserve">intermediate thickness and thick </w:t>
      </w:r>
      <w:r>
        <w:t>melanoma in a number of Australian and international evidence-based guidelines.</w:t>
      </w:r>
    </w:p>
    <w:p w14:paraId="5FB8F7AC" w14:textId="37A4D92C" w:rsidR="000853C7" w:rsidRDefault="000853C7" w:rsidP="000853C7">
      <w:pPr>
        <w:spacing w:before="240"/>
      </w:pPr>
      <w:r>
        <w:t xml:space="preserve">MSAC noted that SLNB is currently being performed for melanoma patients but </w:t>
      </w:r>
      <w:r w:rsidR="005D1EB3">
        <w:t xml:space="preserve">is </w:t>
      </w:r>
      <w:r>
        <w:t>claimed against multiple existing MBS items for lymph node biopsy, excision and dissection (</w:t>
      </w:r>
      <w:r w:rsidRPr="00D742D9">
        <w:t>30075, 30329, 30332, 31420 and 31423</w:t>
      </w:r>
      <w:r>
        <w:t xml:space="preserve">). Lymphoscintigraphy items (61469, 61462, </w:t>
      </w:r>
      <w:proofErr w:type="gramStart"/>
      <w:r>
        <w:t>61506</w:t>
      </w:r>
      <w:proofErr w:type="gramEnd"/>
      <w:r>
        <w:t xml:space="preserve">) are also already funded. MSAC noted that the proposed fee is benchmarked to one of the existing items for SLNB in patients with breast cancer. The fee is set between the costs of lymph node biopsy and lymph node clearance. </w:t>
      </w:r>
      <w:r w:rsidR="00C00224" w:rsidRPr="00335A16">
        <w:t>MSAC did not accept the rationale for a</w:t>
      </w:r>
      <w:r w:rsidR="00C00224">
        <w:t xml:space="preserve"> </w:t>
      </w:r>
      <w:r w:rsidR="00C00224" w:rsidRPr="00335A16">
        <w:t>fee increase</w:t>
      </w:r>
      <w:r w:rsidR="00C00224">
        <w:t xml:space="preserve"> for a SLNB-specific MBS item</w:t>
      </w:r>
      <w:r w:rsidR="00C00224" w:rsidRPr="00335A16">
        <w:t xml:space="preserve">, compared to the current </w:t>
      </w:r>
      <w:r w:rsidR="00C00224">
        <w:t xml:space="preserve">non-specific </w:t>
      </w:r>
      <w:r w:rsidR="00C00224" w:rsidRPr="00335A16">
        <w:t xml:space="preserve">MBS items </w:t>
      </w:r>
      <w:r w:rsidR="005D1EB3">
        <w:t xml:space="preserve">under which </w:t>
      </w:r>
      <w:r w:rsidR="00C00224" w:rsidRPr="00335A16">
        <w:t xml:space="preserve">this service is </w:t>
      </w:r>
      <w:r w:rsidR="00C00224">
        <w:t xml:space="preserve">currently </w:t>
      </w:r>
      <w:r w:rsidR="00C00224" w:rsidRPr="00335A16">
        <w:t>being claimed</w:t>
      </w:r>
      <w:r w:rsidR="00C00224">
        <w:t>.</w:t>
      </w:r>
    </w:p>
    <w:p w14:paraId="56026942" w14:textId="0E9DECC9" w:rsidR="000853C7" w:rsidRDefault="000853C7" w:rsidP="000853C7">
      <w:pPr>
        <w:spacing w:before="240"/>
      </w:pPr>
      <w:r>
        <w:t xml:space="preserve">MSAC noted that SLNB for melanoma differs to SLNB for breast cancer. In breast cancer, SLNB is always performed in the axilla, but melanoma may involve multiple lymph node basins (which are </w:t>
      </w:r>
      <w:r w:rsidR="005D1EB3">
        <w:t xml:space="preserve">difficult </w:t>
      </w:r>
      <w:r>
        <w:t>to predict</w:t>
      </w:r>
      <w:r w:rsidR="005D1EB3">
        <w:t xml:space="preserve"> for truncal and head-and-neck melanomas</w:t>
      </w:r>
      <w:r>
        <w:t xml:space="preserve">), so SLNB for melanoma could be performed in the neck, axilla and/or groin. MSAC proposed that there should be separate melanoma-specific SLNB items for each nodal region, and different fees for different nodal regions </w:t>
      </w:r>
      <w:r w:rsidR="005D1EB3">
        <w:t xml:space="preserve">could </w:t>
      </w:r>
      <w:r>
        <w:t xml:space="preserve">reflect any differences in surgical complexity. MSAC noted that the </w:t>
      </w:r>
      <w:r w:rsidR="005D1EB3">
        <w:t xml:space="preserve">current </w:t>
      </w:r>
      <w:r>
        <w:t xml:space="preserve">fees for biopsy and complete dissection items imply </w:t>
      </w:r>
      <w:r w:rsidR="005D1EB3">
        <w:t xml:space="preserve">a gradient of </w:t>
      </w:r>
      <w:r>
        <w:t>increasing complexity from the groin or pelvis</w:t>
      </w:r>
      <w:r w:rsidR="005D1EB3">
        <w:t>,</w:t>
      </w:r>
      <w:r>
        <w:t xml:space="preserve"> to </w:t>
      </w:r>
      <w:r w:rsidR="005D1EB3">
        <w:t xml:space="preserve">the </w:t>
      </w:r>
      <w:r>
        <w:t xml:space="preserve">axilla </w:t>
      </w:r>
      <w:r w:rsidR="005D1EB3">
        <w:t xml:space="preserve">and </w:t>
      </w:r>
      <w:r>
        <w:t>to</w:t>
      </w:r>
      <w:r w:rsidRPr="008C2B79">
        <w:t xml:space="preserve"> </w:t>
      </w:r>
      <w:r w:rsidR="005D1EB3">
        <w:t xml:space="preserve">the </w:t>
      </w:r>
      <w:r>
        <w:t>neck.</w:t>
      </w:r>
      <w:r w:rsidRPr="00C47788">
        <w:t xml:space="preserve"> </w:t>
      </w:r>
      <w:r>
        <w:t xml:space="preserve">MSAC considered that the multiple operations rule </w:t>
      </w:r>
      <w:r w:rsidR="005D1EB3">
        <w:t>sh</w:t>
      </w:r>
      <w:r>
        <w:t>ould apply if more than one item is required for one episode of care.</w:t>
      </w:r>
    </w:p>
    <w:p w14:paraId="358CF8C5" w14:textId="77777777" w:rsidR="000853C7" w:rsidRDefault="000853C7" w:rsidP="000853C7">
      <w:pPr>
        <w:spacing w:before="240"/>
      </w:pPr>
      <w:r>
        <w:t xml:space="preserve">MSAC noted that the assessment of this application sought to determine the comparative safety, effectiveness and cost-effectiveness of </w:t>
      </w:r>
      <w:r w:rsidRPr="00911394">
        <w:t>wide local excision (WLE)</w:t>
      </w:r>
      <w:r>
        <w:t xml:space="preserve"> </w:t>
      </w:r>
      <w:r w:rsidR="006E0390">
        <w:t xml:space="preserve">of the primary lesion </w:t>
      </w:r>
      <w:r>
        <w:t>and follow-up with and without SLNB.</w:t>
      </w:r>
    </w:p>
    <w:p w14:paraId="7C3077B4" w14:textId="3D65042C" w:rsidR="000853C7" w:rsidRDefault="000853C7" w:rsidP="00E65C84">
      <w:pPr>
        <w:spacing w:before="240"/>
      </w:pPr>
      <w:r>
        <w:t xml:space="preserve">MSAC </w:t>
      </w:r>
      <w:r w:rsidR="00C00224">
        <w:t>noted that</w:t>
      </w:r>
      <w:r>
        <w:t xml:space="preserve"> the Cancer Council Australia guidelines state that complication rates from SLNB are low compared to WLE and </w:t>
      </w:r>
      <w:r w:rsidRPr="00506C9D">
        <w:t>complet</w:t>
      </w:r>
      <w:r w:rsidR="006E0390">
        <w:t>ion</w:t>
      </w:r>
      <w:r w:rsidRPr="00506C9D">
        <w:t xml:space="preserve"> lymph node dissection</w:t>
      </w:r>
      <w:r>
        <w:t xml:space="preserve"> (CLND). MSAC noted that the most concerning adverse event is </w:t>
      </w:r>
      <w:proofErr w:type="spellStart"/>
      <w:r>
        <w:t>lymphoedema</w:t>
      </w:r>
      <w:proofErr w:type="spellEnd"/>
      <w:r>
        <w:t xml:space="preserve">, which is more common after inguinal than after axillary </w:t>
      </w:r>
      <w:r w:rsidR="006E0390">
        <w:t xml:space="preserve">or cervical </w:t>
      </w:r>
      <w:r>
        <w:t xml:space="preserve">SLNB. MSAC noted that the applicant accepted that the addition of SLNB will add to the rate of adverse events compared to WLE alone, but that </w:t>
      </w:r>
      <w:proofErr w:type="spellStart"/>
      <w:r>
        <w:t>lymphoedema</w:t>
      </w:r>
      <w:proofErr w:type="spellEnd"/>
      <w:r>
        <w:t xml:space="preserve">-related morbidity is usually minor and temporary, </w:t>
      </w:r>
      <w:r w:rsidR="006E0390">
        <w:t xml:space="preserve">in contrast to </w:t>
      </w:r>
      <w:r>
        <w:t>CLND.</w:t>
      </w:r>
      <w:r w:rsidR="00E65C84">
        <w:t xml:space="preserve"> </w:t>
      </w:r>
      <w:r>
        <w:t>MSAC suggested that consideration be given to limiting the procedure to centres with appropriate expertise. MSAC noted that complication rates are inversely related to procedure volume, particularly for primary lesions arising in the head and neck (CCA/MIA 2018).</w:t>
      </w:r>
    </w:p>
    <w:p w14:paraId="6A6D21EF" w14:textId="77777777" w:rsidR="000853C7" w:rsidRDefault="000853C7" w:rsidP="00E65C84">
      <w:pPr>
        <w:spacing w:before="240"/>
      </w:pPr>
      <w:r>
        <w:t>MSAC noted that,</w:t>
      </w:r>
      <w:r w:rsidRPr="001B246C">
        <w:t xml:space="preserve"> </w:t>
      </w:r>
      <w:r>
        <w:t>for both intermediate thickness and thick melanoma:</w:t>
      </w:r>
    </w:p>
    <w:p w14:paraId="77BBBD3D" w14:textId="77777777" w:rsidR="000853C7" w:rsidRDefault="000853C7" w:rsidP="00E65C84">
      <w:pPr>
        <w:pStyle w:val="ListParagraph"/>
        <w:numPr>
          <w:ilvl w:val="0"/>
          <w:numId w:val="33"/>
        </w:numPr>
        <w:spacing w:after="160"/>
      </w:pPr>
      <w:r>
        <w:t>sentinel lymph node status is a significant predictor of melanoma-specific survival</w:t>
      </w:r>
      <w:r w:rsidR="006E0390">
        <w:t>;</w:t>
      </w:r>
    </w:p>
    <w:p w14:paraId="7857D12E" w14:textId="77777777" w:rsidR="000853C7" w:rsidRDefault="000853C7" w:rsidP="00E65C84">
      <w:pPr>
        <w:pStyle w:val="ListParagraph"/>
        <w:numPr>
          <w:ilvl w:val="0"/>
          <w:numId w:val="33"/>
        </w:numPr>
        <w:spacing w:after="160"/>
      </w:pPr>
      <w:proofErr w:type="gramStart"/>
      <w:r>
        <w:t>compared</w:t>
      </w:r>
      <w:proofErr w:type="gramEnd"/>
      <w:r>
        <w:t xml:space="preserve"> to WLE alone, SLNB is associated with no significant improvement in overall survival, melanoma-specific survival or the cumulative incidence of non-sentinel lymph node metastases</w:t>
      </w:r>
      <w:r w:rsidR="006E0390">
        <w:t>.</w:t>
      </w:r>
    </w:p>
    <w:p w14:paraId="5C00D403" w14:textId="5CA2DC9F" w:rsidR="000853C7" w:rsidRDefault="000853C7" w:rsidP="000853C7">
      <w:r>
        <w:t xml:space="preserve">MSAC also noted that a positive </w:t>
      </w:r>
      <w:r w:rsidRPr="001B246C">
        <w:t>SLNB followed by CLND is associated with improved regional disease-free survival, but no improvement in distant metastasis-free survival</w:t>
      </w:r>
      <w:r>
        <w:t>.</w:t>
      </w:r>
      <w:r w:rsidRPr="001B246C">
        <w:t xml:space="preserve"> CLND is also associated with a high risk of </w:t>
      </w:r>
      <w:proofErr w:type="spellStart"/>
      <w:r w:rsidRPr="001B246C">
        <w:t>lymphoedema</w:t>
      </w:r>
      <w:proofErr w:type="spellEnd"/>
      <w:r w:rsidRPr="001B246C">
        <w:t>.</w:t>
      </w:r>
      <w:r>
        <w:t xml:space="preserve"> MSAC noted, however, that clinical practice has changed </w:t>
      </w:r>
      <w:r w:rsidR="006E0390">
        <w:t>following</w:t>
      </w:r>
      <w:r>
        <w:t xml:space="preserve"> these trials, and CLND is no longer considered standard treatment after a positive SLNB.</w:t>
      </w:r>
    </w:p>
    <w:p w14:paraId="26D24C23" w14:textId="32844C2E" w:rsidR="000853C7" w:rsidRDefault="00E65C84" w:rsidP="00E65C84">
      <w:pPr>
        <w:spacing w:before="240"/>
      </w:pPr>
      <w:r>
        <w:t>MSAC noted that t</w:t>
      </w:r>
      <w:r w:rsidR="000853C7">
        <w:t>he applicant agree</w:t>
      </w:r>
      <w:r>
        <w:t>d</w:t>
      </w:r>
      <w:r w:rsidR="000853C7">
        <w:t xml:space="preserve"> there is no evidence that any nodal surgery improves overall survival for melanoma. MSAC noted that the applicant emphasised the prognostic value of SLNB, especially in light of the availability of new </w:t>
      </w:r>
      <w:r w:rsidR="006E0390">
        <w:t xml:space="preserve">adjuvant </w:t>
      </w:r>
      <w:r w:rsidR="000853C7">
        <w:t xml:space="preserve">systemic agents that </w:t>
      </w:r>
      <w:r w:rsidR="000853C7">
        <w:lastRenderedPageBreak/>
        <w:t>improve survival</w:t>
      </w:r>
      <w:r w:rsidR="006E0390">
        <w:t xml:space="preserve"> in patients with resected stage III melanoma</w:t>
      </w:r>
      <w:r w:rsidR="000853C7">
        <w:t xml:space="preserve">. MSAC acknowledged that a number of immune therapies are available for unresectable stage III/IV melanoma, and that new melanoma indications for these agents, as well as new targeted and immune therapies, are in the pipeline. However, none of the available </w:t>
      </w:r>
      <w:r w:rsidR="006E0390">
        <w:t xml:space="preserve">immune checkpoint inhibitors is </w:t>
      </w:r>
      <w:r w:rsidR="000853C7">
        <w:t xml:space="preserve">PBS-funded </w:t>
      </w:r>
      <w:r w:rsidR="006E0390">
        <w:t xml:space="preserve">for </w:t>
      </w:r>
      <w:r w:rsidR="00D22C09">
        <w:t xml:space="preserve">adjuvant therapy in resected stage III melanoma </w:t>
      </w:r>
      <w:r w:rsidR="000853C7">
        <w:t xml:space="preserve">and one is not TGA </w:t>
      </w:r>
      <w:r w:rsidR="00CB6A61">
        <w:t>approved for this indication</w:t>
      </w:r>
      <w:r w:rsidR="000853C7">
        <w:t>.</w:t>
      </w:r>
    </w:p>
    <w:p w14:paraId="6CBF9468" w14:textId="77777777" w:rsidR="000853C7" w:rsidRPr="009B1A8E" w:rsidRDefault="000853C7" w:rsidP="00E65C84">
      <w:pPr>
        <w:spacing w:before="240"/>
      </w:pPr>
      <w:r>
        <w:t>MSAC noted that use of sentinel lymph node status to guide adjuvant systemic therapies for resected stage III melanoma is not currently justified. MSAC considered that SLNB may become a triage tool to determine the intensity of follow-up</w:t>
      </w:r>
      <w:r w:rsidR="006E0390">
        <w:t xml:space="preserve"> after WLE of intermediate thickness and thick melanomas</w:t>
      </w:r>
      <w:r>
        <w:t xml:space="preserve">, but this question has not been evaluated in trials. </w:t>
      </w:r>
    </w:p>
    <w:p w14:paraId="0CAD54BE" w14:textId="186B4FB0" w:rsidR="000853C7" w:rsidRDefault="000853C7" w:rsidP="00E65C84">
      <w:pPr>
        <w:spacing w:before="240"/>
      </w:pPr>
      <w:r>
        <w:t>MSAC concluded that the main value of SLNB for melanoma is for staging of disease, to determine prognosis and inform decisions regarding further regional node dissection. However, trial evidence indicates that SLNB</w:t>
      </w:r>
      <w:r w:rsidRPr="0035178D">
        <w:t xml:space="preserve"> does not currently modify patient management</w:t>
      </w:r>
      <w:r w:rsidR="00F31437">
        <w:t xml:space="preserve">, and </w:t>
      </w:r>
      <w:r w:rsidR="00CB6A61">
        <w:t xml:space="preserve">criteria for </w:t>
      </w:r>
      <w:r w:rsidR="00F31437">
        <w:t xml:space="preserve">determining suitability for adjuvant therapy </w:t>
      </w:r>
      <w:r w:rsidR="00CB6A61">
        <w:t xml:space="preserve">are </w:t>
      </w:r>
      <w:r w:rsidR="00F31437">
        <w:t>not adequately established</w:t>
      </w:r>
      <w:r w:rsidRPr="0035178D">
        <w:t>.</w:t>
      </w:r>
    </w:p>
    <w:p w14:paraId="7098B358" w14:textId="5477021F" w:rsidR="000853C7" w:rsidRDefault="000853C7" w:rsidP="00E65C84">
      <w:pPr>
        <w:spacing w:before="240"/>
      </w:pPr>
      <w:r>
        <w:t xml:space="preserve">MSAC </w:t>
      </w:r>
      <w:r w:rsidR="00F31437">
        <w:t>considered</w:t>
      </w:r>
      <w:r>
        <w:t xml:space="preserve"> that</w:t>
      </w:r>
      <w:r w:rsidR="00FD20B7">
        <w:t xml:space="preserve"> </w:t>
      </w:r>
      <w:r w:rsidR="002D62F4">
        <w:t xml:space="preserve">recent clinical </w:t>
      </w:r>
      <w:r>
        <w:t xml:space="preserve">trial results </w:t>
      </w:r>
      <w:r w:rsidR="002D62F4">
        <w:t xml:space="preserve">suggested </w:t>
      </w:r>
      <w:r>
        <w:t xml:space="preserve">that adjuvant therapy </w:t>
      </w:r>
      <w:r w:rsidR="002D62F4">
        <w:t>may</w:t>
      </w:r>
      <w:r>
        <w:t xml:space="preserve"> become the standard of care. However, patients entering these trials were not selected on the basis of SLNB results, so it is not clear whether effectiveness outcomes of these trials will be applicable for patients with a positive SLNB. </w:t>
      </w:r>
      <w:r>
        <w:rPr>
          <w:color w:val="000000"/>
        </w:rPr>
        <w:t xml:space="preserve">If SLNB results </w:t>
      </w:r>
      <w:r w:rsidR="002D62F4">
        <w:rPr>
          <w:color w:val="000000"/>
        </w:rPr>
        <w:t xml:space="preserve">were to </w:t>
      </w:r>
      <w:r w:rsidRPr="00445A68">
        <w:rPr>
          <w:color w:val="000000"/>
        </w:rPr>
        <w:t xml:space="preserve">be used </w:t>
      </w:r>
      <w:r>
        <w:rPr>
          <w:color w:val="000000"/>
        </w:rPr>
        <w:t xml:space="preserve">to assess eligibility of patients </w:t>
      </w:r>
      <w:r w:rsidRPr="00445A68">
        <w:rPr>
          <w:color w:val="000000"/>
        </w:rPr>
        <w:t>for adjuvant therapy</w:t>
      </w:r>
      <w:r>
        <w:rPr>
          <w:color w:val="000000"/>
        </w:rPr>
        <w:t xml:space="preserve"> in practice, </w:t>
      </w:r>
      <w:r>
        <w:t>MSAC recommended establishing risk equivalence criteria (i.e. the SLNB result that equates to the same melanoma risk as for the patients in the adjuvant trials) that would qualify a patient for access to adjuvant treatment.</w:t>
      </w:r>
    </w:p>
    <w:p w14:paraId="2D252B42" w14:textId="74995280" w:rsidR="000853C7" w:rsidRDefault="000853C7" w:rsidP="00FD20B7">
      <w:pPr>
        <w:spacing w:before="240"/>
      </w:pPr>
      <w:r>
        <w:t xml:space="preserve">MSAC recommended consultation with </w:t>
      </w:r>
      <w:r>
        <w:rPr>
          <w:color w:val="000000"/>
        </w:rPr>
        <w:t xml:space="preserve">the MBS Review Taskforce and other stakeholders (e.g. </w:t>
      </w:r>
      <w:r w:rsidR="009E529A">
        <w:rPr>
          <w:color w:val="000000"/>
        </w:rPr>
        <w:t xml:space="preserve">the </w:t>
      </w:r>
      <w:r>
        <w:rPr>
          <w:color w:val="000000"/>
        </w:rPr>
        <w:t xml:space="preserve">Medical Oncology Group of Australia, </w:t>
      </w:r>
      <w:r w:rsidR="009E529A">
        <w:rPr>
          <w:color w:val="000000"/>
        </w:rPr>
        <w:t xml:space="preserve">the </w:t>
      </w:r>
      <w:r w:rsidR="00F31437">
        <w:rPr>
          <w:color w:val="000000"/>
        </w:rPr>
        <w:t xml:space="preserve">Royal </w:t>
      </w:r>
      <w:r w:rsidRPr="00D20C24">
        <w:rPr>
          <w:color w:val="000000"/>
        </w:rPr>
        <w:t xml:space="preserve">College of </w:t>
      </w:r>
      <w:r>
        <w:rPr>
          <w:color w:val="000000"/>
        </w:rPr>
        <w:t xml:space="preserve">Pathologists </w:t>
      </w:r>
      <w:r w:rsidR="00F31437">
        <w:rPr>
          <w:color w:val="000000"/>
        </w:rPr>
        <w:t xml:space="preserve">of Australasia, </w:t>
      </w:r>
      <w:r>
        <w:rPr>
          <w:color w:val="000000"/>
        </w:rPr>
        <w:t xml:space="preserve">and melanoma surgeons) to establish </w:t>
      </w:r>
      <w:r w:rsidR="009E529A">
        <w:rPr>
          <w:color w:val="000000"/>
        </w:rPr>
        <w:t xml:space="preserve">such </w:t>
      </w:r>
      <w:r>
        <w:rPr>
          <w:color w:val="000000"/>
        </w:rPr>
        <w:t xml:space="preserve">risk criteria </w:t>
      </w:r>
      <w:r w:rsidR="009E529A">
        <w:rPr>
          <w:color w:val="000000"/>
        </w:rPr>
        <w:t xml:space="preserve">as a possible basis for extrapolated </w:t>
      </w:r>
      <w:r>
        <w:rPr>
          <w:color w:val="000000"/>
        </w:rPr>
        <w:t xml:space="preserve">evidence of predictive effect. </w:t>
      </w:r>
    </w:p>
    <w:p w14:paraId="05F95939" w14:textId="35FD7795" w:rsidR="000853C7" w:rsidRDefault="000853C7" w:rsidP="00FD20B7">
      <w:pPr>
        <w:spacing w:before="240"/>
      </w:pPr>
      <w:r w:rsidRPr="000B4B47">
        <w:t xml:space="preserve">MSAC </w:t>
      </w:r>
      <w:r>
        <w:t xml:space="preserve">noted that the economic evaluation resulted in an ICER of $22,237, and that the ICER was most sensitive to the probability of a positive </w:t>
      </w:r>
      <w:r w:rsidR="002D62F4">
        <w:t>SLNB</w:t>
      </w:r>
      <w:r>
        <w:t xml:space="preserve">. </w:t>
      </w:r>
      <w:r w:rsidR="00FD20B7">
        <w:t xml:space="preserve">MSAC noted that </w:t>
      </w:r>
      <w:r>
        <w:t>ESC considered the revised ICERs to be unreliable</w:t>
      </w:r>
      <w:r w:rsidRPr="000B4B47">
        <w:t>. MSAC consider</w:t>
      </w:r>
      <w:r>
        <w:t>ed</w:t>
      </w:r>
      <w:r w:rsidRPr="000B4B47">
        <w:t xml:space="preserve"> that there are issues in how the clinical evidence has been applied in the economic model</w:t>
      </w:r>
      <w:r w:rsidR="0052371C">
        <w:t>, particular</w:t>
      </w:r>
      <w:r w:rsidR="00470F72">
        <w:t>ly</w:t>
      </w:r>
      <w:r w:rsidR="0052371C">
        <w:t xml:space="preserve"> </w:t>
      </w:r>
      <w:r w:rsidR="00470F72">
        <w:t xml:space="preserve">relating to </w:t>
      </w:r>
      <w:r w:rsidR="0052371C">
        <w:t xml:space="preserve">the </w:t>
      </w:r>
      <w:r w:rsidR="003345FD">
        <w:t>reliance on</w:t>
      </w:r>
      <w:r w:rsidR="0052371C">
        <w:t xml:space="preserve"> CLND as the therapeutic intervention after a positive S</w:t>
      </w:r>
      <w:r w:rsidR="003345FD">
        <w:t>L</w:t>
      </w:r>
      <w:r w:rsidR="0052371C">
        <w:t>NB</w:t>
      </w:r>
      <w:r>
        <w:t>.</w:t>
      </w:r>
    </w:p>
    <w:p w14:paraId="49E095CE" w14:textId="57E14F7E" w:rsidR="000853C7" w:rsidRDefault="000853C7" w:rsidP="00FD20B7">
      <w:pPr>
        <w:spacing w:before="240"/>
      </w:pPr>
      <w:r>
        <w:t xml:space="preserve">MSAC </w:t>
      </w:r>
      <w:r w:rsidR="00FD20B7">
        <w:t>noted</w:t>
      </w:r>
      <w:r>
        <w:t xml:space="preserve"> that the economic evaluation indicate</w:t>
      </w:r>
      <w:r w:rsidR="00FD20B7">
        <w:t>d</w:t>
      </w:r>
      <w:r>
        <w:t xml:space="preserve"> SLNB is likely to be cost-effective for intermediate thickness (&gt;1–4mm) melanoma but not for thick (&gt;4mm) melanoma. However, out-of-pocket costs and Medicare Safety Net were not explored in the current assessment. MSAC also noted that the costs of follow-up appear to be underestimated</w:t>
      </w:r>
      <w:r w:rsidR="002D62F4">
        <w:t xml:space="preserve"> in the model</w:t>
      </w:r>
      <w:r>
        <w:t xml:space="preserve">. In the clinical algorithm, follow-up </w:t>
      </w:r>
      <w:r w:rsidR="002D62F4">
        <w:t xml:space="preserve">for patients with negative SLNB </w:t>
      </w:r>
      <w:r>
        <w:t xml:space="preserve">is </w:t>
      </w:r>
      <w:r w:rsidR="00F90880">
        <w:t xml:space="preserve">assumed </w:t>
      </w:r>
      <w:r w:rsidR="002D62F4">
        <w:t xml:space="preserve">to be </w:t>
      </w:r>
      <w:r>
        <w:t xml:space="preserve">provided by general practitioners, but </w:t>
      </w:r>
      <w:r w:rsidR="002D62F4">
        <w:t xml:space="preserve">published Australian data indicate that </w:t>
      </w:r>
      <w:r>
        <w:t xml:space="preserve">76% of patients with melanoma </w:t>
      </w:r>
      <w:r>
        <w:sym w:font="Symbol" w:char="F0B3"/>
      </w:r>
      <w:r>
        <w:t xml:space="preserve">1 mm in </w:t>
      </w:r>
      <w:r w:rsidR="002D62F4">
        <w:t xml:space="preserve">thickness </w:t>
      </w:r>
      <w:r>
        <w:t xml:space="preserve">receive follow-up from specialists (Read et al 2018). </w:t>
      </w:r>
    </w:p>
    <w:p w14:paraId="728349F2" w14:textId="7396FFD2" w:rsidR="002D62F4" w:rsidRDefault="000853C7" w:rsidP="00810867">
      <w:pPr>
        <w:spacing w:before="240"/>
      </w:pPr>
      <w:r>
        <w:t xml:space="preserve">MSAC noted that the financial implications of listing melanoma-specific SLNB items are highly uncertain. MSAC commented that it </w:t>
      </w:r>
      <w:r>
        <w:rPr>
          <w:color w:val="000000"/>
        </w:rPr>
        <w:t xml:space="preserve">is not possible to ascertain </w:t>
      </w:r>
      <w:r w:rsidR="002D62F4">
        <w:rPr>
          <w:color w:val="000000"/>
        </w:rPr>
        <w:t xml:space="preserve">the current cost of SLNB for melanoma </w:t>
      </w:r>
      <w:r>
        <w:rPr>
          <w:color w:val="000000"/>
        </w:rPr>
        <w:t xml:space="preserve">from current data. </w:t>
      </w:r>
      <w:r>
        <w:t>D</w:t>
      </w:r>
      <w:r w:rsidRPr="00FF1485">
        <w:t xml:space="preserve">irect costs to the MBS were </w:t>
      </w:r>
      <w:r w:rsidR="002D62F4">
        <w:t>estimated at</w:t>
      </w:r>
      <w:r w:rsidRPr="00FF1485">
        <w:t xml:space="preserve"> approximately $620,000</w:t>
      </w:r>
      <w:r w:rsidR="002D62F4">
        <w:t>,</w:t>
      </w:r>
      <w:r w:rsidRPr="00FF1485">
        <w:t xml:space="preserve"> rising to approximately $670,000 in year 5</w:t>
      </w:r>
      <w:r>
        <w:t>.</w:t>
      </w:r>
      <w:r w:rsidRPr="00FF1485">
        <w:t xml:space="preserve"> </w:t>
      </w:r>
      <w:r>
        <w:t>However,</w:t>
      </w:r>
      <w:r w:rsidRPr="00FF1485">
        <w:t xml:space="preserve"> it is difficult to estimate the extent of cost offsets associated with replacement of current</w:t>
      </w:r>
      <w:r w:rsidR="002D62F4">
        <w:t>ly claimed</w:t>
      </w:r>
      <w:r w:rsidRPr="00FF1485">
        <w:t xml:space="preserve"> MBS items</w:t>
      </w:r>
      <w:r>
        <w:t>, as</w:t>
      </w:r>
      <w:r w:rsidRPr="00FF1485">
        <w:t xml:space="preserve"> current items may continue to be used.</w:t>
      </w:r>
      <w:r>
        <w:t xml:space="preserve"> </w:t>
      </w:r>
      <w:r w:rsidR="00F31437">
        <w:t xml:space="preserve">In addition, </w:t>
      </w:r>
      <w:r>
        <w:t xml:space="preserve">MSAC </w:t>
      </w:r>
      <w:r w:rsidR="00F31437">
        <w:t>considered</w:t>
      </w:r>
      <w:r>
        <w:t xml:space="preserve"> that </w:t>
      </w:r>
      <w:r w:rsidR="003345FD">
        <w:t xml:space="preserve">the </w:t>
      </w:r>
      <w:r>
        <w:t xml:space="preserve">financial implications </w:t>
      </w:r>
      <w:r w:rsidR="003345FD">
        <w:t xml:space="preserve">are overestimated </w:t>
      </w:r>
      <w:r>
        <w:t>because associated lymphoscintigraphy in</w:t>
      </w:r>
      <w:r w:rsidR="00810867">
        <w:t>terventions are already funded.</w:t>
      </w:r>
    </w:p>
    <w:p w14:paraId="31B8CA9E" w14:textId="08FB4E0C" w:rsidR="000853C7" w:rsidRPr="009B1A8E" w:rsidRDefault="000853C7" w:rsidP="000853C7">
      <w:r>
        <w:lastRenderedPageBreak/>
        <w:t>T</w:t>
      </w:r>
      <w:r w:rsidRPr="005643ED">
        <w:t xml:space="preserve">otal costs for SLNB were calculated as $12,375,259 in the first year up to $13,369,081 in year 5. Although there would be cost savings to the MBS due to reductions in current SLNB items, it was not possible to estimate the proportion of </w:t>
      </w:r>
      <w:r w:rsidR="003D0197">
        <w:t>current lymph node biopsy</w:t>
      </w:r>
      <w:r w:rsidR="003D0197" w:rsidRPr="005643ED">
        <w:t xml:space="preserve"> </w:t>
      </w:r>
      <w:r w:rsidRPr="005643ED">
        <w:t xml:space="preserve">items that are used for </w:t>
      </w:r>
      <w:r w:rsidR="003D0197">
        <w:t xml:space="preserve">intermediate thickness and thick </w:t>
      </w:r>
      <w:r w:rsidRPr="005643ED">
        <w:t>melanoma.</w:t>
      </w:r>
    </w:p>
    <w:p w14:paraId="1941D310" w14:textId="5D3CEF68" w:rsidR="000853C7" w:rsidRDefault="000853C7" w:rsidP="00FD20B7">
      <w:pPr>
        <w:spacing w:before="240"/>
      </w:pPr>
      <w:r>
        <w:t xml:space="preserve">MSAC noted </w:t>
      </w:r>
      <w:r w:rsidR="00FD20B7">
        <w:t xml:space="preserve">that </w:t>
      </w:r>
      <w:r>
        <w:t>MBS data</w:t>
      </w:r>
      <w:r w:rsidR="00FD20B7">
        <w:t>,</w:t>
      </w:r>
      <w:r>
        <w:t xml:space="preserve"> provided by the Department</w:t>
      </w:r>
      <w:r w:rsidR="00FD20B7">
        <w:t>,</w:t>
      </w:r>
      <w:r>
        <w:t xml:space="preserve"> </w:t>
      </w:r>
      <w:r w:rsidR="00FD20B7">
        <w:t>which</w:t>
      </w:r>
      <w:r>
        <w:t xml:space="preserve"> attempted to measure the proportion of current claims for </w:t>
      </w:r>
      <w:r w:rsidR="003D0197">
        <w:t>current lymph node biopsy</w:t>
      </w:r>
      <w:r>
        <w:t xml:space="preserve"> items that are for melanoma patients</w:t>
      </w:r>
      <w:r w:rsidR="00FD20B7">
        <w:t>, showed a</w:t>
      </w:r>
      <w:r>
        <w:t xml:space="preserve"> wide range from 2% (based on biopsy/excision co-claims) to 27% (based on lymphoscintigraphy co-claims). Around</w:t>
      </w:r>
      <w:r w:rsidRPr="005643ED">
        <w:t xml:space="preserve"> $100,000 in benefits was paid for lymph node biopsy/excision items in 2017. However, this excluded services in the public sector</w:t>
      </w:r>
      <w:r>
        <w:t>,</w:t>
      </w:r>
      <w:r w:rsidRPr="005643ED">
        <w:t xml:space="preserve"> so </w:t>
      </w:r>
      <w:r w:rsidR="003D0197">
        <w:t xml:space="preserve">it </w:t>
      </w:r>
      <w:r w:rsidRPr="005643ED">
        <w:t>may be an underestimate.</w:t>
      </w:r>
    </w:p>
    <w:p w14:paraId="0D4AC11E" w14:textId="05B94732" w:rsidR="000853C7" w:rsidRDefault="000853C7" w:rsidP="00FD20B7">
      <w:pPr>
        <w:spacing w:before="240"/>
      </w:pPr>
      <w:r>
        <w:t xml:space="preserve">MSAC commented that better data are required on current and likely utilisation of SLNB items for melanoma. </w:t>
      </w:r>
      <w:r w:rsidRPr="000B66D8">
        <w:t>MSAC noted the PASC</w:t>
      </w:r>
      <w:r w:rsidR="00FD20B7">
        <w:t xml:space="preserve"> outcome</w:t>
      </w:r>
      <w:r w:rsidRPr="000B66D8">
        <w:t xml:space="preserve"> that, while </w:t>
      </w:r>
      <w:r>
        <w:t>a melanoma-specific SLNB</w:t>
      </w:r>
      <w:r w:rsidRPr="000B66D8">
        <w:t xml:space="preserve"> item will not impact patient clinical outcomes, it will reduce the variation in MBS rebates for patients and enable better data collection on melanoma </w:t>
      </w:r>
      <w:r w:rsidRPr="005643ED">
        <w:t xml:space="preserve">procedures. </w:t>
      </w:r>
      <w:r w:rsidR="003D0197">
        <w:t>Anatomical r</w:t>
      </w:r>
      <w:r w:rsidRPr="005643ED">
        <w:t xml:space="preserve">egion-specific items for melanoma SLNB would provide more </w:t>
      </w:r>
      <w:proofErr w:type="gramStart"/>
      <w:r w:rsidRPr="005643ED">
        <w:t>granularity</w:t>
      </w:r>
      <w:proofErr w:type="gramEnd"/>
      <w:r w:rsidRPr="005643ED">
        <w:t xml:space="preserve"> for future review of utilisation.</w:t>
      </w:r>
    </w:p>
    <w:p w14:paraId="07DF4723" w14:textId="77777777" w:rsidR="00BC1364" w:rsidRPr="00F715D1" w:rsidRDefault="00BC1364" w:rsidP="00F715D1">
      <w:pPr>
        <w:pStyle w:val="Heading1"/>
      </w:pPr>
      <w:r w:rsidRPr="00F715D1">
        <w:t>Background</w:t>
      </w:r>
    </w:p>
    <w:p w14:paraId="18223F47" w14:textId="3B86B2A3" w:rsidR="00270C0B" w:rsidRPr="00810867" w:rsidRDefault="00270C0B" w:rsidP="00810867">
      <w:pPr>
        <w:spacing w:after="240"/>
        <w:rPr>
          <w:rFonts w:asciiTheme="minorHAnsi" w:hAnsiTheme="minorHAnsi" w:cs="Arial"/>
        </w:rPr>
      </w:pPr>
      <w:r>
        <w:t>SLNB</w:t>
      </w:r>
      <w:r w:rsidRPr="001E0838">
        <w:t xml:space="preserve"> for melanoma is already performed </w:t>
      </w:r>
      <w:r w:rsidR="00E226EE">
        <w:t xml:space="preserve">in Australia and </w:t>
      </w:r>
      <w:r w:rsidR="003D0197">
        <w:t xml:space="preserve">is </w:t>
      </w:r>
      <w:r w:rsidR="00E226EE">
        <w:t>claimed using the</w:t>
      </w:r>
      <w:r w:rsidRPr="001E0838">
        <w:t xml:space="preserve"> non-specific MBS diagnostic biopsy item 30075, and other items relating to specific sites (MBS ite</w:t>
      </w:r>
      <w:r w:rsidR="00810867">
        <w:t>ms 30329, 30332, 31420, 31423).</w:t>
      </w:r>
    </w:p>
    <w:p w14:paraId="74E2522B" w14:textId="77777777" w:rsidR="00CB43C1" w:rsidRDefault="00CB43C1" w:rsidP="00CB43C1">
      <w:pPr>
        <w:pStyle w:val="ListParagraph"/>
        <w:ind w:left="0"/>
      </w:pPr>
      <w:r>
        <w:t>SLNB</w:t>
      </w:r>
      <w:r w:rsidRPr="00F3798B">
        <w:t xml:space="preserve"> </w:t>
      </w:r>
      <w:r w:rsidR="00E226EE">
        <w:t xml:space="preserve">is currently MBS listed </w:t>
      </w:r>
      <w:r w:rsidRPr="00F3798B">
        <w:t xml:space="preserve">for breast cancer. </w:t>
      </w:r>
    </w:p>
    <w:p w14:paraId="2977317C" w14:textId="77777777" w:rsidR="00BC1364" w:rsidRPr="00F715D1" w:rsidRDefault="00BC1364" w:rsidP="00F715D1">
      <w:pPr>
        <w:pStyle w:val="Heading1"/>
      </w:pPr>
      <w:r w:rsidRPr="00F715D1">
        <w:t>Prerequisites to implementation of any funding advice</w:t>
      </w:r>
    </w:p>
    <w:p w14:paraId="5CB2313F" w14:textId="77777777" w:rsidR="00BC1364" w:rsidRPr="00B356E0" w:rsidRDefault="001B483F" w:rsidP="00F715D1">
      <w:pPr>
        <w:tabs>
          <w:tab w:val="left" w:pos="720"/>
          <w:tab w:val="left" w:pos="1140"/>
        </w:tabs>
        <w:spacing w:after="240"/>
        <w:rPr>
          <w:szCs w:val="24"/>
        </w:rPr>
      </w:pPr>
      <w:r>
        <w:t>SLNB</w:t>
      </w:r>
      <w:r w:rsidRPr="001E0838">
        <w:t xml:space="preserve"> for melanoma is already being </w:t>
      </w:r>
      <w:r w:rsidR="00F05450">
        <w:t>claimed on the MBS</w:t>
      </w:r>
      <w:r w:rsidR="00B356E0" w:rsidRPr="00B356E0">
        <w:rPr>
          <w:szCs w:val="24"/>
        </w:rPr>
        <w:t>.</w:t>
      </w:r>
    </w:p>
    <w:p w14:paraId="3B181780" w14:textId="77777777" w:rsidR="00BC1364" w:rsidRPr="00F715D1" w:rsidRDefault="00BC1364" w:rsidP="00F715D1">
      <w:pPr>
        <w:pStyle w:val="Heading1"/>
      </w:pPr>
      <w:r w:rsidRPr="00F715D1">
        <w:t>Proposal for public funding</w:t>
      </w:r>
    </w:p>
    <w:p w14:paraId="264A6CA2" w14:textId="77777777" w:rsidR="00C14123" w:rsidRPr="00C14123" w:rsidRDefault="00C14123" w:rsidP="00C14123">
      <w:pPr>
        <w:widowControl w:val="0"/>
        <w:spacing w:after="120"/>
        <w:rPr>
          <w:snapToGrid w:val="0"/>
          <w:szCs w:val="24"/>
          <w:lang w:eastAsia="en-US"/>
        </w:rPr>
      </w:pPr>
      <w:r w:rsidRPr="00C14123">
        <w:rPr>
          <w:snapToGrid w:val="0"/>
          <w:szCs w:val="24"/>
          <w:lang w:eastAsia="en-US"/>
        </w:rPr>
        <w:t>The procedure is targeted to two populations of patients with malignant cutaneous melanoma at high risk of nodal metastasis:</w:t>
      </w:r>
    </w:p>
    <w:p w14:paraId="0177D2AD" w14:textId="77777777" w:rsidR="00810867" w:rsidRDefault="00C14123" w:rsidP="00810867">
      <w:pPr>
        <w:numPr>
          <w:ilvl w:val="0"/>
          <w:numId w:val="29"/>
        </w:numPr>
        <w:contextualSpacing/>
      </w:pPr>
      <w:r w:rsidRPr="00C14123">
        <w:t>Population 1: Patients with intermediate thickness malignant cutaneous melanoma (</w:t>
      </w:r>
      <w:r w:rsidR="003D0197">
        <w:t>Breslow thickness</w:t>
      </w:r>
      <w:r w:rsidR="003D0197" w:rsidRPr="00C14123">
        <w:t xml:space="preserve"> </w:t>
      </w:r>
      <w:r w:rsidRPr="00C14123">
        <w:t>&gt;1.0 mm to 4 mm)</w:t>
      </w:r>
    </w:p>
    <w:p w14:paraId="0C9811A1" w14:textId="6CD9DC89" w:rsidR="00C14123" w:rsidRPr="00810867" w:rsidRDefault="00C14123" w:rsidP="00810867">
      <w:pPr>
        <w:numPr>
          <w:ilvl w:val="0"/>
          <w:numId w:val="29"/>
        </w:numPr>
        <w:contextualSpacing/>
      </w:pPr>
      <w:r w:rsidRPr="00810867">
        <w:t>Population 2: Patien</w:t>
      </w:r>
      <w:r w:rsidR="00810867" w:rsidRPr="00810867">
        <w:t>ts with thick melanoma (&gt;4 mm).</w:t>
      </w:r>
    </w:p>
    <w:p w14:paraId="40E8FD71" w14:textId="7614FD03" w:rsidR="00C14123" w:rsidRPr="00822D8D" w:rsidRDefault="00C14123" w:rsidP="00D208B7">
      <w:pPr>
        <w:spacing w:before="240"/>
        <w:rPr>
          <w:rFonts w:ascii="Arial Narrow" w:hAnsi="Arial Narrow"/>
          <w:b/>
          <w:sz w:val="20"/>
        </w:rPr>
      </w:pPr>
      <w:bookmarkStart w:id="1" w:name="_Ref505761884"/>
      <w:bookmarkStart w:id="2" w:name="_Toc505769090"/>
      <w:bookmarkStart w:id="3" w:name="_Toc505863460"/>
      <w:r w:rsidRPr="00822D8D">
        <w:rPr>
          <w:rFonts w:ascii="Arial Narrow" w:hAnsi="Arial Narrow"/>
          <w:b/>
          <w:sz w:val="20"/>
        </w:rPr>
        <w:t xml:space="preserve">Table </w:t>
      </w:r>
      <w:r w:rsidRPr="00822D8D">
        <w:rPr>
          <w:rFonts w:ascii="Arial Narrow" w:hAnsi="Arial Narrow"/>
          <w:b/>
          <w:sz w:val="20"/>
        </w:rPr>
        <w:fldChar w:fldCharType="begin"/>
      </w:r>
      <w:r w:rsidRPr="00822D8D">
        <w:rPr>
          <w:rFonts w:ascii="Arial Narrow" w:hAnsi="Arial Narrow"/>
          <w:b/>
          <w:sz w:val="20"/>
        </w:rPr>
        <w:instrText xml:space="preserve"> SEQ Table \* ARABIC </w:instrText>
      </w:r>
      <w:r w:rsidRPr="00822D8D">
        <w:rPr>
          <w:rFonts w:ascii="Arial Narrow" w:hAnsi="Arial Narrow"/>
          <w:b/>
          <w:sz w:val="20"/>
        </w:rPr>
        <w:fldChar w:fldCharType="separate"/>
      </w:r>
      <w:r w:rsidRPr="00822D8D">
        <w:rPr>
          <w:rFonts w:ascii="Arial Narrow" w:hAnsi="Arial Narrow"/>
          <w:b/>
          <w:sz w:val="20"/>
        </w:rPr>
        <w:t>1</w:t>
      </w:r>
      <w:r w:rsidRPr="00822D8D">
        <w:rPr>
          <w:rFonts w:ascii="Arial Narrow" w:hAnsi="Arial Narrow"/>
          <w:b/>
          <w:sz w:val="20"/>
        </w:rPr>
        <w:fldChar w:fldCharType="end"/>
      </w:r>
      <w:bookmarkEnd w:id="1"/>
      <w:r w:rsidRPr="00822D8D">
        <w:rPr>
          <w:rFonts w:ascii="Arial Narrow" w:hAnsi="Arial Narrow"/>
          <w:b/>
          <w:sz w:val="20"/>
        </w:rPr>
        <w:tab/>
        <w:t>Proposed MBS item descriptor</w:t>
      </w:r>
      <w:bookmarkEnd w:id="2"/>
      <w:bookmarkEnd w:id="3"/>
    </w:p>
    <w:tbl>
      <w:tblPr>
        <w:tblStyle w:val="TableGrid12"/>
        <w:tblW w:w="0" w:type="auto"/>
        <w:tblLook w:val="04A0" w:firstRow="1" w:lastRow="0" w:firstColumn="1" w:lastColumn="0" w:noHBand="0" w:noVBand="1"/>
        <w:tblCaption w:val="Proposed MBS item descriptor"/>
        <w:tblDescription w:val="This table provides a description of the wording of the item to be included in the Medicare Benefits Schedule for this technology."/>
      </w:tblPr>
      <w:tblGrid>
        <w:gridCol w:w="9111"/>
      </w:tblGrid>
      <w:tr w:rsidR="00C14123" w:rsidRPr="00C14123" w14:paraId="1ED838F3" w14:textId="77777777" w:rsidTr="00822D8D">
        <w:tc>
          <w:tcPr>
            <w:tcW w:w="9111" w:type="dxa"/>
          </w:tcPr>
          <w:p w14:paraId="454FBB7B" w14:textId="77777777" w:rsidR="00C14123" w:rsidRPr="00C14123" w:rsidRDefault="00C14123" w:rsidP="00C14123">
            <w:pPr>
              <w:keepNext/>
              <w:spacing w:before="40" w:after="40"/>
              <w:rPr>
                <w:rFonts w:ascii="Arial Narrow" w:hAnsi="Arial Narrow" w:cs="Tahoma"/>
                <w:sz w:val="20"/>
              </w:rPr>
            </w:pPr>
            <w:r w:rsidRPr="00C14123">
              <w:rPr>
                <w:rFonts w:ascii="Arial Narrow" w:hAnsi="Arial Narrow" w:cs="Tahoma"/>
                <w:sz w:val="20"/>
              </w:rPr>
              <w:t xml:space="preserve">Category 3 – </w:t>
            </w:r>
            <w:r w:rsidRPr="00C14123">
              <w:rPr>
                <w:rFonts w:ascii="Arial Narrow" w:hAnsi="Arial Narrow" w:cs="Tahoma"/>
                <w:sz w:val="20"/>
                <w:szCs w:val="22"/>
              </w:rPr>
              <w:t>THERAPEUTIC PROCEDURES</w:t>
            </w:r>
          </w:p>
        </w:tc>
      </w:tr>
      <w:tr w:rsidR="00C14123" w:rsidRPr="00C14123" w14:paraId="1F359745" w14:textId="77777777" w:rsidTr="00822D8D">
        <w:tc>
          <w:tcPr>
            <w:tcW w:w="9111" w:type="dxa"/>
          </w:tcPr>
          <w:p w14:paraId="680D7EE4" w14:textId="77777777" w:rsidR="00C14123" w:rsidRPr="00C14123" w:rsidRDefault="00C14123" w:rsidP="00C14123">
            <w:pPr>
              <w:keepNext/>
              <w:spacing w:before="40" w:after="40"/>
              <w:rPr>
                <w:rFonts w:ascii="Arial Narrow" w:hAnsi="Arial Narrow" w:cs="Tahoma"/>
                <w:sz w:val="20"/>
              </w:rPr>
            </w:pPr>
            <w:r w:rsidRPr="00C14123">
              <w:rPr>
                <w:rFonts w:ascii="Arial Narrow" w:hAnsi="Arial Narrow" w:cs="Tahoma"/>
                <w:sz w:val="20"/>
              </w:rPr>
              <w:t xml:space="preserve">SENTINEL LYMPH NODE BIOPSY OR BIOPSIES for cutaneous melanoma, where the primary lesion is 1.0 mm or greater in depth and appropriate excision of the primary melanoma has occurred, using preoperative lymphoscintigraphy and </w:t>
            </w:r>
            <w:proofErr w:type="spellStart"/>
            <w:r w:rsidRPr="00C14123">
              <w:rPr>
                <w:rFonts w:ascii="Arial Narrow" w:hAnsi="Arial Narrow" w:cs="Tahoma"/>
                <w:sz w:val="20"/>
              </w:rPr>
              <w:t>lymphotrophic</w:t>
            </w:r>
            <w:proofErr w:type="spellEnd"/>
            <w:r w:rsidRPr="00C14123">
              <w:rPr>
                <w:rFonts w:ascii="Arial Narrow" w:hAnsi="Arial Narrow" w:cs="Tahoma"/>
                <w:sz w:val="20"/>
              </w:rPr>
              <w:t xml:space="preserve"> dye injection.</w:t>
            </w:r>
          </w:p>
          <w:p w14:paraId="68C9EF01" w14:textId="77777777" w:rsidR="00C14123" w:rsidRPr="00C14123" w:rsidRDefault="00C14123" w:rsidP="00C14123">
            <w:pPr>
              <w:keepNext/>
              <w:spacing w:before="40" w:after="40"/>
              <w:rPr>
                <w:rFonts w:ascii="Arial Narrow" w:hAnsi="Arial Narrow" w:cs="Tahoma"/>
                <w:sz w:val="20"/>
              </w:rPr>
            </w:pPr>
            <w:r w:rsidRPr="00C14123">
              <w:rPr>
                <w:rFonts w:ascii="Arial Narrow" w:hAnsi="Arial Narrow" w:cs="Tahoma"/>
                <w:sz w:val="20"/>
              </w:rPr>
              <w:t>Limit of one lesion per patient per occasion*</w:t>
            </w:r>
          </w:p>
          <w:p w14:paraId="25E2F512" w14:textId="77777777" w:rsidR="00C14123" w:rsidRPr="00C14123" w:rsidRDefault="00C14123" w:rsidP="00C14123">
            <w:pPr>
              <w:keepNext/>
              <w:spacing w:before="40" w:after="40"/>
              <w:rPr>
                <w:rFonts w:ascii="Arial Narrow" w:hAnsi="Arial Narrow" w:cs="Tahoma"/>
                <w:sz w:val="20"/>
                <w:szCs w:val="22"/>
              </w:rPr>
            </w:pPr>
            <w:r w:rsidRPr="00C14123">
              <w:rPr>
                <w:rFonts w:ascii="Arial Narrow" w:hAnsi="Arial Narrow" w:cs="Tahoma"/>
                <w:sz w:val="20"/>
                <w:szCs w:val="22"/>
              </w:rPr>
              <w:t>(</w:t>
            </w:r>
            <w:proofErr w:type="spellStart"/>
            <w:r w:rsidRPr="00C14123">
              <w:rPr>
                <w:rFonts w:ascii="Arial Narrow" w:hAnsi="Arial Narrow" w:cs="Tahoma"/>
                <w:sz w:val="20"/>
                <w:szCs w:val="22"/>
              </w:rPr>
              <w:t>Anaes</w:t>
            </w:r>
            <w:proofErr w:type="spellEnd"/>
            <w:r w:rsidRPr="00C14123">
              <w:rPr>
                <w:rFonts w:ascii="Arial Narrow" w:hAnsi="Arial Narrow" w:cs="Tahoma"/>
                <w:sz w:val="20"/>
                <w:szCs w:val="22"/>
              </w:rPr>
              <w:t>.) (Assist.)</w:t>
            </w:r>
          </w:p>
          <w:p w14:paraId="0EE0891C" w14:textId="77777777" w:rsidR="00C14123" w:rsidRPr="00C14123" w:rsidRDefault="00C14123" w:rsidP="00C14123">
            <w:pPr>
              <w:keepNext/>
              <w:spacing w:before="40" w:after="40"/>
              <w:rPr>
                <w:rFonts w:ascii="Arial Narrow" w:hAnsi="Arial Narrow" w:cs="Tahoma"/>
                <w:sz w:val="20"/>
                <w:szCs w:val="22"/>
              </w:rPr>
            </w:pPr>
          </w:p>
          <w:p w14:paraId="56F8BB48" w14:textId="77777777" w:rsidR="00C14123" w:rsidRPr="00C14123" w:rsidRDefault="00C14123" w:rsidP="00C14123">
            <w:pPr>
              <w:keepNext/>
              <w:spacing w:before="40" w:after="40"/>
              <w:rPr>
                <w:rFonts w:ascii="Arial Narrow" w:hAnsi="Arial Narrow" w:cs="Tahoma"/>
                <w:sz w:val="20"/>
              </w:rPr>
            </w:pPr>
            <w:r w:rsidRPr="00C14123">
              <w:rPr>
                <w:rFonts w:ascii="Arial Narrow" w:hAnsi="Arial Narrow" w:cs="Tahoma"/>
                <w:sz w:val="20"/>
                <w:szCs w:val="22"/>
              </w:rPr>
              <w:t>Fee: $637.45</w:t>
            </w:r>
          </w:p>
        </w:tc>
      </w:tr>
    </w:tbl>
    <w:p w14:paraId="65F8EAEF" w14:textId="77777777" w:rsidR="00C14123" w:rsidRPr="00C14123" w:rsidRDefault="00C14123" w:rsidP="00C14123">
      <w:pPr>
        <w:widowControl w:val="0"/>
        <w:spacing w:after="120"/>
        <w:jc w:val="both"/>
        <w:rPr>
          <w:rFonts w:ascii="Arial Narrow" w:hAnsi="Arial Narrow" w:cs="Arial"/>
          <w:snapToGrid w:val="0"/>
          <w:sz w:val="18"/>
          <w:lang w:eastAsia="en-US"/>
        </w:rPr>
      </w:pPr>
      <w:r w:rsidRPr="00C14123">
        <w:rPr>
          <w:rFonts w:ascii="Arial Narrow" w:hAnsi="Arial Narrow" w:cs="Arial"/>
          <w:snapToGrid w:val="0"/>
          <w:sz w:val="18"/>
          <w:lang w:eastAsia="en-US"/>
        </w:rPr>
        <w:t>*The Applicant has requested consideration be given to allowing billing of the item for more than once per occasion, depending on the number of lymph node basins sampled.</w:t>
      </w:r>
    </w:p>
    <w:p w14:paraId="1959CDDC" w14:textId="690EF9DF" w:rsidR="00BC1364" w:rsidRPr="00F715D1" w:rsidRDefault="00BC1364" w:rsidP="00F715D1">
      <w:pPr>
        <w:pStyle w:val="Heading1"/>
      </w:pPr>
      <w:r w:rsidRPr="00F715D1">
        <w:lastRenderedPageBreak/>
        <w:t xml:space="preserve">Summary of </w:t>
      </w:r>
      <w:r w:rsidR="008B46A2" w:rsidRPr="00F715D1">
        <w:t>public consultation feedback/consumer issues</w:t>
      </w:r>
    </w:p>
    <w:p w14:paraId="253B2E24" w14:textId="77777777" w:rsidR="00360303" w:rsidRDefault="001B483F" w:rsidP="00360303">
      <w:r>
        <w:t>A professional organisation</w:t>
      </w:r>
      <w:r w:rsidR="00360303" w:rsidRPr="001E0838">
        <w:t xml:space="preserve"> supported the reimbursement and tracking of </w:t>
      </w:r>
      <w:r w:rsidR="00360303">
        <w:t>SLNB</w:t>
      </w:r>
      <w:r w:rsidR="00360303" w:rsidRPr="001E0838">
        <w:t xml:space="preserve"> for patients with melanoma</w:t>
      </w:r>
      <w:r w:rsidR="00360303">
        <w:rPr>
          <w:i/>
        </w:rPr>
        <w:t xml:space="preserve">. </w:t>
      </w:r>
      <w:r w:rsidR="00360303" w:rsidRPr="001E0838">
        <w:t xml:space="preserve">They noted that </w:t>
      </w:r>
      <w:r w:rsidR="00360303">
        <w:t>SLNB</w:t>
      </w:r>
      <w:r w:rsidR="00360303" w:rsidRPr="001E0838">
        <w:t xml:space="preserve"> “is an accurate diagnostic procedure that provides patients with genuine insights into their prognosis but that current evidence is not conclusive regarding overall survival benefit,” and that “accurate staging was required to access some treatments including those in the adjuvant setting.”</w:t>
      </w:r>
    </w:p>
    <w:p w14:paraId="6A65DDE9" w14:textId="77777777" w:rsidR="00BC1364" w:rsidRPr="00F715D1" w:rsidRDefault="00BC1364" w:rsidP="00F715D1">
      <w:pPr>
        <w:pStyle w:val="Heading1"/>
      </w:pPr>
      <w:r w:rsidRPr="00F715D1">
        <w:t>Proposed intervention’s place in clinical management</w:t>
      </w:r>
    </w:p>
    <w:p w14:paraId="60FF34BF" w14:textId="1E3B5780" w:rsidR="001B483F" w:rsidRPr="000C4999" w:rsidRDefault="001B483F" w:rsidP="001B483F">
      <w:pPr>
        <w:pStyle w:val="Default"/>
      </w:pPr>
      <w:r w:rsidRPr="000C4999">
        <w:t xml:space="preserve">Melanoma is a malignancy arising from the skin pigment cells (melanocytes). </w:t>
      </w:r>
      <w:r>
        <w:rPr>
          <w:color w:val="auto"/>
        </w:rPr>
        <w:t>Cutaneous m</w:t>
      </w:r>
      <w:r w:rsidRPr="000C4999">
        <w:rPr>
          <w:color w:val="auto"/>
        </w:rPr>
        <w:t>elanoma is estimated to be the 4th most commonly diagnosed cancer in Australia, with 13,941 newly-diagnosed cases. Melanoma lesions are classified as thin (</w:t>
      </w:r>
      <w:r w:rsidR="00821CFC">
        <w:rPr>
          <w:color w:val="auto"/>
        </w:rPr>
        <w:t xml:space="preserve">Breslow thickness </w:t>
      </w:r>
      <w:r w:rsidRPr="000C4999">
        <w:rPr>
          <w:color w:val="auto"/>
        </w:rPr>
        <w:t>&lt;1 mm), intermediate thickness (1-4 mm), or thick (&gt;4 mm). Most cases are diagnosed at an early stage (&lt;1 mm thickness) where 5-year survival is &gt;95%, but as Breslow thickness</w:t>
      </w:r>
      <w:r>
        <w:rPr>
          <w:color w:val="auto"/>
        </w:rPr>
        <w:t xml:space="preserve"> increases, survival decreases.</w:t>
      </w:r>
    </w:p>
    <w:p w14:paraId="7EAF6DF0" w14:textId="7CEE5B9E" w:rsidR="00270C0B" w:rsidRPr="00810867" w:rsidRDefault="00270C0B" w:rsidP="00810867">
      <w:pPr>
        <w:pStyle w:val="Default"/>
        <w:spacing w:before="240" w:after="240"/>
        <w:rPr>
          <w:szCs w:val="22"/>
        </w:rPr>
      </w:pPr>
      <w:r w:rsidRPr="000C4999">
        <w:rPr>
          <w:szCs w:val="22"/>
        </w:rPr>
        <w:t xml:space="preserve">The proposed medical service is </w:t>
      </w:r>
      <w:r>
        <w:rPr>
          <w:szCs w:val="22"/>
        </w:rPr>
        <w:t>SLNB</w:t>
      </w:r>
      <w:r w:rsidRPr="000C4999">
        <w:rPr>
          <w:szCs w:val="22"/>
        </w:rPr>
        <w:t xml:space="preserve"> with excision of lymph node(s) identified by a combination of lymphoscintigraphy/gamma probe and blue dye (</w:t>
      </w:r>
      <w:proofErr w:type="spellStart"/>
      <w:r w:rsidRPr="000C4999">
        <w:rPr>
          <w:szCs w:val="22"/>
        </w:rPr>
        <w:t>lymphotropic</w:t>
      </w:r>
      <w:proofErr w:type="spellEnd"/>
      <w:r w:rsidRPr="000C4999">
        <w:rPr>
          <w:szCs w:val="22"/>
        </w:rPr>
        <w:t xml:space="preserve"> dye</w:t>
      </w:r>
      <w:r w:rsidR="00821CFC">
        <w:rPr>
          <w:szCs w:val="22"/>
        </w:rPr>
        <w:t>)</w:t>
      </w:r>
      <w:r w:rsidRPr="000C4999">
        <w:rPr>
          <w:szCs w:val="22"/>
        </w:rPr>
        <w:t xml:space="preserve"> injection in addition to WLE for use in patients with intermediate thickness (&gt;1 mm to 4 mm) and thick </w:t>
      </w:r>
      <w:r w:rsidR="00821CFC" w:rsidRPr="000C4999">
        <w:rPr>
          <w:szCs w:val="22"/>
        </w:rPr>
        <w:t>(</w:t>
      </w:r>
      <w:r w:rsidR="00821CFC">
        <w:rPr>
          <w:szCs w:val="22"/>
        </w:rPr>
        <w:t>&gt;</w:t>
      </w:r>
      <w:r w:rsidRPr="000C4999">
        <w:rPr>
          <w:szCs w:val="22"/>
        </w:rPr>
        <w:t xml:space="preserve">4 mm) </w:t>
      </w:r>
      <w:r w:rsidR="00821CFC">
        <w:rPr>
          <w:szCs w:val="22"/>
        </w:rPr>
        <w:t xml:space="preserve">cutaneous </w:t>
      </w:r>
      <w:r w:rsidRPr="000C4999">
        <w:rPr>
          <w:szCs w:val="22"/>
        </w:rPr>
        <w:t>malignant melanoma</w:t>
      </w:r>
      <w:r w:rsidRPr="000C4999">
        <w:rPr>
          <w:i/>
          <w:iCs/>
          <w:szCs w:val="22"/>
        </w:rPr>
        <w:t>.</w:t>
      </w:r>
    </w:p>
    <w:p w14:paraId="2B198946" w14:textId="77777777" w:rsidR="00360303" w:rsidRDefault="00360303" w:rsidP="00360303">
      <w:pPr>
        <w:pStyle w:val="Default"/>
        <w:rPr>
          <w:szCs w:val="22"/>
        </w:rPr>
      </w:pPr>
      <w:r w:rsidRPr="005A403B">
        <w:rPr>
          <w:szCs w:val="22"/>
        </w:rPr>
        <w:t>As the intervention is already in use, the clinical management algorithm is the same for both current management and proposed m</w:t>
      </w:r>
      <w:r>
        <w:rPr>
          <w:szCs w:val="22"/>
        </w:rPr>
        <w:t>anagement. The</w:t>
      </w:r>
      <w:r w:rsidRPr="005A403B">
        <w:rPr>
          <w:szCs w:val="22"/>
        </w:rPr>
        <w:t xml:space="preserve"> only difference proposed is that there would be a new specific MBS item number for </w:t>
      </w:r>
      <w:r>
        <w:rPr>
          <w:szCs w:val="22"/>
        </w:rPr>
        <w:t>SLNB</w:t>
      </w:r>
      <w:r w:rsidRPr="005A403B">
        <w:rPr>
          <w:szCs w:val="22"/>
        </w:rPr>
        <w:t xml:space="preserve"> for melanoma, to distinguish it from other indications for lymph node biopsy. </w:t>
      </w:r>
    </w:p>
    <w:p w14:paraId="0DB40A4A" w14:textId="77777777" w:rsidR="00BC1364" w:rsidRPr="00F715D1" w:rsidRDefault="00BC1364" w:rsidP="00F715D1">
      <w:pPr>
        <w:pStyle w:val="Heading1"/>
      </w:pPr>
      <w:r w:rsidRPr="00F715D1">
        <w:t xml:space="preserve">Comparator </w:t>
      </w:r>
    </w:p>
    <w:p w14:paraId="4EFB73C7" w14:textId="3ED1F8DA" w:rsidR="00360303" w:rsidRDefault="00360303" w:rsidP="00360303">
      <w:r w:rsidRPr="001E0838">
        <w:t>The comparator for both populations (intermediate thickness and thick melanoma) is</w:t>
      </w:r>
      <w:r>
        <w:t xml:space="preserve"> WLE </w:t>
      </w:r>
      <w:r w:rsidR="002B01D2">
        <w:t xml:space="preserve">of the primary melanoma </w:t>
      </w:r>
      <w:r>
        <w:t xml:space="preserve">and follow-up. </w:t>
      </w:r>
    </w:p>
    <w:p w14:paraId="1F956A4B" w14:textId="77777777" w:rsidR="00BC1364" w:rsidRPr="00F715D1" w:rsidRDefault="00BC1364" w:rsidP="00F715D1">
      <w:pPr>
        <w:pStyle w:val="Heading1"/>
      </w:pPr>
      <w:r w:rsidRPr="00F715D1">
        <w:t>Comparative safety</w:t>
      </w:r>
    </w:p>
    <w:p w14:paraId="421B8049" w14:textId="252197CC" w:rsidR="008B2A76" w:rsidRDefault="008B2A76" w:rsidP="008B2A76">
      <w:pPr>
        <w:tabs>
          <w:tab w:val="left" w:pos="720"/>
          <w:tab w:val="left" w:pos="1140"/>
        </w:tabs>
      </w:pPr>
      <w:r w:rsidRPr="001E0838">
        <w:t xml:space="preserve">Eighteen studies were included in the assessment </w:t>
      </w:r>
      <w:r>
        <w:t xml:space="preserve">of safety of SLNB for melanoma. </w:t>
      </w:r>
      <w:r w:rsidRPr="001E0838">
        <w:t xml:space="preserve">Three studies were </w:t>
      </w:r>
      <w:r>
        <w:t>RCTs</w:t>
      </w:r>
      <w:r w:rsidRPr="001E0838">
        <w:t>, three were prospective cohort</w:t>
      </w:r>
      <w:r w:rsidR="002B01D2">
        <w:t xml:space="preserve"> studies</w:t>
      </w:r>
      <w:r w:rsidRPr="001E0838">
        <w:t>, eight were retrospective cohort</w:t>
      </w:r>
      <w:r w:rsidR="002B01D2">
        <w:t xml:space="preserve"> studies</w:t>
      </w:r>
      <w:r w:rsidRPr="001E0838">
        <w:t>, and four were cross-sectional studies.</w:t>
      </w:r>
      <w:r>
        <w:t xml:space="preserve"> </w:t>
      </w:r>
    </w:p>
    <w:p w14:paraId="34153D79" w14:textId="77777777" w:rsidR="00F05450" w:rsidRDefault="008B2A76" w:rsidP="00F05450">
      <w:pPr>
        <w:spacing w:before="240"/>
      </w:pPr>
      <w:r>
        <w:t>Overall rates of adverse events were similar following WLE (18.9%) and SLNB alone (4.6-13.8%), whereas higher rates of adverse events were exper</w:t>
      </w:r>
      <w:r w:rsidR="00F05450">
        <w:t xml:space="preserve">ienced after CLND (23.2-77.8%). </w:t>
      </w:r>
    </w:p>
    <w:p w14:paraId="2DE41357" w14:textId="14C93498" w:rsidR="00F05450" w:rsidRDefault="008B2A76" w:rsidP="00F05450">
      <w:pPr>
        <w:spacing w:before="240"/>
      </w:pPr>
      <w:r>
        <w:t xml:space="preserve">Most frequent adverse events related to SLNB were wound complications (0-8.3%), </w:t>
      </w:r>
      <w:proofErr w:type="spellStart"/>
      <w:r>
        <w:t>lymphoedema</w:t>
      </w:r>
      <w:proofErr w:type="spellEnd"/>
      <w:r>
        <w:t xml:space="preserve"> (0.4-11.4%), nerve dysfunction (0.1-31.7%), and pain (13.8%).</w:t>
      </w:r>
      <w:r w:rsidR="00F05450">
        <w:t xml:space="preserve"> </w:t>
      </w:r>
      <w:r w:rsidR="00F05450" w:rsidRPr="00F05450">
        <w:t xml:space="preserve">Rare complications included functional limitations (0-0.4%), anaphylactic (0-0.7%) and allergic reactions (0.0-0.9%) to the blue dye, and skin discolouration from the blue dye (0.1-0.4%). SLNB procedures performed in the inguinal region appeared to carry higher rates of </w:t>
      </w:r>
      <w:proofErr w:type="spellStart"/>
      <w:r w:rsidR="00F05450" w:rsidRPr="00F05450">
        <w:t>lymphoedema</w:t>
      </w:r>
      <w:proofErr w:type="spellEnd"/>
      <w:r w:rsidR="00F05450" w:rsidRPr="00F05450">
        <w:t>, wound complications, and nerve dysfunctions than those in the axilla.</w:t>
      </w:r>
      <w:r>
        <w:t xml:space="preserve"> </w:t>
      </w:r>
    </w:p>
    <w:p w14:paraId="21C6B5EB" w14:textId="77777777" w:rsidR="008B2A76" w:rsidRPr="001E0838" w:rsidRDefault="008B2A76" w:rsidP="00F05450">
      <w:pPr>
        <w:spacing w:before="240"/>
      </w:pPr>
      <w:r>
        <w:t>Overall, the safety profile of SLNB</w:t>
      </w:r>
      <w:r w:rsidRPr="001E0838">
        <w:t xml:space="preserve"> </w:t>
      </w:r>
      <w:r>
        <w:t xml:space="preserve">without CLND was similar to that of WLE. However, </w:t>
      </w:r>
      <w:r w:rsidRPr="001E0838">
        <w:t xml:space="preserve">CLND was found to cause more adverse events than </w:t>
      </w:r>
      <w:r>
        <w:t>SLNB alone</w:t>
      </w:r>
      <w:r w:rsidRPr="001E0838">
        <w:t>.</w:t>
      </w:r>
    </w:p>
    <w:p w14:paraId="5F3DAC85" w14:textId="77777777" w:rsidR="00BC1364" w:rsidRPr="00F715D1" w:rsidRDefault="00BC1364" w:rsidP="00F715D1">
      <w:pPr>
        <w:pStyle w:val="Heading1"/>
      </w:pPr>
      <w:r w:rsidRPr="00F715D1">
        <w:lastRenderedPageBreak/>
        <w:t>Comparative effectiveness</w:t>
      </w:r>
    </w:p>
    <w:p w14:paraId="79806844" w14:textId="030B4469" w:rsidR="008B2A76" w:rsidRDefault="008B2A76" w:rsidP="00810867">
      <w:pPr>
        <w:tabs>
          <w:tab w:val="left" w:pos="720"/>
          <w:tab w:val="left" w:pos="1140"/>
        </w:tabs>
        <w:spacing w:after="240"/>
      </w:pPr>
      <w:r w:rsidRPr="001E0838">
        <w:t xml:space="preserve">Eleven studies and one systematic review were included in the evidence base for effectiveness of </w:t>
      </w:r>
      <w:r>
        <w:t>SLNB</w:t>
      </w:r>
      <w:r w:rsidRPr="001E0838">
        <w:t>.</w:t>
      </w:r>
      <w:r>
        <w:t xml:space="preserve"> </w:t>
      </w:r>
    </w:p>
    <w:p w14:paraId="4E2CF0AA" w14:textId="66285174" w:rsidR="00F05450" w:rsidRDefault="008B2A76" w:rsidP="008B2A76">
      <w:r>
        <w:t xml:space="preserve">One </w:t>
      </w:r>
      <w:r w:rsidR="004D6DB4" w:rsidRPr="00872569">
        <w:rPr>
          <w:szCs w:val="24"/>
          <w:lang w:val="en-US"/>
        </w:rPr>
        <w:t>randomised controlled trial (MLST-I</w:t>
      </w:r>
      <w:r w:rsidR="004D6DB4">
        <w:rPr>
          <w:szCs w:val="24"/>
          <w:lang w:val="en-US"/>
        </w:rPr>
        <w:t>,</w:t>
      </w:r>
      <w:r w:rsidR="004D6DB4" w:rsidRPr="00872569">
        <w:rPr>
          <w:szCs w:val="24"/>
          <w:lang w:val="en-US"/>
        </w:rPr>
        <w:t xml:space="preserve"> Morton DL et al 2014)</w:t>
      </w:r>
      <w:r w:rsidR="004D6DB4">
        <w:rPr>
          <w:szCs w:val="24"/>
          <w:lang w:val="en-US"/>
        </w:rPr>
        <w:t xml:space="preserve"> </w:t>
      </w:r>
      <w:r>
        <w:t>reported that</w:t>
      </w:r>
      <w:r w:rsidRPr="00FF1635">
        <w:t xml:space="preserve">, relative to WLE and follow-up, </w:t>
      </w:r>
      <w:r>
        <w:t>SLNB</w:t>
      </w:r>
      <w:r w:rsidRPr="00FF1635">
        <w:t xml:space="preserve"> </w:t>
      </w:r>
      <w:r>
        <w:t>in addition to WLE improved</w:t>
      </w:r>
      <w:r w:rsidRPr="00FF1635">
        <w:t xml:space="preserve"> disease-free survival and nodal recurrence for melanoma &gt;1 mm thickness (</w:t>
      </w:r>
      <w:r>
        <w:t xml:space="preserve">i.e. for </w:t>
      </w:r>
      <w:r w:rsidRPr="00FF1635">
        <w:t>both population</w:t>
      </w:r>
      <w:r>
        <w:t xml:space="preserve"> 1 and 2:</w:t>
      </w:r>
      <w:r w:rsidRPr="00FF1635">
        <w:t xml:space="preserve"> 1-4mm and &gt;4mm).</w:t>
      </w:r>
      <w:r>
        <w:t xml:space="preserve"> However, this RCT found no improvement in </w:t>
      </w:r>
      <w:r w:rsidRPr="00FF1635">
        <w:t>overall survival, melanoma-specific survival</w:t>
      </w:r>
      <w:r>
        <w:t>,</w:t>
      </w:r>
      <w:r w:rsidRPr="00FF1635">
        <w:t xml:space="preserve"> </w:t>
      </w:r>
      <w:r>
        <w:t>or</w:t>
      </w:r>
      <w:r w:rsidRPr="00FF1635">
        <w:t xml:space="preserve"> dista</w:t>
      </w:r>
      <w:r w:rsidR="002B01D2">
        <w:t>nt</w:t>
      </w:r>
      <w:r w:rsidRPr="00FF1635">
        <w:t xml:space="preserve"> recurrence for melanoma &gt;1 mm thickness</w:t>
      </w:r>
      <w:r>
        <w:t xml:space="preserve"> </w:t>
      </w:r>
      <w:r w:rsidRPr="00FF1635">
        <w:t>(</w:t>
      </w:r>
      <w:r>
        <w:t xml:space="preserve">i.e. for </w:t>
      </w:r>
      <w:r w:rsidRPr="00FF1635">
        <w:t>both population</w:t>
      </w:r>
      <w:r>
        <w:t xml:space="preserve"> 1 and 2:</w:t>
      </w:r>
      <w:r w:rsidRPr="00FF1635">
        <w:t xml:space="preserve"> 1-4mm and &gt;4mm).</w:t>
      </w:r>
      <w:r>
        <w:t xml:space="preserve"> </w:t>
      </w:r>
    </w:p>
    <w:p w14:paraId="2D197C41" w14:textId="0E190FE5" w:rsidR="00F05450" w:rsidRDefault="008B2A76" w:rsidP="00F05450">
      <w:pPr>
        <w:spacing w:before="240"/>
      </w:pPr>
      <w:r w:rsidRPr="00FA3263">
        <w:t xml:space="preserve">Three retrospective studies found a very small improvement in 5 year melanoma-specific survival in the </w:t>
      </w:r>
      <w:r>
        <w:t>SLNB</w:t>
      </w:r>
      <w:r w:rsidRPr="00FA3263">
        <w:t xml:space="preserve"> group</w:t>
      </w:r>
      <w:r>
        <w:t xml:space="preserve"> for population </w:t>
      </w:r>
      <w:r w:rsidR="002B01D2">
        <w:t xml:space="preserve">1 </w:t>
      </w:r>
      <w:r>
        <w:t>(</w:t>
      </w:r>
      <w:r w:rsidR="002B01D2">
        <w:t>intermediate</w:t>
      </w:r>
      <w:r>
        <w:t xml:space="preserve"> thickness melanoma). </w:t>
      </w:r>
    </w:p>
    <w:p w14:paraId="0A374BB9" w14:textId="0FD82DC4" w:rsidR="008B2A76" w:rsidRDefault="008B2A76" w:rsidP="00810867">
      <w:pPr>
        <w:spacing w:before="240" w:after="240"/>
      </w:pPr>
      <w:r>
        <w:t xml:space="preserve">One retrospective study found improved disease-free survival in the SLNB group and one other retrospective study found a reduced nodal recurrence and a higher distant recurrence in the SLNB group for population </w:t>
      </w:r>
      <w:r w:rsidR="002B01D2">
        <w:t>2 (</w:t>
      </w:r>
      <w:r>
        <w:t>thick melanoma).</w:t>
      </w:r>
    </w:p>
    <w:p w14:paraId="0660A1B9" w14:textId="73785AA6" w:rsidR="00F05450" w:rsidRDefault="008B2A76" w:rsidP="008B2A76">
      <w:r>
        <w:t xml:space="preserve">The remaining studies did not report findings separately for population </w:t>
      </w:r>
      <w:r w:rsidR="002B01D2">
        <w:t xml:space="preserve">1 </w:t>
      </w:r>
      <w:r>
        <w:t xml:space="preserve">or </w:t>
      </w:r>
      <w:r w:rsidR="002B01D2">
        <w:t>2</w:t>
      </w:r>
      <w:r>
        <w:t xml:space="preserve">. </w:t>
      </w:r>
    </w:p>
    <w:p w14:paraId="4428DB72" w14:textId="77777777" w:rsidR="00F05450" w:rsidRPr="00F05450" w:rsidRDefault="00F05450" w:rsidP="00F05450">
      <w:pPr>
        <w:spacing w:before="240" w:after="120"/>
        <w:rPr>
          <w:i/>
        </w:rPr>
      </w:pPr>
      <w:r w:rsidRPr="00F05450">
        <w:rPr>
          <w:i/>
        </w:rPr>
        <w:t>Diagnostic performance</w:t>
      </w:r>
    </w:p>
    <w:p w14:paraId="6E7788D1" w14:textId="6B3A7E46" w:rsidR="00F05450" w:rsidRDefault="00F05450" w:rsidP="00F05450">
      <w:r>
        <w:t xml:space="preserve">The diagnostic yield </w:t>
      </w:r>
      <w:r w:rsidR="002B01D2">
        <w:t xml:space="preserve">(defined as the number of positive SLNB/total number of SLNB) </w:t>
      </w:r>
      <w:r>
        <w:t>reported ranged from 11.3% to 50.0%</w:t>
      </w:r>
      <w:r w:rsidR="00F80F49">
        <w:t xml:space="preserve"> and</w:t>
      </w:r>
      <w:r>
        <w:t xml:space="preserve"> did not change notably depending on the site of the melanoma. However, the results indicate</w:t>
      </w:r>
      <w:r w:rsidR="00F80F49">
        <w:t>d</w:t>
      </w:r>
      <w:r>
        <w:t xml:space="preserve"> that the thicker the melanoma, the higher the diagnostic yield is likely to be.</w:t>
      </w:r>
    </w:p>
    <w:p w14:paraId="7E23FD90" w14:textId="6D39777A" w:rsidR="00F05450" w:rsidRDefault="00F05450" w:rsidP="00810867">
      <w:pPr>
        <w:spacing w:before="240" w:after="240"/>
      </w:pPr>
      <w:r>
        <w:t xml:space="preserve">Variations in the extent of follow-up across the included studies are likely to contribute to considerable uncertainty in identification of regional nodal recurrence. The false negative rate ranged from 8.5% to 39.6%. However, higher rates were observed for the studies reporting results from head and neck </w:t>
      </w:r>
      <w:r w:rsidR="002B01D2">
        <w:t xml:space="preserve">primary </w:t>
      </w:r>
      <w:r>
        <w:t xml:space="preserve">sites. </w:t>
      </w:r>
      <w:r w:rsidR="002B01D2">
        <w:t>S</w:t>
      </w:r>
      <w:r>
        <w:t>ensitivity and specificity were not calculated.</w:t>
      </w:r>
    </w:p>
    <w:p w14:paraId="45C38768" w14:textId="6A9BA643" w:rsidR="00F37B9C" w:rsidRDefault="00F37B9C" w:rsidP="00F80F49">
      <w:pPr>
        <w:tabs>
          <w:tab w:val="left" w:pos="720"/>
          <w:tab w:val="left" w:pos="1140"/>
        </w:tabs>
        <w:spacing w:after="120"/>
        <w:rPr>
          <w:b/>
          <w:szCs w:val="24"/>
        </w:rPr>
      </w:pPr>
      <w:r w:rsidRPr="00F37B9C">
        <w:rPr>
          <w:b/>
          <w:szCs w:val="24"/>
        </w:rPr>
        <w:t xml:space="preserve">Clinical </w:t>
      </w:r>
      <w:r w:rsidR="00F31437">
        <w:rPr>
          <w:b/>
          <w:szCs w:val="24"/>
        </w:rPr>
        <w:t>c</w:t>
      </w:r>
      <w:r w:rsidRPr="00F37B9C">
        <w:rPr>
          <w:b/>
          <w:szCs w:val="24"/>
        </w:rPr>
        <w:t>laim</w:t>
      </w:r>
    </w:p>
    <w:p w14:paraId="05CA06F5" w14:textId="33A676F7" w:rsidR="00D70417" w:rsidRPr="00BA6E41" w:rsidRDefault="00D70417" w:rsidP="00810867">
      <w:pPr>
        <w:spacing w:after="240"/>
      </w:pPr>
      <w:r w:rsidRPr="00BA6E41">
        <w:t xml:space="preserve">The </w:t>
      </w:r>
      <w:r w:rsidR="00F80F49">
        <w:t xml:space="preserve">application’s </w:t>
      </w:r>
      <w:r w:rsidRPr="00BA6E41">
        <w:t xml:space="preserve">clinical claim is that SLNB in addition to WLE is non-inferior in safety and superior in clinical effectiveness to WLE and clinical follow-up. </w:t>
      </w:r>
    </w:p>
    <w:p w14:paraId="327993FC" w14:textId="0B532016" w:rsidR="00D70417" w:rsidRDefault="00D70417" w:rsidP="00D70417">
      <w:r>
        <w:t xml:space="preserve">The </w:t>
      </w:r>
      <w:r w:rsidR="00F80F49">
        <w:t>application</w:t>
      </w:r>
      <w:r>
        <w:t xml:space="preserve"> claim</w:t>
      </w:r>
      <w:r w:rsidR="004D6DB4">
        <w:t>ed</w:t>
      </w:r>
      <w:r w:rsidRPr="00226B6E">
        <w:t xml:space="preserve"> that SLNB </w:t>
      </w:r>
      <w:r w:rsidR="00142AE3" w:rsidRPr="00226B6E">
        <w:t>provide</w:t>
      </w:r>
      <w:r w:rsidR="00142AE3">
        <w:t>s</w:t>
      </w:r>
      <w:r w:rsidR="00142AE3" w:rsidRPr="00226B6E">
        <w:t xml:space="preserve"> </w:t>
      </w:r>
      <w:r w:rsidRPr="00226B6E">
        <w:t>important prognostic information, allowing</w:t>
      </w:r>
      <w:r>
        <w:t xml:space="preserve"> for</w:t>
      </w:r>
      <w:r w:rsidRPr="00226B6E">
        <w:t xml:space="preserve"> </w:t>
      </w:r>
      <w:r>
        <w:t xml:space="preserve">improved local disease control and more effective treatment selection in patients with intermediate thickness </w:t>
      </w:r>
      <w:r w:rsidRPr="00312E35">
        <w:t>and thick</w:t>
      </w:r>
      <w:r>
        <w:rPr>
          <w:i/>
        </w:rPr>
        <w:t xml:space="preserve"> </w:t>
      </w:r>
      <w:r w:rsidR="00F80F49">
        <w:t xml:space="preserve">melanoma. In </w:t>
      </w:r>
      <w:r>
        <w:t>SLN-positive patients, CLND may be considered or avoided, and in addition, these patients may be eligible for adjuvant biologic therapies. As a result, there may be an improvement in overall survival, melanoma-free survival, and/or disease-free survival, as well as health-related quality of life.</w:t>
      </w:r>
    </w:p>
    <w:p w14:paraId="7D2B81E8" w14:textId="77777777" w:rsidR="00BC1364" w:rsidRPr="00F715D1" w:rsidRDefault="00BC1364" w:rsidP="00F715D1">
      <w:pPr>
        <w:pStyle w:val="Heading1"/>
      </w:pPr>
      <w:r w:rsidRPr="00F715D1">
        <w:t>Economic evaluation</w:t>
      </w:r>
    </w:p>
    <w:p w14:paraId="38D12E61" w14:textId="36ECA3D0" w:rsidR="00F80F49" w:rsidRDefault="008B2A76" w:rsidP="008B2A76">
      <w:pPr>
        <w:tabs>
          <w:tab w:val="left" w:pos="720"/>
          <w:tab w:val="left" w:pos="1140"/>
        </w:tabs>
      </w:pPr>
      <w:r>
        <w:t xml:space="preserve">The </w:t>
      </w:r>
      <w:r w:rsidR="00F80F49">
        <w:t>application presented</w:t>
      </w:r>
      <w:r>
        <w:t xml:space="preserve"> a</w:t>
      </w:r>
      <w:r w:rsidRPr="001E0838">
        <w:t xml:space="preserve"> cost-utility analysis</w:t>
      </w:r>
      <w:r>
        <w:t xml:space="preserve"> using</w:t>
      </w:r>
      <w:r w:rsidRPr="0048395E">
        <w:t xml:space="preserve"> </w:t>
      </w:r>
      <w:r>
        <w:t>two</w:t>
      </w:r>
      <w:r w:rsidR="00F80F49">
        <w:t xml:space="preserve"> microsimulation </w:t>
      </w:r>
      <w:r w:rsidRPr="0048395E">
        <w:t xml:space="preserve">Markov models to estimate the incremental cost per quality-adjusted life year (QALY) gained of </w:t>
      </w:r>
      <w:r>
        <w:t>SLNB</w:t>
      </w:r>
      <w:r w:rsidRPr="0048395E">
        <w:t xml:space="preserve"> plus WLE compared with WLE alone in each of the patient populations proposed</w:t>
      </w:r>
      <w:r w:rsidR="004D6DB4">
        <w:t xml:space="preserve">, and assuming that therapy in CLND SLNB </w:t>
      </w:r>
      <w:r w:rsidR="00576F68">
        <w:t>positive patients is effective in extending survival</w:t>
      </w:r>
      <w:r>
        <w:t xml:space="preserve">. </w:t>
      </w:r>
      <w:r w:rsidRPr="001E0838">
        <w:t xml:space="preserve">The clinical pathway of patients with intermediate </w:t>
      </w:r>
      <w:r w:rsidR="0079264F">
        <w:t xml:space="preserve">thickness </w:t>
      </w:r>
      <w:r w:rsidRPr="001E0838">
        <w:t xml:space="preserve">or thick melanoma was simulated in annual cycles </w:t>
      </w:r>
      <w:r w:rsidR="0079264F">
        <w:t>over</w:t>
      </w:r>
      <w:r w:rsidR="0079264F" w:rsidRPr="001E0838">
        <w:t xml:space="preserve"> </w:t>
      </w:r>
      <w:r w:rsidRPr="001E0838">
        <w:t xml:space="preserve">a 10-year time horizon to represent </w:t>
      </w:r>
      <w:r w:rsidR="00576F68">
        <w:t xml:space="preserve">extrapolated </w:t>
      </w:r>
      <w:r w:rsidRPr="001E0838">
        <w:t>disease progression and survival.</w:t>
      </w:r>
    </w:p>
    <w:p w14:paraId="4BED2331" w14:textId="77777777" w:rsidR="00F80F49" w:rsidRPr="00F80F49" w:rsidRDefault="00531BFE" w:rsidP="00531BFE">
      <w:pPr>
        <w:keepNext/>
        <w:keepLines/>
        <w:autoSpaceDE w:val="0"/>
        <w:autoSpaceDN w:val="0"/>
        <w:adjustRightInd w:val="0"/>
        <w:rPr>
          <w:rFonts w:ascii="Arial Narrow" w:eastAsia="Calibri" w:hAnsi="Arial Narrow" w:cs="Arial Narrow"/>
          <w:color w:val="000000"/>
          <w:szCs w:val="24"/>
        </w:rPr>
      </w:pPr>
      <w:r>
        <w:rPr>
          <w:rFonts w:ascii="Arial Narrow" w:eastAsia="Calibri" w:hAnsi="Arial Narrow"/>
          <w:b/>
          <w:bCs/>
          <w:sz w:val="20"/>
        </w:rPr>
        <w:lastRenderedPageBreak/>
        <w:t>Table 2</w:t>
      </w:r>
      <w:r>
        <w:rPr>
          <w:rFonts w:ascii="Arial Narrow" w:eastAsia="Calibri" w:hAnsi="Arial Narrow"/>
          <w:b/>
          <w:bCs/>
          <w:sz w:val="20"/>
        </w:rPr>
        <w:tab/>
      </w:r>
      <w:r w:rsidR="00F80F49" w:rsidRPr="00F80F49">
        <w:rPr>
          <w:rFonts w:ascii="Arial Narrow" w:eastAsia="Calibri" w:hAnsi="Arial Narrow"/>
          <w:b/>
          <w:bCs/>
          <w:sz w:val="20"/>
        </w:rPr>
        <w:t xml:space="preserve"> Summary of the economic evaluation</w:t>
      </w:r>
    </w:p>
    <w:tbl>
      <w:tblPr>
        <w:tblStyle w:val="TableGrid12"/>
        <w:tblW w:w="0" w:type="auto"/>
        <w:tblLayout w:type="fixed"/>
        <w:tblLook w:val="0000" w:firstRow="0" w:lastRow="0" w:firstColumn="0" w:lastColumn="0" w:noHBand="0" w:noVBand="0"/>
        <w:tblDescription w:val="Summary of the key characteristics of the economic evaluation"/>
      </w:tblPr>
      <w:tblGrid>
        <w:gridCol w:w="3369"/>
        <w:gridCol w:w="5670"/>
      </w:tblGrid>
      <w:tr w:rsidR="00F80F49" w:rsidRPr="00F80F49" w14:paraId="6620A45D" w14:textId="77777777" w:rsidTr="00822D8D">
        <w:trPr>
          <w:trHeight w:val="141"/>
        </w:trPr>
        <w:tc>
          <w:tcPr>
            <w:tcW w:w="3369" w:type="dxa"/>
          </w:tcPr>
          <w:p w14:paraId="636BF47A"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b/>
                <w:bCs/>
                <w:color w:val="000000"/>
                <w:sz w:val="20"/>
              </w:rPr>
              <w:t xml:space="preserve">Perspective </w:t>
            </w:r>
          </w:p>
        </w:tc>
        <w:tc>
          <w:tcPr>
            <w:tcW w:w="5670" w:type="dxa"/>
          </w:tcPr>
          <w:p w14:paraId="3F8ED8D1"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color w:val="000000"/>
                <w:sz w:val="20"/>
              </w:rPr>
              <w:t xml:space="preserve">Australian Health System </w:t>
            </w:r>
          </w:p>
        </w:tc>
      </w:tr>
      <w:tr w:rsidR="00F80F49" w:rsidRPr="00F80F49" w14:paraId="19B0100E" w14:textId="77777777" w:rsidTr="00822D8D">
        <w:trPr>
          <w:trHeight w:val="141"/>
        </w:trPr>
        <w:tc>
          <w:tcPr>
            <w:tcW w:w="3369" w:type="dxa"/>
          </w:tcPr>
          <w:p w14:paraId="0D4E66D8"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b/>
                <w:bCs/>
                <w:color w:val="000000"/>
                <w:sz w:val="20"/>
              </w:rPr>
              <w:t xml:space="preserve">Comparator </w:t>
            </w:r>
          </w:p>
        </w:tc>
        <w:tc>
          <w:tcPr>
            <w:tcW w:w="5670" w:type="dxa"/>
          </w:tcPr>
          <w:p w14:paraId="13CC24E5"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color w:val="000000"/>
                <w:sz w:val="20"/>
              </w:rPr>
              <w:t xml:space="preserve">WLE alone </w:t>
            </w:r>
          </w:p>
        </w:tc>
      </w:tr>
      <w:tr w:rsidR="00F80F49" w:rsidRPr="00F80F49" w14:paraId="478C479F" w14:textId="77777777" w:rsidTr="00822D8D">
        <w:trPr>
          <w:trHeight w:val="141"/>
        </w:trPr>
        <w:tc>
          <w:tcPr>
            <w:tcW w:w="3369" w:type="dxa"/>
          </w:tcPr>
          <w:p w14:paraId="126498AB"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b/>
                <w:bCs/>
                <w:color w:val="000000"/>
                <w:sz w:val="20"/>
              </w:rPr>
              <w:t xml:space="preserve">Type of economic evaluation </w:t>
            </w:r>
          </w:p>
        </w:tc>
        <w:tc>
          <w:tcPr>
            <w:tcW w:w="5670" w:type="dxa"/>
          </w:tcPr>
          <w:p w14:paraId="384198B6"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color w:val="000000"/>
                <w:sz w:val="20"/>
              </w:rPr>
              <w:t xml:space="preserve">Cost-utility analysis </w:t>
            </w:r>
          </w:p>
        </w:tc>
      </w:tr>
      <w:tr w:rsidR="00F80F49" w:rsidRPr="00F80F49" w14:paraId="0C950F43" w14:textId="77777777" w:rsidTr="00822D8D">
        <w:trPr>
          <w:trHeight w:val="141"/>
        </w:trPr>
        <w:tc>
          <w:tcPr>
            <w:tcW w:w="3369" w:type="dxa"/>
          </w:tcPr>
          <w:p w14:paraId="6BA47FDE"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b/>
                <w:bCs/>
                <w:color w:val="000000"/>
                <w:sz w:val="20"/>
              </w:rPr>
              <w:t xml:space="preserve">Sources of evidence </w:t>
            </w:r>
          </w:p>
        </w:tc>
        <w:tc>
          <w:tcPr>
            <w:tcW w:w="5670" w:type="dxa"/>
          </w:tcPr>
          <w:p w14:paraId="20CA5113"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color w:val="000000"/>
                <w:sz w:val="20"/>
              </w:rPr>
              <w:t xml:space="preserve">RCTs </w:t>
            </w:r>
          </w:p>
        </w:tc>
      </w:tr>
      <w:tr w:rsidR="00F80F49" w:rsidRPr="00F80F49" w14:paraId="51E85DB4" w14:textId="77777777" w:rsidTr="00822D8D">
        <w:trPr>
          <w:trHeight w:val="141"/>
        </w:trPr>
        <w:tc>
          <w:tcPr>
            <w:tcW w:w="3369" w:type="dxa"/>
          </w:tcPr>
          <w:p w14:paraId="4D772A25"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b/>
                <w:bCs/>
                <w:color w:val="000000"/>
                <w:sz w:val="20"/>
              </w:rPr>
              <w:t xml:space="preserve">Time horizon </w:t>
            </w:r>
          </w:p>
        </w:tc>
        <w:tc>
          <w:tcPr>
            <w:tcW w:w="5670" w:type="dxa"/>
          </w:tcPr>
          <w:p w14:paraId="6F98BF1B"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color w:val="000000"/>
                <w:sz w:val="20"/>
              </w:rPr>
              <w:t xml:space="preserve">10 years </w:t>
            </w:r>
          </w:p>
        </w:tc>
      </w:tr>
      <w:tr w:rsidR="00F80F49" w:rsidRPr="00F80F49" w14:paraId="300E5FD2" w14:textId="77777777" w:rsidTr="00822D8D">
        <w:trPr>
          <w:trHeight w:val="141"/>
        </w:trPr>
        <w:tc>
          <w:tcPr>
            <w:tcW w:w="3369" w:type="dxa"/>
          </w:tcPr>
          <w:p w14:paraId="5A5F95A2"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b/>
                <w:bCs/>
                <w:color w:val="000000"/>
                <w:sz w:val="20"/>
              </w:rPr>
              <w:t xml:space="preserve">Outcomes </w:t>
            </w:r>
          </w:p>
        </w:tc>
        <w:tc>
          <w:tcPr>
            <w:tcW w:w="5670" w:type="dxa"/>
          </w:tcPr>
          <w:p w14:paraId="1FFC607D"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color w:val="000000"/>
                <w:sz w:val="20"/>
              </w:rPr>
              <w:t xml:space="preserve">QALYs </w:t>
            </w:r>
          </w:p>
        </w:tc>
      </w:tr>
      <w:tr w:rsidR="00F80F49" w:rsidRPr="00F80F49" w14:paraId="068DEBDD" w14:textId="77777777" w:rsidTr="00822D8D">
        <w:trPr>
          <w:trHeight w:val="141"/>
        </w:trPr>
        <w:tc>
          <w:tcPr>
            <w:tcW w:w="3369" w:type="dxa"/>
          </w:tcPr>
          <w:p w14:paraId="327ECEE9"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b/>
                <w:bCs/>
                <w:color w:val="000000"/>
                <w:sz w:val="20"/>
              </w:rPr>
              <w:t xml:space="preserve">Methods used to generate results </w:t>
            </w:r>
          </w:p>
        </w:tc>
        <w:tc>
          <w:tcPr>
            <w:tcW w:w="5670" w:type="dxa"/>
          </w:tcPr>
          <w:p w14:paraId="45D48F65"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color w:val="000000"/>
                <w:sz w:val="20"/>
              </w:rPr>
              <w:t xml:space="preserve">Markov model </w:t>
            </w:r>
          </w:p>
        </w:tc>
      </w:tr>
      <w:tr w:rsidR="00F80F49" w:rsidRPr="00F80F49" w14:paraId="0591CF53" w14:textId="77777777" w:rsidTr="00822D8D">
        <w:trPr>
          <w:trHeight w:val="256"/>
        </w:trPr>
        <w:tc>
          <w:tcPr>
            <w:tcW w:w="3369" w:type="dxa"/>
          </w:tcPr>
          <w:p w14:paraId="0D9E2C6B"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b/>
                <w:bCs/>
                <w:color w:val="000000"/>
                <w:sz w:val="20"/>
              </w:rPr>
              <w:t xml:space="preserve">Health states </w:t>
            </w:r>
          </w:p>
        </w:tc>
        <w:tc>
          <w:tcPr>
            <w:tcW w:w="5670" w:type="dxa"/>
          </w:tcPr>
          <w:p w14:paraId="081AC204"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color w:val="000000"/>
                <w:sz w:val="20"/>
              </w:rPr>
              <w:t xml:space="preserve">Disease free, SLN+ surveillance*, nodal metastases, distant metastases, unresectable stage III/IV, dead melanoma, dead other </w:t>
            </w:r>
          </w:p>
        </w:tc>
      </w:tr>
      <w:tr w:rsidR="00F80F49" w:rsidRPr="00F80F49" w14:paraId="64FD24F5" w14:textId="77777777" w:rsidTr="00822D8D">
        <w:trPr>
          <w:trHeight w:val="141"/>
        </w:trPr>
        <w:tc>
          <w:tcPr>
            <w:tcW w:w="3369" w:type="dxa"/>
          </w:tcPr>
          <w:p w14:paraId="45CB5BA6"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b/>
                <w:bCs/>
                <w:color w:val="000000"/>
                <w:sz w:val="20"/>
              </w:rPr>
              <w:t xml:space="preserve">Cycle length </w:t>
            </w:r>
          </w:p>
        </w:tc>
        <w:tc>
          <w:tcPr>
            <w:tcW w:w="5670" w:type="dxa"/>
          </w:tcPr>
          <w:p w14:paraId="2587C77F"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color w:val="000000"/>
                <w:sz w:val="20"/>
              </w:rPr>
              <w:t xml:space="preserve">12 months </w:t>
            </w:r>
          </w:p>
        </w:tc>
      </w:tr>
      <w:tr w:rsidR="00F80F49" w:rsidRPr="00F80F49" w14:paraId="036AE6CA" w14:textId="77777777" w:rsidTr="00822D8D">
        <w:trPr>
          <w:trHeight w:val="141"/>
        </w:trPr>
        <w:tc>
          <w:tcPr>
            <w:tcW w:w="3369" w:type="dxa"/>
          </w:tcPr>
          <w:p w14:paraId="5E7FB254"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b/>
                <w:bCs/>
                <w:color w:val="000000"/>
                <w:sz w:val="20"/>
              </w:rPr>
              <w:t xml:space="preserve">Discount rate </w:t>
            </w:r>
          </w:p>
        </w:tc>
        <w:tc>
          <w:tcPr>
            <w:tcW w:w="5670" w:type="dxa"/>
          </w:tcPr>
          <w:p w14:paraId="63E92CDC"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color w:val="000000"/>
                <w:sz w:val="20"/>
              </w:rPr>
              <w:t xml:space="preserve">5% </w:t>
            </w:r>
          </w:p>
        </w:tc>
      </w:tr>
      <w:tr w:rsidR="00F80F49" w:rsidRPr="00F80F49" w14:paraId="614D3C22" w14:textId="77777777" w:rsidTr="00822D8D">
        <w:trPr>
          <w:trHeight w:val="141"/>
        </w:trPr>
        <w:tc>
          <w:tcPr>
            <w:tcW w:w="3369" w:type="dxa"/>
          </w:tcPr>
          <w:p w14:paraId="37249851"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r w:rsidRPr="00F80F49">
              <w:rPr>
                <w:rFonts w:ascii="Arial Narrow" w:eastAsia="Calibri" w:hAnsi="Arial Narrow" w:cs="Arial Narrow"/>
                <w:b/>
                <w:bCs/>
                <w:color w:val="000000"/>
                <w:sz w:val="20"/>
              </w:rPr>
              <w:t xml:space="preserve">Software packages used </w:t>
            </w:r>
          </w:p>
        </w:tc>
        <w:tc>
          <w:tcPr>
            <w:tcW w:w="5670" w:type="dxa"/>
          </w:tcPr>
          <w:p w14:paraId="11F43977" w14:textId="77777777" w:rsidR="00F80F49" w:rsidRPr="00F80F49" w:rsidRDefault="00F80F49" w:rsidP="00531BFE">
            <w:pPr>
              <w:keepNext/>
              <w:keepLines/>
              <w:autoSpaceDE w:val="0"/>
              <w:autoSpaceDN w:val="0"/>
              <w:adjustRightInd w:val="0"/>
              <w:spacing w:before="40" w:after="40"/>
              <w:rPr>
                <w:rFonts w:ascii="Arial Narrow" w:eastAsia="Calibri" w:hAnsi="Arial Narrow" w:cs="Arial Narrow"/>
                <w:color w:val="000000"/>
                <w:sz w:val="20"/>
              </w:rPr>
            </w:pPr>
            <w:proofErr w:type="spellStart"/>
            <w:r w:rsidRPr="00F80F49">
              <w:rPr>
                <w:rFonts w:ascii="Arial Narrow" w:eastAsia="Calibri" w:hAnsi="Arial Narrow" w:cs="Arial Narrow"/>
                <w:color w:val="000000"/>
                <w:sz w:val="20"/>
              </w:rPr>
              <w:t>TreeAgePro</w:t>
            </w:r>
            <w:proofErr w:type="spellEnd"/>
            <w:r w:rsidRPr="00F80F49">
              <w:rPr>
                <w:rFonts w:ascii="Arial Narrow" w:eastAsia="Calibri" w:hAnsi="Arial Narrow" w:cs="Arial Narrow"/>
                <w:color w:val="000000"/>
                <w:sz w:val="20"/>
              </w:rPr>
              <w:t xml:space="preserve"> 2017 R2.0. </w:t>
            </w:r>
          </w:p>
        </w:tc>
      </w:tr>
    </w:tbl>
    <w:p w14:paraId="27D143E1" w14:textId="78741AC4" w:rsidR="008B2A76" w:rsidRPr="001E0838" w:rsidRDefault="008B2A76" w:rsidP="00810867">
      <w:pPr>
        <w:spacing w:before="240" w:after="240"/>
      </w:pPr>
      <w:bookmarkStart w:id="4" w:name="_Ref505761895"/>
      <w:r w:rsidRPr="001E0838">
        <w:t xml:space="preserve">The overall costs and outcomes, and incremental costs and outcomes as calculated for the test and comparator in the intermediate thickness melanoma model, with the base case assumptions, are shown in </w:t>
      </w:r>
      <w:r w:rsidRPr="003323A3">
        <w:fldChar w:fldCharType="begin"/>
      </w:r>
      <w:r w:rsidRPr="003323A3">
        <w:instrText xml:space="preserve"> REF _Ref505762011 \h  \* MERGEFORMAT </w:instrText>
      </w:r>
      <w:r w:rsidRPr="003323A3">
        <w:fldChar w:fldCharType="separate"/>
      </w:r>
      <w:r w:rsidRPr="001E0838">
        <w:t xml:space="preserve">Table </w:t>
      </w:r>
      <w:r w:rsidRPr="003323A3">
        <w:fldChar w:fldCharType="end"/>
      </w:r>
      <w:r w:rsidR="00531BFE">
        <w:t>3</w:t>
      </w:r>
      <w:r w:rsidRPr="003323A3">
        <w:t>.</w:t>
      </w:r>
      <w:bookmarkStart w:id="5" w:name="_GoBack"/>
      <w:bookmarkEnd w:id="5"/>
    </w:p>
    <w:p w14:paraId="2225D7B8" w14:textId="3826F48A" w:rsidR="008B2A76" w:rsidRPr="00822D8D" w:rsidRDefault="008B2A76" w:rsidP="00822D8D">
      <w:pPr>
        <w:rPr>
          <w:rFonts w:ascii="Arial Narrow" w:hAnsi="Arial Narrow" w:cs="Arial"/>
          <w:b/>
          <w:sz w:val="20"/>
        </w:rPr>
      </w:pPr>
      <w:bookmarkStart w:id="6" w:name="_Ref505762011"/>
      <w:bookmarkStart w:id="7" w:name="_Toc505769094"/>
      <w:bookmarkStart w:id="8" w:name="_Toc505863464"/>
      <w:r w:rsidRPr="00822D8D">
        <w:rPr>
          <w:rFonts w:ascii="Arial Narrow" w:hAnsi="Arial Narrow" w:cs="Arial"/>
          <w:b/>
          <w:sz w:val="20"/>
        </w:rPr>
        <w:t xml:space="preserve">Table </w:t>
      </w:r>
      <w:bookmarkEnd w:id="4"/>
      <w:bookmarkEnd w:id="6"/>
      <w:r w:rsidR="00531BFE" w:rsidRPr="00822D8D">
        <w:rPr>
          <w:rFonts w:ascii="Arial Narrow" w:hAnsi="Arial Narrow" w:cs="Arial"/>
          <w:b/>
          <w:sz w:val="20"/>
        </w:rPr>
        <w:t>3</w:t>
      </w:r>
      <w:r w:rsidR="00822D8D" w:rsidRPr="00822D8D">
        <w:rPr>
          <w:rFonts w:ascii="Arial Narrow" w:hAnsi="Arial Narrow" w:cs="Arial"/>
          <w:b/>
          <w:sz w:val="20"/>
        </w:rPr>
        <w:tab/>
      </w:r>
      <w:r w:rsidRPr="00822D8D">
        <w:rPr>
          <w:rFonts w:ascii="Arial Narrow" w:hAnsi="Arial Narrow" w:cs="Arial"/>
          <w:b/>
          <w:sz w:val="20"/>
        </w:rPr>
        <w:t>Base case incremental cost effectiveness ratio – Intermediate thickness melanoma</w:t>
      </w:r>
      <w:bookmarkEnd w:id="7"/>
      <w:r w:rsidRPr="00822D8D">
        <w:rPr>
          <w:rFonts w:ascii="Arial Narrow" w:hAnsi="Arial Narrow" w:cs="Arial"/>
          <w:b/>
          <w:sz w:val="20"/>
        </w:rPr>
        <w:t xml:space="preserve"> (Population 1: 1-4 mm)</w:t>
      </w:r>
      <w:bookmarkEnd w:id="8"/>
    </w:p>
    <w:tbl>
      <w:tblPr>
        <w:tblStyle w:val="TableGrid22"/>
        <w:tblW w:w="0" w:type="auto"/>
        <w:tblInd w:w="108" w:type="dxa"/>
        <w:tblLayout w:type="fixed"/>
        <w:tblLook w:val="04A0" w:firstRow="1" w:lastRow="0" w:firstColumn="1" w:lastColumn="0" w:noHBand="0" w:noVBand="1"/>
        <w:tblCaption w:val="Base case incremental cost effectiveness ratio – Intermediate thickness melanoma (Population one: 1-4 mm)"/>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410"/>
        <w:gridCol w:w="1325"/>
        <w:gridCol w:w="1325"/>
        <w:gridCol w:w="1325"/>
        <w:gridCol w:w="1326"/>
        <w:gridCol w:w="1361"/>
      </w:tblGrid>
      <w:tr w:rsidR="008B2A76" w:rsidRPr="00F80F49" w14:paraId="5F0AF1D9" w14:textId="77777777" w:rsidTr="00821CFC">
        <w:trPr>
          <w:cnfStyle w:val="100000000000" w:firstRow="1" w:lastRow="0" w:firstColumn="0" w:lastColumn="0" w:oddVBand="0" w:evenVBand="0" w:oddHBand="0" w:evenHBand="0" w:firstRowFirstColumn="0" w:firstRowLastColumn="0" w:lastRowFirstColumn="0" w:lastRowLastColumn="0"/>
          <w:tblHeader/>
        </w:trPr>
        <w:tc>
          <w:tcPr>
            <w:tcW w:w="2410" w:type="dxa"/>
            <w:tcBorders>
              <w:bottom w:val="single" w:sz="4" w:space="0" w:color="auto"/>
            </w:tcBorders>
          </w:tcPr>
          <w:p w14:paraId="20D1848A" w14:textId="77777777" w:rsidR="008B2A76" w:rsidRPr="00F80F49" w:rsidRDefault="008B2A76" w:rsidP="00821CFC">
            <w:pPr>
              <w:keepNext/>
              <w:jc w:val="both"/>
              <w:rPr>
                <w:rFonts w:ascii="Arial Narrow" w:hAnsi="Arial Narrow"/>
                <w:b/>
                <w:sz w:val="20"/>
              </w:rPr>
            </w:pPr>
          </w:p>
        </w:tc>
        <w:tc>
          <w:tcPr>
            <w:tcW w:w="1325" w:type="dxa"/>
            <w:tcBorders>
              <w:bottom w:val="single" w:sz="4" w:space="0" w:color="auto"/>
            </w:tcBorders>
          </w:tcPr>
          <w:p w14:paraId="20D65BAE" w14:textId="77777777" w:rsidR="008B2A76" w:rsidRPr="00F80F49" w:rsidRDefault="008B2A76" w:rsidP="00821CFC">
            <w:pPr>
              <w:keepNext/>
              <w:jc w:val="both"/>
              <w:rPr>
                <w:rFonts w:ascii="Arial Narrow" w:hAnsi="Arial Narrow"/>
                <w:b/>
                <w:sz w:val="20"/>
              </w:rPr>
            </w:pPr>
            <w:r w:rsidRPr="00F80F49">
              <w:rPr>
                <w:rFonts w:ascii="Arial Narrow" w:hAnsi="Arial Narrow"/>
                <w:b/>
                <w:sz w:val="20"/>
              </w:rPr>
              <w:t>Cost</w:t>
            </w:r>
          </w:p>
        </w:tc>
        <w:tc>
          <w:tcPr>
            <w:tcW w:w="1325" w:type="dxa"/>
            <w:tcBorders>
              <w:bottom w:val="single" w:sz="4" w:space="0" w:color="auto"/>
            </w:tcBorders>
          </w:tcPr>
          <w:p w14:paraId="5A87E8DE" w14:textId="77777777" w:rsidR="008B2A76" w:rsidRPr="00F80F49" w:rsidRDefault="008B2A76" w:rsidP="00821CFC">
            <w:pPr>
              <w:keepNext/>
              <w:jc w:val="both"/>
              <w:rPr>
                <w:rFonts w:ascii="Arial Narrow" w:hAnsi="Arial Narrow"/>
                <w:b/>
                <w:sz w:val="20"/>
              </w:rPr>
            </w:pPr>
            <w:r w:rsidRPr="00F80F49">
              <w:rPr>
                <w:rFonts w:ascii="Arial Narrow" w:hAnsi="Arial Narrow"/>
                <w:b/>
                <w:sz w:val="20"/>
              </w:rPr>
              <w:t>Incremental cost</w:t>
            </w:r>
          </w:p>
        </w:tc>
        <w:tc>
          <w:tcPr>
            <w:tcW w:w="1325" w:type="dxa"/>
            <w:tcBorders>
              <w:bottom w:val="single" w:sz="4" w:space="0" w:color="auto"/>
            </w:tcBorders>
          </w:tcPr>
          <w:p w14:paraId="2AFD7181" w14:textId="77777777" w:rsidR="008B2A76" w:rsidRPr="00F80F49" w:rsidRDefault="008B2A76" w:rsidP="00821CFC">
            <w:pPr>
              <w:keepNext/>
              <w:jc w:val="both"/>
              <w:rPr>
                <w:rFonts w:ascii="Arial Narrow" w:hAnsi="Arial Narrow"/>
                <w:b/>
                <w:sz w:val="20"/>
              </w:rPr>
            </w:pPr>
            <w:r w:rsidRPr="00F80F49">
              <w:rPr>
                <w:rFonts w:ascii="Arial Narrow" w:hAnsi="Arial Narrow"/>
                <w:b/>
                <w:sz w:val="20"/>
              </w:rPr>
              <w:t>Effectiveness (QALYs)</w:t>
            </w:r>
          </w:p>
        </w:tc>
        <w:tc>
          <w:tcPr>
            <w:tcW w:w="1326" w:type="dxa"/>
            <w:tcBorders>
              <w:bottom w:val="single" w:sz="4" w:space="0" w:color="auto"/>
            </w:tcBorders>
          </w:tcPr>
          <w:p w14:paraId="57F82812" w14:textId="77777777" w:rsidR="008B2A76" w:rsidRPr="00F80F49" w:rsidRDefault="008B2A76" w:rsidP="00821CFC">
            <w:pPr>
              <w:keepNext/>
              <w:jc w:val="both"/>
              <w:rPr>
                <w:rFonts w:ascii="Arial Narrow" w:hAnsi="Arial Narrow"/>
                <w:b/>
                <w:sz w:val="20"/>
              </w:rPr>
            </w:pPr>
            <w:r w:rsidRPr="00F80F49">
              <w:rPr>
                <w:rFonts w:ascii="Arial Narrow" w:hAnsi="Arial Narrow"/>
                <w:b/>
                <w:sz w:val="20"/>
              </w:rPr>
              <w:t>Incremental effectiveness</w:t>
            </w:r>
          </w:p>
        </w:tc>
        <w:tc>
          <w:tcPr>
            <w:tcW w:w="1361" w:type="dxa"/>
            <w:tcBorders>
              <w:bottom w:val="single" w:sz="4" w:space="0" w:color="auto"/>
            </w:tcBorders>
          </w:tcPr>
          <w:p w14:paraId="66261BF2" w14:textId="77777777" w:rsidR="008B2A76" w:rsidRPr="00F80F49" w:rsidRDefault="008B2A76" w:rsidP="00821CFC">
            <w:pPr>
              <w:keepNext/>
              <w:jc w:val="both"/>
              <w:rPr>
                <w:rFonts w:ascii="Arial Narrow" w:hAnsi="Arial Narrow"/>
                <w:b/>
                <w:sz w:val="20"/>
              </w:rPr>
            </w:pPr>
            <w:r w:rsidRPr="00F80F49">
              <w:rPr>
                <w:rFonts w:ascii="Arial Narrow" w:hAnsi="Arial Narrow"/>
                <w:b/>
                <w:sz w:val="20"/>
              </w:rPr>
              <w:t>ICER</w:t>
            </w:r>
          </w:p>
        </w:tc>
      </w:tr>
      <w:tr w:rsidR="008B2A76" w:rsidRPr="00F80F49" w14:paraId="3E94D6C0" w14:textId="77777777" w:rsidTr="00821CFC">
        <w:tc>
          <w:tcPr>
            <w:tcW w:w="2410" w:type="dxa"/>
          </w:tcPr>
          <w:p w14:paraId="41ECF0FE" w14:textId="77777777" w:rsidR="008B2A76" w:rsidRPr="00F80F49" w:rsidRDefault="008B2A76" w:rsidP="00821CFC">
            <w:pPr>
              <w:rPr>
                <w:sz w:val="20"/>
                <w:highlight w:val="cyan"/>
              </w:rPr>
            </w:pPr>
            <w:r w:rsidRPr="00F80F49">
              <w:rPr>
                <w:sz w:val="20"/>
              </w:rPr>
              <w:t>SLNB+WLE</w:t>
            </w:r>
          </w:p>
        </w:tc>
        <w:tc>
          <w:tcPr>
            <w:tcW w:w="1325" w:type="dxa"/>
          </w:tcPr>
          <w:p w14:paraId="39E60DFA" w14:textId="77777777" w:rsidR="008B2A76" w:rsidRPr="00F80F49" w:rsidRDefault="008B2A76" w:rsidP="00821CFC">
            <w:pPr>
              <w:rPr>
                <w:sz w:val="20"/>
              </w:rPr>
            </w:pPr>
            <w:r w:rsidRPr="00F80F49">
              <w:rPr>
                <w:sz w:val="20"/>
              </w:rPr>
              <w:t>$26,462.09</w:t>
            </w:r>
          </w:p>
        </w:tc>
        <w:tc>
          <w:tcPr>
            <w:tcW w:w="1325" w:type="dxa"/>
          </w:tcPr>
          <w:p w14:paraId="49B2F128" w14:textId="77777777" w:rsidR="008B2A76" w:rsidRPr="00F80F49" w:rsidRDefault="008B2A76" w:rsidP="00821CFC">
            <w:pPr>
              <w:rPr>
                <w:sz w:val="20"/>
              </w:rPr>
            </w:pPr>
            <w:r w:rsidRPr="00F80F49">
              <w:rPr>
                <w:sz w:val="20"/>
              </w:rPr>
              <w:t>$7483.83</w:t>
            </w:r>
          </w:p>
        </w:tc>
        <w:tc>
          <w:tcPr>
            <w:tcW w:w="1325" w:type="dxa"/>
            <w:vAlign w:val="bottom"/>
          </w:tcPr>
          <w:p w14:paraId="70DA745A" w14:textId="77777777" w:rsidR="008B2A76" w:rsidRPr="00F80F49" w:rsidRDefault="008B2A76" w:rsidP="00821CFC">
            <w:pPr>
              <w:rPr>
                <w:sz w:val="20"/>
              </w:rPr>
            </w:pPr>
            <w:r w:rsidRPr="00F80F49">
              <w:rPr>
                <w:sz w:val="20"/>
              </w:rPr>
              <w:t>6.19</w:t>
            </w:r>
          </w:p>
        </w:tc>
        <w:tc>
          <w:tcPr>
            <w:tcW w:w="1326" w:type="dxa"/>
          </w:tcPr>
          <w:p w14:paraId="07AEA552" w14:textId="21358FA0" w:rsidR="008B2A76" w:rsidRPr="00F80F49" w:rsidRDefault="008B2A76" w:rsidP="00821CFC">
            <w:pPr>
              <w:rPr>
                <w:sz w:val="20"/>
              </w:rPr>
            </w:pPr>
            <w:r w:rsidRPr="00F80F49">
              <w:rPr>
                <w:sz w:val="20"/>
              </w:rPr>
              <w:t>0</w:t>
            </w:r>
            <w:r w:rsidR="002B095F">
              <w:rPr>
                <w:sz w:val="20"/>
              </w:rPr>
              <w:t>.</w:t>
            </w:r>
            <w:r w:rsidRPr="00F80F49">
              <w:rPr>
                <w:sz w:val="20"/>
              </w:rPr>
              <w:t>3</w:t>
            </w:r>
          </w:p>
        </w:tc>
        <w:tc>
          <w:tcPr>
            <w:tcW w:w="1361" w:type="dxa"/>
          </w:tcPr>
          <w:p w14:paraId="520901BF" w14:textId="77777777" w:rsidR="008B2A76" w:rsidRPr="00F80F49" w:rsidRDefault="008B2A76" w:rsidP="00821CFC">
            <w:pPr>
              <w:rPr>
                <w:sz w:val="20"/>
              </w:rPr>
            </w:pPr>
            <w:r w:rsidRPr="00F80F49">
              <w:rPr>
                <w:sz w:val="20"/>
              </w:rPr>
              <w:t>$25,237.40</w:t>
            </w:r>
          </w:p>
        </w:tc>
      </w:tr>
      <w:tr w:rsidR="008B2A76" w:rsidRPr="00F80F49" w14:paraId="5EAF60A0" w14:textId="77777777" w:rsidTr="00821CFC">
        <w:tc>
          <w:tcPr>
            <w:tcW w:w="2410" w:type="dxa"/>
          </w:tcPr>
          <w:p w14:paraId="6EFF5FD6" w14:textId="77777777" w:rsidR="008B2A76" w:rsidRPr="00F80F49" w:rsidRDefault="008B2A76" w:rsidP="00821CFC">
            <w:pPr>
              <w:rPr>
                <w:sz w:val="20"/>
                <w:highlight w:val="cyan"/>
              </w:rPr>
            </w:pPr>
            <w:r w:rsidRPr="00F80F49">
              <w:rPr>
                <w:sz w:val="20"/>
              </w:rPr>
              <w:t>WLE alone</w:t>
            </w:r>
          </w:p>
        </w:tc>
        <w:tc>
          <w:tcPr>
            <w:tcW w:w="1325" w:type="dxa"/>
          </w:tcPr>
          <w:p w14:paraId="560C77A6" w14:textId="77777777" w:rsidR="008B2A76" w:rsidRPr="00F80F49" w:rsidRDefault="008B2A76" w:rsidP="00821CFC">
            <w:pPr>
              <w:rPr>
                <w:sz w:val="20"/>
              </w:rPr>
            </w:pPr>
            <w:r w:rsidRPr="00F80F49">
              <w:rPr>
                <w:sz w:val="20"/>
              </w:rPr>
              <w:t>$18,978.25</w:t>
            </w:r>
          </w:p>
        </w:tc>
        <w:tc>
          <w:tcPr>
            <w:tcW w:w="1325" w:type="dxa"/>
          </w:tcPr>
          <w:p w14:paraId="3756EC27" w14:textId="77777777" w:rsidR="008B2A76" w:rsidRPr="00F80F49" w:rsidRDefault="008B2A76" w:rsidP="00821CFC">
            <w:pPr>
              <w:rPr>
                <w:sz w:val="20"/>
              </w:rPr>
            </w:pPr>
            <w:r w:rsidRPr="00F80F49">
              <w:rPr>
                <w:sz w:val="20"/>
              </w:rPr>
              <w:t>-</w:t>
            </w:r>
          </w:p>
        </w:tc>
        <w:tc>
          <w:tcPr>
            <w:tcW w:w="1325" w:type="dxa"/>
            <w:vAlign w:val="bottom"/>
          </w:tcPr>
          <w:p w14:paraId="1CAE6DA3" w14:textId="77777777" w:rsidR="008B2A76" w:rsidRPr="00F80F49" w:rsidRDefault="008B2A76" w:rsidP="00821CFC">
            <w:pPr>
              <w:rPr>
                <w:sz w:val="20"/>
              </w:rPr>
            </w:pPr>
            <w:r w:rsidRPr="00F80F49">
              <w:rPr>
                <w:sz w:val="20"/>
              </w:rPr>
              <w:t>5.89</w:t>
            </w:r>
          </w:p>
        </w:tc>
        <w:tc>
          <w:tcPr>
            <w:tcW w:w="1326" w:type="dxa"/>
          </w:tcPr>
          <w:p w14:paraId="6AB0B50B" w14:textId="77777777" w:rsidR="008B2A76" w:rsidRPr="00F80F49" w:rsidRDefault="008B2A76" w:rsidP="00821CFC">
            <w:pPr>
              <w:rPr>
                <w:sz w:val="20"/>
              </w:rPr>
            </w:pPr>
            <w:r w:rsidRPr="00F80F49">
              <w:rPr>
                <w:sz w:val="20"/>
              </w:rPr>
              <w:t>-</w:t>
            </w:r>
          </w:p>
        </w:tc>
        <w:tc>
          <w:tcPr>
            <w:tcW w:w="1361" w:type="dxa"/>
          </w:tcPr>
          <w:p w14:paraId="181E54FE" w14:textId="77777777" w:rsidR="008B2A76" w:rsidRPr="00F80F49" w:rsidRDefault="008B2A76" w:rsidP="00821CFC">
            <w:pPr>
              <w:rPr>
                <w:sz w:val="20"/>
              </w:rPr>
            </w:pPr>
            <w:r w:rsidRPr="00F80F49">
              <w:rPr>
                <w:sz w:val="20"/>
              </w:rPr>
              <w:t>-</w:t>
            </w:r>
          </w:p>
        </w:tc>
      </w:tr>
    </w:tbl>
    <w:p w14:paraId="60FDF653" w14:textId="76457C44" w:rsidR="008B2A76" w:rsidRPr="00810867" w:rsidRDefault="008B2A76" w:rsidP="00810867">
      <w:pPr>
        <w:pStyle w:val="Tablenotes"/>
      </w:pPr>
      <w:r w:rsidRPr="001E0838">
        <w:t xml:space="preserve">ICER = </w:t>
      </w:r>
      <w:r w:rsidR="00576F68" w:rsidRPr="001E0838">
        <w:t>incremental cost effectiveness r</w:t>
      </w:r>
      <w:r w:rsidRPr="001E0838">
        <w:t xml:space="preserve">atio; </w:t>
      </w:r>
      <w:r>
        <w:t>SLNB</w:t>
      </w:r>
      <w:r w:rsidR="00576F68">
        <w:t xml:space="preserve"> = </w:t>
      </w:r>
      <w:r w:rsidR="00576F68" w:rsidRPr="001E0838">
        <w:t>sentinel lymph node biopsy</w:t>
      </w:r>
      <w:r w:rsidR="00576F68">
        <w:t>;</w:t>
      </w:r>
      <w:r w:rsidR="00576F68" w:rsidRPr="001E0838">
        <w:t xml:space="preserve"> WLE</w:t>
      </w:r>
      <w:r w:rsidR="00576F68">
        <w:t xml:space="preserve"> =</w:t>
      </w:r>
      <w:r w:rsidR="00576F68" w:rsidRPr="001E0838">
        <w:t xml:space="preserve"> wide local excision</w:t>
      </w:r>
    </w:p>
    <w:p w14:paraId="63E370F4" w14:textId="4673326D" w:rsidR="008B2A76" w:rsidRPr="001E0838" w:rsidRDefault="008B2A76" w:rsidP="00810867">
      <w:pPr>
        <w:spacing w:after="240"/>
      </w:pPr>
      <w:r w:rsidRPr="001E0838">
        <w:t xml:space="preserve">The overall costs and outcomes, and incremental costs and outcomes as calculated for the test and comparator in the </w:t>
      </w:r>
      <w:r>
        <w:t>thick melanoma</w:t>
      </w:r>
      <w:r w:rsidRPr="001E0838">
        <w:t xml:space="preserve"> model, with the base case assumptions, are shown in </w:t>
      </w:r>
      <w:r>
        <w:fldChar w:fldCharType="begin"/>
      </w:r>
      <w:r>
        <w:instrText xml:space="preserve"> REF _Ref505851198 \h </w:instrText>
      </w:r>
      <w:r>
        <w:fldChar w:fldCharType="separate"/>
      </w:r>
      <w:r w:rsidRPr="001E0838">
        <w:t xml:space="preserve">Table </w:t>
      </w:r>
      <w:r>
        <w:fldChar w:fldCharType="end"/>
      </w:r>
      <w:r w:rsidR="00531BFE">
        <w:t>4</w:t>
      </w:r>
      <w:r>
        <w:t>.</w:t>
      </w:r>
    </w:p>
    <w:p w14:paraId="277126B2" w14:textId="3CBB8C75" w:rsidR="008B2A76" w:rsidRPr="00822D8D" w:rsidRDefault="008B2A76" w:rsidP="00822D8D">
      <w:pPr>
        <w:rPr>
          <w:rFonts w:ascii="Arial Narrow" w:hAnsi="Arial Narrow"/>
          <w:b/>
          <w:sz w:val="20"/>
        </w:rPr>
      </w:pPr>
      <w:bookmarkStart w:id="9" w:name="_Ref505851198"/>
      <w:bookmarkStart w:id="10" w:name="_Toc505769095"/>
      <w:bookmarkStart w:id="11" w:name="_Toc505863465"/>
      <w:r w:rsidRPr="00822D8D">
        <w:rPr>
          <w:rFonts w:ascii="Arial Narrow" w:hAnsi="Arial Narrow"/>
          <w:b/>
          <w:sz w:val="20"/>
        </w:rPr>
        <w:t xml:space="preserve">Table </w:t>
      </w:r>
      <w:bookmarkEnd w:id="9"/>
      <w:r w:rsidR="00531BFE" w:rsidRPr="00822D8D">
        <w:rPr>
          <w:rFonts w:ascii="Arial Narrow" w:hAnsi="Arial Narrow"/>
          <w:b/>
          <w:sz w:val="20"/>
        </w:rPr>
        <w:t>4</w:t>
      </w:r>
      <w:r w:rsidRPr="00822D8D">
        <w:rPr>
          <w:rFonts w:ascii="Arial Narrow" w:hAnsi="Arial Narrow"/>
          <w:b/>
          <w:sz w:val="20"/>
        </w:rPr>
        <w:t xml:space="preserve"> </w:t>
      </w:r>
      <w:r w:rsidRPr="00822D8D">
        <w:rPr>
          <w:rFonts w:ascii="Arial Narrow" w:hAnsi="Arial Narrow"/>
          <w:b/>
          <w:sz w:val="20"/>
        </w:rPr>
        <w:tab/>
        <w:t>Base case incremental cost-effectiveness ratio – Thick melanoma</w:t>
      </w:r>
      <w:bookmarkEnd w:id="10"/>
      <w:r w:rsidRPr="00822D8D">
        <w:rPr>
          <w:rFonts w:ascii="Arial Narrow" w:hAnsi="Arial Narrow"/>
          <w:b/>
          <w:sz w:val="20"/>
        </w:rPr>
        <w:t xml:space="preserve"> (Population two: </w:t>
      </w:r>
      <w:r w:rsidR="0079264F" w:rsidRPr="00822D8D">
        <w:rPr>
          <w:rFonts w:ascii="Arial Narrow" w:hAnsi="Arial Narrow"/>
          <w:b/>
          <w:sz w:val="20"/>
        </w:rPr>
        <w:t>&gt;</w:t>
      </w:r>
      <w:r w:rsidRPr="00822D8D">
        <w:rPr>
          <w:rFonts w:ascii="Arial Narrow" w:hAnsi="Arial Narrow"/>
          <w:b/>
          <w:sz w:val="20"/>
        </w:rPr>
        <w:t>4 mm)</w:t>
      </w:r>
      <w:bookmarkEnd w:id="11"/>
    </w:p>
    <w:tbl>
      <w:tblPr>
        <w:tblStyle w:val="TableGrid22"/>
        <w:tblW w:w="0" w:type="auto"/>
        <w:tblInd w:w="108" w:type="dxa"/>
        <w:tblLayout w:type="fixed"/>
        <w:tblLook w:val="04A0" w:firstRow="1" w:lastRow="0" w:firstColumn="1" w:lastColumn="0" w:noHBand="0" w:noVBand="1"/>
        <w:tblCaption w:val="Base case incremental cost-effectiveness ratio – Thick melanoma (Population two: ≥4 mm)"/>
        <w:tblDescription w:val="This table provides a description of the results of the economic evaluation of SLNBx in thick melanoma. This includes detail on the cost, incremental cost, effectiveness, incremental effectiveness and incremental cost effectiveness ratio for both the intervention and comparator in the economic model."/>
      </w:tblPr>
      <w:tblGrid>
        <w:gridCol w:w="1843"/>
        <w:gridCol w:w="1276"/>
        <w:gridCol w:w="1417"/>
        <w:gridCol w:w="1560"/>
        <w:gridCol w:w="1615"/>
        <w:gridCol w:w="1361"/>
      </w:tblGrid>
      <w:tr w:rsidR="008B2A76" w:rsidRPr="00531BFE" w14:paraId="38DE68F6" w14:textId="77777777" w:rsidTr="00531BFE">
        <w:trPr>
          <w:cnfStyle w:val="100000000000" w:firstRow="1" w:lastRow="0" w:firstColumn="0" w:lastColumn="0" w:oddVBand="0" w:evenVBand="0" w:oddHBand="0" w:evenHBand="0" w:firstRowFirstColumn="0" w:firstRowLastColumn="0" w:lastRowFirstColumn="0" w:lastRowLastColumn="0"/>
          <w:tblHeader/>
        </w:trPr>
        <w:tc>
          <w:tcPr>
            <w:tcW w:w="1843" w:type="dxa"/>
            <w:tcBorders>
              <w:bottom w:val="single" w:sz="4" w:space="0" w:color="auto"/>
            </w:tcBorders>
          </w:tcPr>
          <w:p w14:paraId="3AE63D47" w14:textId="77777777" w:rsidR="008B2A76" w:rsidRPr="00531BFE" w:rsidRDefault="008B2A76" w:rsidP="00821CFC">
            <w:pPr>
              <w:keepNext/>
              <w:rPr>
                <w:rFonts w:ascii="Arial Narrow" w:hAnsi="Arial Narrow"/>
                <w:b/>
                <w:sz w:val="20"/>
              </w:rPr>
            </w:pPr>
          </w:p>
        </w:tc>
        <w:tc>
          <w:tcPr>
            <w:tcW w:w="1276" w:type="dxa"/>
            <w:tcBorders>
              <w:bottom w:val="single" w:sz="4" w:space="0" w:color="auto"/>
            </w:tcBorders>
          </w:tcPr>
          <w:p w14:paraId="2DC992A1" w14:textId="77777777" w:rsidR="008B2A76" w:rsidRPr="00531BFE" w:rsidRDefault="008B2A76" w:rsidP="00821CFC">
            <w:pPr>
              <w:keepNext/>
              <w:rPr>
                <w:rFonts w:ascii="Arial Narrow" w:hAnsi="Arial Narrow"/>
                <w:b/>
                <w:sz w:val="20"/>
              </w:rPr>
            </w:pPr>
            <w:r w:rsidRPr="00531BFE">
              <w:rPr>
                <w:rFonts w:ascii="Arial Narrow" w:hAnsi="Arial Narrow"/>
                <w:b/>
                <w:sz w:val="20"/>
              </w:rPr>
              <w:t>Cost</w:t>
            </w:r>
          </w:p>
        </w:tc>
        <w:tc>
          <w:tcPr>
            <w:tcW w:w="1417" w:type="dxa"/>
            <w:tcBorders>
              <w:bottom w:val="single" w:sz="4" w:space="0" w:color="auto"/>
            </w:tcBorders>
          </w:tcPr>
          <w:p w14:paraId="290AE90E" w14:textId="77777777" w:rsidR="008B2A76" w:rsidRPr="00531BFE" w:rsidRDefault="008B2A76" w:rsidP="00821CFC">
            <w:pPr>
              <w:keepNext/>
              <w:rPr>
                <w:rFonts w:ascii="Arial Narrow" w:hAnsi="Arial Narrow"/>
                <w:b/>
                <w:sz w:val="20"/>
              </w:rPr>
            </w:pPr>
            <w:r w:rsidRPr="00531BFE">
              <w:rPr>
                <w:rFonts w:ascii="Arial Narrow" w:hAnsi="Arial Narrow"/>
                <w:b/>
                <w:sz w:val="20"/>
              </w:rPr>
              <w:t>Incremental cost</w:t>
            </w:r>
          </w:p>
        </w:tc>
        <w:tc>
          <w:tcPr>
            <w:tcW w:w="1560" w:type="dxa"/>
            <w:tcBorders>
              <w:bottom w:val="single" w:sz="4" w:space="0" w:color="auto"/>
            </w:tcBorders>
          </w:tcPr>
          <w:p w14:paraId="229B8B44" w14:textId="77777777" w:rsidR="008B2A76" w:rsidRPr="00531BFE" w:rsidRDefault="008B2A76" w:rsidP="00821CFC">
            <w:pPr>
              <w:keepNext/>
              <w:rPr>
                <w:rFonts w:ascii="Arial Narrow" w:hAnsi="Arial Narrow"/>
                <w:b/>
                <w:sz w:val="20"/>
              </w:rPr>
            </w:pPr>
            <w:r w:rsidRPr="00531BFE">
              <w:rPr>
                <w:rFonts w:ascii="Arial Narrow" w:hAnsi="Arial Narrow"/>
                <w:b/>
                <w:sz w:val="20"/>
              </w:rPr>
              <w:t>Effectiveness (QALYs)</w:t>
            </w:r>
          </w:p>
        </w:tc>
        <w:tc>
          <w:tcPr>
            <w:tcW w:w="1615" w:type="dxa"/>
            <w:tcBorders>
              <w:bottom w:val="single" w:sz="4" w:space="0" w:color="auto"/>
            </w:tcBorders>
          </w:tcPr>
          <w:p w14:paraId="443A66A0" w14:textId="77777777" w:rsidR="008B2A76" w:rsidRPr="00531BFE" w:rsidRDefault="008B2A76" w:rsidP="00821CFC">
            <w:pPr>
              <w:keepNext/>
              <w:rPr>
                <w:rFonts w:ascii="Arial Narrow" w:hAnsi="Arial Narrow"/>
                <w:b/>
                <w:sz w:val="20"/>
              </w:rPr>
            </w:pPr>
            <w:r w:rsidRPr="00531BFE">
              <w:rPr>
                <w:rFonts w:ascii="Arial Narrow" w:hAnsi="Arial Narrow"/>
                <w:b/>
                <w:sz w:val="20"/>
              </w:rPr>
              <w:t>Incremental effectiveness</w:t>
            </w:r>
          </w:p>
        </w:tc>
        <w:tc>
          <w:tcPr>
            <w:tcW w:w="1361" w:type="dxa"/>
            <w:tcBorders>
              <w:bottom w:val="single" w:sz="4" w:space="0" w:color="auto"/>
            </w:tcBorders>
          </w:tcPr>
          <w:p w14:paraId="0F7FE770" w14:textId="77777777" w:rsidR="008B2A76" w:rsidRPr="00531BFE" w:rsidRDefault="008B2A76" w:rsidP="00821CFC">
            <w:pPr>
              <w:keepNext/>
              <w:rPr>
                <w:rFonts w:ascii="Arial Narrow" w:hAnsi="Arial Narrow"/>
                <w:b/>
                <w:sz w:val="20"/>
              </w:rPr>
            </w:pPr>
            <w:r w:rsidRPr="00531BFE">
              <w:rPr>
                <w:rFonts w:ascii="Arial Narrow" w:hAnsi="Arial Narrow"/>
                <w:b/>
                <w:sz w:val="20"/>
              </w:rPr>
              <w:t>ICER</w:t>
            </w:r>
          </w:p>
        </w:tc>
      </w:tr>
      <w:tr w:rsidR="008B2A76" w:rsidRPr="00531BFE" w14:paraId="01EF484F" w14:textId="77777777" w:rsidTr="00531BFE">
        <w:tc>
          <w:tcPr>
            <w:tcW w:w="1843" w:type="dxa"/>
            <w:shd w:val="clear" w:color="auto" w:fill="auto"/>
          </w:tcPr>
          <w:p w14:paraId="476D84D3" w14:textId="77777777" w:rsidR="008B2A76" w:rsidRPr="00531BFE" w:rsidRDefault="008B2A76" w:rsidP="00821CFC">
            <w:pPr>
              <w:rPr>
                <w:sz w:val="20"/>
              </w:rPr>
            </w:pPr>
            <w:r w:rsidRPr="00531BFE">
              <w:rPr>
                <w:sz w:val="20"/>
              </w:rPr>
              <w:t>SLNB+WLE</w:t>
            </w:r>
          </w:p>
        </w:tc>
        <w:tc>
          <w:tcPr>
            <w:tcW w:w="1276" w:type="dxa"/>
          </w:tcPr>
          <w:p w14:paraId="4F8D7C3A" w14:textId="77777777" w:rsidR="008B2A76" w:rsidRPr="00531BFE" w:rsidRDefault="008B2A76" w:rsidP="00821CFC">
            <w:pPr>
              <w:rPr>
                <w:sz w:val="20"/>
              </w:rPr>
            </w:pPr>
            <w:r w:rsidRPr="00531BFE">
              <w:rPr>
                <w:sz w:val="20"/>
              </w:rPr>
              <w:t>$43,503.00</w:t>
            </w:r>
          </w:p>
        </w:tc>
        <w:tc>
          <w:tcPr>
            <w:tcW w:w="1417" w:type="dxa"/>
          </w:tcPr>
          <w:p w14:paraId="01E3944A" w14:textId="77777777" w:rsidR="008B2A76" w:rsidRPr="00531BFE" w:rsidRDefault="008B2A76" w:rsidP="00821CFC">
            <w:pPr>
              <w:rPr>
                <w:sz w:val="20"/>
              </w:rPr>
            </w:pPr>
            <w:r w:rsidRPr="00531BFE">
              <w:rPr>
                <w:sz w:val="20"/>
              </w:rPr>
              <w:t>$11,267.74</w:t>
            </w:r>
          </w:p>
        </w:tc>
        <w:tc>
          <w:tcPr>
            <w:tcW w:w="1560" w:type="dxa"/>
          </w:tcPr>
          <w:p w14:paraId="12BC9ED9" w14:textId="77777777" w:rsidR="008B2A76" w:rsidRPr="00531BFE" w:rsidRDefault="008B2A76" w:rsidP="00821CFC">
            <w:pPr>
              <w:rPr>
                <w:sz w:val="20"/>
              </w:rPr>
            </w:pPr>
            <w:r w:rsidRPr="00531BFE">
              <w:rPr>
                <w:sz w:val="20"/>
              </w:rPr>
              <w:t>6.68</w:t>
            </w:r>
          </w:p>
        </w:tc>
        <w:tc>
          <w:tcPr>
            <w:tcW w:w="1615" w:type="dxa"/>
          </w:tcPr>
          <w:p w14:paraId="692694A4" w14:textId="77777777" w:rsidR="008B2A76" w:rsidRPr="00531BFE" w:rsidRDefault="008B2A76" w:rsidP="00821CFC">
            <w:pPr>
              <w:rPr>
                <w:sz w:val="20"/>
              </w:rPr>
            </w:pPr>
            <w:r w:rsidRPr="00531BFE">
              <w:rPr>
                <w:sz w:val="20"/>
              </w:rPr>
              <w:t>-0.1</w:t>
            </w:r>
          </w:p>
        </w:tc>
        <w:tc>
          <w:tcPr>
            <w:tcW w:w="1361" w:type="dxa"/>
          </w:tcPr>
          <w:p w14:paraId="08215610" w14:textId="77777777" w:rsidR="008B2A76" w:rsidRPr="00531BFE" w:rsidRDefault="008B2A76" w:rsidP="00821CFC">
            <w:pPr>
              <w:rPr>
                <w:sz w:val="20"/>
              </w:rPr>
            </w:pPr>
            <w:r w:rsidRPr="00531BFE">
              <w:rPr>
                <w:sz w:val="20"/>
              </w:rPr>
              <w:t>Dominated</w:t>
            </w:r>
          </w:p>
        </w:tc>
      </w:tr>
      <w:tr w:rsidR="008B2A76" w:rsidRPr="00531BFE" w14:paraId="2F71AA57" w14:textId="77777777" w:rsidTr="00531BFE">
        <w:tc>
          <w:tcPr>
            <w:tcW w:w="1843" w:type="dxa"/>
            <w:shd w:val="clear" w:color="auto" w:fill="auto"/>
          </w:tcPr>
          <w:p w14:paraId="53B59D6B" w14:textId="77777777" w:rsidR="008B2A76" w:rsidRPr="00531BFE" w:rsidRDefault="008B2A76" w:rsidP="00821CFC">
            <w:pPr>
              <w:rPr>
                <w:sz w:val="20"/>
              </w:rPr>
            </w:pPr>
            <w:r w:rsidRPr="00531BFE">
              <w:rPr>
                <w:sz w:val="20"/>
              </w:rPr>
              <w:t>WLE alone</w:t>
            </w:r>
          </w:p>
        </w:tc>
        <w:tc>
          <w:tcPr>
            <w:tcW w:w="1276" w:type="dxa"/>
          </w:tcPr>
          <w:p w14:paraId="7964FDD8" w14:textId="77777777" w:rsidR="008B2A76" w:rsidRPr="00531BFE" w:rsidRDefault="008B2A76" w:rsidP="00821CFC">
            <w:pPr>
              <w:rPr>
                <w:sz w:val="20"/>
              </w:rPr>
            </w:pPr>
            <w:r w:rsidRPr="00531BFE">
              <w:rPr>
                <w:sz w:val="20"/>
              </w:rPr>
              <w:t>$32,235.26</w:t>
            </w:r>
          </w:p>
        </w:tc>
        <w:tc>
          <w:tcPr>
            <w:tcW w:w="1417" w:type="dxa"/>
          </w:tcPr>
          <w:p w14:paraId="326B2E7F" w14:textId="77777777" w:rsidR="008B2A76" w:rsidRPr="00531BFE" w:rsidRDefault="008B2A76" w:rsidP="00821CFC">
            <w:pPr>
              <w:rPr>
                <w:sz w:val="20"/>
              </w:rPr>
            </w:pPr>
            <w:r w:rsidRPr="00531BFE">
              <w:rPr>
                <w:sz w:val="20"/>
              </w:rPr>
              <w:t>-</w:t>
            </w:r>
          </w:p>
        </w:tc>
        <w:tc>
          <w:tcPr>
            <w:tcW w:w="1560" w:type="dxa"/>
          </w:tcPr>
          <w:p w14:paraId="54E38EAF" w14:textId="77777777" w:rsidR="008B2A76" w:rsidRPr="00531BFE" w:rsidRDefault="008B2A76" w:rsidP="00821CFC">
            <w:pPr>
              <w:rPr>
                <w:sz w:val="20"/>
              </w:rPr>
            </w:pPr>
            <w:r w:rsidRPr="00531BFE">
              <w:rPr>
                <w:sz w:val="20"/>
              </w:rPr>
              <w:t>6.78</w:t>
            </w:r>
          </w:p>
        </w:tc>
        <w:tc>
          <w:tcPr>
            <w:tcW w:w="1615" w:type="dxa"/>
          </w:tcPr>
          <w:p w14:paraId="38E5B388" w14:textId="77777777" w:rsidR="008B2A76" w:rsidRPr="00531BFE" w:rsidRDefault="008B2A76" w:rsidP="00821CFC">
            <w:pPr>
              <w:rPr>
                <w:sz w:val="20"/>
              </w:rPr>
            </w:pPr>
            <w:r w:rsidRPr="00531BFE">
              <w:rPr>
                <w:sz w:val="20"/>
              </w:rPr>
              <w:t>-</w:t>
            </w:r>
          </w:p>
        </w:tc>
        <w:tc>
          <w:tcPr>
            <w:tcW w:w="1361" w:type="dxa"/>
          </w:tcPr>
          <w:p w14:paraId="5F2527B8" w14:textId="02082B77" w:rsidR="008B2A76" w:rsidRPr="00531BFE" w:rsidRDefault="008B2A76" w:rsidP="00821CFC">
            <w:pPr>
              <w:rPr>
                <w:sz w:val="20"/>
              </w:rPr>
            </w:pPr>
          </w:p>
        </w:tc>
      </w:tr>
    </w:tbl>
    <w:p w14:paraId="36A0A60B" w14:textId="4E4313DA" w:rsidR="008B2A76" w:rsidRDefault="008B2A76" w:rsidP="008B2A76">
      <w:pPr>
        <w:widowControl w:val="0"/>
        <w:jc w:val="both"/>
        <w:rPr>
          <w:rFonts w:ascii="Arial Narrow" w:hAnsi="Arial Narrow" w:cs="Arial"/>
          <w:snapToGrid w:val="0"/>
          <w:sz w:val="18"/>
          <w:lang w:eastAsia="en-US"/>
        </w:rPr>
      </w:pPr>
      <w:r w:rsidRPr="001E0838">
        <w:rPr>
          <w:rFonts w:ascii="Arial Narrow" w:hAnsi="Arial Narrow" w:cs="Arial"/>
          <w:snapToGrid w:val="0"/>
          <w:sz w:val="18"/>
          <w:lang w:eastAsia="en-US"/>
        </w:rPr>
        <w:t xml:space="preserve">ICER = </w:t>
      </w:r>
      <w:r w:rsidR="00576F68" w:rsidRPr="001E0838">
        <w:rPr>
          <w:rFonts w:ascii="Arial Narrow" w:hAnsi="Arial Narrow" w:cs="Arial"/>
          <w:snapToGrid w:val="0"/>
          <w:sz w:val="18"/>
          <w:lang w:eastAsia="en-US"/>
        </w:rPr>
        <w:t>incremental cost effectiveness ratio</w:t>
      </w:r>
      <w:r w:rsidR="00576F68">
        <w:rPr>
          <w:rFonts w:ascii="Arial Narrow" w:hAnsi="Arial Narrow" w:cs="Arial"/>
          <w:snapToGrid w:val="0"/>
          <w:sz w:val="18"/>
          <w:lang w:eastAsia="en-US"/>
        </w:rPr>
        <w:t>;</w:t>
      </w:r>
      <w:r w:rsidRPr="001E0838">
        <w:rPr>
          <w:rFonts w:ascii="Arial Narrow" w:hAnsi="Arial Narrow" w:cs="Arial"/>
          <w:snapToGrid w:val="0"/>
          <w:sz w:val="18"/>
          <w:lang w:eastAsia="en-US"/>
        </w:rPr>
        <w:t xml:space="preserve"> </w:t>
      </w:r>
      <w:r>
        <w:rPr>
          <w:rFonts w:ascii="Arial Narrow" w:hAnsi="Arial Narrow" w:cs="Arial"/>
          <w:snapToGrid w:val="0"/>
          <w:sz w:val="18"/>
          <w:lang w:eastAsia="en-US"/>
        </w:rPr>
        <w:t>SLNB</w:t>
      </w:r>
      <w:r w:rsidR="00576F68">
        <w:rPr>
          <w:rFonts w:ascii="Arial Narrow" w:hAnsi="Arial Narrow" w:cs="Arial"/>
          <w:snapToGrid w:val="0"/>
          <w:sz w:val="18"/>
          <w:lang w:eastAsia="en-US"/>
        </w:rPr>
        <w:t xml:space="preserve"> =</w:t>
      </w:r>
      <w:r w:rsidRPr="001E0838">
        <w:rPr>
          <w:rFonts w:ascii="Arial Narrow" w:hAnsi="Arial Narrow" w:cs="Arial"/>
          <w:snapToGrid w:val="0"/>
          <w:sz w:val="18"/>
          <w:lang w:eastAsia="en-US"/>
        </w:rPr>
        <w:t xml:space="preserve"> sentinel lymph node biopsy</w:t>
      </w:r>
      <w:r w:rsidR="00576F68">
        <w:rPr>
          <w:rFonts w:ascii="Arial Narrow" w:hAnsi="Arial Narrow" w:cs="Arial"/>
          <w:snapToGrid w:val="0"/>
          <w:sz w:val="18"/>
          <w:lang w:eastAsia="en-US"/>
        </w:rPr>
        <w:t>;</w:t>
      </w:r>
      <w:r w:rsidRPr="001E0838">
        <w:rPr>
          <w:rFonts w:ascii="Arial Narrow" w:hAnsi="Arial Narrow" w:cs="Arial"/>
          <w:snapToGrid w:val="0"/>
          <w:sz w:val="18"/>
          <w:lang w:eastAsia="en-US"/>
        </w:rPr>
        <w:t xml:space="preserve"> WLE</w:t>
      </w:r>
      <w:r w:rsidR="00576F68">
        <w:rPr>
          <w:rFonts w:ascii="Arial Narrow" w:hAnsi="Arial Narrow" w:cs="Arial"/>
          <w:snapToGrid w:val="0"/>
          <w:sz w:val="18"/>
          <w:lang w:eastAsia="en-US"/>
        </w:rPr>
        <w:t xml:space="preserve"> =</w:t>
      </w:r>
      <w:r w:rsidRPr="001E0838">
        <w:rPr>
          <w:rFonts w:ascii="Arial Narrow" w:hAnsi="Arial Narrow" w:cs="Arial"/>
          <w:snapToGrid w:val="0"/>
          <w:sz w:val="18"/>
          <w:lang w:eastAsia="en-US"/>
        </w:rPr>
        <w:t xml:space="preserve"> wide local excision</w:t>
      </w:r>
    </w:p>
    <w:p w14:paraId="37EA0873" w14:textId="77777777" w:rsidR="00BC1364" w:rsidRPr="00F715D1" w:rsidRDefault="00BC1364" w:rsidP="00F715D1">
      <w:pPr>
        <w:pStyle w:val="Heading1"/>
      </w:pPr>
      <w:r w:rsidRPr="00F715D1">
        <w:t>Financial/budgetary impacts</w:t>
      </w:r>
    </w:p>
    <w:p w14:paraId="1242EECC" w14:textId="6B657F12" w:rsidR="008B2A76" w:rsidRDefault="008B2A76" w:rsidP="00810867">
      <w:pPr>
        <w:spacing w:after="240"/>
      </w:pPr>
      <w:r w:rsidRPr="001E0838">
        <w:t xml:space="preserve">An epidemiological approach </w:t>
      </w:r>
      <w:r w:rsidR="00F80F49">
        <w:t>was</w:t>
      </w:r>
      <w:r w:rsidRPr="001E0838">
        <w:t xml:space="preserve"> used to estimate the financial implications of </w:t>
      </w:r>
      <w:r>
        <w:t>SLNB</w:t>
      </w:r>
      <w:r w:rsidRPr="001E0838">
        <w:t xml:space="preserve"> for patients with intermediat</w:t>
      </w:r>
      <w:r w:rsidR="00810867">
        <w:t>e thickness and thick melanoma.</w:t>
      </w:r>
    </w:p>
    <w:p w14:paraId="6FA193F8" w14:textId="46333B31" w:rsidR="00D858A1" w:rsidRDefault="008B2A76">
      <w:pPr>
        <w:rPr>
          <w:rFonts w:ascii="Arial Narrow" w:hAnsi="Arial Narrow" w:cs="Arial"/>
          <w:b/>
          <w:bCs/>
          <w:iCs/>
          <w:sz w:val="20"/>
          <w:lang w:eastAsia="en-US"/>
        </w:rPr>
      </w:pPr>
      <w:r w:rsidRPr="001E0838">
        <w:t xml:space="preserve">The </w:t>
      </w:r>
      <w:r w:rsidR="00F80F49">
        <w:t xml:space="preserve">estimated </w:t>
      </w:r>
      <w:r w:rsidRPr="001E0838">
        <w:t xml:space="preserve">financial implications to the MBS resulting from the proposed listing of </w:t>
      </w:r>
      <w:r>
        <w:t>SLNB</w:t>
      </w:r>
      <w:r w:rsidRPr="001E0838">
        <w:t xml:space="preserve"> for patients with intermediate and thick melanoma are summarised in</w:t>
      </w:r>
      <w:r>
        <w:t xml:space="preserve"> Table</w:t>
      </w:r>
      <w:r w:rsidRPr="001E0838">
        <w:t xml:space="preserve"> </w:t>
      </w:r>
      <w:bookmarkStart w:id="12" w:name="_Ref395200110"/>
      <w:bookmarkStart w:id="13" w:name="_Toc393197779"/>
      <w:bookmarkStart w:id="14" w:name="_Toc393378192"/>
      <w:bookmarkStart w:id="15" w:name="_Toc505769096"/>
      <w:bookmarkStart w:id="16" w:name="_Toc505863466"/>
      <w:r w:rsidR="00531BFE">
        <w:t>5.</w:t>
      </w:r>
      <w:r w:rsidR="00D858A1">
        <w:br w:type="page"/>
      </w:r>
    </w:p>
    <w:p w14:paraId="5B5A6D35" w14:textId="77777777" w:rsidR="00822D8D" w:rsidRDefault="008B2A76" w:rsidP="00822D8D">
      <w:pPr>
        <w:rPr>
          <w:rFonts w:ascii="Arial Narrow" w:hAnsi="Arial Narrow"/>
          <w:b/>
          <w:sz w:val="20"/>
        </w:rPr>
      </w:pPr>
      <w:r w:rsidRPr="00822D8D">
        <w:rPr>
          <w:rFonts w:ascii="Arial Narrow" w:hAnsi="Arial Narrow"/>
          <w:b/>
          <w:sz w:val="20"/>
        </w:rPr>
        <w:lastRenderedPageBreak/>
        <w:t xml:space="preserve">Table </w:t>
      </w:r>
      <w:bookmarkEnd w:id="12"/>
      <w:r w:rsidR="00531BFE" w:rsidRPr="00822D8D">
        <w:rPr>
          <w:rFonts w:ascii="Arial Narrow" w:hAnsi="Arial Narrow"/>
          <w:b/>
          <w:sz w:val="20"/>
        </w:rPr>
        <w:t>5</w:t>
      </w:r>
      <w:r w:rsidRPr="00822D8D">
        <w:rPr>
          <w:rFonts w:ascii="Arial Narrow" w:hAnsi="Arial Narrow"/>
          <w:b/>
          <w:sz w:val="20"/>
        </w:rPr>
        <w:t xml:space="preserve"> </w:t>
      </w:r>
      <w:r w:rsidRPr="00822D8D">
        <w:rPr>
          <w:rFonts w:ascii="Arial Narrow" w:hAnsi="Arial Narrow"/>
          <w:b/>
          <w:sz w:val="20"/>
        </w:rPr>
        <w:tab/>
        <w:t xml:space="preserve">Total costs to the MBS associated with </w:t>
      </w:r>
      <w:bookmarkEnd w:id="13"/>
      <w:bookmarkEnd w:id="14"/>
      <w:r w:rsidRPr="00822D8D">
        <w:rPr>
          <w:rFonts w:ascii="Arial Narrow" w:hAnsi="Arial Narrow"/>
          <w:b/>
          <w:sz w:val="20"/>
        </w:rPr>
        <w:t xml:space="preserve">SLNB in patients with intermediate thickness </w:t>
      </w:r>
    </w:p>
    <w:p w14:paraId="3BA95525" w14:textId="371C7960" w:rsidR="008B2A76" w:rsidRPr="00822D8D" w:rsidRDefault="008B2A76" w:rsidP="00822D8D">
      <w:pPr>
        <w:rPr>
          <w:rFonts w:ascii="Arial Narrow" w:hAnsi="Arial Narrow"/>
          <w:b/>
          <w:sz w:val="20"/>
        </w:rPr>
      </w:pPr>
      <w:r w:rsidRPr="00822D8D">
        <w:rPr>
          <w:rFonts w:ascii="Arial Narrow" w:hAnsi="Arial Narrow"/>
          <w:b/>
          <w:sz w:val="20"/>
        </w:rPr>
        <w:t>(Population 1: 1-4</w:t>
      </w:r>
      <w:r w:rsidR="00822D8D">
        <w:rPr>
          <w:rFonts w:ascii="Arial Narrow" w:hAnsi="Arial Narrow"/>
          <w:b/>
          <w:sz w:val="20"/>
        </w:rPr>
        <w:t> </w:t>
      </w:r>
      <w:r w:rsidRPr="00822D8D">
        <w:rPr>
          <w:rFonts w:ascii="Arial Narrow" w:hAnsi="Arial Narrow"/>
          <w:b/>
          <w:sz w:val="20"/>
        </w:rPr>
        <w:t>mm) and thick melanoma</w:t>
      </w:r>
      <w:bookmarkEnd w:id="15"/>
      <w:r w:rsidRPr="00822D8D">
        <w:rPr>
          <w:rFonts w:ascii="Arial Narrow" w:hAnsi="Arial Narrow"/>
          <w:b/>
          <w:sz w:val="20"/>
        </w:rPr>
        <w:t xml:space="preserve"> (Population 2: </w:t>
      </w:r>
      <w:r w:rsidR="0079264F" w:rsidRPr="00822D8D">
        <w:rPr>
          <w:rFonts w:ascii="Arial Narrow" w:hAnsi="Arial Narrow"/>
          <w:b/>
          <w:sz w:val="20"/>
        </w:rPr>
        <w:t>&gt;</w:t>
      </w:r>
      <w:r w:rsidRPr="00822D8D">
        <w:rPr>
          <w:rFonts w:ascii="Arial Narrow" w:hAnsi="Arial Narrow"/>
          <w:b/>
          <w:sz w:val="20"/>
        </w:rPr>
        <w:t>4 mm)</w:t>
      </w:r>
      <w:bookmarkEnd w:id="16"/>
    </w:p>
    <w:tbl>
      <w:tblPr>
        <w:tblStyle w:val="TableGrid12"/>
        <w:tblW w:w="5000" w:type="pct"/>
        <w:tblLayout w:type="fixed"/>
        <w:tblLook w:val="04A0" w:firstRow="1" w:lastRow="0" w:firstColumn="1" w:lastColumn="0" w:noHBand="0" w:noVBand="1"/>
        <w:tblCaption w:val="Total costs to the MBS associated with SLNBx in patients with intermediate and thick melanoma"/>
        <w:tblDescription w:val="This table provides a summary of the financial impact of the proposed new medical service over the next five years."/>
      </w:tblPr>
      <w:tblGrid>
        <w:gridCol w:w="1665"/>
        <w:gridCol w:w="1514"/>
        <w:gridCol w:w="1514"/>
        <w:gridCol w:w="1516"/>
        <w:gridCol w:w="1514"/>
        <w:gridCol w:w="1519"/>
      </w:tblGrid>
      <w:tr w:rsidR="008B2A76" w:rsidRPr="00531BFE" w14:paraId="42188686" w14:textId="77777777" w:rsidTr="00F80F49">
        <w:trPr>
          <w:trHeight w:val="300"/>
        </w:trPr>
        <w:tc>
          <w:tcPr>
            <w:tcW w:w="901" w:type="pct"/>
          </w:tcPr>
          <w:p w14:paraId="6A342F80" w14:textId="77777777" w:rsidR="008B2A76" w:rsidRPr="00531BFE" w:rsidRDefault="008B2A76" w:rsidP="00821CFC">
            <w:pPr>
              <w:keepNext/>
              <w:tabs>
                <w:tab w:val="left" w:pos="851"/>
              </w:tabs>
              <w:spacing w:after="40"/>
              <w:ind w:left="851" w:hanging="851"/>
              <w:rPr>
                <w:rFonts w:ascii="Arial Narrow" w:hAnsi="Arial Narrow"/>
                <w:b/>
                <w:sz w:val="20"/>
              </w:rPr>
            </w:pPr>
            <w:r w:rsidRPr="00531BFE">
              <w:rPr>
                <w:rFonts w:ascii="Arial Narrow" w:hAnsi="Arial Narrow"/>
                <w:b/>
                <w:color w:val="FFFFFF" w:themeColor="background1"/>
                <w:sz w:val="20"/>
              </w:rPr>
              <w:t>-</w:t>
            </w:r>
          </w:p>
        </w:tc>
        <w:tc>
          <w:tcPr>
            <w:tcW w:w="819" w:type="pct"/>
          </w:tcPr>
          <w:p w14:paraId="6F0F3124" w14:textId="77777777" w:rsidR="008B2A76" w:rsidRPr="00531BFE" w:rsidRDefault="008B2A76" w:rsidP="00821CFC">
            <w:pPr>
              <w:keepNext/>
              <w:spacing w:after="40"/>
              <w:jc w:val="center"/>
              <w:rPr>
                <w:rFonts w:ascii="Arial Narrow" w:hAnsi="Arial Narrow"/>
                <w:b/>
                <w:sz w:val="20"/>
              </w:rPr>
            </w:pPr>
            <w:r w:rsidRPr="00531BFE">
              <w:rPr>
                <w:rFonts w:ascii="Arial Narrow" w:hAnsi="Arial Narrow"/>
                <w:b/>
                <w:sz w:val="20"/>
              </w:rPr>
              <w:t>2019</w:t>
            </w:r>
          </w:p>
        </w:tc>
        <w:tc>
          <w:tcPr>
            <w:tcW w:w="819" w:type="pct"/>
          </w:tcPr>
          <w:p w14:paraId="34DD24A5" w14:textId="77777777" w:rsidR="008B2A76" w:rsidRPr="00531BFE" w:rsidRDefault="008B2A76" w:rsidP="00821CFC">
            <w:pPr>
              <w:keepNext/>
              <w:spacing w:after="40"/>
              <w:jc w:val="center"/>
              <w:rPr>
                <w:rFonts w:ascii="Arial Narrow" w:hAnsi="Arial Narrow"/>
                <w:b/>
                <w:sz w:val="20"/>
              </w:rPr>
            </w:pPr>
            <w:r w:rsidRPr="00531BFE">
              <w:rPr>
                <w:rFonts w:ascii="Arial Narrow" w:hAnsi="Arial Narrow"/>
                <w:b/>
                <w:sz w:val="20"/>
              </w:rPr>
              <w:t>2020</w:t>
            </w:r>
          </w:p>
        </w:tc>
        <w:tc>
          <w:tcPr>
            <w:tcW w:w="820" w:type="pct"/>
          </w:tcPr>
          <w:p w14:paraId="22D39D71" w14:textId="77777777" w:rsidR="008B2A76" w:rsidRPr="00531BFE" w:rsidRDefault="008B2A76" w:rsidP="00821CFC">
            <w:pPr>
              <w:keepNext/>
              <w:spacing w:after="40"/>
              <w:jc w:val="center"/>
              <w:rPr>
                <w:rFonts w:ascii="Arial Narrow" w:hAnsi="Arial Narrow"/>
                <w:b/>
                <w:sz w:val="20"/>
              </w:rPr>
            </w:pPr>
            <w:r w:rsidRPr="00531BFE">
              <w:rPr>
                <w:rFonts w:ascii="Arial Narrow" w:hAnsi="Arial Narrow"/>
                <w:b/>
                <w:sz w:val="20"/>
              </w:rPr>
              <w:t>2021</w:t>
            </w:r>
          </w:p>
        </w:tc>
        <w:tc>
          <w:tcPr>
            <w:tcW w:w="819" w:type="pct"/>
          </w:tcPr>
          <w:p w14:paraId="2B4BC72D" w14:textId="77777777" w:rsidR="008B2A76" w:rsidRPr="00531BFE" w:rsidRDefault="008B2A76" w:rsidP="00821CFC">
            <w:pPr>
              <w:keepNext/>
              <w:spacing w:after="40"/>
              <w:jc w:val="center"/>
              <w:rPr>
                <w:rFonts w:ascii="Arial Narrow" w:hAnsi="Arial Narrow"/>
                <w:b/>
                <w:sz w:val="20"/>
              </w:rPr>
            </w:pPr>
            <w:r w:rsidRPr="00531BFE">
              <w:rPr>
                <w:rFonts w:ascii="Arial Narrow" w:hAnsi="Arial Narrow"/>
                <w:b/>
                <w:sz w:val="20"/>
              </w:rPr>
              <w:t>2022</w:t>
            </w:r>
          </w:p>
        </w:tc>
        <w:tc>
          <w:tcPr>
            <w:tcW w:w="821" w:type="pct"/>
          </w:tcPr>
          <w:p w14:paraId="1524DBFF" w14:textId="77777777" w:rsidR="008B2A76" w:rsidRPr="00531BFE" w:rsidRDefault="008B2A76" w:rsidP="00821CFC">
            <w:pPr>
              <w:keepNext/>
              <w:spacing w:after="40"/>
              <w:jc w:val="center"/>
              <w:rPr>
                <w:rFonts w:ascii="Arial Narrow" w:hAnsi="Arial Narrow"/>
                <w:b/>
                <w:sz w:val="20"/>
              </w:rPr>
            </w:pPr>
            <w:r w:rsidRPr="00531BFE">
              <w:rPr>
                <w:rFonts w:ascii="Arial Narrow" w:hAnsi="Arial Narrow"/>
                <w:b/>
                <w:sz w:val="20"/>
              </w:rPr>
              <w:t>2023</w:t>
            </w:r>
          </w:p>
        </w:tc>
      </w:tr>
      <w:tr w:rsidR="00F80F49" w:rsidRPr="00531BFE" w14:paraId="55551812" w14:textId="77777777" w:rsidTr="00F80F49">
        <w:trPr>
          <w:trHeight w:val="300"/>
        </w:trPr>
        <w:tc>
          <w:tcPr>
            <w:tcW w:w="5000" w:type="pct"/>
            <w:gridSpan w:val="6"/>
          </w:tcPr>
          <w:p w14:paraId="41EDA80F" w14:textId="77777777" w:rsidR="00F80F49" w:rsidRPr="00531BFE" w:rsidRDefault="00F80F49" w:rsidP="00F80F49">
            <w:pPr>
              <w:spacing w:after="40"/>
              <w:rPr>
                <w:rFonts w:ascii="Arial Narrow" w:hAnsi="Arial Narrow"/>
                <w:sz w:val="20"/>
              </w:rPr>
            </w:pPr>
            <w:r w:rsidRPr="00531BFE">
              <w:rPr>
                <w:rFonts w:ascii="Arial Narrow" w:hAnsi="Arial Narrow"/>
                <w:b/>
                <w:sz w:val="20"/>
              </w:rPr>
              <w:t>SLNB</w:t>
            </w:r>
          </w:p>
        </w:tc>
      </w:tr>
      <w:tr w:rsidR="008B2A76" w:rsidRPr="00531BFE" w14:paraId="10F5F925" w14:textId="77777777" w:rsidTr="00F80F49">
        <w:trPr>
          <w:trHeight w:val="300"/>
        </w:trPr>
        <w:tc>
          <w:tcPr>
            <w:tcW w:w="901" w:type="pct"/>
          </w:tcPr>
          <w:p w14:paraId="3C895576" w14:textId="77777777" w:rsidR="008B2A76" w:rsidRPr="00531BFE" w:rsidRDefault="008B2A76" w:rsidP="00821CFC">
            <w:pPr>
              <w:spacing w:after="40"/>
              <w:rPr>
                <w:rFonts w:ascii="Arial Narrow" w:hAnsi="Arial Narrow"/>
                <w:b/>
                <w:sz w:val="20"/>
                <w:highlight w:val="cyan"/>
              </w:rPr>
            </w:pPr>
            <w:r w:rsidRPr="00531BFE">
              <w:rPr>
                <w:rFonts w:ascii="Arial Narrow" w:hAnsi="Arial Narrow"/>
                <w:sz w:val="20"/>
              </w:rPr>
              <w:t>Number of services</w:t>
            </w:r>
          </w:p>
        </w:tc>
        <w:tc>
          <w:tcPr>
            <w:tcW w:w="819" w:type="pct"/>
          </w:tcPr>
          <w:p w14:paraId="7BA0716C"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2,232</w:t>
            </w:r>
          </w:p>
        </w:tc>
        <w:tc>
          <w:tcPr>
            <w:tcW w:w="819" w:type="pct"/>
          </w:tcPr>
          <w:p w14:paraId="552C291B"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2,277</w:t>
            </w:r>
          </w:p>
        </w:tc>
        <w:tc>
          <w:tcPr>
            <w:tcW w:w="820" w:type="pct"/>
          </w:tcPr>
          <w:p w14:paraId="1A31C7CE"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2,322</w:t>
            </w:r>
          </w:p>
        </w:tc>
        <w:tc>
          <w:tcPr>
            <w:tcW w:w="819" w:type="pct"/>
          </w:tcPr>
          <w:p w14:paraId="02CAD8E5"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2,367</w:t>
            </w:r>
          </w:p>
        </w:tc>
        <w:tc>
          <w:tcPr>
            <w:tcW w:w="821" w:type="pct"/>
          </w:tcPr>
          <w:p w14:paraId="3AEF7F5D"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2,412</w:t>
            </w:r>
          </w:p>
        </w:tc>
      </w:tr>
      <w:tr w:rsidR="008B2A76" w:rsidRPr="00531BFE" w14:paraId="233E341C" w14:textId="77777777" w:rsidTr="00F80F49">
        <w:trPr>
          <w:trHeight w:val="300"/>
        </w:trPr>
        <w:tc>
          <w:tcPr>
            <w:tcW w:w="901" w:type="pct"/>
          </w:tcPr>
          <w:p w14:paraId="4763A934" w14:textId="77777777" w:rsidR="008B2A76" w:rsidRPr="00531BFE" w:rsidRDefault="008B2A76" w:rsidP="00821CFC">
            <w:pPr>
              <w:widowControl w:val="0"/>
              <w:tabs>
                <w:tab w:val="left" w:pos="851"/>
              </w:tabs>
              <w:spacing w:after="40"/>
              <w:jc w:val="both"/>
              <w:rPr>
                <w:rFonts w:ascii="Arial Narrow" w:hAnsi="Arial Narrow"/>
                <w:b/>
                <w:sz w:val="20"/>
                <w:highlight w:val="cyan"/>
              </w:rPr>
            </w:pPr>
            <w:r w:rsidRPr="00531BFE">
              <w:rPr>
                <w:rFonts w:ascii="Arial Narrow" w:hAnsi="Arial Narrow"/>
                <w:sz w:val="20"/>
              </w:rPr>
              <w:t>Sub-total cost</w:t>
            </w:r>
          </w:p>
        </w:tc>
        <w:tc>
          <w:tcPr>
            <w:tcW w:w="819" w:type="pct"/>
          </w:tcPr>
          <w:p w14:paraId="555F0289" w14:textId="77777777" w:rsidR="008B2A76" w:rsidRPr="00531BFE" w:rsidRDefault="008B2A76" w:rsidP="00821CFC">
            <w:pPr>
              <w:spacing w:after="40"/>
              <w:rPr>
                <w:rFonts w:ascii="Arial Narrow" w:hAnsi="Arial Narrow"/>
                <w:sz w:val="20"/>
              </w:rPr>
            </w:pPr>
            <w:r w:rsidRPr="00531BFE">
              <w:rPr>
                <w:rFonts w:ascii="Arial Narrow" w:hAnsi="Arial Narrow"/>
                <w:sz w:val="20"/>
              </w:rPr>
              <w:t xml:space="preserve"> $1,329,548.56 </w:t>
            </w:r>
          </w:p>
        </w:tc>
        <w:tc>
          <w:tcPr>
            <w:tcW w:w="819" w:type="pct"/>
          </w:tcPr>
          <w:p w14:paraId="38F12905" w14:textId="77777777" w:rsidR="008B2A76" w:rsidRPr="00531BFE" w:rsidRDefault="008B2A76" w:rsidP="00821CFC">
            <w:pPr>
              <w:spacing w:after="40"/>
              <w:rPr>
                <w:rFonts w:ascii="Arial Narrow" w:hAnsi="Arial Narrow"/>
                <w:sz w:val="20"/>
              </w:rPr>
            </w:pPr>
            <w:r w:rsidRPr="00531BFE">
              <w:rPr>
                <w:rFonts w:ascii="Arial Narrow" w:hAnsi="Arial Narrow"/>
                <w:sz w:val="20"/>
              </w:rPr>
              <w:t xml:space="preserve"> $1,356,241.62 </w:t>
            </w:r>
          </w:p>
        </w:tc>
        <w:tc>
          <w:tcPr>
            <w:tcW w:w="820" w:type="pct"/>
          </w:tcPr>
          <w:p w14:paraId="16BF8A32" w14:textId="77777777" w:rsidR="008B2A76" w:rsidRPr="00531BFE" w:rsidRDefault="008B2A76" w:rsidP="00821CFC">
            <w:pPr>
              <w:spacing w:after="40"/>
              <w:rPr>
                <w:rFonts w:ascii="Arial Narrow" w:hAnsi="Arial Narrow"/>
                <w:sz w:val="20"/>
              </w:rPr>
            </w:pPr>
            <w:r w:rsidRPr="00531BFE">
              <w:rPr>
                <w:rFonts w:ascii="Arial Narrow" w:hAnsi="Arial Narrow"/>
                <w:sz w:val="20"/>
              </w:rPr>
              <w:t xml:space="preserve"> $1,382,934.67 </w:t>
            </w:r>
          </w:p>
        </w:tc>
        <w:tc>
          <w:tcPr>
            <w:tcW w:w="819" w:type="pct"/>
          </w:tcPr>
          <w:p w14:paraId="4D2570C9" w14:textId="77777777" w:rsidR="008B2A76" w:rsidRPr="00531BFE" w:rsidRDefault="008B2A76" w:rsidP="00821CFC">
            <w:pPr>
              <w:spacing w:after="40"/>
              <w:rPr>
                <w:rFonts w:ascii="Arial Narrow" w:hAnsi="Arial Narrow"/>
                <w:sz w:val="20"/>
              </w:rPr>
            </w:pPr>
            <w:r w:rsidRPr="00531BFE">
              <w:rPr>
                <w:rFonts w:ascii="Arial Narrow" w:hAnsi="Arial Narrow"/>
                <w:sz w:val="20"/>
              </w:rPr>
              <w:t xml:space="preserve"> $1,409,627.73 </w:t>
            </w:r>
          </w:p>
        </w:tc>
        <w:tc>
          <w:tcPr>
            <w:tcW w:w="821" w:type="pct"/>
          </w:tcPr>
          <w:p w14:paraId="3064B9F2" w14:textId="77777777" w:rsidR="008B2A76" w:rsidRPr="00531BFE" w:rsidRDefault="008B2A76" w:rsidP="00821CFC">
            <w:pPr>
              <w:spacing w:after="40"/>
              <w:rPr>
                <w:rFonts w:ascii="Arial Narrow" w:hAnsi="Arial Narrow"/>
                <w:sz w:val="20"/>
              </w:rPr>
            </w:pPr>
            <w:r w:rsidRPr="00531BFE">
              <w:rPr>
                <w:rFonts w:ascii="Arial Narrow" w:hAnsi="Arial Narrow"/>
                <w:sz w:val="20"/>
              </w:rPr>
              <w:t xml:space="preserve"> $1,436,320.79 </w:t>
            </w:r>
          </w:p>
        </w:tc>
      </w:tr>
      <w:tr w:rsidR="00F80F49" w:rsidRPr="00531BFE" w14:paraId="595BD620" w14:textId="77777777" w:rsidTr="00F80F49">
        <w:trPr>
          <w:trHeight w:val="362"/>
        </w:trPr>
        <w:tc>
          <w:tcPr>
            <w:tcW w:w="5000" w:type="pct"/>
            <w:gridSpan w:val="6"/>
          </w:tcPr>
          <w:p w14:paraId="2461DCAE" w14:textId="77777777" w:rsidR="00F80F49" w:rsidRPr="00531BFE" w:rsidRDefault="00F80F49" w:rsidP="00F80F49">
            <w:pPr>
              <w:widowControl w:val="0"/>
              <w:tabs>
                <w:tab w:val="left" w:pos="851"/>
              </w:tabs>
              <w:rPr>
                <w:rFonts w:ascii="Arial Narrow" w:hAnsi="Arial Narrow"/>
                <w:b/>
                <w:sz w:val="20"/>
              </w:rPr>
            </w:pPr>
            <w:r w:rsidRPr="00531BFE">
              <w:rPr>
                <w:rFonts w:ascii="Arial Narrow" w:hAnsi="Arial Narrow"/>
                <w:b/>
                <w:sz w:val="20"/>
              </w:rPr>
              <w:t>Associated interventions</w:t>
            </w:r>
          </w:p>
        </w:tc>
      </w:tr>
      <w:tr w:rsidR="008B2A76" w:rsidRPr="00531BFE" w14:paraId="3290A679" w14:textId="77777777" w:rsidTr="00F80F49">
        <w:trPr>
          <w:trHeight w:val="300"/>
        </w:trPr>
        <w:tc>
          <w:tcPr>
            <w:tcW w:w="901" w:type="pct"/>
          </w:tcPr>
          <w:p w14:paraId="33327E70" w14:textId="77777777" w:rsidR="008B2A76" w:rsidRPr="00531BFE" w:rsidRDefault="008B2A76" w:rsidP="00821CFC">
            <w:pPr>
              <w:keepNext/>
              <w:spacing w:after="40"/>
              <w:rPr>
                <w:rFonts w:ascii="Arial Narrow" w:hAnsi="Arial Narrow"/>
                <w:sz w:val="20"/>
              </w:rPr>
            </w:pPr>
            <w:r w:rsidRPr="00531BFE">
              <w:rPr>
                <w:rFonts w:ascii="Arial Narrow" w:hAnsi="Arial Narrow"/>
                <w:sz w:val="20"/>
              </w:rPr>
              <w:t xml:space="preserve">Interventions associated with SLNB (no CLND) </w:t>
            </w:r>
          </w:p>
        </w:tc>
        <w:tc>
          <w:tcPr>
            <w:tcW w:w="819" w:type="pct"/>
          </w:tcPr>
          <w:p w14:paraId="33296F59" w14:textId="77777777" w:rsidR="008B2A76" w:rsidRPr="00531BFE" w:rsidRDefault="008B2A76" w:rsidP="00821CFC">
            <w:pPr>
              <w:keepNext/>
              <w:spacing w:after="40"/>
              <w:jc w:val="center"/>
              <w:rPr>
                <w:rFonts w:ascii="Arial Narrow" w:hAnsi="Arial Narrow"/>
                <w:sz w:val="20"/>
              </w:rPr>
            </w:pPr>
            <w:r w:rsidRPr="00531BFE">
              <w:rPr>
                <w:rFonts w:ascii="Arial Narrow" w:hAnsi="Arial Narrow"/>
                <w:sz w:val="20"/>
              </w:rPr>
              <w:t>$9,784,500.03</w:t>
            </w:r>
          </w:p>
        </w:tc>
        <w:tc>
          <w:tcPr>
            <w:tcW w:w="819" w:type="pct"/>
          </w:tcPr>
          <w:p w14:paraId="57A168F2" w14:textId="77777777" w:rsidR="008B2A76" w:rsidRPr="00531BFE" w:rsidRDefault="008B2A76" w:rsidP="00821CFC">
            <w:pPr>
              <w:keepNext/>
              <w:spacing w:after="40"/>
              <w:jc w:val="center"/>
              <w:rPr>
                <w:rFonts w:ascii="Arial Narrow" w:hAnsi="Arial Narrow"/>
                <w:sz w:val="20"/>
              </w:rPr>
            </w:pPr>
            <w:r w:rsidRPr="00531BFE">
              <w:rPr>
                <w:rFonts w:ascii="Arial Narrow" w:hAnsi="Arial Narrow"/>
                <w:sz w:val="20"/>
              </w:rPr>
              <w:t>$9,980,941.30</w:t>
            </w:r>
          </w:p>
        </w:tc>
        <w:tc>
          <w:tcPr>
            <w:tcW w:w="820" w:type="pct"/>
          </w:tcPr>
          <w:p w14:paraId="6643EDEB" w14:textId="77777777" w:rsidR="008B2A76" w:rsidRPr="00531BFE" w:rsidRDefault="008B2A76" w:rsidP="00821CFC">
            <w:pPr>
              <w:keepNext/>
              <w:spacing w:after="40"/>
              <w:jc w:val="center"/>
              <w:rPr>
                <w:rFonts w:ascii="Arial Narrow" w:hAnsi="Arial Narrow"/>
                <w:sz w:val="20"/>
              </w:rPr>
            </w:pPr>
            <w:r w:rsidRPr="00531BFE">
              <w:rPr>
                <w:rFonts w:ascii="Arial Narrow" w:hAnsi="Arial Narrow"/>
                <w:sz w:val="20"/>
              </w:rPr>
              <w:t>$10,177,382.57</w:t>
            </w:r>
          </w:p>
        </w:tc>
        <w:tc>
          <w:tcPr>
            <w:tcW w:w="819" w:type="pct"/>
          </w:tcPr>
          <w:p w14:paraId="570B40B0" w14:textId="77777777" w:rsidR="008B2A76" w:rsidRPr="00531BFE" w:rsidRDefault="008B2A76" w:rsidP="00821CFC">
            <w:pPr>
              <w:keepNext/>
              <w:spacing w:after="40"/>
              <w:jc w:val="center"/>
              <w:rPr>
                <w:rFonts w:ascii="Arial Narrow" w:hAnsi="Arial Narrow"/>
                <w:sz w:val="20"/>
              </w:rPr>
            </w:pPr>
            <w:r w:rsidRPr="00531BFE">
              <w:rPr>
                <w:rFonts w:ascii="Arial Narrow" w:hAnsi="Arial Narrow"/>
                <w:sz w:val="20"/>
              </w:rPr>
              <w:t>$10,373,823.84</w:t>
            </w:r>
          </w:p>
        </w:tc>
        <w:tc>
          <w:tcPr>
            <w:tcW w:w="821" w:type="pct"/>
          </w:tcPr>
          <w:p w14:paraId="65BD847D" w14:textId="77777777" w:rsidR="008B2A76" w:rsidRPr="00531BFE" w:rsidRDefault="008B2A76" w:rsidP="00821CFC">
            <w:pPr>
              <w:keepNext/>
              <w:spacing w:after="40"/>
              <w:jc w:val="center"/>
              <w:rPr>
                <w:rFonts w:ascii="Arial Narrow" w:hAnsi="Arial Narrow"/>
                <w:sz w:val="20"/>
              </w:rPr>
            </w:pPr>
            <w:r w:rsidRPr="00531BFE">
              <w:rPr>
                <w:rFonts w:ascii="Arial Narrow" w:hAnsi="Arial Narrow"/>
                <w:sz w:val="20"/>
              </w:rPr>
              <w:t>$10,570,265.11</w:t>
            </w:r>
          </w:p>
        </w:tc>
      </w:tr>
      <w:tr w:rsidR="008B2A76" w:rsidRPr="00531BFE" w14:paraId="5AAB56E8" w14:textId="77777777" w:rsidTr="00F80F49">
        <w:trPr>
          <w:trHeight w:val="315"/>
        </w:trPr>
        <w:tc>
          <w:tcPr>
            <w:tcW w:w="901" w:type="pct"/>
          </w:tcPr>
          <w:p w14:paraId="724F3B7B" w14:textId="77777777" w:rsidR="008B2A76" w:rsidRPr="00531BFE" w:rsidRDefault="008B2A76" w:rsidP="00821CFC">
            <w:pPr>
              <w:keepNext/>
              <w:spacing w:after="40"/>
              <w:rPr>
                <w:rFonts w:ascii="Arial Narrow" w:hAnsi="Arial Narrow"/>
                <w:sz w:val="20"/>
              </w:rPr>
            </w:pPr>
            <w:r w:rsidRPr="00531BFE">
              <w:rPr>
                <w:rFonts w:ascii="Arial Narrow" w:hAnsi="Arial Narrow"/>
                <w:sz w:val="20"/>
              </w:rPr>
              <w:t>Interventions associated with SLNB + CLND</w:t>
            </w:r>
          </w:p>
        </w:tc>
        <w:tc>
          <w:tcPr>
            <w:tcW w:w="819" w:type="pct"/>
          </w:tcPr>
          <w:p w14:paraId="64A9E17B" w14:textId="77777777" w:rsidR="008B2A76" w:rsidRPr="00531BFE" w:rsidRDefault="008B2A76" w:rsidP="00821CFC">
            <w:pPr>
              <w:keepNext/>
              <w:spacing w:after="40"/>
              <w:jc w:val="center"/>
              <w:rPr>
                <w:rFonts w:ascii="Arial Narrow" w:hAnsi="Arial Narrow"/>
                <w:sz w:val="20"/>
              </w:rPr>
            </w:pPr>
            <w:r w:rsidRPr="00531BFE">
              <w:rPr>
                <w:rFonts w:ascii="Arial Narrow" w:hAnsi="Arial Narrow"/>
                <w:sz w:val="20"/>
              </w:rPr>
              <w:t>$1,089,219.61</w:t>
            </w:r>
          </w:p>
        </w:tc>
        <w:tc>
          <w:tcPr>
            <w:tcW w:w="819" w:type="pct"/>
          </w:tcPr>
          <w:p w14:paraId="643C1901" w14:textId="77777777" w:rsidR="008B2A76" w:rsidRPr="00531BFE" w:rsidRDefault="008B2A76" w:rsidP="00821CFC">
            <w:pPr>
              <w:keepNext/>
              <w:spacing w:after="40"/>
              <w:jc w:val="center"/>
              <w:rPr>
                <w:rFonts w:ascii="Arial Narrow" w:hAnsi="Arial Narrow"/>
                <w:sz w:val="20"/>
              </w:rPr>
            </w:pPr>
            <w:r w:rsidRPr="00531BFE">
              <w:rPr>
                <w:rFonts w:ascii="Arial Narrow" w:hAnsi="Arial Narrow"/>
                <w:sz w:val="20"/>
              </w:rPr>
              <w:t>$1,111,087.64</w:t>
            </w:r>
          </w:p>
        </w:tc>
        <w:tc>
          <w:tcPr>
            <w:tcW w:w="820" w:type="pct"/>
          </w:tcPr>
          <w:p w14:paraId="709815B9" w14:textId="77777777" w:rsidR="008B2A76" w:rsidRPr="00531BFE" w:rsidRDefault="008B2A76" w:rsidP="00821CFC">
            <w:pPr>
              <w:keepNext/>
              <w:spacing w:after="40"/>
              <w:jc w:val="center"/>
              <w:rPr>
                <w:rFonts w:ascii="Arial Narrow" w:hAnsi="Arial Narrow"/>
                <w:sz w:val="20"/>
              </w:rPr>
            </w:pPr>
            <w:r w:rsidRPr="00531BFE">
              <w:rPr>
                <w:rFonts w:ascii="Arial Narrow" w:hAnsi="Arial Narrow"/>
                <w:sz w:val="20"/>
              </w:rPr>
              <w:t>$1,132,955.66</w:t>
            </w:r>
          </w:p>
        </w:tc>
        <w:tc>
          <w:tcPr>
            <w:tcW w:w="819" w:type="pct"/>
          </w:tcPr>
          <w:p w14:paraId="15865CA9" w14:textId="77777777" w:rsidR="008B2A76" w:rsidRPr="00531BFE" w:rsidRDefault="008B2A76" w:rsidP="00821CFC">
            <w:pPr>
              <w:keepNext/>
              <w:spacing w:after="40"/>
              <w:jc w:val="center"/>
              <w:rPr>
                <w:rFonts w:ascii="Arial Narrow" w:hAnsi="Arial Narrow"/>
                <w:sz w:val="20"/>
              </w:rPr>
            </w:pPr>
            <w:r w:rsidRPr="00531BFE">
              <w:rPr>
                <w:rFonts w:ascii="Arial Narrow" w:hAnsi="Arial Narrow"/>
                <w:sz w:val="20"/>
              </w:rPr>
              <w:t>$1,154,823.69</w:t>
            </w:r>
          </w:p>
        </w:tc>
        <w:tc>
          <w:tcPr>
            <w:tcW w:w="821" w:type="pct"/>
          </w:tcPr>
          <w:p w14:paraId="5E9D7C03" w14:textId="77777777" w:rsidR="008B2A76" w:rsidRPr="00531BFE" w:rsidRDefault="008B2A76" w:rsidP="00821CFC">
            <w:pPr>
              <w:keepNext/>
              <w:spacing w:after="40"/>
              <w:jc w:val="center"/>
              <w:rPr>
                <w:rFonts w:ascii="Arial Narrow" w:hAnsi="Arial Narrow"/>
                <w:sz w:val="20"/>
              </w:rPr>
            </w:pPr>
            <w:r w:rsidRPr="00531BFE">
              <w:rPr>
                <w:rFonts w:ascii="Arial Narrow" w:hAnsi="Arial Narrow"/>
                <w:sz w:val="20"/>
              </w:rPr>
              <w:t>$1,176,691.71</w:t>
            </w:r>
          </w:p>
        </w:tc>
      </w:tr>
      <w:tr w:rsidR="008B2A76" w:rsidRPr="00531BFE" w14:paraId="620A5CBE" w14:textId="77777777" w:rsidTr="00F80F49">
        <w:trPr>
          <w:trHeight w:val="315"/>
        </w:trPr>
        <w:tc>
          <w:tcPr>
            <w:tcW w:w="901" w:type="pct"/>
          </w:tcPr>
          <w:p w14:paraId="7A31D79F" w14:textId="77777777" w:rsidR="008B2A76" w:rsidRPr="00531BFE" w:rsidRDefault="008B2A76" w:rsidP="00821CFC">
            <w:pPr>
              <w:keepNext/>
              <w:spacing w:after="40"/>
              <w:rPr>
                <w:rFonts w:ascii="Arial Narrow" w:hAnsi="Arial Narrow"/>
                <w:sz w:val="20"/>
              </w:rPr>
            </w:pPr>
            <w:r w:rsidRPr="00531BFE">
              <w:rPr>
                <w:rFonts w:ascii="Arial Narrow" w:hAnsi="Arial Narrow"/>
                <w:sz w:val="20"/>
              </w:rPr>
              <w:t xml:space="preserve">Interventions associated with mapping failure </w:t>
            </w:r>
          </w:p>
        </w:tc>
        <w:tc>
          <w:tcPr>
            <w:tcW w:w="819" w:type="pct"/>
          </w:tcPr>
          <w:p w14:paraId="6529EAB1" w14:textId="77777777" w:rsidR="008B2A76" w:rsidRPr="00531BFE" w:rsidRDefault="008B2A76" w:rsidP="00821CFC">
            <w:pPr>
              <w:keepNext/>
              <w:spacing w:after="40"/>
              <w:jc w:val="center"/>
              <w:rPr>
                <w:rFonts w:ascii="Arial Narrow" w:hAnsi="Arial Narrow"/>
                <w:sz w:val="20"/>
              </w:rPr>
            </w:pPr>
            <w:r w:rsidRPr="00531BFE">
              <w:rPr>
                <w:rFonts w:ascii="Arial Narrow" w:hAnsi="Arial Narrow"/>
                <w:sz w:val="20"/>
              </w:rPr>
              <w:t>$442,107.63</w:t>
            </w:r>
          </w:p>
        </w:tc>
        <w:tc>
          <w:tcPr>
            <w:tcW w:w="819" w:type="pct"/>
          </w:tcPr>
          <w:p w14:paraId="141D72ED" w14:textId="77777777" w:rsidR="008B2A76" w:rsidRPr="00531BFE" w:rsidRDefault="008B2A76" w:rsidP="00821CFC">
            <w:pPr>
              <w:keepNext/>
              <w:spacing w:after="40"/>
              <w:jc w:val="center"/>
              <w:rPr>
                <w:rFonts w:ascii="Arial Narrow" w:hAnsi="Arial Narrow"/>
                <w:sz w:val="20"/>
              </w:rPr>
            </w:pPr>
            <w:r w:rsidRPr="00531BFE">
              <w:rPr>
                <w:rFonts w:ascii="Arial Narrow" w:hAnsi="Arial Narrow"/>
                <w:sz w:val="20"/>
              </w:rPr>
              <w:t>$450,983.73</w:t>
            </w:r>
          </w:p>
        </w:tc>
        <w:tc>
          <w:tcPr>
            <w:tcW w:w="820" w:type="pct"/>
          </w:tcPr>
          <w:p w14:paraId="48CEB3C8" w14:textId="77777777" w:rsidR="008B2A76" w:rsidRPr="00531BFE" w:rsidRDefault="008B2A76" w:rsidP="00821CFC">
            <w:pPr>
              <w:keepNext/>
              <w:spacing w:after="40"/>
              <w:jc w:val="center"/>
              <w:rPr>
                <w:rFonts w:ascii="Arial Narrow" w:hAnsi="Arial Narrow"/>
                <w:sz w:val="20"/>
              </w:rPr>
            </w:pPr>
            <w:r w:rsidRPr="00531BFE">
              <w:rPr>
                <w:rFonts w:ascii="Arial Narrow" w:hAnsi="Arial Narrow"/>
                <w:sz w:val="20"/>
              </w:rPr>
              <w:t>$459,859.82</w:t>
            </w:r>
          </w:p>
        </w:tc>
        <w:tc>
          <w:tcPr>
            <w:tcW w:w="819" w:type="pct"/>
          </w:tcPr>
          <w:p w14:paraId="3CD3D6A6" w14:textId="77777777" w:rsidR="008B2A76" w:rsidRPr="00531BFE" w:rsidRDefault="008B2A76" w:rsidP="00821CFC">
            <w:pPr>
              <w:keepNext/>
              <w:spacing w:after="40"/>
              <w:jc w:val="center"/>
              <w:rPr>
                <w:rFonts w:ascii="Arial Narrow" w:hAnsi="Arial Narrow"/>
                <w:sz w:val="20"/>
              </w:rPr>
            </w:pPr>
            <w:r w:rsidRPr="00531BFE">
              <w:rPr>
                <w:rFonts w:ascii="Arial Narrow" w:hAnsi="Arial Narrow"/>
                <w:sz w:val="20"/>
              </w:rPr>
              <w:t>$468,735.92</w:t>
            </w:r>
          </w:p>
        </w:tc>
        <w:tc>
          <w:tcPr>
            <w:tcW w:w="821" w:type="pct"/>
          </w:tcPr>
          <w:p w14:paraId="25DE73BA" w14:textId="77777777" w:rsidR="008B2A76" w:rsidRPr="00531BFE" w:rsidRDefault="008B2A76" w:rsidP="00821CFC">
            <w:pPr>
              <w:keepNext/>
              <w:spacing w:after="40"/>
              <w:jc w:val="center"/>
              <w:rPr>
                <w:rFonts w:ascii="Arial Narrow" w:hAnsi="Arial Narrow"/>
                <w:sz w:val="20"/>
              </w:rPr>
            </w:pPr>
            <w:r w:rsidRPr="00531BFE">
              <w:rPr>
                <w:rFonts w:ascii="Arial Narrow" w:hAnsi="Arial Narrow"/>
                <w:sz w:val="20"/>
              </w:rPr>
              <w:t>$477,612.02</w:t>
            </w:r>
          </w:p>
        </w:tc>
      </w:tr>
      <w:tr w:rsidR="008B2A76" w:rsidRPr="00531BFE" w14:paraId="16C795A0" w14:textId="77777777" w:rsidTr="00F80F49">
        <w:trPr>
          <w:trHeight w:val="315"/>
        </w:trPr>
        <w:tc>
          <w:tcPr>
            <w:tcW w:w="901" w:type="pct"/>
          </w:tcPr>
          <w:p w14:paraId="4294CB60" w14:textId="77777777" w:rsidR="008B2A76" w:rsidRPr="00531BFE" w:rsidRDefault="008B2A76" w:rsidP="00821CFC">
            <w:pPr>
              <w:widowControl w:val="0"/>
              <w:spacing w:after="40"/>
              <w:rPr>
                <w:rFonts w:ascii="Arial Narrow" w:hAnsi="Arial Narrow"/>
                <w:b/>
                <w:sz w:val="20"/>
              </w:rPr>
            </w:pPr>
            <w:r w:rsidRPr="00531BFE">
              <w:rPr>
                <w:rFonts w:ascii="Arial Narrow" w:hAnsi="Arial Narrow"/>
                <w:b/>
                <w:sz w:val="20"/>
              </w:rPr>
              <w:t>Total services</w:t>
            </w:r>
          </w:p>
        </w:tc>
        <w:tc>
          <w:tcPr>
            <w:tcW w:w="819" w:type="pct"/>
          </w:tcPr>
          <w:p w14:paraId="614B005C" w14:textId="77777777" w:rsidR="008B2A76" w:rsidRPr="00531BFE" w:rsidRDefault="008B2A76" w:rsidP="00821CFC">
            <w:pPr>
              <w:widowControl w:val="0"/>
              <w:spacing w:after="40"/>
              <w:jc w:val="center"/>
              <w:rPr>
                <w:rFonts w:ascii="Arial Narrow" w:hAnsi="Arial Narrow"/>
                <w:b/>
                <w:sz w:val="20"/>
              </w:rPr>
            </w:pPr>
          </w:p>
        </w:tc>
        <w:tc>
          <w:tcPr>
            <w:tcW w:w="819" w:type="pct"/>
          </w:tcPr>
          <w:p w14:paraId="1559A523" w14:textId="77777777" w:rsidR="008B2A76" w:rsidRPr="00531BFE" w:rsidRDefault="008B2A76" w:rsidP="00821CFC">
            <w:pPr>
              <w:widowControl w:val="0"/>
              <w:spacing w:after="40"/>
              <w:jc w:val="center"/>
              <w:rPr>
                <w:rFonts w:ascii="Arial Narrow" w:hAnsi="Arial Narrow"/>
                <w:b/>
                <w:sz w:val="20"/>
              </w:rPr>
            </w:pPr>
            <w:r w:rsidRPr="00531BFE">
              <w:rPr>
                <w:rFonts w:ascii="Arial Narrow" w:hAnsi="Arial Narrow"/>
                <w:b/>
                <w:sz w:val="20"/>
              </w:rPr>
              <w:t>-</w:t>
            </w:r>
          </w:p>
        </w:tc>
        <w:tc>
          <w:tcPr>
            <w:tcW w:w="820" w:type="pct"/>
          </w:tcPr>
          <w:p w14:paraId="2B20EFC8" w14:textId="77777777" w:rsidR="008B2A76" w:rsidRPr="00531BFE" w:rsidRDefault="008B2A76" w:rsidP="00821CFC">
            <w:pPr>
              <w:widowControl w:val="0"/>
              <w:spacing w:after="40"/>
              <w:jc w:val="center"/>
              <w:rPr>
                <w:rFonts w:ascii="Arial Narrow" w:hAnsi="Arial Narrow"/>
                <w:b/>
                <w:sz w:val="20"/>
              </w:rPr>
            </w:pPr>
            <w:r w:rsidRPr="00531BFE">
              <w:rPr>
                <w:rFonts w:ascii="Arial Narrow" w:hAnsi="Arial Narrow"/>
                <w:b/>
                <w:sz w:val="20"/>
              </w:rPr>
              <w:t>-</w:t>
            </w:r>
          </w:p>
        </w:tc>
        <w:tc>
          <w:tcPr>
            <w:tcW w:w="819" w:type="pct"/>
          </w:tcPr>
          <w:p w14:paraId="299B8ABF" w14:textId="77777777" w:rsidR="008B2A76" w:rsidRPr="00531BFE" w:rsidRDefault="008B2A76" w:rsidP="00821CFC">
            <w:pPr>
              <w:widowControl w:val="0"/>
              <w:spacing w:after="40"/>
              <w:jc w:val="center"/>
              <w:rPr>
                <w:rFonts w:ascii="Arial Narrow" w:hAnsi="Arial Narrow"/>
                <w:b/>
                <w:sz w:val="20"/>
              </w:rPr>
            </w:pPr>
            <w:r w:rsidRPr="00531BFE">
              <w:rPr>
                <w:rFonts w:ascii="Arial Narrow" w:hAnsi="Arial Narrow"/>
                <w:b/>
                <w:sz w:val="20"/>
              </w:rPr>
              <w:t>-</w:t>
            </w:r>
          </w:p>
        </w:tc>
        <w:tc>
          <w:tcPr>
            <w:tcW w:w="821" w:type="pct"/>
          </w:tcPr>
          <w:p w14:paraId="4F2698FA" w14:textId="77777777" w:rsidR="008B2A76" w:rsidRPr="00531BFE" w:rsidRDefault="008B2A76" w:rsidP="00821CFC">
            <w:pPr>
              <w:widowControl w:val="0"/>
              <w:spacing w:after="40"/>
              <w:jc w:val="center"/>
              <w:rPr>
                <w:rFonts w:ascii="Arial Narrow" w:hAnsi="Arial Narrow"/>
                <w:b/>
                <w:sz w:val="20"/>
              </w:rPr>
            </w:pPr>
            <w:r w:rsidRPr="00531BFE">
              <w:rPr>
                <w:rFonts w:ascii="Arial Narrow" w:hAnsi="Arial Narrow"/>
                <w:b/>
                <w:sz w:val="20"/>
              </w:rPr>
              <w:t>-</w:t>
            </w:r>
          </w:p>
        </w:tc>
      </w:tr>
      <w:tr w:rsidR="008B2A76" w:rsidRPr="00531BFE" w14:paraId="4D5CFE1B" w14:textId="77777777" w:rsidTr="00F80F49">
        <w:trPr>
          <w:trHeight w:val="315"/>
        </w:trPr>
        <w:tc>
          <w:tcPr>
            <w:tcW w:w="901" w:type="pct"/>
          </w:tcPr>
          <w:p w14:paraId="01C3D6B2" w14:textId="77777777" w:rsidR="008B2A76" w:rsidRPr="00531BFE" w:rsidRDefault="008B2A76" w:rsidP="00821CFC">
            <w:pPr>
              <w:spacing w:after="40"/>
              <w:rPr>
                <w:rFonts w:ascii="Arial Narrow" w:hAnsi="Arial Narrow"/>
                <w:sz w:val="20"/>
              </w:rPr>
            </w:pPr>
            <w:r w:rsidRPr="00531BFE">
              <w:rPr>
                <w:rFonts w:ascii="Arial Narrow" w:hAnsi="Arial Narrow"/>
                <w:sz w:val="20"/>
              </w:rPr>
              <w:t>SLNB no CLND</w:t>
            </w:r>
          </w:p>
        </w:tc>
        <w:tc>
          <w:tcPr>
            <w:tcW w:w="819" w:type="pct"/>
          </w:tcPr>
          <w:p w14:paraId="51102DA6"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$11,005,451.06</w:t>
            </w:r>
          </w:p>
        </w:tc>
        <w:tc>
          <w:tcPr>
            <w:tcW w:w="819" w:type="pct"/>
          </w:tcPr>
          <w:p w14:paraId="74B421FB"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$11,226,405.10</w:t>
            </w:r>
          </w:p>
        </w:tc>
        <w:tc>
          <w:tcPr>
            <w:tcW w:w="820" w:type="pct"/>
          </w:tcPr>
          <w:p w14:paraId="3D888183"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$11,447,359.14</w:t>
            </w:r>
          </w:p>
        </w:tc>
        <w:tc>
          <w:tcPr>
            <w:tcW w:w="819" w:type="pct"/>
          </w:tcPr>
          <w:p w14:paraId="38DD44A6"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$11,668,313.18</w:t>
            </w:r>
          </w:p>
        </w:tc>
        <w:tc>
          <w:tcPr>
            <w:tcW w:w="821" w:type="pct"/>
          </w:tcPr>
          <w:p w14:paraId="1B9F67C7"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$11,889,267.22</w:t>
            </w:r>
          </w:p>
        </w:tc>
      </w:tr>
      <w:tr w:rsidR="008B2A76" w:rsidRPr="00531BFE" w14:paraId="6F895EC4" w14:textId="77777777" w:rsidTr="00F80F49">
        <w:trPr>
          <w:trHeight w:val="315"/>
        </w:trPr>
        <w:tc>
          <w:tcPr>
            <w:tcW w:w="901" w:type="pct"/>
          </w:tcPr>
          <w:p w14:paraId="038D3039" w14:textId="77777777" w:rsidR="008B2A76" w:rsidRPr="00531BFE" w:rsidRDefault="008B2A76" w:rsidP="00821CFC">
            <w:pPr>
              <w:spacing w:after="40"/>
              <w:rPr>
                <w:rFonts w:ascii="Arial Narrow" w:hAnsi="Arial Narrow"/>
                <w:sz w:val="20"/>
              </w:rPr>
            </w:pPr>
            <w:r w:rsidRPr="00531BFE">
              <w:rPr>
                <w:rFonts w:ascii="Arial Narrow" w:hAnsi="Arial Narrow"/>
                <w:sz w:val="20"/>
              </w:rPr>
              <w:t>SLNB plus CLND</w:t>
            </w:r>
          </w:p>
        </w:tc>
        <w:tc>
          <w:tcPr>
            <w:tcW w:w="819" w:type="pct"/>
          </w:tcPr>
          <w:p w14:paraId="5A7FA916"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$1,364,055.04</w:t>
            </w:r>
          </w:p>
        </w:tc>
        <w:tc>
          <w:tcPr>
            <w:tcW w:w="819" w:type="pct"/>
          </w:tcPr>
          <w:p w14:paraId="6E869B8A"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$1,391,440.87</w:t>
            </w:r>
          </w:p>
        </w:tc>
        <w:tc>
          <w:tcPr>
            <w:tcW w:w="820" w:type="pct"/>
          </w:tcPr>
          <w:p w14:paraId="3D09E236"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$1,418,826.71</w:t>
            </w:r>
          </w:p>
        </w:tc>
        <w:tc>
          <w:tcPr>
            <w:tcW w:w="819" w:type="pct"/>
          </w:tcPr>
          <w:p w14:paraId="3F380CCE"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$1,446,212.55</w:t>
            </w:r>
          </w:p>
        </w:tc>
        <w:tc>
          <w:tcPr>
            <w:tcW w:w="821" w:type="pct"/>
          </w:tcPr>
          <w:p w14:paraId="645016D9"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$1,473,598.38</w:t>
            </w:r>
          </w:p>
        </w:tc>
      </w:tr>
      <w:tr w:rsidR="008B2A76" w:rsidRPr="00531BFE" w14:paraId="0C514B2E" w14:textId="77777777" w:rsidTr="00F80F49">
        <w:trPr>
          <w:trHeight w:val="315"/>
        </w:trPr>
        <w:tc>
          <w:tcPr>
            <w:tcW w:w="901" w:type="pct"/>
          </w:tcPr>
          <w:p w14:paraId="0405808A" w14:textId="77777777" w:rsidR="008B2A76" w:rsidRPr="00531BFE" w:rsidRDefault="008B2A76" w:rsidP="00821CFC">
            <w:pPr>
              <w:spacing w:after="40"/>
              <w:rPr>
                <w:rFonts w:ascii="Arial Narrow" w:hAnsi="Arial Narrow"/>
                <w:sz w:val="20"/>
              </w:rPr>
            </w:pPr>
            <w:r w:rsidRPr="00531BFE">
              <w:rPr>
                <w:rFonts w:ascii="Arial Narrow" w:hAnsi="Arial Narrow"/>
                <w:sz w:val="20"/>
              </w:rPr>
              <w:t>SLNB with mapping failure</w:t>
            </w:r>
          </w:p>
        </w:tc>
        <w:tc>
          <w:tcPr>
            <w:tcW w:w="819" w:type="pct"/>
          </w:tcPr>
          <w:p w14:paraId="6220E102"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$502,541.65</w:t>
            </w:r>
          </w:p>
        </w:tc>
        <w:tc>
          <w:tcPr>
            <w:tcW w:w="819" w:type="pct"/>
          </w:tcPr>
          <w:p w14:paraId="2264F061"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$512,631.07</w:t>
            </w:r>
          </w:p>
        </w:tc>
        <w:tc>
          <w:tcPr>
            <w:tcW w:w="820" w:type="pct"/>
          </w:tcPr>
          <w:p w14:paraId="15668D3C"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$522,720.49</w:t>
            </w:r>
          </w:p>
        </w:tc>
        <w:tc>
          <w:tcPr>
            <w:tcW w:w="819" w:type="pct"/>
          </w:tcPr>
          <w:p w14:paraId="1A450207"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$532,809.91</w:t>
            </w:r>
          </w:p>
        </w:tc>
        <w:tc>
          <w:tcPr>
            <w:tcW w:w="821" w:type="pct"/>
          </w:tcPr>
          <w:p w14:paraId="646B881A" w14:textId="77777777" w:rsidR="008B2A76" w:rsidRPr="00531BFE" w:rsidRDefault="008B2A76" w:rsidP="00821CFC">
            <w:pPr>
              <w:spacing w:after="40"/>
              <w:jc w:val="center"/>
              <w:rPr>
                <w:rFonts w:ascii="Arial Narrow" w:hAnsi="Arial Narrow"/>
                <w:sz w:val="20"/>
              </w:rPr>
            </w:pPr>
            <w:r w:rsidRPr="00531BFE">
              <w:rPr>
                <w:rFonts w:ascii="Arial Narrow" w:hAnsi="Arial Narrow"/>
                <w:sz w:val="20"/>
              </w:rPr>
              <w:t>$542,899.33</w:t>
            </w:r>
          </w:p>
        </w:tc>
      </w:tr>
      <w:tr w:rsidR="008B2A76" w:rsidRPr="00531BFE" w14:paraId="211F35A8" w14:textId="77777777" w:rsidTr="00F80F49">
        <w:trPr>
          <w:trHeight w:val="315"/>
        </w:trPr>
        <w:tc>
          <w:tcPr>
            <w:tcW w:w="901" w:type="pct"/>
          </w:tcPr>
          <w:p w14:paraId="25BDCF3F" w14:textId="77777777" w:rsidR="008B2A76" w:rsidRPr="00531BFE" w:rsidRDefault="008B2A76" w:rsidP="00821CFC">
            <w:pPr>
              <w:spacing w:after="40"/>
              <w:rPr>
                <w:rFonts w:ascii="Arial Narrow" w:hAnsi="Arial Narrow"/>
                <w:b/>
                <w:sz w:val="20"/>
              </w:rPr>
            </w:pPr>
            <w:r w:rsidRPr="00531BFE">
              <w:rPr>
                <w:rFonts w:ascii="Arial Narrow" w:hAnsi="Arial Narrow"/>
                <w:b/>
                <w:sz w:val="20"/>
              </w:rPr>
              <w:t>Total cost</w:t>
            </w:r>
          </w:p>
        </w:tc>
        <w:tc>
          <w:tcPr>
            <w:tcW w:w="819" w:type="pct"/>
          </w:tcPr>
          <w:p w14:paraId="7DC46BD0" w14:textId="77777777" w:rsidR="008B2A76" w:rsidRPr="00531BFE" w:rsidRDefault="008B2A76" w:rsidP="00821CFC">
            <w:pPr>
              <w:spacing w:after="40"/>
              <w:jc w:val="center"/>
              <w:rPr>
                <w:rFonts w:ascii="Arial Narrow" w:hAnsi="Arial Narrow"/>
                <w:b/>
                <w:sz w:val="20"/>
              </w:rPr>
            </w:pPr>
            <w:r w:rsidRPr="00531BFE">
              <w:rPr>
                <w:rFonts w:ascii="Arial Narrow" w:hAnsi="Arial Narrow"/>
                <w:b/>
                <w:sz w:val="20"/>
              </w:rPr>
              <w:t>$12,872,047.76</w:t>
            </w:r>
          </w:p>
        </w:tc>
        <w:tc>
          <w:tcPr>
            <w:tcW w:w="819" w:type="pct"/>
          </w:tcPr>
          <w:p w14:paraId="73691926" w14:textId="77777777" w:rsidR="008B2A76" w:rsidRPr="00531BFE" w:rsidRDefault="008B2A76" w:rsidP="00821CFC">
            <w:pPr>
              <w:spacing w:after="40"/>
              <w:jc w:val="center"/>
              <w:rPr>
                <w:rFonts w:ascii="Arial Narrow" w:hAnsi="Arial Narrow"/>
                <w:b/>
                <w:sz w:val="20"/>
              </w:rPr>
            </w:pPr>
            <w:r w:rsidRPr="00531BFE">
              <w:rPr>
                <w:rFonts w:ascii="Arial Narrow" w:hAnsi="Arial Narrow"/>
                <w:b/>
                <w:sz w:val="20"/>
              </w:rPr>
              <w:t>$13,130,477.05</w:t>
            </w:r>
          </w:p>
        </w:tc>
        <w:tc>
          <w:tcPr>
            <w:tcW w:w="820" w:type="pct"/>
          </w:tcPr>
          <w:p w14:paraId="21F6BA1F" w14:textId="77777777" w:rsidR="008B2A76" w:rsidRPr="00531BFE" w:rsidRDefault="008B2A76" w:rsidP="00821CFC">
            <w:pPr>
              <w:spacing w:after="40"/>
              <w:jc w:val="center"/>
              <w:rPr>
                <w:rFonts w:ascii="Arial Narrow" w:hAnsi="Arial Narrow"/>
                <w:b/>
                <w:sz w:val="20"/>
              </w:rPr>
            </w:pPr>
            <w:r w:rsidRPr="00531BFE">
              <w:rPr>
                <w:rFonts w:ascii="Arial Narrow" w:hAnsi="Arial Narrow"/>
                <w:b/>
                <w:sz w:val="20"/>
              </w:rPr>
              <w:t>$13,388,906.34</w:t>
            </w:r>
          </w:p>
        </w:tc>
        <w:tc>
          <w:tcPr>
            <w:tcW w:w="819" w:type="pct"/>
          </w:tcPr>
          <w:p w14:paraId="114EFFB8" w14:textId="77777777" w:rsidR="008B2A76" w:rsidRPr="00531BFE" w:rsidRDefault="008B2A76" w:rsidP="00821CFC">
            <w:pPr>
              <w:spacing w:after="40"/>
              <w:jc w:val="center"/>
              <w:rPr>
                <w:rFonts w:ascii="Arial Narrow" w:hAnsi="Arial Narrow"/>
                <w:b/>
                <w:sz w:val="20"/>
              </w:rPr>
            </w:pPr>
            <w:r w:rsidRPr="00531BFE">
              <w:rPr>
                <w:rFonts w:ascii="Arial Narrow" w:hAnsi="Arial Narrow"/>
                <w:b/>
                <w:sz w:val="20"/>
              </w:rPr>
              <w:t>$13,647,335.63</w:t>
            </w:r>
          </w:p>
        </w:tc>
        <w:tc>
          <w:tcPr>
            <w:tcW w:w="821" w:type="pct"/>
          </w:tcPr>
          <w:p w14:paraId="1EB50220" w14:textId="77777777" w:rsidR="008B2A76" w:rsidRPr="00531BFE" w:rsidRDefault="008B2A76" w:rsidP="00821CFC">
            <w:pPr>
              <w:spacing w:after="40"/>
              <w:jc w:val="center"/>
              <w:rPr>
                <w:rFonts w:ascii="Arial Narrow" w:hAnsi="Arial Narrow"/>
                <w:b/>
                <w:sz w:val="20"/>
              </w:rPr>
            </w:pPr>
            <w:r w:rsidRPr="00531BFE">
              <w:rPr>
                <w:rFonts w:ascii="Arial Narrow" w:hAnsi="Arial Narrow"/>
                <w:b/>
                <w:sz w:val="20"/>
              </w:rPr>
              <w:t>$13,905,764.93</w:t>
            </w:r>
          </w:p>
        </w:tc>
      </w:tr>
    </w:tbl>
    <w:p w14:paraId="455A3211" w14:textId="77777777" w:rsidR="00531BFE" w:rsidRDefault="008B2A76" w:rsidP="008B2A76">
      <w:pPr>
        <w:widowControl w:val="0"/>
        <w:spacing w:after="120"/>
        <w:jc w:val="both"/>
        <w:rPr>
          <w:rFonts w:ascii="Arial Narrow" w:hAnsi="Arial Narrow" w:cs="Arial"/>
          <w:snapToGrid w:val="0"/>
          <w:sz w:val="18"/>
          <w:lang w:eastAsia="en-US"/>
        </w:rPr>
      </w:pPr>
      <w:r w:rsidRPr="001E0838">
        <w:rPr>
          <w:rFonts w:ascii="Arial Narrow" w:hAnsi="Arial Narrow" w:cs="Arial"/>
          <w:snapToGrid w:val="0"/>
          <w:sz w:val="18"/>
          <w:lang w:eastAsia="en-US"/>
        </w:rPr>
        <w:t xml:space="preserve">CLND: completion lymph node dissection, </w:t>
      </w:r>
      <w:r>
        <w:rPr>
          <w:rFonts w:ascii="Arial Narrow" w:hAnsi="Arial Narrow" w:cs="Arial"/>
          <w:snapToGrid w:val="0"/>
          <w:sz w:val="18"/>
          <w:lang w:eastAsia="en-US"/>
        </w:rPr>
        <w:t>SLNB</w:t>
      </w:r>
      <w:r w:rsidRPr="001E0838">
        <w:rPr>
          <w:rFonts w:ascii="Arial Narrow" w:hAnsi="Arial Narrow" w:cs="Arial"/>
          <w:snapToGrid w:val="0"/>
          <w:sz w:val="18"/>
          <w:lang w:eastAsia="en-US"/>
        </w:rPr>
        <w:t>: sentinel lymph node biopsy</w:t>
      </w:r>
    </w:p>
    <w:p w14:paraId="111D3FC9" w14:textId="77777777" w:rsidR="006A0D97" w:rsidRPr="00F715D1" w:rsidRDefault="006A0D97" w:rsidP="00F715D1">
      <w:pPr>
        <w:pStyle w:val="Heading1"/>
      </w:pPr>
      <w:r w:rsidRPr="00F715D1">
        <w:t>Key issues from ESC for MSAC</w:t>
      </w:r>
    </w:p>
    <w:p w14:paraId="2A24AFF4" w14:textId="77777777" w:rsidR="00A028D0" w:rsidRPr="00A84D5C" w:rsidRDefault="00A028D0" w:rsidP="00A028D0">
      <w:pPr>
        <w:tabs>
          <w:tab w:val="left" w:pos="2265"/>
          <w:tab w:val="left" w:pos="3420"/>
          <w:tab w:val="left" w:pos="4320"/>
        </w:tabs>
        <w:rPr>
          <w:b/>
          <w:szCs w:val="24"/>
        </w:rPr>
      </w:pPr>
      <w:r w:rsidRPr="00A84D5C">
        <w:rPr>
          <w:b/>
          <w:szCs w:val="24"/>
        </w:rPr>
        <w:t>Key Issues from ESC to MSAC</w:t>
      </w:r>
    </w:p>
    <w:tbl>
      <w:tblPr>
        <w:tblW w:w="10158" w:type="dxa"/>
        <w:tblCellMar>
          <w:left w:w="0" w:type="dxa"/>
          <w:right w:w="0" w:type="dxa"/>
        </w:tblCellMar>
        <w:tblLook w:val="04A0" w:firstRow="1" w:lastRow="0" w:firstColumn="1" w:lastColumn="0" w:noHBand="0" w:noVBand="1"/>
      </w:tblPr>
      <w:tblGrid>
        <w:gridCol w:w="3240"/>
        <w:gridCol w:w="6918"/>
      </w:tblGrid>
      <w:tr w:rsidR="00A028D0" w:rsidRPr="00872569" w14:paraId="6E4DD013" w14:textId="77777777" w:rsidTr="00821CFC">
        <w:trPr>
          <w:trHeight w:val="615"/>
        </w:trPr>
        <w:tc>
          <w:tcPr>
            <w:tcW w:w="3240" w:type="dxa"/>
            <w:tcBorders>
              <w:top w:val="single" w:sz="8" w:space="0" w:color="FFFFFF"/>
              <w:left w:val="single" w:sz="8" w:space="0" w:color="FFFFFF"/>
              <w:bottom w:val="single" w:sz="24" w:space="0" w:color="FFFFFF"/>
              <w:right w:val="single" w:sz="8" w:space="0" w:color="FFFFFF"/>
            </w:tcBorders>
            <w:shd w:val="clear" w:color="auto" w:fill="365F91" w:themeFill="accent1" w:themeFillShade="BF"/>
            <w:tcMar>
              <w:top w:w="15" w:type="dxa"/>
              <w:left w:w="93" w:type="dxa"/>
              <w:bottom w:w="0" w:type="dxa"/>
              <w:right w:w="93" w:type="dxa"/>
            </w:tcMar>
            <w:vAlign w:val="center"/>
            <w:hideMark/>
          </w:tcPr>
          <w:p w14:paraId="5C7EE461" w14:textId="77777777" w:rsidR="00A028D0" w:rsidRPr="00A84D5C" w:rsidRDefault="00A028D0" w:rsidP="00821CFC">
            <w:pPr>
              <w:tabs>
                <w:tab w:val="left" w:pos="2265"/>
                <w:tab w:val="left" w:pos="3420"/>
                <w:tab w:val="left" w:pos="4320"/>
              </w:tabs>
              <w:rPr>
                <w:b/>
                <w:szCs w:val="24"/>
              </w:rPr>
            </w:pPr>
            <w:r w:rsidRPr="00A84D5C">
              <w:rPr>
                <w:b/>
                <w:bCs/>
                <w:szCs w:val="24"/>
              </w:rPr>
              <w:t>ESC Key ISSUES</w:t>
            </w:r>
          </w:p>
        </w:tc>
        <w:tc>
          <w:tcPr>
            <w:tcW w:w="6918" w:type="dxa"/>
            <w:tcBorders>
              <w:top w:val="single" w:sz="8" w:space="0" w:color="FFFFFF"/>
              <w:left w:val="single" w:sz="8" w:space="0" w:color="FFFFFF"/>
              <w:bottom w:val="single" w:sz="24" w:space="0" w:color="FFFFFF"/>
              <w:right w:val="single" w:sz="8" w:space="0" w:color="FFFFFF"/>
            </w:tcBorders>
            <w:shd w:val="clear" w:color="auto" w:fill="B8CCE4" w:themeFill="accent1" w:themeFillTint="66"/>
            <w:tcMar>
              <w:top w:w="15" w:type="dxa"/>
              <w:left w:w="93" w:type="dxa"/>
              <w:bottom w:w="0" w:type="dxa"/>
              <w:right w:w="93" w:type="dxa"/>
            </w:tcMar>
            <w:vAlign w:val="center"/>
            <w:hideMark/>
          </w:tcPr>
          <w:p w14:paraId="0B0C34AF" w14:textId="77777777" w:rsidR="00A028D0" w:rsidRPr="00334F51" w:rsidRDefault="00A028D0" w:rsidP="00821CFC">
            <w:pPr>
              <w:tabs>
                <w:tab w:val="left" w:pos="2265"/>
                <w:tab w:val="left" w:pos="3420"/>
                <w:tab w:val="left" w:pos="4320"/>
              </w:tabs>
              <w:jc w:val="center"/>
              <w:rPr>
                <w:b/>
                <w:szCs w:val="24"/>
              </w:rPr>
            </w:pPr>
            <w:r w:rsidRPr="00334F51">
              <w:rPr>
                <w:b/>
                <w:bCs/>
                <w:szCs w:val="24"/>
              </w:rPr>
              <w:t>ESC ADVICE</w:t>
            </w:r>
          </w:p>
        </w:tc>
      </w:tr>
      <w:tr w:rsidR="00A028D0" w:rsidRPr="00872569" w14:paraId="07DE4618" w14:textId="77777777" w:rsidTr="00821CFC">
        <w:trPr>
          <w:trHeight w:val="1449"/>
        </w:trPr>
        <w:tc>
          <w:tcPr>
            <w:tcW w:w="3240" w:type="dxa"/>
            <w:tcBorders>
              <w:top w:val="single" w:sz="24" w:space="0" w:color="FFFFFF"/>
              <w:left w:val="single" w:sz="8" w:space="0" w:color="FFFFFF"/>
              <w:bottom w:val="single" w:sz="8" w:space="0" w:color="FFFFFF"/>
              <w:right w:val="single" w:sz="8" w:space="0" w:color="FFFFFF"/>
            </w:tcBorders>
            <w:shd w:val="clear" w:color="auto" w:fill="365F91" w:themeFill="accent1" w:themeFillShade="BF"/>
            <w:tcMar>
              <w:top w:w="15" w:type="dxa"/>
              <w:left w:w="93" w:type="dxa"/>
              <w:bottom w:w="0" w:type="dxa"/>
              <w:right w:w="93" w:type="dxa"/>
            </w:tcMar>
            <w:hideMark/>
          </w:tcPr>
          <w:p w14:paraId="3A345314" w14:textId="77777777" w:rsidR="00A028D0" w:rsidRPr="00A84D5C" w:rsidRDefault="00A028D0" w:rsidP="00821CFC">
            <w:pPr>
              <w:tabs>
                <w:tab w:val="left" w:pos="2265"/>
                <w:tab w:val="left" w:pos="3420"/>
                <w:tab w:val="left" w:pos="4320"/>
              </w:tabs>
              <w:rPr>
                <w:b/>
                <w:szCs w:val="24"/>
              </w:rPr>
            </w:pPr>
            <w:r w:rsidRPr="00A84D5C">
              <w:rPr>
                <w:b/>
                <w:bCs/>
                <w:szCs w:val="24"/>
              </w:rPr>
              <w:t>Clinical guidelines</w:t>
            </w:r>
          </w:p>
        </w:tc>
        <w:tc>
          <w:tcPr>
            <w:tcW w:w="6918"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93" w:type="dxa"/>
              <w:bottom w:w="0" w:type="dxa"/>
              <w:right w:w="93" w:type="dxa"/>
            </w:tcMar>
            <w:hideMark/>
          </w:tcPr>
          <w:p w14:paraId="0463E895" w14:textId="77777777" w:rsidR="00A028D0" w:rsidRPr="00872569" w:rsidRDefault="00A028D0" w:rsidP="00821CFC">
            <w:pPr>
              <w:tabs>
                <w:tab w:val="left" w:pos="2265"/>
                <w:tab w:val="left" w:pos="3420"/>
                <w:tab w:val="left" w:pos="4320"/>
              </w:tabs>
              <w:rPr>
                <w:szCs w:val="24"/>
              </w:rPr>
            </w:pPr>
            <w:r w:rsidRPr="00872569">
              <w:rPr>
                <w:b/>
                <w:color w:val="000000" w:themeColor="text1"/>
                <w:szCs w:val="24"/>
              </w:rPr>
              <w:t>Sentinel Lymph Node Biopsy</w:t>
            </w:r>
            <w:r w:rsidRPr="00872569">
              <w:rPr>
                <w:szCs w:val="24"/>
              </w:rPr>
              <w:t xml:space="preserve"> </w:t>
            </w:r>
            <w:r>
              <w:rPr>
                <w:szCs w:val="24"/>
              </w:rPr>
              <w:t>(</w:t>
            </w:r>
            <w:r w:rsidRPr="00872569">
              <w:rPr>
                <w:szCs w:val="24"/>
              </w:rPr>
              <w:t>SLNB</w:t>
            </w:r>
            <w:r>
              <w:rPr>
                <w:szCs w:val="24"/>
              </w:rPr>
              <w:t>)</w:t>
            </w:r>
            <w:r w:rsidRPr="00872569">
              <w:rPr>
                <w:szCs w:val="24"/>
              </w:rPr>
              <w:t xml:space="preserve"> for intermediate-thickness &amp; thick melanoma is considered “standard of care” in national &amp; international guidelines and is included in AJCC staging.  However, this may be based on simplistic biological assumptions re: spread of melanoma and the role of the SLN.</w:t>
            </w:r>
          </w:p>
        </w:tc>
      </w:tr>
      <w:tr w:rsidR="00A028D0" w:rsidRPr="00872569" w14:paraId="699B1806" w14:textId="77777777" w:rsidTr="00821CFC">
        <w:trPr>
          <w:trHeight w:val="863"/>
        </w:trPr>
        <w:tc>
          <w:tcPr>
            <w:tcW w:w="3240"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93" w:type="dxa"/>
              <w:bottom w:w="0" w:type="dxa"/>
              <w:right w:w="93" w:type="dxa"/>
            </w:tcMar>
            <w:hideMark/>
          </w:tcPr>
          <w:p w14:paraId="7533AF67" w14:textId="77777777" w:rsidR="00A028D0" w:rsidRPr="00A84D5C" w:rsidRDefault="00A028D0" w:rsidP="00821CFC">
            <w:pPr>
              <w:tabs>
                <w:tab w:val="left" w:pos="2265"/>
                <w:tab w:val="left" w:pos="3420"/>
                <w:tab w:val="left" w:pos="4320"/>
              </w:tabs>
              <w:rPr>
                <w:b/>
                <w:szCs w:val="24"/>
              </w:rPr>
            </w:pPr>
            <w:r w:rsidRPr="00A84D5C">
              <w:rPr>
                <w:b/>
                <w:bCs/>
                <w:szCs w:val="24"/>
              </w:rPr>
              <w:t>SLNB safety</w:t>
            </w:r>
          </w:p>
        </w:tc>
        <w:tc>
          <w:tcPr>
            <w:tcW w:w="691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93" w:type="dxa"/>
              <w:bottom w:w="0" w:type="dxa"/>
              <w:right w:w="93" w:type="dxa"/>
            </w:tcMar>
            <w:hideMark/>
          </w:tcPr>
          <w:p w14:paraId="5ADCF475" w14:textId="77777777" w:rsidR="00A028D0" w:rsidRPr="00872569" w:rsidRDefault="00A028D0" w:rsidP="00821CFC">
            <w:pPr>
              <w:tabs>
                <w:tab w:val="left" w:pos="2265"/>
                <w:tab w:val="left" w:pos="3420"/>
                <w:tab w:val="left" w:pos="4320"/>
              </w:tabs>
              <w:rPr>
                <w:szCs w:val="24"/>
              </w:rPr>
            </w:pPr>
            <w:r w:rsidRPr="00872569">
              <w:rPr>
                <w:szCs w:val="24"/>
              </w:rPr>
              <w:t xml:space="preserve">SLNB appears to be a relatively safe procedure.  However, since it involves an additional surgical procedure, it is implausible that SLNB + </w:t>
            </w:r>
            <w:r w:rsidRPr="00872569">
              <w:rPr>
                <w:szCs w:val="24"/>
                <w:lang w:val="en-US"/>
              </w:rPr>
              <w:t>wide</w:t>
            </w:r>
            <w:r>
              <w:rPr>
                <w:szCs w:val="24"/>
                <w:lang w:val="en-US"/>
              </w:rPr>
              <w:t xml:space="preserve"> local</w:t>
            </w:r>
            <w:r w:rsidRPr="00872569">
              <w:rPr>
                <w:szCs w:val="24"/>
                <w:lang w:val="en-US"/>
              </w:rPr>
              <w:t xml:space="preserve"> excision</w:t>
            </w:r>
            <w:r w:rsidRPr="00872569">
              <w:rPr>
                <w:szCs w:val="24"/>
              </w:rPr>
              <w:t xml:space="preserve"> </w:t>
            </w:r>
            <w:r>
              <w:rPr>
                <w:szCs w:val="24"/>
              </w:rPr>
              <w:t>(</w:t>
            </w:r>
            <w:r w:rsidRPr="00872569">
              <w:rPr>
                <w:szCs w:val="24"/>
              </w:rPr>
              <w:t>WLE</w:t>
            </w:r>
            <w:r>
              <w:rPr>
                <w:szCs w:val="24"/>
              </w:rPr>
              <w:t>)</w:t>
            </w:r>
            <w:r w:rsidRPr="00872569">
              <w:rPr>
                <w:szCs w:val="24"/>
              </w:rPr>
              <w:t xml:space="preserve"> can be “as safe” as WLE.</w:t>
            </w:r>
          </w:p>
        </w:tc>
      </w:tr>
      <w:tr w:rsidR="00A028D0" w:rsidRPr="00872569" w14:paraId="0ABB4F80" w14:textId="77777777" w:rsidTr="00821CFC">
        <w:trPr>
          <w:trHeight w:val="1465"/>
        </w:trPr>
        <w:tc>
          <w:tcPr>
            <w:tcW w:w="3240"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93" w:type="dxa"/>
              <w:bottom w:w="0" w:type="dxa"/>
              <w:right w:w="93" w:type="dxa"/>
            </w:tcMar>
            <w:hideMark/>
          </w:tcPr>
          <w:p w14:paraId="7DF5911E" w14:textId="77777777" w:rsidR="00A028D0" w:rsidRPr="00A84D5C" w:rsidRDefault="00A028D0" w:rsidP="00821CFC">
            <w:pPr>
              <w:tabs>
                <w:tab w:val="left" w:pos="2265"/>
                <w:tab w:val="left" w:pos="3420"/>
                <w:tab w:val="left" w:pos="4320"/>
              </w:tabs>
              <w:rPr>
                <w:b/>
                <w:szCs w:val="24"/>
              </w:rPr>
            </w:pPr>
            <w:r w:rsidRPr="00A84D5C">
              <w:rPr>
                <w:b/>
                <w:bCs/>
                <w:szCs w:val="24"/>
              </w:rPr>
              <w:t>SLNB effectiveness</w:t>
            </w:r>
          </w:p>
        </w:tc>
        <w:tc>
          <w:tcPr>
            <w:tcW w:w="691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93" w:type="dxa"/>
              <w:bottom w:w="0" w:type="dxa"/>
              <w:right w:w="93" w:type="dxa"/>
            </w:tcMar>
            <w:hideMark/>
          </w:tcPr>
          <w:p w14:paraId="50CD1E2A" w14:textId="77777777" w:rsidR="00A028D0" w:rsidRPr="00872569" w:rsidRDefault="00A028D0" w:rsidP="00A028D0">
            <w:pPr>
              <w:numPr>
                <w:ilvl w:val="0"/>
                <w:numId w:val="27"/>
              </w:numPr>
              <w:tabs>
                <w:tab w:val="left" w:pos="2265"/>
                <w:tab w:val="left" w:pos="3420"/>
                <w:tab w:val="left" w:pos="4320"/>
              </w:tabs>
              <w:rPr>
                <w:szCs w:val="24"/>
              </w:rPr>
            </w:pPr>
            <w:r w:rsidRPr="00872569">
              <w:rPr>
                <w:szCs w:val="24"/>
              </w:rPr>
              <w:t>Diagnostic yield &amp; FN rate highly variable</w:t>
            </w:r>
            <w:r>
              <w:rPr>
                <w:szCs w:val="24"/>
              </w:rPr>
              <w:t xml:space="preserve"> and</w:t>
            </w:r>
            <w:r w:rsidRPr="00872569">
              <w:rPr>
                <w:szCs w:val="24"/>
              </w:rPr>
              <w:t xml:space="preserve"> may depend on clinical experience.</w:t>
            </w:r>
          </w:p>
          <w:p w14:paraId="680B0B3F" w14:textId="77777777" w:rsidR="00A028D0" w:rsidRPr="00872569" w:rsidRDefault="00A028D0" w:rsidP="00A028D0">
            <w:pPr>
              <w:numPr>
                <w:ilvl w:val="0"/>
                <w:numId w:val="27"/>
              </w:numPr>
              <w:tabs>
                <w:tab w:val="left" w:pos="2265"/>
                <w:tab w:val="left" w:pos="3420"/>
                <w:tab w:val="left" w:pos="4320"/>
              </w:tabs>
              <w:rPr>
                <w:szCs w:val="24"/>
              </w:rPr>
            </w:pPr>
            <w:r w:rsidRPr="00872569">
              <w:rPr>
                <w:szCs w:val="24"/>
              </w:rPr>
              <w:t xml:space="preserve">SLN status appears to have </w:t>
            </w:r>
            <w:r w:rsidRPr="00872569">
              <w:rPr>
                <w:i/>
                <w:iCs/>
                <w:szCs w:val="24"/>
              </w:rPr>
              <w:t>prognostic</w:t>
            </w:r>
            <w:r w:rsidRPr="00872569">
              <w:rPr>
                <w:szCs w:val="24"/>
              </w:rPr>
              <w:t xml:space="preserve"> value – it may be useful as a triage tool to determine intensity of follow-up, but this question has not been specifically addressed.</w:t>
            </w:r>
          </w:p>
        </w:tc>
      </w:tr>
      <w:tr w:rsidR="00A028D0" w:rsidRPr="00872569" w14:paraId="7411EDFE" w14:textId="77777777" w:rsidTr="00821CFC">
        <w:trPr>
          <w:trHeight w:val="1563"/>
        </w:trPr>
        <w:tc>
          <w:tcPr>
            <w:tcW w:w="3240"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93" w:type="dxa"/>
              <w:bottom w:w="0" w:type="dxa"/>
              <w:right w:w="93" w:type="dxa"/>
            </w:tcMar>
            <w:hideMark/>
          </w:tcPr>
          <w:p w14:paraId="4EE58C49" w14:textId="77777777" w:rsidR="00A028D0" w:rsidRPr="00A84D5C" w:rsidRDefault="00A028D0" w:rsidP="00821CFC">
            <w:pPr>
              <w:tabs>
                <w:tab w:val="left" w:pos="2265"/>
                <w:tab w:val="left" w:pos="3420"/>
                <w:tab w:val="left" w:pos="4320"/>
              </w:tabs>
              <w:rPr>
                <w:b/>
                <w:szCs w:val="24"/>
              </w:rPr>
            </w:pPr>
            <w:r w:rsidRPr="00A84D5C">
              <w:rPr>
                <w:b/>
                <w:bCs/>
                <w:szCs w:val="24"/>
              </w:rPr>
              <w:t>SLNB + CLND</w:t>
            </w:r>
          </w:p>
        </w:tc>
        <w:tc>
          <w:tcPr>
            <w:tcW w:w="691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93" w:type="dxa"/>
              <w:bottom w:w="0" w:type="dxa"/>
              <w:right w:w="93" w:type="dxa"/>
            </w:tcMar>
            <w:hideMark/>
          </w:tcPr>
          <w:p w14:paraId="57439B7E" w14:textId="77777777" w:rsidR="00A028D0" w:rsidRPr="00872569" w:rsidRDefault="00A028D0" w:rsidP="00A028D0">
            <w:pPr>
              <w:numPr>
                <w:ilvl w:val="0"/>
                <w:numId w:val="28"/>
              </w:numPr>
              <w:tabs>
                <w:tab w:val="left" w:pos="2265"/>
                <w:tab w:val="left" w:pos="3420"/>
                <w:tab w:val="left" w:pos="4320"/>
              </w:tabs>
              <w:rPr>
                <w:szCs w:val="24"/>
              </w:rPr>
            </w:pPr>
            <w:r w:rsidRPr="00872569">
              <w:rPr>
                <w:szCs w:val="24"/>
              </w:rPr>
              <w:t xml:space="preserve">SLNB + </w:t>
            </w:r>
            <w:r>
              <w:rPr>
                <w:szCs w:val="24"/>
              </w:rPr>
              <w:t>completion lymph-node dissection (</w:t>
            </w:r>
            <w:r w:rsidRPr="00872569">
              <w:rPr>
                <w:szCs w:val="24"/>
              </w:rPr>
              <w:t>CLND</w:t>
            </w:r>
            <w:r>
              <w:rPr>
                <w:szCs w:val="24"/>
              </w:rPr>
              <w:t>)</w:t>
            </w:r>
            <w:r w:rsidRPr="00872569">
              <w:rPr>
                <w:szCs w:val="24"/>
              </w:rPr>
              <w:t xml:space="preserve"> offer no benefit in overall survival, melanoma-specific survival or cumulative incidence of non-SLN metastasis.</w:t>
            </w:r>
          </w:p>
          <w:p w14:paraId="57B11BD8" w14:textId="77777777" w:rsidR="00A028D0" w:rsidRPr="00872569" w:rsidRDefault="00A028D0" w:rsidP="00A028D0">
            <w:pPr>
              <w:numPr>
                <w:ilvl w:val="0"/>
                <w:numId w:val="28"/>
              </w:numPr>
              <w:tabs>
                <w:tab w:val="left" w:pos="2265"/>
                <w:tab w:val="left" w:pos="3420"/>
                <w:tab w:val="left" w:pos="4320"/>
              </w:tabs>
              <w:rPr>
                <w:szCs w:val="24"/>
              </w:rPr>
            </w:pPr>
            <w:r w:rsidRPr="00872569">
              <w:rPr>
                <w:szCs w:val="24"/>
              </w:rPr>
              <w:t>It is associated with better regional DFS but no benefit in distant metastasis-free survival.</w:t>
            </w:r>
          </w:p>
          <w:p w14:paraId="40861CF6" w14:textId="77777777" w:rsidR="00A028D0" w:rsidRPr="00872569" w:rsidRDefault="00A028D0" w:rsidP="00A028D0">
            <w:pPr>
              <w:numPr>
                <w:ilvl w:val="0"/>
                <w:numId w:val="28"/>
              </w:numPr>
              <w:tabs>
                <w:tab w:val="left" w:pos="2265"/>
                <w:tab w:val="left" w:pos="3420"/>
                <w:tab w:val="left" w:pos="4320"/>
              </w:tabs>
              <w:rPr>
                <w:szCs w:val="24"/>
              </w:rPr>
            </w:pPr>
            <w:r w:rsidRPr="00872569">
              <w:rPr>
                <w:szCs w:val="24"/>
              </w:rPr>
              <w:t>It is associated with a high (</w:t>
            </w:r>
            <w:r>
              <w:rPr>
                <w:szCs w:val="24"/>
              </w:rPr>
              <w:t xml:space="preserve">potentially </w:t>
            </w:r>
            <w:r w:rsidRPr="00872569">
              <w:rPr>
                <w:szCs w:val="24"/>
              </w:rPr>
              <w:t xml:space="preserve">prohibitive) risk of </w:t>
            </w:r>
            <w:proofErr w:type="spellStart"/>
            <w:r w:rsidRPr="00872569">
              <w:rPr>
                <w:szCs w:val="24"/>
              </w:rPr>
              <w:t>lymphoedema</w:t>
            </w:r>
            <w:proofErr w:type="spellEnd"/>
            <w:r w:rsidRPr="00872569">
              <w:rPr>
                <w:szCs w:val="24"/>
              </w:rPr>
              <w:t>.</w:t>
            </w:r>
          </w:p>
        </w:tc>
      </w:tr>
      <w:tr w:rsidR="00A028D0" w:rsidRPr="00872569" w14:paraId="0630E5E6" w14:textId="77777777" w:rsidTr="00821CFC">
        <w:trPr>
          <w:trHeight w:val="1563"/>
        </w:trPr>
        <w:tc>
          <w:tcPr>
            <w:tcW w:w="3240" w:type="dxa"/>
            <w:tcBorders>
              <w:top w:val="single" w:sz="8" w:space="0" w:color="FFFFFF"/>
              <w:left w:val="single" w:sz="8" w:space="0" w:color="FFFFFF"/>
              <w:bottom w:val="single" w:sz="8" w:space="0" w:color="FFFFFF"/>
              <w:right w:val="single" w:sz="8" w:space="0" w:color="FFFFFF"/>
            </w:tcBorders>
            <w:shd w:val="clear" w:color="auto" w:fill="365F91" w:themeFill="accent1" w:themeFillShade="BF"/>
            <w:tcMar>
              <w:top w:w="15" w:type="dxa"/>
              <w:left w:w="93" w:type="dxa"/>
              <w:bottom w:w="0" w:type="dxa"/>
              <w:right w:w="93" w:type="dxa"/>
            </w:tcMar>
            <w:hideMark/>
          </w:tcPr>
          <w:p w14:paraId="6EE4274D" w14:textId="77777777" w:rsidR="00A028D0" w:rsidRPr="00A84D5C" w:rsidRDefault="00A028D0" w:rsidP="00821CFC">
            <w:pPr>
              <w:tabs>
                <w:tab w:val="left" w:pos="2265"/>
                <w:tab w:val="left" w:pos="3420"/>
                <w:tab w:val="left" w:pos="4320"/>
              </w:tabs>
              <w:rPr>
                <w:b/>
                <w:szCs w:val="24"/>
              </w:rPr>
            </w:pPr>
            <w:r w:rsidRPr="00A84D5C">
              <w:rPr>
                <w:b/>
                <w:bCs/>
                <w:szCs w:val="24"/>
              </w:rPr>
              <w:lastRenderedPageBreak/>
              <w:t>Descriptor</w:t>
            </w:r>
          </w:p>
        </w:tc>
        <w:tc>
          <w:tcPr>
            <w:tcW w:w="691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93" w:type="dxa"/>
              <w:bottom w:w="0" w:type="dxa"/>
              <w:right w:w="93" w:type="dxa"/>
            </w:tcMar>
            <w:hideMark/>
          </w:tcPr>
          <w:p w14:paraId="41C4A2E5" w14:textId="77777777" w:rsidR="00A028D0" w:rsidRPr="00872569" w:rsidRDefault="00A028D0" w:rsidP="00A028D0">
            <w:pPr>
              <w:numPr>
                <w:ilvl w:val="0"/>
                <w:numId w:val="29"/>
              </w:numPr>
              <w:tabs>
                <w:tab w:val="left" w:pos="2265"/>
                <w:tab w:val="left" w:pos="3420"/>
                <w:tab w:val="left" w:pos="4320"/>
              </w:tabs>
              <w:rPr>
                <w:szCs w:val="24"/>
              </w:rPr>
            </w:pPr>
            <w:r w:rsidRPr="00872569">
              <w:rPr>
                <w:szCs w:val="24"/>
              </w:rPr>
              <w:t>75% benefit applies (in-hospital procedure).</w:t>
            </w:r>
          </w:p>
          <w:p w14:paraId="2FA9F0A7" w14:textId="77777777" w:rsidR="00A028D0" w:rsidRPr="00872569" w:rsidRDefault="00A028D0" w:rsidP="00A028D0">
            <w:pPr>
              <w:numPr>
                <w:ilvl w:val="0"/>
                <w:numId w:val="29"/>
              </w:numPr>
              <w:tabs>
                <w:tab w:val="left" w:pos="2265"/>
                <w:tab w:val="left" w:pos="3420"/>
                <w:tab w:val="left" w:pos="4320"/>
              </w:tabs>
              <w:rPr>
                <w:szCs w:val="24"/>
              </w:rPr>
            </w:pPr>
            <w:r w:rsidRPr="00872569">
              <w:rPr>
                <w:szCs w:val="24"/>
              </w:rPr>
              <w:t>Not restricte</w:t>
            </w:r>
            <w:r>
              <w:rPr>
                <w:szCs w:val="24"/>
              </w:rPr>
              <w:t>d to one billing per occasion. Is the</w:t>
            </w:r>
            <w:r w:rsidRPr="00872569">
              <w:rPr>
                <w:szCs w:val="24"/>
              </w:rPr>
              <w:t xml:space="preserve"> multiple operations rule applicable</w:t>
            </w:r>
            <w:r>
              <w:rPr>
                <w:szCs w:val="24"/>
              </w:rPr>
              <w:t>?</w:t>
            </w:r>
          </w:p>
          <w:p w14:paraId="2581F8C2" w14:textId="77777777" w:rsidR="00A028D0" w:rsidRPr="00872569" w:rsidRDefault="00A028D0" w:rsidP="00A028D0">
            <w:pPr>
              <w:numPr>
                <w:ilvl w:val="0"/>
                <w:numId w:val="29"/>
              </w:numPr>
              <w:tabs>
                <w:tab w:val="left" w:pos="2265"/>
                <w:tab w:val="left" w:pos="3420"/>
                <w:tab w:val="left" w:pos="4320"/>
              </w:tabs>
              <w:rPr>
                <w:szCs w:val="24"/>
              </w:rPr>
            </w:pPr>
            <w:r>
              <w:rPr>
                <w:szCs w:val="24"/>
              </w:rPr>
              <w:t xml:space="preserve">Should there be </w:t>
            </w:r>
            <w:r w:rsidRPr="00872569">
              <w:rPr>
                <w:szCs w:val="24"/>
              </w:rPr>
              <w:t>separate items for intermedi</w:t>
            </w:r>
            <w:r>
              <w:rPr>
                <w:szCs w:val="24"/>
              </w:rPr>
              <w:t>ate-thickness &amp; thick melanoma for</w:t>
            </w:r>
            <w:r w:rsidRPr="00872569">
              <w:rPr>
                <w:szCs w:val="24"/>
              </w:rPr>
              <w:t xml:space="preserve"> monitoring usage</w:t>
            </w:r>
            <w:r>
              <w:rPr>
                <w:szCs w:val="24"/>
              </w:rPr>
              <w:t>?</w:t>
            </w:r>
          </w:p>
        </w:tc>
      </w:tr>
    </w:tbl>
    <w:p w14:paraId="4C43CDDD" w14:textId="26F7B2D8" w:rsidR="00A028D0" w:rsidRPr="00800E45" w:rsidRDefault="008B46A2" w:rsidP="00810867">
      <w:pPr>
        <w:spacing w:before="240" w:line="276" w:lineRule="auto"/>
        <w:rPr>
          <w:b/>
          <w:szCs w:val="24"/>
        </w:rPr>
      </w:pPr>
      <w:r>
        <w:rPr>
          <w:b/>
          <w:szCs w:val="24"/>
        </w:rPr>
        <w:t>ESC d</w:t>
      </w:r>
      <w:r w:rsidR="00A028D0" w:rsidRPr="00800E45">
        <w:rPr>
          <w:b/>
          <w:szCs w:val="24"/>
        </w:rPr>
        <w:t>iscussion</w:t>
      </w:r>
    </w:p>
    <w:p w14:paraId="603D66DB" w14:textId="3BB7BD94" w:rsidR="00A028D0" w:rsidRPr="00872569" w:rsidRDefault="00A028D0" w:rsidP="00A028D0">
      <w:pPr>
        <w:spacing w:line="276" w:lineRule="auto"/>
        <w:rPr>
          <w:szCs w:val="24"/>
        </w:rPr>
      </w:pPr>
      <w:r w:rsidRPr="00872569">
        <w:rPr>
          <w:szCs w:val="24"/>
        </w:rPr>
        <w:t>This submission is a new application to support the listing on the MBS of SLNB for cutaneous melanoma at high risk of nodal metastasis in two populations:</w:t>
      </w:r>
    </w:p>
    <w:p w14:paraId="2E9FDC04" w14:textId="77777777" w:rsidR="00A028D0" w:rsidRPr="00872569" w:rsidRDefault="00A028D0" w:rsidP="00A028D0">
      <w:pPr>
        <w:pStyle w:val="BodyText"/>
        <w:numPr>
          <w:ilvl w:val="0"/>
          <w:numId w:val="26"/>
        </w:numPr>
        <w:spacing w:after="0" w:line="259" w:lineRule="auto"/>
        <w:ind w:left="714" w:hanging="357"/>
        <w:rPr>
          <w:rFonts w:ascii="Times New Roman" w:hAnsi="Times New Roman" w:cs="Times New Roman"/>
          <w:sz w:val="24"/>
          <w:szCs w:val="24"/>
        </w:rPr>
      </w:pPr>
      <w:r w:rsidRPr="00872569">
        <w:rPr>
          <w:rFonts w:ascii="Times New Roman" w:hAnsi="Times New Roman" w:cs="Times New Roman"/>
          <w:sz w:val="24"/>
          <w:szCs w:val="24"/>
        </w:rPr>
        <w:t xml:space="preserve">patients with intermediate thickness malignant cutaneous melanoma of depth &gt; 1.0–4.0 mm (population 1); and </w:t>
      </w:r>
    </w:p>
    <w:p w14:paraId="45C853FA" w14:textId="77777777" w:rsidR="00A028D0" w:rsidRPr="00872569" w:rsidRDefault="00A028D0" w:rsidP="00A028D0">
      <w:pPr>
        <w:pStyle w:val="BodyText"/>
        <w:numPr>
          <w:ilvl w:val="0"/>
          <w:numId w:val="26"/>
        </w:numPr>
        <w:spacing w:after="160" w:line="259" w:lineRule="auto"/>
        <w:ind w:left="714" w:hanging="357"/>
        <w:rPr>
          <w:rFonts w:ascii="Times New Roman" w:hAnsi="Times New Roman" w:cs="Times New Roman"/>
          <w:sz w:val="24"/>
          <w:szCs w:val="24"/>
        </w:rPr>
      </w:pPr>
      <w:proofErr w:type="gramStart"/>
      <w:r w:rsidRPr="00872569">
        <w:rPr>
          <w:rFonts w:ascii="Times New Roman" w:hAnsi="Times New Roman" w:cs="Times New Roman"/>
          <w:sz w:val="24"/>
          <w:szCs w:val="24"/>
        </w:rPr>
        <w:t>patients</w:t>
      </w:r>
      <w:proofErr w:type="gramEnd"/>
      <w:r w:rsidRPr="00872569">
        <w:rPr>
          <w:rFonts w:ascii="Times New Roman" w:hAnsi="Times New Roman" w:cs="Times New Roman"/>
          <w:sz w:val="24"/>
          <w:szCs w:val="24"/>
        </w:rPr>
        <w:t xml:space="preserve"> with thick malignant cutaneous melanoma of depth &gt; 4.0 mm (population 2).</w:t>
      </w:r>
    </w:p>
    <w:p w14:paraId="12EE4846" w14:textId="38C4D7B9" w:rsidR="00A028D0" w:rsidRDefault="00A028D0" w:rsidP="00810867">
      <w:pPr>
        <w:spacing w:after="240"/>
        <w:rPr>
          <w:szCs w:val="24"/>
          <w:lang w:val="en-US"/>
        </w:rPr>
      </w:pPr>
      <w:r w:rsidRPr="00872569">
        <w:rPr>
          <w:szCs w:val="24"/>
          <w:lang w:val="en-US"/>
        </w:rPr>
        <w:t>ESC noted that the comparator for both populations is WLE without SLNB.</w:t>
      </w:r>
    </w:p>
    <w:p w14:paraId="65423F35" w14:textId="4A4FB695" w:rsidR="00A028D0" w:rsidRPr="00872569" w:rsidRDefault="00A028D0" w:rsidP="00810867">
      <w:pPr>
        <w:spacing w:after="240"/>
        <w:rPr>
          <w:szCs w:val="24"/>
          <w:lang w:val="en-US"/>
        </w:rPr>
      </w:pPr>
      <w:r w:rsidRPr="00872569">
        <w:rPr>
          <w:szCs w:val="24"/>
          <w:lang w:val="en-US"/>
        </w:rPr>
        <w:t xml:space="preserve">ESC noted that SLNB is currently being performed in the proposed populations and claimed against existing MBS items 30075, 30329, 30332, 31420, and 31423. ESC noted that none of these items includes lymphoscintigraphy and </w:t>
      </w:r>
      <w:proofErr w:type="spellStart"/>
      <w:r w:rsidRPr="00872569">
        <w:rPr>
          <w:szCs w:val="24"/>
          <w:lang w:val="en-US"/>
        </w:rPr>
        <w:t>lymphotropic</w:t>
      </w:r>
      <w:proofErr w:type="spellEnd"/>
      <w:r w:rsidRPr="00872569">
        <w:rPr>
          <w:szCs w:val="24"/>
          <w:lang w:val="en-US"/>
        </w:rPr>
        <w:t xml:space="preserve"> dye injection, both of which are essential for this </w:t>
      </w:r>
      <w:r>
        <w:rPr>
          <w:szCs w:val="24"/>
          <w:lang w:val="en-US"/>
        </w:rPr>
        <w:t>SLNB</w:t>
      </w:r>
      <w:r w:rsidR="00810867">
        <w:rPr>
          <w:szCs w:val="24"/>
          <w:lang w:val="en-US"/>
        </w:rPr>
        <w:t>.</w:t>
      </w:r>
    </w:p>
    <w:p w14:paraId="768AEF3E" w14:textId="12D00345" w:rsidR="00A028D0" w:rsidRDefault="00A028D0" w:rsidP="00810867">
      <w:pPr>
        <w:spacing w:after="240"/>
        <w:rPr>
          <w:szCs w:val="24"/>
          <w:lang w:val="en-US"/>
        </w:rPr>
      </w:pPr>
      <w:r w:rsidRPr="00872569">
        <w:rPr>
          <w:szCs w:val="24"/>
          <w:lang w:val="en-US"/>
        </w:rPr>
        <w:t>ESC noted that although these items relate to diagnostic biopsy of lymph nodes, glands, muscle or other deep tissue or organ, they are not specific to the diagnosis of particular cancers and it was not possible to distinguish the proportion of claims being made for SLNB, and hence</w:t>
      </w:r>
      <w:r w:rsidR="00810867">
        <w:rPr>
          <w:szCs w:val="24"/>
          <w:lang w:val="en-US"/>
        </w:rPr>
        <w:t xml:space="preserve"> the cost offsets attributable.</w:t>
      </w:r>
    </w:p>
    <w:p w14:paraId="4B09242B" w14:textId="18D60C40" w:rsidR="00A028D0" w:rsidRPr="00872569" w:rsidRDefault="00A028D0" w:rsidP="00A028D0">
      <w:pPr>
        <w:rPr>
          <w:szCs w:val="24"/>
          <w:lang w:val="en-US"/>
        </w:rPr>
      </w:pPr>
      <w:r w:rsidRPr="00872569">
        <w:rPr>
          <w:szCs w:val="24"/>
          <w:lang w:val="en-US"/>
        </w:rPr>
        <w:t xml:space="preserve">ESC noted that guidelines from the </w:t>
      </w:r>
      <w:hyperlink r:id="rId10" w:tooltip="Link to Cancer Council Guidelines Wiki" w:history="1">
        <w:r w:rsidRPr="00872569">
          <w:rPr>
            <w:rStyle w:val="Hyperlink"/>
            <w:szCs w:val="24"/>
            <w:lang w:val="en-US"/>
          </w:rPr>
          <w:t>Cancer Co</w:t>
        </w:r>
        <w:r w:rsidRPr="00872569">
          <w:rPr>
            <w:rStyle w:val="Hyperlink"/>
            <w:szCs w:val="24"/>
            <w:lang w:val="en-US"/>
          </w:rPr>
          <w:t>u</w:t>
        </w:r>
        <w:r w:rsidRPr="00872569">
          <w:rPr>
            <w:rStyle w:val="Hyperlink"/>
            <w:szCs w:val="24"/>
            <w:lang w:val="en-US"/>
          </w:rPr>
          <w:t>ncil Australia</w:t>
        </w:r>
      </w:hyperlink>
      <w:r w:rsidRPr="00872569">
        <w:rPr>
          <w:szCs w:val="24"/>
          <w:lang w:val="en-US"/>
        </w:rPr>
        <w:t xml:space="preserve"> had recently been updated and recommended SLNB be considered for </w:t>
      </w:r>
      <w:r w:rsidRPr="00872569">
        <w:rPr>
          <w:szCs w:val="24"/>
        </w:rPr>
        <w:t xml:space="preserve">all patients with melanomas &gt; 1 mm and patients with melanomas &gt; 0.75 mm with adverse pathological features (primarily ulceration). ESC noted that this was in line with international guidelines which also recommend </w:t>
      </w:r>
      <w:r w:rsidRPr="00872569">
        <w:rPr>
          <w:szCs w:val="24"/>
          <w:lang w:val="en-US"/>
        </w:rPr>
        <w:t xml:space="preserve">consideration of SLNB for patients with melanomas of varying thickness and adverse pathological features </w:t>
      </w:r>
      <w:bookmarkStart w:id="17" w:name="_Hlk517182597"/>
      <w:r w:rsidRPr="00872569">
        <w:rPr>
          <w:szCs w:val="24"/>
          <w:lang w:val="en-US"/>
        </w:rPr>
        <w:t>(</w:t>
      </w:r>
      <w:hyperlink r:id="rId11" w:tooltip="Link to American Joint Committee on Cancer, Cancer Staging Manual" w:history="1">
        <w:r w:rsidRPr="00872569">
          <w:rPr>
            <w:rStyle w:val="Hyperlink"/>
            <w:szCs w:val="24"/>
            <w:lang w:val="en-US"/>
          </w:rPr>
          <w:t>American Joint Committee on Can</w:t>
        </w:r>
        <w:r w:rsidRPr="00872569">
          <w:rPr>
            <w:rStyle w:val="Hyperlink"/>
            <w:szCs w:val="24"/>
            <w:lang w:val="en-US"/>
          </w:rPr>
          <w:t>c</w:t>
        </w:r>
        <w:r w:rsidRPr="00872569">
          <w:rPr>
            <w:rStyle w:val="Hyperlink"/>
            <w:szCs w:val="24"/>
            <w:lang w:val="en-US"/>
          </w:rPr>
          <w:t>er [AJCC] Cancer Staging Manual 8</w:t>
        </w:r>
        <w:r w:rsidRPr="00872569">
          <w:rPr>
            <w:rStyle w:val="Hyperlink"/>
            <w:szCs w:val="24"/>
            <w:vertAlign w:val="superscript"/>
            <w:lang w:val="en-US"/>
          </w:rPr>
          <w:t>th</w:t>
        </w:r>
        <w:r w:rsidRPr="00872569">
          <w:rPr>
            <w:rStyle w:val="Hyperlink"/>
            <w:szCs w:val="24"/>
            <w:lang w:val="en-US"/>
          </w:rPr>
          <w:t xml:space="preserve"> edition</w:t>
        </w:r>
      </w:hyperlink>
      <w:r w:rsidRPr="00872569">
        <w:rPr>
          <w:szCs w:val="24"/>
          <w:lang w:val="en-US"/>
        </w:rPr>
        <w:t xml:space="preserve">; </w:t>
      </w:r>
      <w:hyperlink r:id="rId12" w:tooltip="Link to National Comprehensive Cancer Network, Patient and Caregiver Resources" w:history="1">
        <w:r w:rsidRPr="00872569">
          <w:rPr>
            <w:rStyle w:val="Hyperlink"/>
            <w:szCs w:val="24"/>
            <w:lang w:val="en-US"/>
          </w:rPr>
          <w:t>National Comprehensive Cancer N</w:t>
        </w:r>
        <w:r w:rsidRPr="00872569">
          <w:rPr>
            <w:rStyle w:val="Hyperlink"/>
            <w:szCs w:val="24"/>
            <w:lang w:val="en-US"/>
          </w:rPr>
          <w:t>e</w:t>
        </w:r>
        <w:r w:rsidRPr="00872569">
          <w:rPr>
            <w:rStyle w:val="Hyperlink"/>
            <w:szCs w:val="24"/>
            <w:lang w:val="en-US"/>
          </w:rPr>
          <w:t>twork Cancer Staging Guide</w:t>
        </w:r>
      </w:hyperlink>
      <w:r w:rsidRPr="00872569">
        <w:rPr>
          <w:szCs w:val="24"/>
          <w:lang w:val="en-US"/>
        </w:rPr>
        <w:t xml:space="preserve">). ESC considered that although SLNB may be standard of care, this may be </w:t>
      </w:r>
      <w:bookmarkEnd w:id="17"/>
      <w:r w:rsidRPr="00872569">
        <w:rPr>
          <w:szCs w:val="24"/>
          <w:lang w:val="en-US"/>
        </w:rPr>
        <w:t xml:space="preserve">based on theoretical biological assumptions regarding the spread of melanoma and the role of the sentinel lymph nodes (SLN). ESC considered that the role of SLN </w:t>
      </w:r>
      <w:r>
        <w:rPr>
          <w:szCs w:val="24"/>
          <w:lang w:val="en-US"/>
        </w:rPr>
        <w:t>as indicators of</w:t>
      </w:r>
      <w:r w:rsidRPr="00872569">
        <w:rPr>
          <w:szCs w:val="24"/>
          <w:lang w:val="en-US"/>
        </w:rPr>
        <w:t xml:space="preserve"> the spread of cancer was uncertain, noting that there are currently two hypotheses regarding the role of SLN in the process of lymphatic drainage and metastasis (the ‘incubator’ and ‘marker’ hypotheses). </w:t>
      </w:r>
    </w:p>
    <w:p w14:paraId="565FA861" w14:textId="77777777" w:rsidR="00A028D0" w:rsidRPr="00872569" w:rsidRDefault="00A028D0" w:rsidP="00810867">
      <w:pPr>
        <w:spacing w:before="240"/>
        <w:rPr>
          <w:szCs w:val="24"/>
          <w:lang w:val="en-US"/>
        </w:rPr>
      </w:pPr>
      <w:r w:rsidRPr="00872569">
        <w:rPr>
          <w:szCs w:val="24"/>
          <w:lang w:val="en-US"/>
        </w:rPr>
        <w:t>ESC noted that overall rates of adverse events were similar following WLE (18.9%) and SLNB alone (4.6–13.8%). However, ESC queried the applicant’s claim of non-inferior safety as the additional surgical procedure involved introduced an added measure of risk.</w:t>
      </w:r>
    </w:p>
    <w:p w14:paraId="4F50137C" w14:textId="3E00113E" w:rsidR="00A028D0" w:rsidRPr="00872569" w:rsidRDefault="00A028D0" w:rsidP="00810867">
      <w:pPr>
        <w:spacing w:after="240"/>
        <w:rPr>
          <w:szCs w:val="24"/>
        </w:rPr>
      </w:pPr>
      <w:r w:rsidRPr="00872569">
        <w:rPr>
          <w:szCs w:val="24"/>
          <w:lang w:val="en-US"/>
        </w:rPr>
        <w:t>ESC noted that no studies of diagnostic performance for SLNB in melanoma had used an ideal reference standard</w:t>
      </w:r>
      <w:r>
        <w:rPr>
          <w:szCs w:val="24"/>
          <w:lang w:val="en-US"/>
        </w:rPr>
        <w:t xml:space="preserve"> - that</w:t>
      </w:r>
      <w:r w:rsidRPr="00872569">
        <w:rPr>
          <w:szCs w:val="24"/>
          <w:lang w:val="en-US"/>
        </w:rPr>
        <w:t xml:space="preserve"> is</w:t>
      </w:r>
      <w:r w:rsidR="00532EEA">
        <w:rPr>
          <w:szCs w:val="24"/>
          <w:lang w:val="en-US"/>
        </w:rPr>
        <w:t xml:space="preserve"> </w:t>
      </w:r>
      <w:r w:rsidRPr="00872569">
        <w:rPr>
          <w:szCs w:val="24"/>
          <w:lang w:val="en-US"/>
        </w:rPr>
        <w:t xml:space="preserve">CLND for all </w:t>
      </w:r>
      <w:r>
        <w:rPr>
          <w:szCs w:val="24"/>
          <w:lang w:val="en-US"/>
        </w:rPr>
        <w:t>SLNB</w:t>
      </w:r>
      <w:r w:rsidRPr="00872569">
        <w:rPr>
          <w:szCs w:val="24"/>
          <w:lang w:val="en-US"/>
        </w:rPr>
        <w:t xml:space="preserve"> positive patients and all </w:t>
      </w:r>
      <w:r>
        <w:rPr>
          <w:szCs w:val="24"/>
          <w:lang w:val="en-US"/>
        </w:rPr>
        <w:t>SLNB</w:t>
      </w:r>
      <w:r w:rsidRPr="00872569">
        <w:rPr>
          <w:szCs w:val="24"/>
          <w:lang w:val="en-US"/>
        </w:rPr>
        <w:t xml:space="preserve"> negative patients followed by histopathology of all resected nodes. ESC noted follow-up was used as the reference standard instead. ESC considered that </w:t>
      </w:r>
      <w:r w:rsidRPr="00872569">
        <w:rPr>
          <w:szCs w:val="24"/>
        </w:rPr>
        <w:t xml:space="preserve">variations in the extent of the follow-up used across the included studies contributed to considerable uncertainty in </w:t>
      </w:r>
      <w:r>
        <w:rPr>
          <w:szCs w:val="24"/>
        </w:rPr>
        <w:t>the definition and significance</w:t>
      </w:r>
      <w:r w:rsidR="00810867">
        <w:rPr>
          <w:szCs w:val="24"/>
        </w:rPr>
        <w:t xml:space="preserve"> of regional nodal recurrence.</w:t>
      </w:r>
    </w:p>
    <w:p w14:paraId="32DEDF9A" w14:textId="4B6F9E59" w:rsidR="00A028D0" w:rsidRDefault="00A028D0" w:rsidP="00810867">
      <w:pPr>
        <w:spacing w:after="240"/>
        <w:rPr>
          <w:szCs w:val="24"/>
          <w:lang w:val="en-US"/>
        </w:rPr>
      </w:pPr>
      <w:r w:rsidRPr="00872569">
        <w:rPr>
          <w:szCs w:val="24"/>
          <w:lang w:val="en-US"/>
        </w:rPr>
        <w:t xml:space="preserve">ESC noted that diagnostic yield in </w:t>
      </w:r>
      <w:r>
        <w:rPr>
          <w:szCs w:val="24"/>
          <w:lang w:val="en-US"/>
        </w:rPr>
        <w:t>SLNB</w:t>
      </w:r>
      <w:r w:rsidRPr="00872569">
        <w:rPr>
          <w:szCs w:val="24"/>
          <w:lang w:val="en-US"/>
        </w:rPr>
        <w:t xml:space="preserve"> positive patients varied between 11.3% and 50% and was higher in melanomas of increasing thickness, independent of the primary site of the tumour. </w:t>
      </w:r>
      <w:r w:rsidRPr="00872569">
        <w:rPr>
          <w:szCs w:val="24"/>
        </w:rPr>
        <w:t xml:space="preserve">ESC noted that the false negative rates (defined as </w:t>
      </w:r>
      <w:r>
        <w:rPr>
          <w:szCs w:val="24"/>
        </w:rPr>
        <w:t>SLNB</w:t>
      </w:r>
      <w:r w:rsidRPr="00872569">
        <w:rPr>
          <w:szCs w:val="24"/>
        </w:rPr>
        <w:t xml:space="preserve"> negative patients who had </w:t>
      </w:r>
      <w:r w:rsidRPr="00872569">
        <w:rPr>
          <w:szCs w:val="24"/>
        </w:rPr>
        <w:lastRenderedPageBreak/>
        <w:t xml:space="preserve">regional recurrence on follow-up) ranged from 8.5% to 39.6%, but were uniformly higher in </w:t>
      </w:r>
      <w:r>
        <w:rPr>
          <w:szCs w:val="24"/>
        </w:rPr>
        <w:t xml:space="preserve">patients with melanomas </w:t>
      </w:r>
      <w:r w:rsidRPr="00872569">
        <w:rPr>
          <w:szCs w:val="24"/>
        </w:rPr>
        <w:t xml:space="preserve">of </w:t>
      </w:r>
      <w:r>
        <w:rPr>
          <w:szCs w:val="24"/>
        </w:rPr>
        <w:t xml:space="preserve">the </w:t>
      </w:r>
      <w:r w:rsidRPr="00872569">
        <w:rPr>
          <w:szCs w:val="24"/>
        </w:rPr>
        <w:t xml:space="preserve">head and neck. </w:t>
      </w:r>
      <w:r w:rsidRPr="00872569">
        <w:rPr>
          <w:szCs w:val="24"/>
          <w:lang w:val="en-US"/>
        </w:rPr>
        <w:t xml:space="preserve">ESC considered that the variation in the rates of false negatives may also be </w:t>
      </w:r>
      <w:r>
        <w:rPr>
          <w:szCs w:val="24"/>
          <w:lang w:val="en-US"/>
        </w:rPr>
        <w:t>related to</w:t>
      </w:r>
      <w:r w:rsidRPr="00872569">
        <w:rPr>
          <w:szCs w:val="24"/>
          <w:lang w:val="en-US"/>
        </w:rPr>
        <w:t xml:space="preserve"> clinical experience.</w:t>
      </w:r>
    </w:p>
    <w:p w14:paraId="25CA45F0" w14:textId="0B86A297" w:rsidR="00A028D0" w:rsidRDefault="00A028D0" w:rsidP="00810867">
      <w:pPr>
        <w:spacing w:after="240"/>
        <w:rPr>
          <w:szCs w:val="24"/>
          <w:lang w:val="en-US"/>
        </w:rPr>
      </w:pPr>
      <w:r w:rsidRPr="00872569">
        <w:rPr>
          <w:szCs w:val="24"/>
          <w:lang w:val="en-US"/>
        </w:rPr>
        <w:t>ESC noted that effectiveness data were presented from the MLST-I randomised controlled trial (Morton DL et al 2014), 10 retrospective cohort studies and one systematic review. ESC noted that the MLST-I trial was assessed to be at low risk of bias, whereas the cohort studies were at high risk of bias.</w:t>
      </w:r>
    </w:p>
    <w:p w14:paraId="3623BD21" w14:textId="7142E502" w:rsidR="00A028D0" w:rsidRDefault="00A028D0" w:rsidP="00810867">
      <w:pPr>
        <w:spacing w:after="240"/>
        <w:rPr>
          <w:szCs w:val="24"/>
          <w:lang w:val="en-US"/>
        </w:rPr>
      </w:pPr>
      <w:r w:rsidRPr="00872569">
        <w:rPr>
          <w:szCs w:val="24"/>
          <w:lang w:val="en-US"/>
        </w:rPr>
        <w:t>ESC noted that in the MLST-I study patients were randomised to WLE+</w:t>
      </w:r>
      <w:r>
        <w:rPr>
          <w:szCs w:val="24"/>
          <w:lang w:val="en-US"/>
        </w:rPr>
        <w:t>SLNB</w:t>
      </w:r>
      <w:r w:rsidRPr="00872569">
        <w:rPr>
          <w:szCs w:val="24"/>
          <w:lang w:val="en-US"/>
        </w:rPr>
        <w:t xml:space="preserve"> or </w:t>
      </w:r>
      <w:proofErr w:type="spellStart"/>
      <w:r w:rsidRPr="00872569">
        <w:rPr>
          <w:szCs w:val="24"/>
          <w:lang w:val="en-US"/>
        </w:rPr>
        <w:t>WLE+surveillance</w:t>
      </w:r>
      <w:proofErr w:type="spellEnd"/>
      <w:r w:rsidRPr="00872569">
        <w:rPr>
          <w:szCs w:val="24"/>
          <w:lang w:val="en-US"/>
        </w:rPr>
        <w:t xml:space="preserve"> (hereafter WL</w:t>
      </w:r>
      <w:r>
        <w:rPr>
          <w:szCs w:val="24"/>
          <w:lang w:val="en-US"/>
        </w:rPr>
        <w:t>E</w:t>
      </w:r>
      <w:r w:rsidRPr="00872569">
        <w:rPr>
          <w:szCs w:val="24"/>
          <w:lang w:val="en-US"/>
        </w:rPr>
        <w:t xml:space="preserve"> alone). ESC noted that patients in the WLE+</w:t>
      </w:r>
      <w:r>
        <w:rPr>
          <w:szCs w:val="24"/>
          <w:lang w:val="en-US"/>
        </w:rPr>
        <w:t>SLNB</w:t>
      </w:r>
      <w:r w:rsidRPr="00872569">
        <w:rPr>
          <w:szCs w:val="24"/>
          <w:lang w:val="en-US"/>
        </w:rPr>
        <w:t xml:space="preserve"> arm who tested positive underwent immediate CLND.</w:t>
      </w:r>
    </w:p>
    <w:p w14:paraId="7CC53607" w14:textId="0ACC3542" w:rsidR="00A028D0" w:rsidRDefault="00A028D0" w:rsidP="00810867">
      <w:pPr>
        <w:spacing w:after="240"/>
        <w:rPr>
          <w:szCs w:val="24"/>
          <w:lang w:val="en-US"/>
        </w:rPr>
      </w:pPr>
      <w:r w:rsidRPr="00872569">
        <w:rPr>
          <w:szCs w:val="24"/>
          <w:lang w:val="en-US"/>
        </w:rPr>
        <w:t xml:space="preserve">ESC noted that in the MLST-I trial SLNB </w:t>
      </w:r>
      <w:r>
        <w:rPr>
          <w:szCs w:val="24"/>
          <w:lang w:val="en-US"/>
        </w:rPr>
        <w:t xml:space="preserve">(+ CLND) </w:t>
      </w:r>
      <w:r w:rsidRPr="00872569">
        <w:rPr>
          <w:szCs w:val="24"/>
          <w:lang w:val="en-US"/>
        </w:rPr>
        <w:t>was not associated with improvement in overall survival, melanoma-specific survival, or cumulative incidence of non-sentinel lymph node metastases in either population. ESC noted that an intention-to-treat analysis of the same data (</w:t>
      </w:r>
      <w:proofErr w:type="spellStart"/>
      <w:r w:rsidRPr="00872569">
        <w:rPr>
          <w:szCs w:val="24"/>
          <w:lang w:val="en-US"/>
        </w:rPr>
        <w:t>Kyrgidis</w:t>
      </w:r>
      <w:proofErr w:type="spellEnd"/>
      <w:r w:rsidRPr="00872569">
        <w:rPr>
          <w:szCs w:val="24"/>
          <w:lang w:val="en-US"/>
        </w:rPr>
        <w:t xml:space="preserve"> A et al 2015) came to similar conclusions.</w:t>
      </w:r>
    </w:p>
    <w:p w14:paraId="5F736B1D" w14:textId="010DE517" w:rsidR="00A028D0" w:rsidRDefault="00A028D0" w:rsidP="00810867">
      <w:pPr>
        <w:spacing w:after="240"/>
        <w:rPr>
          <w:szCs w:val="24"/>
          <w:lang w:val="en-US"/>
        </w:rPr>
      </w:pPr>
      <w:r w:rsidRPr="00872569">
        <w:rPr>
          <w:szCs w:val="24"/>
          <w:lang w:val="en-US"/>
        </w:rPr>
        <w:t>ESC noted that in a per</w:t>
      </w:r>
      <w:r>
        <w:rPr>
          <w:szCs w:val="24"/>
          <w:lang w:val="en-US"/>
        </w:rPr>
        <w:t>-</w:t>
      </w:r>
      <w:r w:rsidRPr="00872569">
        <w:rPr>
          <w:szCs w:val="24"/>
          <w:lang w:val="en-US"/>
        </w:rPr>
        <w:t xml:space="preserve">protocol analysis of the MLST-I data, disease-free survival was significantly higher at 10 years in the WLE+SLNB group compared to the WLE alone group, but that the difference </w:t>
      </w:r>
      <w:r>
        <w:rPr>
          <w:szCs w:val="24"/>
          <w:lang w:val="en-US"/>
        </w:rPr>
        <w:t>was almost entirely attributable to lower regional lymph node recurrences</w:t>
      </w:r>
      <w:r w:rsidRPr="00872569">
        <w:rPr>
          <w:szCs w:val="24"/>
          <w:lang w:val="en-US"/>
        </w:rPr>
        <w:t xml:space="preserve"> </w:t>
      </w:r>
      <w:r>
        <w:rPr>
          <w:szCs w:val="24"/>
          <w:lang w:val="en-US"/>
        </w:rPr>
        <w:t>in</w:t>
      </w:r>
      <w:r w:rsidRPr="00872569">
        <w:rPr>
          <w:szCs w:val="24"/>
          <w:lang w:val="en-US"/>
        </w:rPr>
        <w:t xml:space="preserve"> patients with positive SLN</w:t>
      </w:r>
      <w:r w:rsidR="00576F68">
        <w:rPr>
          <w:szCs w:val="24"/>
          <w:lang w:val="en-US"/>
        </w:rPr>
        <w:t>B</w:t>
      </w:r>
      <w:r w:rsidRPr="00872569">
        <w:rPr>
          <w:szCs w:val="24"/>
          <w:lang w:val="en-US"/>
        </w:rPr>
        <w:t xml:space="preserve"> in the WLE+SLNB group </w:t>
      </w:r>
      <w:r>
        <w:rPr>
          <w:szCs w:val="24"/>
          <w:lang w:val="en-US"/>
        </w:rPr>
        <w:t>who underwent</w:t>
      </w:r>
      <w:r w:rsidR="00810867">
        <w:rPr>
          <w:szCs w:val="24"/>
          <w:lang w:val="en-US"/>
        </w:rPr>
        <w:t xml:space="preserve"> CLND following SLNB.</w:t>
      </w:r>
    </w:p>
    <w:p w14:paraId="7D529FCA" w14:textId="10742942" w:rsidR="00A028D0" w:rsidRDefault="00A028D0" w:rsidP="00810867">
      <w:pPr>
        <w:spacing w:after="240"/>
        <w:rPr>
          <w:szCs w:val="24"/>
          <w:lang w:val="en-US"/>
        </w:rPr>
      </w:pPr>
      <w:r w:rsidRPr="00872569">
        <w:rPr>
          <w:szCs w:val="24"/>
          <w:lang w:val="en-US"/>
        </w:rPr>
        <w:t xml:space="preserve">ESC noted two </w:t>
      </w:r>
      <w:r>
        <w:rPr>
          <w:szCs w:val="24"/>
          <w:lang w:val="en-US"/>
        </w:rPr>
        <w:t>RCTs of</w:t>
      </w:r>
      <w:r w:rsidRPr="00872569">
        <w:rPr>
          <w:szCs w:val="24"/>
          <w:lang w:val="en-US"/>
        </w:rPr>
        <w:t xml:space="preserve"> CLND following a positive </w:t>
      </w:r>
      <w:r>
        <w:rPr>
          <w:szCs w:val="24"/>
          <w:lang w:val="en-US"/>
        </w:rPr>
        <w:t>SLNB</w:t>
      </w:r>
      <w:r w:rsidRPr="00872569">
        <w:rPr>
          <w:szCs w:val="24"/>
          <w:lang w:val="en-US"/>
        </w:rPr>
        <w:t xml:space="preserve"> that provided additional information but did not meet the inclusion criteria from the submission. In the </w:t>
      </w:r>
      <w:proofErr w:type="spellStart"/>
      <w:r w:rsidRPr="00872569">
        <w:rPr>
          <w:szCs w:val="24"/>
          <w:lang w:val="en-US"/>
        </w:rPr>
        <w:t>DeCOG</w:t>
      </w:r>
      <w:proofErr w:type="spellEnd"/>
      <w:r w:rsidRPr="00872569">
        <w:rPr>
          <w:szCs w:val="24"/>
          <w:lang w:val="en-US"/>
        </w:rPr>
        <w:t>-SLT study survival curves were identical for patients who did or did not have CLND after a positive SLNB (Leiter U et</w:t>
      </w:r>
      <w:r w:rsidR="00064019">
        <w:rPr>
          <w:szCs w:val="24"/>
          <w:lang w:val="en-US"/>
        </w:rPr>
        <w:t xml:space="preserve"> al 2016). Similarly, the MSLT-</w:t>
      </w:r>
      <w:r w:rsidRPr="00872569">
        <w:rPr>
          <w:szCs w:val="24"/>
          <w:lang w:val="en-US"/>
        </w:rPr>
        <w:t xml:space="preserve">I study also found no difference in survival rates. ESC noted that there were limitations associated with both these studies; the </w:t>
      </w:r>
      <w:proofErr w:type="spellStart"/>
      <w:r w:rsidRPr="00872569">
        <w:rPr>
          <w:szCs w:val="24"/>
          <w:lang w:val="en-US"/>
        </w:rPr>
        <w:t>DeCOG</w:t>
      </w:r>
      <w:proofErr w:type="spellEnd"/>
      <w:r w:rsidRPr="00872569">
        <w:rPr>
          <w:szCs w:val="24"/>
          <w:lang w:val="en-US"/>
        </w:rPr>
        <w:t xml:space="preserve">-SLT study excluded patients with head and neck </w:t>
      </w:r>
      <w:r>
        <w:rPr>
          <w:szCs w:val="24"/>
          <w:lang w:val="en-US"/>
        </w:rPr>
        <w:t>melanomas</w:t>
      </w:r>
      <w:r w:rsidRPr="00872569">
        <w:rPr>
          <w:szCs w:val="24"/>
          <w:lang w:val="en-US"/>
        </w:rPr>
        <w:t xml:space="preserve"> </w:t>
      </w:r>
      <w:r>
        <w:rPr>
          <w:szCs w:val="24"/>
          <w:lang w:val="en-US"/>
        </w:rPr>
        <w:t>(</w:t>
      </w:r>
      <w:r w:rsidRPr="00872569">
        <w:rPr>
          <w:szCs w:val="24"/>
          <w:lang w:val="en-US"/>
        </w:rPr>
        <w:t>that is those at highest risk of false negative biopsies</w:t>
      </w:r>
      <w:r>
        <w:rPr>
          <w:szCs w:val="24"/>
          <w:lang w:val="en-US"/>
        </w:rPr>
        <w:t>)</w:t>
      </w:r>
      <w:r w:rsidRPr="00872569">
        <w:rPr>
          <w:szCs w:val="24"/>
          <w:lang w:val="en-US"/>
        </w:rPr>
        <w:t xml:space="preserve">; and in both studies, approximately two thirds of patients had very small </w:t>
      </w:r>
      <w:r>
        <w:rPr>
          <w:szCs w:val="24"/>
          <w:lang w:val="en-US"/>
        </w:rPr>
        <w:t xml:space="preserve">SLN </w:t>
      </w:r>
      <w:r w:rsidRPr="00872569">
        <w:rPr>
          <w:szCs w:val="24"/>
          <w:lang w:val="en-US"/>
        </w:rPr>
        <w:t>tumour burden. ESC considered that this introduced uncertainty as to the applicability of the findings to patients with high</w:t>
      </w:r>
      <w:r>
        <w:rPr>
          <w:szCs w:val="24"/>
          <w:lang w:val="en-US"/>
        </w:rPr>
        <w:t>er</w:t>
      </w:r>
      <w:r w:rsidRPr="00872569">
        <w:rPr>
          <w:szCs w:val="24"/>
          <w:lang w:val="en-US"/>
        </w:rPr>
        <w:t xml:space="preserve"> SLN burden.</w:t>
      </w:r>
    </w:p>
    <w:p w14:paraId="6C13578B" w14:textId="393765C3" w:rsidR="00A028D0" w:rsidRDefault="00A028D0" w:rsidP="00810867">
      <w:pPr>
        <w:spacing w:after="240"/>
        <w:rPr>
          <w:szCs w:val="24"/>
          <w:lang w:val="en-US"/>
        </w:rPr>
      </w:pPr>
      <w:r w:rsidRPr="00872569">
        <w:rPr>
          <w:szCs w:val="24"/>
          <w:lang w:val="en-US"/>
        </w:rPr>
        <w:t>ESC noted the proposed clinical management algorithm whereby patients with a positive SLNB finding have specialist follow-up (every four months for two years, then annually) and considered that this is less intensive than current recommendations. ESC noted that regarding surveillance of patients who test negative for SLNB and those who have had WLE alone, it was likely that a greater proportion of patients were actually followed up by specialists (76%)</w:t>
      </w:r>
      <w:r>
        <w:rPr>
          <w:szCs w:val="24"/>
          <w:lang w:val="en-US"/>
        </w:rPr>
        <w:t xml:space="preserve"> </w:t>
      </w:r>
      <w:r w:rsidRPr="00872569">
        <w:rPr>
          <w:szCs w:val="24"/>
          <w:lang w:val="en-US"/>
        </w:rPr>
        <w:t xml:space="preserve">than the figure </w:t>
      </w:r>
      <w:r>
        <w:rPr>
          <w:szCs w:val="24"/>
          <w:lang w:val="en-US"/>
        </w:rPr>
        <w:t>assumed</w:t>
      </w:r>
      <w:r w:rsidRPr="00872569">
        <w:rPr>
          <w:szCs w:val="24"/>
          <w:lang w:val="en-US"/>
        </w:rPr>
        <w:t xml:space="preserve"> in the algorithm, and that this had implications for estimated costs.</w:t>
      </w:r>
    </w:p>
    <w:p w14:paraId="078A9565" w14:textId="7222C43B" w:rsidR="00A028D0" w:rsidRDefault="00A028D0" w:rsidP="00810867">
      <w:pPr>
        <w:spacing w:after="240"/>
        <w:rPr>
          <w:szCs w:val="24"/>
          <w:lang w:val="en-US"/>
        </w:rPr>
      </w:pPr>
      <w:r w:rsidRPr="00872569">
        <w:rPr>
          <w:szCs w:val="24"/>
          <w:lang w:val="en-US"/>
        </w:rPr>
        <w:t>ESC noted that in both populations, SLN status is a significant predictor of melanoma-specific survival. As such, ESC considered that SLNB may have prognostic value and have a potential role in the triage of patients to determine the intensity of follow-up treatment, but that this question had not been specifically addressed in the application.</w:t>
      </w:r>
    </w:p>
    <w:p w14:paraId="7E8D09BA" w14:textId="6FE3BC1D" w:rsidR="00A028D0" w:rsidRDefault="00A028D0" w:rsidP="00A028D0">
      <w:pPr>
        <w:rPr>
          <w:szCs w:val="24"/>
          <w:lang w:val="en-US"/>
        </w:rPr>
      </w:pPr>
      <w:r w:rsidRPr="00872569">
        <w:rPr>
          <w:szCs w:val="24"/>
          <w:lang w:val="en-US"/>
        </w:rPr>
        <w:t xml:space="preserve">Despite the evidence that SLNB is in practice guidelines and seems to have become standard of care, ESC thought that considerable uncertainty regarding the clinical effectiveness evidence remains. ESC considered that this then had implications for the economic evaluation. </w:t>
      </w:r>
      <w:r>
        <w:rPr>
          <w:szCs w:val="24"/>
          <w:lang w:val="en-US"/>
        </w:rPr>
        <w:t>ESC also noted recent trials of the adjuvant use of BRAF/MEK and immune checkpoint inhibitors in patients with resected stage III melanoma, and that SLNB positivity may in future become an eligibility criterion for use of these agents, but that all published studies to date required positive CLND as an entry criterion.</w:t>
      </w:r>
    </w:p>
    <w:p w14:paraId="3CF777AE" w14:textId="0EB4A93D" w:rsidR="00A028D0" w:rsidRDefault="00A028D0" w:rsidP="00810867">
      <w:pPr>
        <w:spacing w:after="240"/>
        <w:rPr>
          <w:szCs w:val="24"/>
          <w:lang w:val="en-US"/>
        </w:rPr>
      </w:pPr>
      <w:r w:rsidRPr="00872569">
        <w:rPr>
          <w:szCs w:val="24"/>
          <w:lang w:val="en-US"/>
        </w:rPr>
        <w:lastRenderedPageBreak/>
        <w:t xml:space="preserve">ESC noted that a cost utility analysis had been undertaken, with separate models for intermediate thickness and thick melanomas. </w:t>
      </w:r>
      <w:r>
        <w:rPr>
          <w:szCs w:val="24"/>
          <w:lang w:val="en-US"/>
        </w:rPr>
        <w:t xml:space="preserve"> </w:t>
      </w:r>
      <w:r w:rsidRPr="00872569">
        <w:rPr>
          <w:szCs w:val="24"/>
          <w:lang w:val="en-US"/>
        </w:rPr>
        <w:t xml:space="preserve">ESC noted that cost inputs included in the Australian cost-effectiveness evaluation on which the pre-modelling study was based (Morton RL et al 2009) had been updated. However, ESC noted that some of the unit costs applied had inadequate reporting and were consequently difficult to assess. ESC noted that the cost attributed to </w:t>
      </w:r>
      <w:proofErr w:type="spellStart"/>
      <w:r w:rsidRPr="00872569">
        <w:rPr>
          <w:szCs w:val="24"/>
          <w:lang w:val="en-US"/>
        </w:rPr>
        <w:t>lymphoedema</w:t>
      </w:r>
      <w:proofErr w:type="spellEnd"/>
      <w:r w:rsidRPr="00872569">
        <w:rPr>
          <w:szCs w:val="24"/>
          <w:lang w:val="en-US"/>
        </w:rPr>
        <w:t xml:space="preserve"> was excessive at $24,000 based on current treatment.</w:t>
      </w:r>
    </w:p>
    <w:p w14:paraId="7CB72978" w14:textId="77777777" w:rsidR="00A028D0" w:rsidRPr="00872569" w:rsidRDefault="00A028D0" w:rsidP="00A028D0">
      <w:pPr>
        <w:rPr>
          <w:szCs w:val="24"/>
          <w:lang w:val="en-US"/>
        </w:rPr>
      </w:pPr>
      <w:r w:rsidRPr="00872569">
        <w:rPr>
          <w:szCs w:val="24"/>
          <w:lang w:val="en-US"/>
        </w:rPr>
        <w:t>ESC considered that the economic modelling was too unreliable to be useful for decision-making. ESC considered that:</w:t>
      </w:r>
    </w:p>
    <w:p w14:paraId="19BEE9F1" w14:textId="77777777" w:rsidR="00A028D0" w:rsidRPr="00872569" w:rsidRDefault="00A028D0" w:rsidP="00A028D0">
      <w:pPr>
        <w:pStyle w:val="BodyText"/>
        <w:numPr>
          <w:ilvl w:val="0"/>
          <w:numId w:val="26"/>
        </w:numPr>
        <w:spacing w:after="0" w:line="259" w:lineRule="auto"/>
        <w:ind w:left="714" w:hanging="357"/>
        <w:rPr>
          <w:rFonts w:ascii="Times New Roman" w:hAnsi="Times New Roman" w:cs="Times New Roman"/>
          <w:sz w:val="24"/>
          <w:szCs w:val="24"/>
        </w:rPr>
      </w:pPr>
      <w:r w:rsidRPr="00872569">
        <w:rPr>
          <w:rFonts w:ascii="Times New Roman" w:hAnsi="Times New Roman" w:cs="Times New Roman"/>
          <w:sz w:val="24"/>
          <w:szCs w:val="24"/>
        </w:rPr>
        <w:t>the model had used transition probabilities based on digitised estimates from disease-free survival curves in the Morton DL et al 2014 study, rather than calculating the transitional probabilities from the digitised estimates; this resulted in a large degree of variation between the initial and revised model outcomes (following rectification of the error);</w:t>
      </w:r>
    </w:p>
    <w:p w14:paraId="4C217414" w14:textId="77777777" w:rsidR="00A028D0" w:rsidRPr="00872569" w:rsidRDefault="00A028D0" w:rsidP="00A028D0">
      <w:pPr>
        <w:pStyle w:val="BodyText"/>
        <w:numPr>
          <w:ilvl w:val="0"/>
          <w:numId w:val="26"/>
        </w:numPr>
        <w:spacing w:after="0" w:line="259" w:lineRule="auto"/>
        <w:ind w:left="714" w:hanging="357"/>
        <w:rPr>
          <w:rFonts w:ascii="Times New Roman" w:hAnsi="Times New Roman" w:cs="Times New Roman"/>
          <w:sz w:val="24"/>
          <w:szCs w:val="24"/>
        </w:rPr>
      </w:pPr>
      <w:r w:rsidRPr="00872569">
        <w:rPr>
          <w:rFonts w:ascii="Times New Roman" w:hAnsi="Times New Roman" w:cs="Times New Roman"/>
          <w:sz w:val="24"/>
          <w:szCs w:val="24"/>
        </w:rPr>
        <w:t>modification of the Morton RL et al model to microsimulation to estimate the incremental cost per quality-adjusted life year (QALY) gain of WLE+SLNB compared with WLE alone was unnecessary and standard cohort analysis would have been sufficient;</w:t>
      </w:r>
    </w:p>
    <w:p w14:paraId="3A6EFF94" w14:textId="77777777" w:rsidR="00A028D0" w:rsidRPr="00872569" w:rsidRDefault="00A028D0" w:rsidP="00A028D0">
      <w:pPr>
        <w:pStyle w:val="BodyText"/>
        <w:numPr>
          <w:ilvl w:val="0"/>
          <w:numId w:val="26"/>
        </w:numPr>
        <w:spacing w:after="0" w:line="259" w:lineRule="auto"/>
        <w:ind w:left="714" w:hanging="357"/>
        <w:rPr>
          <w:rFonts w:ascii="Times New Roman" w:hAnsi="Times New Roman" w:cs="Times New Roman"/>
          <w:sz w:val="24"/>
          <w:szCs w:val="24"/>
        </w:rPr>
      </w:pPr>
      <w:r w:rsidRPr="00872569">
        <w:rPr>
          <w:rFonts w:ascii="Times New Roman" w:hAnsi="Times New Roman" w:cs="Times New Roman"/>
          <w:sz w:val="24"/>
          <w:szCs w:val="24"/>
        </w:rPr>
        <w:t>the addition of extra health states to the model had increased the complexity, which had not been adequately justified;</w:t>
      </w:r>
    </w:p>
    <w:p w14:paraId="4F4FA236" w14:textId="77777777" w:rsidR="00A028D0" w:rsidRPr="00872569" w:rsidRDefault="00A028D0" w:rsidP="00A028D0">
      <w:pPr>
        <w:pStyle w:val="BodyText"/>
        <w:numPr>
          <w:ilvl w:val="0"/>
          <w:numId w:val="26"/>
        </w:numPr>
        <w:spacing w:after="0" w:line="259" w:lineRule="auto"/>
        <w:ind w:left="714" w:hanging="357"/>
        <w:rPr>
          <w:rFonts w:ascii="Times New Roman" w:hAnsi="Times New Roman" w:cs="Times New Roman"/>
          <w:sz w:val="24"/>
          <w:szCs w:val="24"/>
        </w:rPr>
      </w:pPr>
      <w:r w:rsidRPr="00872569">
        <w:rPr>
          <w:rFonts w:ascii="Times New Roman" w:hAnsi="Times New Roman" w:cs="Times New Roman"/>
          <w:sz w:val="24"/>
          <w:szCs w:val="24"/>
        </w:rPr>
        <w:t>there was no pathway in the model to test the specificity of SLNB, which ESC considered to be a major driver of effectiveness, although this pathway had been included in the Morton RL et al model where patients with intermediate thickness melanoma and a false negative finding on SLNB had poorer melanoma-specific survival outcomes;</w:t>
      </w:r>
    </w:p>
    <w:p w14:paraId="3D0EDC77" w14:textId="77777777" w:rsidR="00A028D0" w:rsidRPr="00872569" w:rsidRDefault="00A028D0" w:rsidP="00A028D0">
      <w:pPr>
        <w:pStyle w:val="BodyText"/>
        <w:numPr>
          <w:ilvl w:val="0"/>
          <w:numId w:val="26"/>
        </w:numPr>
        <w:spacing w:after="0" w:line="259" w:lineRule="auto"/>
        <w:ind w:left="714" w:hanging="357"/>
        <w:rPr>
          <w:rFonts w:ascii="Times New Roman" w:hAnsi="Times New Roman" w:cs="Times New Roman"/>
          <w:sz w:val="24"/>
          <w:szCs w:val="24"/>
        </w:rPr>
      </w:pPr>
      <w:r w:rsidRPr="00872569">
        <w:rPr>
          <w:rFonts w:ascii="Times New Roman" w:hAnsi="Times New Roman" w:cs="Times New Roman"/>
          <w:sz w:val="24"/>
          <w:szCs w:val="24"/>
        </w:rPr>
        <w:t>the same utilities had been applied for both populations, irrespective of the effect of melanoma thickness on quality of life, and the use of multiple sources for the utility estimates resulted in logical inconsistencies; for example, the lower boundary of the utility values for Stage II melanoma was lower than that for Stage IV;</w:t>
      </w:r>
    </w:p>
    <w:p w14:paraId="7E2C9BD1" w14:textId="77777777" w:rsidR="00A028D0" w:rsidRPr="00872569" w:rsidRDefault="00A028D0" w:rsidP="00A028D0">
      <w:pPr>
        <w:pStyle w:val="BodyText"/>
        <w:numPr>
          <w:ilvl w:val="0"/>
          <w:numId w:val="26"/>
        </w:numPr>
        <w:spacing w:after="160" w:line="259" w:lineRule="auto"/>
        <w:ind w:left="714" w:hanging="357"/>
        <w:rPr>
          <w:rFonts w:ascii="Times New Roman" w:hAnsi="Times New Roman" w:cs="Times New Roman"/>
          <w:sz w:val="24"/>
          <w:szCs w:val="24"/>
        </w:rPr>
      </w:pPr>
      <w:proofErr w:type="gramStart"/>
      <w:r w:rsidRPr="00872569">
        <w:rPr>
          <w:rFonts w:ascii="Times New Roman" w:hAnsi="Times New Roman" w:cs="Times New Roman"/>
          <w:sz w:val="24"/>
          <w:szCs w:val="24"/>
        </w:rPr>
        <w:t>although</w:t>
      </w:r>
      <w:proofErr w:type="gramEnd"/>
      <w:r w:rsidRPr="00872569">
        <w:rPr>
          <w:rFonts w:ascii="Times New Roman" w:hAnsi="Times New Roman" w:cs="Times New Roman"/>
          <w:sz w:val="24"/>
          <w:szCs w:val="24"/>
        </w:rPr>
        <w:t xml:space="preserve"> in the MSLT-I trial all patients with a positive SLNB had undergone immediate CLND, around 20% of patients would now have this procedure, whereas in the model half the patients in the cohort underwent the surgery.</w:t>
      </w:r>
    </w:p>
    <w:p w14:paraId="106291EC" w14:textId="77777777" w:rsidR="00A028D0" w:rsidRPr="00872569" w:rsidRDefault="00A028D0" w:rsidP="00A028D0">
      <w:pPr>
        <w:rPr>
          <w:szCs w:val="24"/>
          <w:lang w:val="en-US"/>
        </w:rPr>
      </w:pPr>
      <w:r w:rsidRPr="00872569">
        <w:rPr>
          <w:szCs w:val="24"/>
          <w:lang w:val="en-US"/>
        </w:rPr>
        <w:t>In summary, ESC considered that although the economic evaluation in the revised submission suggested that WLE+</w:t>
      </w:r>
      <w:r>
        <w:rPr>
          <w:szCs w:val="24"/>
          <w:lang w:val="en-US"/>
        </w:rPr>
        <w:t>SLNB</w:t>
      </w:r>
      <w:r w:rsidRPr="00872569">
        <w:rPr>
          <w:szCs w:val="24"/>
          <w:lang w:val="en-US"/>
        </w:rPr>
        <w:t xml:space="preserve"> was cost-effective compared with WLE alone for patients with intermediate thickness melanoma, the findings were unreliable due to the difference in model outcomes between the initial and revised submissions; and the difference in the findings between the submissions and the evaluation performed in the critique.</w:t>
      </w:r>
    </w:p>
    <w:p w14:paraId="72AB9015" w14:textId="021041B7" w:rsidR="00A028D0" w:rsidRDefault="00A028D0" w:rsidP="00810867">
      <w:pPr>
        <w:spacing w:before="240" w:after="240"/>
        <w:rPr>
          <w:szCs w:val="24"/>
          <w:lang w:val="en-US"/>
        </w:rPr>
      </w:pPr>
      <w:r w:rsidRPr="00872569">
        <w:rPr>
          <w:szCs w:val="24"/>
          <w:lang w:val="en-US"/>
        </w:rPr>
        <w:t>ESC noted that an epidemiological approach had been taken to estimate the financial implications of the i</w:t>
      </w:r>
      <w:r w:rsidR="00810867">
        <w:rPr>
          <w:szCs w:val="24"/>
          <w:lang w:val="en-US"/>
        </w:rPr>
        <w:t>ntroduction of SLNB on the MBS.</w:t>
      </w:r>
    </w:p>
    <w:p w14:paraId="73592E7E" w14:textId="30B99F4B" w:rsidR="00A028D0" w:rsidRDefault="00A028D0" w:rsidP="00A028D0">
      <w:pPr>
        <w:rPr>
          <w:szCs w:val="24"/>
          <w:lang w:val="en-US"/>
        </w:rPr>
      </w:pPr>
      <w:r w:rsidRPr="00872569">
        <w:rPr>
          <w:szCs w:val="24"/>
          <w:lang w:val="en-US"/>
        </w:rPr>
        <w:t xml:space="preserve">ESC noted that as current data on utilisation rates had not been located, two studies were used to estimate utilisation rates in the Australian population (van der </w:t>
      </w:r>
      <w:proofErr w:type="spellStart"/>
      <w:r w:rsidRPr="00872569">
        <w:rPr>
          <w:szCs w:val="24"/>
          <w:lang w:val="en-US"/>
        </w:rPr>
        <w:t>Ploeg</w:t>
      </w:r>
      <w:proofErr w:type="spellEnd"/>
      <w:r w:rsidRPr="00872569">
        <w:rPr>
          <w:szCs w:val="24"/>
          <w:lang w:val="en-US"/>
        </w:rPr>
        <w:t xml:space="preserve"> IM et al 2014 and </w:t>
      </w:r>
      <w:proofErr w:type="spellStart"/>
      <w:r w:rsidRPr="00872569">
        <w:rPr>
          <w:szCs w:val="24"/>
          <w:lang w:val="en-US"/>
        </w:rPr>
        <w:t>Varey</w:t>
      </w:r>
      <w:proofErr w:type="spellEnd"/>
      <w:r w:rsidRPr="00872569">
        <w:rPr>
          <w:szCs w:val="24"/>
          <w:lang w:val="en-US"/>
        </w:rPr>
        <w:t xml:space="preserve"> AHR et al 2017). </w:t>
      </w:r>
      <w:r>
        <w:rPr>
          <w:szCs w:val="24"/>
          <w:lang w:val="en-US"/>
        </w:rPr>
        <w:t>SLNB</w:t>
      </w:r>
      <w:r w:rsidRPr="00872569">
        <w:rPr>
          <w:szCs w:val="24"/>
          <w:lang w:val="en-US"/>
        </w:rPr>
        <w:t xml:space="preserve"> utilisation data from van der </w:t>
      </w:r>
      <w:proofErr w:type="spellStart"/>
      <w:r w:rsidRPr="00872569">
        <w:rPr>
          <w:szCs w:val="24"/>
          <w:lang w:val="en-US"/>
        </w:rPr>
        <w:t>Ploeg</w:t>
      </w:r>
      <w:proofErr w:type="spellEnd"/>
      <w:r w:rsidRPr="00872569">
        <w:rPr>
          <w:szCs w:val="24"/>
          <w:lang w:val="en-US"/>
        </w:rPr>
        <w:t xml:space="preserve"> IM et al (2014) were selected for the base case (55% for intermediate melanoma; 51% for thick melanoma) and a rate of 45% (</w:t>
      </w:r>
      <w:proofErr w:type="spellStart"/>
      <w:r w:rsidRPr="00872569">
        <w:rPr>
          <w:szCs w:val="24"/>
          <w:lang w:val="en-US"/>
        </w:rPr>
        <w:t>Varey</w:t>
      </w:r>
      <w:proofErr w:type="spellEnd"/>
      <w:r w:rsidRPr="00872569">
        <w:rPr>
          <w:szCs w:val="24"/>
          <w:lang w:val="en-US"/>
        </w:rPr>
        <w:t xml:space="preserve"> AHR et al 2017) was used in the sensitivity analysis. ESC considered that the rates were a source of uncertainty, and that listing of the item could potentially increase use.</w:t>
      </w:r>
    </w:p>
    <w:p w14:paraId="67652ED0" w14:textId="3E5EFE02" w:rsidR="00A028D0" w:rsidRPr="00872569" w:rsidRDefault="00A028D0" w:rsidP="00810867">
      <w:pPr>
        <w:spacing w:after="240"/>
        <w:rPr>
          <w:szCs w:val="24"/>
          <w:lang w:val="en-US"/>
        </w:rPr>
      </w:pPr>
      <w:r w:rsidRPr="00872569">
        <w:rPr>
          <w:szCs w:val="24"/>
          <w:lang w:val="en-US"/>
        </w:rPr>
        <w:lastRenderedPageBreak/>
        <w:t xml:space="preserve">ESC noted that the number of services had been estimated at ~2200 to ~2400 cases per year over a five year period, resulting in total direct costs of ~$1.1 million to ~$1.2 million and total costs to the MBS of ~$12 million to ~$13 million. ESC noted that several MBS funded medical services are already in use in association with </w:t>
      </w:r>
      <w:r>
        <w:rPr>
          <w:szCs w:val="24"/>
          <w:lang w:val="en-US"/>
        </w:rPr>
        <w:t>SLNB</w:t>
      </w:r>
      <w:r w:rsidRPr="00872569">
        <w:rPr>
          <w:szCs w:val="24"/>
          <w:lang w:val="en-US"/>
        </w:rPr>
        <w:t xml:space="preserve">, and that the financial estimates had not identified a potential reduction in use of these items which had likely overestimated </w:t>
      </w:r>
      <w:r w:rsidR="00810867">
        <w:rPr>
          <w:szCs w:val="24"/>
          <w:lang w:val="en-US"/>
        </w:rPr>
        <w:t>the financial costs to the MBS.</w:t>
      </w:r>
    </w:p>
    <w:p w14:paraId="3BD98F8F" w14:textId="22CB9D8A" w:rsidR="00A028D0" w:rsidRDefault="00A028D0" w:rsidP="00810867">
      <w:pPr>
        <w:spacing w:after="240"/>
        <w:rPr>
          <w:szCs w:val="24"/>
          <w:lang w:val="en-US"/>
        </w:rPr>
      </w:pPr>
      <w:r w:rsidRPr="00872569">
        <w:rPr>
          <w:szCs w:val="24"/>
          <w:lang w:val="en-US"/>
        </w:rPr>
        <w:t>ESC noted that the item descriptor currently states that SLNB should be performed following e</w:t>
      </w:r>
      <w:r w:rsidR="00064019">
        <w:rPr>
          <w:szCs w:val="24"/>
          <w:lang w:val="en-US"/>
        </w:rPr>
        <w:t>xcision of the primary lesion</w:t>
      </w:r>
      <w:r w:rsidRPr="00872569">
        <w:rPr>
          <w:szCs w:val="24"/>
          <w:lang w:val="en-US"/>
        </w:rPr>
        <w:t>. ESC considered that this should be modified to clarify that SLNB should be performed at the time of WLE to avoid potential di</w:t>
      </w:r>
      <w:r w:rsidR="00810867">
        <w:rPr>
          <w:szCs w:val="24"/>
          <w:lang w:val="en-US"/>
        </w:rPr>
        <w:t>sruption of lymphatic drainage.</w:t>
      </w:r>
    </w:p>
    <w:p w14:paraId="5703B1CB" w14:textId="0C02FAB2" w:rsidR="00A028D0" w:rsidRDefault="00A028D0" w:rsidP="00810867">
      <w:pPr>
        <w:spacing w:after="240"/>
        <w:rPr>
          <w:szCs w:val="24"/>
          <w:lang w:val="en-US"/>
        </w:rPr>
      </w:pPr>
      <w:r w:rsidRPr="00872569">
        <w:rPr>
          <w:szCs w:val="24"/>
          <w:lang w:val="en-US"/>
        </w:rPr>
        <w:t>ESC noted that the proposed item descriptor limited the procedure to one lesion per patient, and considered the claim by the applicant that this limit was unreasonable as it is not uncommon for positive SLN</w:t>
      </w:r>
      <w:r w:rsidR="00576F68">
        <w:rPr>
          <w:szCs w:val="24"/>
          <w:lang w:val="en-US"/>
        </w:rPr>
        <w:t>B</w:t>
      </w:r>
      <w:r w:rsidRPr="00872569">
        <w:rPr>
          <w:szCs w:val="24"/>
          <w:lang w:val="en-US"/>
        </w:rPr>
        <w:t xml:space="preserve"> to be found in more than one location in a patient. ESC noted the estimates in the revised assessment (20% of patients would have two basins affected). ESC considered that the item should not be restricted to one billing per occasion, and that consequently the multiple opera</w:t>
      </w:r>
      <w:r w:rsidR="00810867">
        <w:rPr>
          <w:szCs w:val="24"/>
          <w:lang w:val="en-US"/>
        </w:rPr>
        <w:t>tions rule might be applicable.</w:t>
      </w:r>
    </w:p>
    <w:p w14:paraId="7FAC81AC" w14:textId="57642048" w:rsidR="00A028D0" w:rsidRPr="00810867" w:rsidRDefault="00A028D0" w:rsidP="00810867">
      <w:pPr>
        <w:spacing w:after="240"/>
        <w:rPr>
          <w:szCs w:val="24"/>
          <w:lang w:val="en-US"/>
        </w:rPr>
      </w:pPr>
      <w:r w:rsidRPr="00872569">
        <w:rPr>
          <w:szCs w:val="24"/>
          <w:lang w:val="en-US"/>
        </w:rPr>
        <w:t xml:space="preserve">ESC considered separate items for intermediate and thick melanoma might be helpful for monitoring usage and </w:t>
      </w:r>
      <w:r>
        <w:rPr>
          <w:szCs w:val="24"/>
          <w:lang w:val="en-US"/>
        </w:rPr>
        <w:t xml:space="preserve">might </w:t>
      </w:r>
      <w:r w:rsidRPr="00872569">
        <w:rPr>
          <w:szCs w:val="24"/>
          <w:lang w:val="en-US"/>
        </w:rPr>
        <w:t>also allow a comparison of fees for consumers. ESC noted that the proposed fee is the same as for patients undergoing SLNB for breast cancer (MBS item 30299). ESC also considered that a 75% ($478.10) benefit would apply to the item as it is an in-hospital procedure, which is the same as for MBS item 30299.</w:t>
      </w:r>
    </w:p>
    <w:p w14:paraId="17F79262" w14:textId="77777777" w:rsidR="00531BFE" w:rsidRPr="00531BFE" w:rsidRDefault="00A028D0" w:rsidP="00531BFE">
      <w:pPr>
        <w:autoSpaceDE w:val="0"/>
        <w:autoSpaceDN w:val="0"/>
        <w:spacing w:before="40" w:after="40"/>
      </w:pPr>
      <w:r w:rsidRPr="00872569">
        <w:rPr>
          <w:szCs w:val="24"/>
        </w:rPr>
        <w:t xml:space="preserve">ESC noted that although the procedure provides </w:t>
      </w:r>
      <w:r>
        <w:rPr>
          <w:szCs w:val="24"/>
        </w:rPr>
        <w:t>prognostic</w:t>
      </w:r>
      <w:r w:rsidRPr="00872569">
        <w:rPr>
          <w:szCs w:val="24"/>
        </w:rPr>
        <w:t xml:space="preserve"> information it does not impact </w:t>
      </w:r>
      <w:r w:rsidRPr="00531BFE">
        <w:t>outcomes, and could potentially raise consumer expect</w:t>
      </w:r>
      <w:r w:rsidR="00531BFE">
        <w:t>ations about improved survival.</w:t>
      </w:r>
    </w:p>
    <w:p w14:paraId="0FB7667D" w14:textId="77777777" w:rsidR="00D90A38" w:rsidRPr="00F715D1" w:rsidRDefault="00BC1364" w:rsidP="00F715D1">
      <w:pPr>
        <w:pStyle w:val="Heading1"/>
      </w:pPr>
      <w:r w:rsidRPr="00F715D1">
        <w:t>Other significant factors</w:t>
      </w:r>
    </w:p>
    <w:p w14:paraId="09E37552" w14:textId="304D7B23" w:rsidR="00BC1364" w:rsidRPr="00531BFE" w:rsidRDefault="00531BFE" w:rsidP="00F715D1">
      <w:pPr>
        <w:spacing w:after="240"/>
        <w:rPr>
          <w:szCs w:val="24"/>
        </w:rPr>
      </w:pPr>
      <w:r w:rsidRPr="00531BFE">
        <w:rPr>
          <w:szCs w:val="24"/>
        </w:rPr>
        <w:t xml:space="preserve">The 2008 Clinical Practice Guidelines for the Management of Melanoma in Australia and New Zealand (Cancer Council Australia and Australian Cancer Network 2008) </w:t>
      </w:r>
      <w:r w:rsidR="004D6DB4">
        <w:rPr>
          <w:szCs w:val="24"/>
        </w:rPr>
        <w:t xml:space="preserve">were recently </w:t>
      </w:r>
      <w:r w:rsidRPr="00531BFE">
        <w:rPr>
          <w:szCs w:val="24"/>
        </w:rPr>
        <w:t>updated (</w:t>
      </w:r>
      <w:proofErr w:type="spellStart"/>
      <w:r w:rsidRPr="00531BFE">
        <w:rPr>
          <w:szCs w:val="24"/>
        </w:rPr>
        <w:t>Gyorki</w:t>
      </w:r>
      <w:proofErr w:type="spellEnd"/>
      <w:r w:rsidRPr="00531BFE">
        <w:rPr>
          <w:szCs w:val="24"/>
        </w:rPr>
        <w:t xml:space="preserve">, Teddy et al. 2017), and their recommendations regarding SLNB </w:t>
      </w:r>
      <w:r w:rsidR="004D6DB4">
        <w:rPr>
          <w:szCs w:val="24"/>
        </w:rPr>
        <w:t xml:space="preserve">are expected to </w:t>
      </w:r>
      <w:r w:rsidRPr="00531BFE">
        <w:rPr>
          <w:szCs w:val="24"/>
        </w:rPr>
        <w:t>directly affect the utilisation of the service and associated interventions.</w:t>
      </w:r>
    </w:p>
    <w:p w14:paraId="76188F32" w14:textId="77777777" w:rsidR="00BC1364" w:rsidRPr="00F715D1" w:rsidRDefault="00BC1364" w:rsidP="00F715D1">
      <w:pPr>
        <w:pStyle w:val="Heading1"/>
      </w:pPr>
      <w:r w:rsidRPr="00F715D1">
        <w:t xml:space="preserve">Applicant’s comments on MSAC’s </w:t>
      </w:r>
      <w:r w:rsidR="00DA56AA" w:rsidRPr="00F715D1">
        <w:t>Public Summary Document</w:t>
      </w:r>
    </w:p>
    <w:p w14:paraId="273A6B26" w14:textId="572A086A" w:rsidR="00BC1364" w:rsidRPr="00AB4CE1" w:rsidRDefault="00AB4CE1" w:rsidP="00F715D1">
      <w:pPr>
        <w:spacing w:after="240"/>
        <w:rPr>
          <w:szCs w:val="24"/>
        </w:rPr>
      </w:pPr>
      <w:r w:rsidRPr="00AB4CE1">
        <w:rPr>
          <w:szCs w:val="24"/>
        </w:rPr>
        <w:t>The applicant had no comment.</w:t>
      </w:r>
    </w:p>
    <w:p w14:paraId="072D5F8F" w14:textId="77777777" w:rsidR="00BC1364" w:rsidRPr="00F715D1" w:rsidRDefault="00271F18" w:rsidP="00F715D1">
      <w:pPr>
        <w:pStyle w:val="Heading1"/>
      </w:pPr>
      <w:r w:rsidRPr="00F715D1">
        <w:t>Further information on MSAC</w:t>
      </w:r>
    </w:p>
    <w:p w14:paraId="72B7A0C0"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3"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4"/>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877A9" w14:textId="77777777" w:rsidR="000018FA" w:rsidRDefault="000018FA" w:rsidP="00065623">
      <w:r>
        <w:separator/>
      </w:r>
    </w:p>
  </w:endnote>
  <w:endnote w:type="continuationSeparator" w:id="0">
    <w:p w14:paraId="5E2915CD" w14:textId="77777777" w:rsidR="000018FA" w:rsidRDefault="000018FA"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umanist521BT-Roman">
    <w:panose1 w:val="00000000000000000000"/>
    <w:charset w:val="4D"/>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03C78C2B" w14:textId="77777777" w:rsidR="00821CFC" w:rsidRDefault="00821CFC">
        <w:pPr>
          <w:pStyle w:val="Footer"/>
          <w:jc w:val="right"/>
        </w:pPr>
        <w:r>
          <w:fldChar w:fldCharType="begin"/>
        </w:r>
        <w:r>
          <w:instrText xml:space="preserve"> PAGE   \* MERGEFORMAT </w:instrText>
        </w:r>
        <w:r>
          <w:fldChar w:fldCharType="separate"/>
        </w:r>
        <w:r w:rsidR="00D208B7">
          <w:rPr>
            <w:noProof/>
          </w:rPr>
          <w:t>7</w:t>
        </w:r>
        <w:r>
          <w:rPr>
            <w:noProof/>
          </w:rPr>
          <w:fldChar w:fldCharType="end"/>
        </w:r>
      </w:p>
    </w:sdtContent>
  </w:sdt>
  <w:p w14:paraId="19590FEF" w14:textId="77777777" w:rsidR="00821CFC" w:rsidRDefault="00821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9B306" w14:textId="77777777" w:rsidR="000018FA" w:rsidRDefault="000018FA" w:rsidP="00065623">
      <w:r>
        <w:separator/>
      </w:r>
    </w:p>
  </w:footnote>
  <w:footnote w:type="continuationSeparator" w:id="0">
    <w:p w14:paraId="25AB92FA" w14:textId="77777777" w:rsidR="000018FA" w:rsidRDefault="000018FA"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CE6F26"/>
    <w:multiLevelType w:val="hybridMultilevel"/>
    <w:tmpl w:val="BA6C365E"/>
    <w:lvl w:ilvl="0" w:tplc="22C65010">
      <w:start w:val="1"/>
      <w:numFmt w:val="bullet"/>
      <w:lvlText w:val="•"/>
      <w:lvlJc w:val="left"/>
      <w:pPr>
        <w:tabs>
          <w:tab w:val="num" w:pos="720"/>
        </w:tabs>
        <w:ind w:left="720" w:hanging="360"/>
      </w:pPr>
      <w:rPr>
        <w:rFonts w:ascii="Arial" w:hAnsi="Arial" w:hint="default"/>
      </w:rPr>
    </w:lvl>
    <w:lvl w:ilvl="1" w:tplc="CF489BFC" w:tentative="1">
      <w:start w:val="1"/>
      <w:numFmt w:val="bullet"/>
      <w:lvlText w:val="•"/>
      <w:lvlJc w:val="left"/>
      <w:pPr>
        <w:tabs>
          <w:tab w:val="num" w:pos="1440"/>
        </w:tabs>
        <w:ind w:left="1440" w:hanging="360"/>
      </w:pPr>
      <w:rPr>
        <w:rFonts w:ascii="Arial" w:hAnsi="Arial" w:hint="default"/>
      </w:rPr>
    </w:lvl>
    <w:lvl w:ilvl="2" w:tplc="AC76B934" w:tentative="1">
      <w:start w:val="1"/>
      <w:numFmt w:val="bullet"/>
      <w:lvlText w:val="•"/>
      <w:lvlJc w:val="left"/>
      <w:pPr>
        <w:tabs>
          <w:tab w:val="num" w:pos="2160"/>
        </w:tabs>
        <w:ind w:left="2160" w:hanging="360"/>
      </w:pPr>
      <w:rPr>
        <w:rFonts w:ascii="Arial" w:hAnsi="Arial" w:hint="default"/>
      </w:rPr>
    </w:lvl>
    <w:lvl w:ilvl="3" w:tplc="B764EBA0" w:tentative="1">
      <w:start w:val="1"/>
      <w:numFmt w:val="bullet"/>
      <w:lvlText w:val="•"/>
      <w:lvlJc w:val="left"/>
      <w:pPr>
        <w:tabs>
          <w:tab w:val="num" w:pos="2880"/>
        </w:tabs>
        <w:ind w:left="2880" w:hanging="360"/>
      </w:pPr>
      <w:rPr>
        <w:rFonts w:ascii="Arial" w:hAnsi="Arial" w:hint="default"/>
      </w:rPr>
    </w:lvl>
    <w:lvl w:ilvl="4" w:tplc="0FFA384E" w:tentative="1">
      <w:start w:val="1"/>
      <w:numFmt w:val="bullet"/>
      <w:lvlText w:val="•"/>
      <w:lvlJc w:val="left"/>
      <w:pPr>
        <w:tabs>
          <w:tab w:val="num" w:pos="3600"/>
        </w:tabs>
        <w:ind w:left="3600" w:hanging="360"/>
      </w:pPr>
      <w:rPr>
        <w:rFonts w:ascii="Arial" w:hAnsi="Arial" w:hint="default"/>
      </w:rPr>
    </w:lvl>
    <w:lvl w:ilvl="5" w:tplc="6798A9F4" w:tentative="1">
      <w:start w:val="1"/>
      <w:numFmt w:val="bullet"/>
      <w:lvlText w:val="•"/>
      <w:lvlJc w:val="left"/>
      <w:pPr>
        <w:tabs>
          <w:tab w:val="num" w:pos="4320"/>
        </w:tabs>
        <w:ind w:left="4320" w:hanging="360"/>
      </w:pPr>
      <w:rPr>
        <w:rFonts w:ascii="Arial" w:hAnsi="Arial" w:hint="default"/>
      </w:rPr>
    </w:lvl>
    <w:lvl w:ilvl="6" w:tplc="892E39E4" w:tentative="1">
      <w:start w:val="1"/>
      <w:numFmt w:val="bullet"/>
      <w:lvlText w:val="•"/>
      <w:lvlJc w:val="left"/>
      <w:pPr>
        <w:tabs>
          <w:tab w:val="num" w:pos="5040"/>
        </w:tabs>
        <w:ind w:left="5040" w:hanging="360"/>
      </w:pPr>
      <w:rPr>
        <w:rFonts w:ascii="Arial" w:hAnsi="Arial" w:hint="default"/>
      </w:rPr>
    </w:lvl>
    <w:lvl w:ilvl="7" w:tplc="670EE54A" w:tentative="1">
      <w:start w:val="1"/>
      <w:numFmt w:val="bullet"/>
      <w:lvlText w:val="•"/>
      <w:lvlJc w:val="left"/>
      <w:pPr>
        <w:tabs>
          <w:tab w:val="num" w:pos="5760"/>
        </w:tabs>
        <w:ind w:left="5760" w:hanging="360"/>
      </w:pPr>
      <w:rPr>
        <w:rFonts w:ascii="Arial" w:hAnsi="Arial" w:hint="default"/>
      </w:rPr>
    </w:lvl>
    <w:lvl w:ilvl="8" w:tplc="CD364E12" w:tentative="1">
      <w:start w:val="1"/>
      <w:numFmt w:val="bullet"/>
      <w:lvlText w:val="•"/>
      <w:lvlJc w:val="left"/>
      <w:pPr>
        <w:tabs>
          <w:tab w:val="num" w:pos="6480"/>
        </w:tabs>
        <w:ind w:left="6480" w:hanging="360"/>
      </w:pPr>
      <w:rPr>
        <w:rFonts w:ascii="Arial" w:hAnsi="Arial" w:hint="default"/>
      </w:rPr>
    </w:lvl>
  </w:abstractNum>
  <w:abstractNum w:abstractNumId="1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F157371"/>
    <w:multiLevelType w:val="hybridMultilevel"/>
    <w:tmpl w:val="F9DE7176"/>
    <w:lvl w:ilvl="0" w:tplc="1C4CFC3A">
      <w:start w:val="1"/>
      <w:numFmt w:val="bullet"/>
      <w:lvlText w:val="•"/>
      <w:lvlJc w:val="left"/>
      <w:pPr>
        <w:tabs>
          <w:tab w:val="num" w:pos="720"/>
        </w:tabs>
        <w:ind w:left="720" w:hanging="360"/>
      </w:pPr>
      <w:rPr>
        <w:rFonts w:ascii="Arial" w:hAnsi="Arial" w:hint="default"/>
      </w:rPr>
    </w:lvl>
    <w:lvl w:ilvl="1" w:tplc="CEC03FBC" w:tentative="1">
      <w:start w:val="1"/>
      <w:numFmt w:val="bullet"/>
      <w:lvlText w:val="•"/>
      <w:lvlJc w:val="left"/>
      <w:pPr>
        <w:tabs>
          <w:tab w:val="num" w:pos="1440"/>
        </w:tabs>
        <w:ind w:left="1440" w:hanging="360"/>
      </w:pPr>
      <w:rPr>
        <w:rFonts w:ascii="Arial" w:hAnsi="Arial" w:hint="default"/>
      </w:rPr>
    </w:lvl>
    <w:lvl w:ilvl="2" w:tplc="93F6D82A" w:tentative="1">
      <w:start w:val="1"/>
      <w:numFmt w:val="bullet"/>
      <w:lvlText w:val="•"/>
      <w:lvlJc w:val="left"/>
      <w:pPr>
        <w:tabs>
          <w:tab w:val="num" w:pos="2160"/>
        </w:tabs>
        <w:ind w:left="2160" w:hanging="360"/>
      </w:pPr>
      <w:rPr>
        <w:rFonts w:ascii="Arial" w:hAnsi="Arial" w:hint="default"/>
      </w:rPr>
    </w:lvl>
    <w:lvl w:ilvl="3" w:tplc="47B20CCC" w:tentative="1">
      <w:start w:val="1"/>
      <w:numFmt w:val="bullet"/>
      <w:lvlText w:val="•"/>
      <w:lvlJc w:val="left"/>
      <w:pPr>
        <w:tabs>
          <w:tab w:val="num" w:pos="2880"/>
        </w:tabs>
        <w:ind w:left="2880" w:hanging="360"/>
      </w:pPr>
      <w:rPr>
        <w:rFonts w:ascii="Arial" w:hAnsi="Arial" w:hint="default"/>
      </w:rPr>
    </w:lvl>
    <w:lvl w:ilvl="4" w:tplc="61324FEC" w:tentative="1">
      <w:start w:val="1"/>
      <w:numFmt w:val="bullet"/>
      <w:lvlText w:val="•"/>
      <w:lvlJc w:val="left"/>
      <w:pPr>
        <w:tabs>
          <w:tab w:val="num" w:pos="3600"/>
        </w:tabs>
        <w:ind w:left="3600" w:hanging="360"/>
      </w:pPr>
      <w:rPr>
        <w:rFonts w:ascii="Arial" w:hAnsi="Arial" w:hint="default"/>
      </w:rPr>
    </w:lvl>
    <w:lvl w:ilvl="5" w:tplc="92B4AC52" w:tentative="1">
      <w:start w:val="1"/>
      <w:numFmt w:val="bullet"/>
      <w:lvlText w:val="•"/>
      <w:lvlJc w:val="left"/>
      <w:pPr>
        <w:tabs>
          <w:tab w:val="num" w:pos="4320"/>
        </w:tabs>
        <w:ind w:left="4320" w:hanging="360"/>
      </w:pPr>
      <w:rPr>
        <w:rFonts w:ascii="Arial" w:hAnsi="Arial" w:hint="default"/>
      </w:rPr>
    </w:lvl>
    <w:lvl w:ilvl="6" w:tplc="5CDE46CE" w:tentative="1">
      <w:start w:val="1"/>
      <w:numFmt w:val="bullet"/>
      <w:lvlText w:val="•"/>
      <w:lvlJc w:val="left"/>
      <w:pPr>
        <w:tabs>
          <w:tab w:val="num" w:pos="5040"/>
        </w:tabs>
        <w:ind w:left="5040" w:hanging="360"/>
      </w:pPr>
      <w:rPr>
        <w:rFonts w:ascii="Arial" w:hAnsi="Arial" w:hint="default"/>
      </w:rPr>
    </w:lvl>
    <w:lvl w:ilvl="7" w:tplc="C016AB90" w:tentative="1">
      <w:start w:val="1"/>
      <w:numFmt w:val="bullet"/>
      <w:lvlText w:val="•"/>
      <w:lvlJc w:val="left"/>
      <w:pPr>
        <w:tabs>
          <w:tab w:val="num" w:pos="5760"/>
        </w:tabs>
        <w:ind w:left="5760" w:hanging="360"/>
      </w:pPr>
      <w:rPr>
        <w:rFonts w:ascii="Arial" w:hAnsi="Arial" w:hint="default"/>
      </w:rPr>
    </w:lvl>
    <w:lvl w:ilvl="8" w:tplc="22F2F14E" w:tentative="1">
      <w:start w:val="1"/>
      <w:numFmt w:val="bullet"/>
      <w:lvlText w:val="•"/>
      <w:lvlJc w:val="left"/>
      <w:pPr>
        <w:tabs>
          <w:tab w:val="num" w:pos="6480"/>
        </w:tabs>
        <w:ind w:left="6480" w:hanging="360"/>
      </w:pPr>
      <w:rPr>
        <w:rFonts w:ascii="Arial" w:hAnsi="Arial" w:hint="default"/>
      </w:rPr>
    </w:lvl>
  </w:abstractNum>
  <w:abstractNum w:abstractNumId="19">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61FE2B1B"/>
    <w:multiLevelType w:val="hybridMultilevel"/>
    <w:tmpl w:val="B2E6C068"/>
    <w:lvl w:ilvl="0" w:tplc="49BAB80A">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6E4177A0"/>
    <w:multiLevelType w:val="hybridMultilevel"/>
    <w:tmpl w:val="D4F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FCA62CA"/>
    <w:multiLevelType w:val="hybridMultilevel"/>
    <w:tmpl w:val="5EE4E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78370E"/>
    <w:multiLevelType w:val="hybridMultilevel"/>
    <w:tmpl w:val="8C60B2AE"/>
    <w:lvl w:ilvl="0" w:tplc="49BAB80A">
      <w:start w:val="1"/>
      <w:numFmt w:val="bullet"/>
      <w:lvlText w:val="•"/>
      <w:lvlJc w:val="left"/>
      <w:pPr>
        <w:tabs>
          <w:tab w:val="num" w:pos="720"/>
        </w:tabs>
        <w:ind w:left="720" w:hanging="360"/>
      </w:pPr>
      <w:rPr>
        <w:rFonts w:ascii="Arial" w:hAnsi="Arial" w:hint="default"/>
      </w:rPr>
    </w:lvl>
    <w:lvl w:ilvl="1" w:tplc="FE581A68" w:tentative="1">
      <w:start w:val="1"/>
      <w:numFmt w:val="bullet"/>
      <w:lvlText w:val="•"/>
      <w:lvlJc w:val="left"/>
      <w:pPr>
        <w:tabs>
          <w:tab w:val="num" w:pos="1440"/>
        </w:tabs>
        <w:ind w:left="1440" w:hanging="360"/>
      </w:pPr>
      <w:rPr>
        <w:rFonts w:ascii="Arial" w:hAnsi="Arial" w:hint="default"/>
      </w:rPr>
    </w:lvl>
    <w:lvl w:ilvl="2" w:tplc="482EA492" w:tentative="1">
      <w:start w:val="1"/>
      <w:numFmt w:val="bullet"/>
      <w:lvlText w:val="•"/>
      <w:lvlJc w:val="left"/>
      <w:pPr>
        <w:tabs>
          <w:tab w:val="num" w:pos="2160"/>
        </w:tabs>
        <w:ind w:left="2160" w:hanging="360"/>
      </w:pPr>
      <w:rPr>
        <w:rFonts w:ascii="Arial" w:hAnsi="Arial" w:hint="default"/>
      </w:rPr>
    </w:lvl>
    <w:lvl w:ilvl="3" w:tplc="E8A6E2B6" w:tentative="1">
      <w:start w:val="1"/>
      <w:numFmt w:val="bullet"/>
      <w:lvlText w:val="•"/>
      <w:lvlJc w:val="left"/>
      <w:pPr>
        <w:tabs>
          <w:tab w:val="num" w:pos="2880"/>
        </w:tabs>
        <w:ind w:left="2880" w:hanging="360"/>
      </w:pPr>
      <w:rPr>
        <w:rFonts w:ascii="Arial" w:hAnsi="Arial" w:hint="default"/>
      </w:rPr>
    </w:lvl>
    <w:lvl w:ilvl="4" w:tplc="2618B194" w:tentative="1">
      <w:start w:val="1"/>
      <w:numFmt w:val="bullet"/>
      <w:lvlText w:val="•"/>
      <w:lvlJc w:val="left"/>
      <w:pPr>
        <w:tabs>
          <w:tab w:val="num" w:pos="3600"/>
        </w:tabs>
        <w:ind w:left="3600" w:hanging="360"/>
      </w:pPr>
      <w:rPr>
        <w:rFonts w:ascii="Arial" w:hAnsi="Arial" w:hint="default"/>
      </w:rPr>
    </w:lvl>
    <w:lvl w:ilvl="5" w:tplc="FB00C31E" w:tentative="1">
      <w:start w:val="1"/>
      <w:numFmt w:val="bullet"/>
      <w:lvlText w:val="•"/>
      <w:lvlJc w:val="left"/>
      <w:pPr>
        <w:tabs>
          <w:tab w:val="num" w:pos="4320"/>
        </w:tabs>
        <w:ind w:left="4320" w:hanging="360"/>
      </w:pPr>
      <w:rPr>
        <w:rFonts w:ascii="Arial" w:hAnsi="Arial" w:hint="default"/>
      </w:rPr>
    </w:lvl>
    <w:lvl w:ilvl="6" w:tplc="F7A64960" w:tentative="1">
      <w:start w:val="1"/>
      <w:numFmt w:val="bullet"/>
      <w:lvlText w:val="•"/>
      <w:lvlJc w:val="left"/>
      <w:pPr>
        <w:tabs>
          <w:tab w:val="num" w:pos="5040"/>
        </w:tabs>
        <w:ind w:left="5040" w:hanging="360"/>
      </w:pPr>
      <w:rPr>
        <w:rFonts w:ascii="Arial" w:hAnsi="Arial" w:hint="default"/>
      </w:rPr>
    </w:lvl>
    <w:lvl w:ilvl="7" w:tplc="64E8888A" w:tentative="1">
      <w:start w:val="1"/>
      <w:numFmt w:val="bullet"/>
      <w:lvlText w:val="•"/>
      <w:lvlJc w:val="left"/>
      <w:pPr>
        <w:tabs>
          <w:tab w:val="num" w:pos="5760"/>
        </w:tabs>
        <w:ind w:left="5760" w:hanging="360"/>
      </w:pPr>
      <w:rPr>
        <w:rFonts w:ascii="Arial" w:hAnsi="Arial" w:hint="default"/>
      </w:rPr>
    </w:lvl>
    <w:lvl w:ilvl="8" w:tplc="AB986B9A" w:tentative="1">
      <w:start w:val="1"/>
      <w:numFmt w:val="bullet"/>
      <w:lvlText w:val="•"/>
      <w:lvlJc w:val="left"/>
      <w:pPr>
        <w:tabs>
          <w:tab w:val="num" w:pos="6480"/>
        </w:tabs>
        <w:ind w:left="6480" w:hanging="360"/>
      </w:pPr>
      <w:rPr>
        <w:rFonts w:ascii="Arial" w:hAnsi="Arial" w:hint="default"/>
      </w:rPr>
    </w:lvl>
  </w:abstractNum>
  <w:abstractNum w:abstractNumId="30">
    <w:nsid w:val="79CA1CFF"/>
    <w:multiLevelType w:val="hybridMultilevel"/>
    <w:tmpl w:val="AA1C6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DB59BA"/>
    <w:multiLevelType w:val="multilevel"/>
    <w:tmpl w:val="8DB4AC64"/>
    <w:lvl w:ilvl="0">
      <w:start w:val="1"/>
      <w:numFmt w:val="bullet"/>
      <w:pStyle w:val="01square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num w:numId="1">
    <w:abstractNumId w:val="6"/>
  </w:num>
  <w:num w:numId="2">
    <w:abstractNumId w:val="13"/>
  </w:num>
  <w:num w:numId="3">
    <w:abstractNumId w:val="1"/>
  </w:num>
  <w:num w:numId="4">
    <w:abstractNumId w:val="16"/>
  </w:num>
  <w:num w:numId="5">
    <w:abstractNumId w:val="9"/>
  </w:num>
  <w:num w:numId="6">
    <w:abstractNumId w:val="14"/>
  </w:num>
  <w:num w:numId="7">
    <w:abstractNumId w:val="21"/>
  </w:num>
  <w:num w:numId="8">
    <w:abstractNumId w:val="10"/>
  </w:num>
  <w:num w:numId="9">
    <w:abstractNumId w:val="31"/>
  </w:num>
  <w:num w:numId="10">
    <w:abstractNumId w:val="0"/>
  </w:num>
  <w:num w:numId="11">
    <w:abstractNumId w:val="19"/>
  </w:num>
  <w:num w:numId="12">
    <w:abstractNumId w:val="22"/>
  </w:num>
  <w:num w:numId="13">
    <w:abstractNumId w:val="4"/>
  </w:num>
  <w:num w:numId="14">
    <w:abstractNumId w:val="26"/>
  </w:num>
  <w:num w:numId="15">
    <w:abstractNumId w:val="17"/>
  </w:num>
  <w:num w:numId="16">
    <w:abstractNumId w:val="23"/>
  </w:num>
  <w:num w:numId="17">
    <w:abstractNumId w:val="11"/>
  </w:num>
  <w:num w:numId="18">
    <w:abstractNumId w:val="12"/>
  </w:num>
  <w:num w:numId="19">
    <w:abstractNumId w:val="25"/>
  </w:num>
  <w:num w:numId="20">
    <w:abstractNumId w:val="24"/>
  </w:num>
  <w:num w:numId="21">
    <w:abstractNumId w:val="3"/>
  </w:num>
  <w:num w:numId="22">
    <w:abstractNumId w:val="8"/>
  </w:num>
  <w:num w:numId="23">
    <w:abstractNumId w:val="2"/>
  </w:num>
  <w:num w:numId="24">
    <w:abstractNumId w:val="7"/>
  </w:num>
  <w:num w:numId="25">
    <w:abstractNumId w:val="5"/>
  </w:num>
  <w:num w:numId="26">
    <w:abstractNumId w:val="27"/>
  </w:num>
  <w:num w:numId="27">
    <w:abstractNumId w:val="15"/>
  </w:num>
  <w:num w:numId="28">
    <w:abstractNumId w:val="18"/>
  </w:num>
  <w:num w:numId="29">
    <w:abstractNumId w:val="29"/>
  </w:num>
  <w:num w:numId="30">
    <w:abstractNumId w:val="32"/>
    <w:lvlOverride w:ilvl="0">
      <w:lvl w:ilvl="0">
        <w:start w:val="1"/>
        <w:numFmt w:val="bullet"/>
        <w:pStyle w:val="01squarebullet"/>
        <w:lvlText w:val="Δ"/>
        <w:lvlJc w:val="left"/>
        <w:pPr>
          <w:ind w:left="360" w:hanging="360"/>
        </w:pPr>
        <w:rPr>
          <w:rFonts w:ascii="Calibri" w:hAnsi="Calibri" w:cs="Times New Roman" w:hint="default"/>
          <w:color w:val="B66113"/>
          <w:sz w:val="24"/>
        </w:rPr>
      </w:lvl>
    </w:lvlOverride>
  </w:num>
  <w:num w:numId="31">
    <w:abstractNumId w:val="30"/>
  </w:num>
  <w:num w:numId="32">
    <w:abstractNumId w:val="20"/>
  </w:num>
  <w:num w:numId="3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Norris">
    <w15:presenceInfo w15:providerId="AD" w15:userId="S-1-5-21-4070527734-2962579563-2626130334-1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18FA"/>
    <w:rsid w:val="00007312"/>
    <w:rsid w:val="00011A36"/>
    <w:rsid w:val="00047606"/>
    <w:rsid w:val="00064019"/>
    <w:rsid w:val="00065623"/>
    <w:rsid w:val="000756B9"/>
    <w:rsid w:val="000853C7"/>
    <w:rsid w:val="00096B67"/>
    <w:rsid w:val="00096DAF"/>
    <w:rsid w:val="000C2F47"/>
    <w:rsid w:val="000D2B9A"/>
    <w:rsid w:val="000D6C00"/>
    <w:rsid w:val="000E4E04"/>
    <w:rsid w:val="000F14B4"/>
    <w:rsid w:val="000F75DF"/>
    <w:rsid w:val="001023DC"/>
    <w:rsid w:val="001328FA"/>
    <w:rsid w:val="00142AE3"/>
    <w:rsid w:val="00147AAF"/>
    <w:rsid w:val="001552C0"/>
    <w:rsid w:val="001640B1"/>
    <w:rsid w:val="0018435E"/>
    <w:rsid w:val="001B483F"/>
    <w:rsid w:val="002041A1"/>
    <w:rsid w:val="002054F0"/>
    <w:rsid w:val="00230D6B"/>
    <w:rsid w:val="00232068"/>
    <w:rsid w:val="002330F2"/>
    <w:rsid w:val="00243D9E"/>
    <w:rsid w:val="00253B66"/>
    <w:rsid w:val="0026016D"/>
    <w:rsid w:val="00261DF1"/>
    <w:rsid w:val="00270C0B"/>
    <w:rsid w:val="00271F18"/>
    <w:rsid w:val="00282779"/>
    <w:rsid w:val="0028334D"/>
    <w:rsid w:val="00295FEC"/>
    <w:rsid w:val="002B01D2"/>
    <w:rsid w:val="002B095F"/>
    <w:rsid w:val="002B7FFA"/>
    <w:rsid w:val="002C2BCF"/>
    <w:rsid w:val="002D62F4"/>
    <w:rsid w:val="002F279D"/>
    <w:rsid w:val="002F43B8"/>
    <w:rsid w:val="003254FB"/>
    <w:rsid w:val="003345FD"/>
    <w:rsid w:val="00336856"/>
    <w:rsid w:val="0034554D"/>
    <w:rsid w:val="00352224"/>
    <w:rsid w:val="00360303"/>
    <w:rsid w:val="00361C72"/>
    <w:rsid w:val="003671E6"/>
    <w:rsid w:val="00384272"/>
    <w:rsid w:val="00386D67"/>
    <w:rsid w:val="003945B8"/>
    <w:rsid w:val="003B6286"/>
    <w:rsid w:val="003D0197"/>
    <w:rsid w:val="003D7F29"/>
    <w:rsid w:val="003E21BC"/>
    <w:rsid w:val="00405A6B"/>
    <w:rsid w:val="00407B1F"/>
    <w:rsid w:val="0041184F"/>
    <w:rsid w:val="00414C57"/>
    <w:rsid w:val="0041758C"/>
    <w:rsid w:val="004539DE"/>
    <w:rsid w:val="00457C8B"/>
    <w:rsid w:val="00470F72"/>
    <w:rsid w:val="004A2CF1"/>
    <w:rsid w:val="004B51D0"/>
    <w:rsid w:val="004C3035"/>
    <w:rsid w:val="004C307F"/>
    <w:rsid w:val="004D6DB4"/>
    <w:rsid w:val="004E4BA8"/>
    <w:rsid w:val="004F340F"/>
    <w:rsid w:val="004F7B7C"/>
    <w:rsid w:val="0052243D"/>
    <w:rsid w:val="0052371C"/>
    <w:rsid w:val="00531BFE"/>
    <w:rsid w:val="00532435"/>
    <w:rsid w:val="00532EEA"/>
    <w:rsid w:val="00550354"/>
    <w:rsid w:val="00571236"/>
    <w:rsid w:val="00576F68"/>
    <w:rsid w:val="0058219C"/>
    <w:rsid w:val="005953A1"/>
    <w:rsid w:val="005A4362"/>
    <w:rsid w:val="005B5434"/>
    <w:rsid w:val="005D0332"/>
    <w:rsid w:val="005D0D8C"/>
    <w:rsid w:val="005D1EB3"/>
    <w:rsid w:val="005E4E10"/>
    <w:rsid w:val="006776AE"/>
    <w:rsid w:val="006A0D97"/>
    <w:rsid w:val="006B1F86"/>
    <w:rsid w:val="006C0A91"/>
    <w:rsid w:val="006E0390"/>
    <w:rsid w:val="007054BB"/>
    <w:rsid w:val="00705E3F"/>
    <w:rsid w:val="00707064"/>
    <w:rsid w:val="00730683"/>
    <w:rsid w:val="00751D8B"/>
    <w:rsid w:val="0075261F"/>
    <w:rsid w:val="0075468E"/>
    <w:rsid w:val="007665D8"/>
    <w:rsid w:val="00766E36"/>
    <w:rsid w:val="007765F4"/>
    <w:rsid w:val="00776633"/>
    <w:rsid w:val="00784D53"/>
    <w:rsid w:val="0079264F"/>
    <w:rsid w:val="00797797"/>
    <w:rsid w:val="007A63C9"/>
    <w:rsid w:val="007B32D1"/>
    <w:rsid w:val="007B7095"/>
    <w:rsid w:val="007D24E1"/>
    <w:rsid w:val="007D6288"/>
    <w:rsid w:val="007D6816"/>
    <w:rsid w:val="007F4CE9"/>
    <w:rsid w:val="007F4E20"/>
    <w:rsid w:val="00810867"/>
    <w:rsid w:val="00821CFC"/>
    <w:rsid w:val="00822C7E"/>
    <w:rsid w:val="00822D8D"/>
    <w:rsid w:val="00847060"/>
    <w:rsid w:val="00847A36"/>
    <w:rsid w:val="00856A33"/>
    <w:rsid w:val="00892620"/>
    <w:rsid w:val="008B2A76"/>
    <w:rsid w:val="008B46A2"/>
    <w:rsid w:val="008C7D37"/>
    <w:rsid w:val="008D5885"/>
    <w:rsid w:val="00923FA2"/>
    <w:rsid w:val="0096060D"/>
    <w:rsid w:val="00974A50"/>
    <w:rsid w:val="0097585A"/>
    <w:rsid w:val="009924B0"/>
    <w:rsid w:val="009942C9"/>
    <w:rsid w:val="009B35C4"/>
    <w:rsid w:val="009C630A"/>
    <w:rsid w:val="009E0D98"/>
    <w:rsid w:val="009E529A"/>
    <w:rsid w:val="00A028D0"/>
    <w:rsid w:val="00A068A1"/>
    <w:rsid w:val="00A07BBD"/>
    <w:rsid w:val="00A1207D"/>
    <w:rsid w:val="00A12FD8"/>
    <w:rsid w:val="00A346FC"/>
    <w:rsid w:val="00A846F2"/>
    <w:rsid w:val="00A84F93"/>
    <w:rsid w:val="00AB1AC5"/>
    <w:rsid w:val="00AB3BFC"/>
    <w:rsid w:val="00AB4CE1"/>
    <w:rsid w:val="00AC4F2E"/>
    <w:rsid w:val="00AD0C37"/>
    <w:rsid w:val="00AD385F"/>
    <w:rsid w:val="00AE6E2A"/>
    <w:rsid w:val="00AF229E"/>
    <w:rsid w:val="00B03EAB"/>
    <w:rsid w:val="00B31E9C"/>
    <w:rsid w:val="00B35595"/>
    <w:rsid w:val="00B356E0"/>
    <w:rsid w:val="00B51C6D"/>
    <w:rsid w:val="00B83802"/>
    <w:rsid w:val="00B83DD2"/>
    <w:rsid w:val="00B86D64"/>
    <w:rsid w:val="00BA4AC5"/>
    <w:rsid w:val="00BC1364"/>
    <w:rsid w:val="00BC2667"/>
    <w:rsid w:val="00BC7DE9"/>
    <w:rsid w:val="00BF479B"/>
    <w:rsid w:val="00C00224"/>
    <w:rsid w:val="00C02577"/>
    <w:rsid w:val="00C14123"/>
    <w:rsid w:val="00C204FB"/>
    <w:rsid w:val="00C20BEE"/>
    <w:rsid w:val="00C2158D"/>
    <w:rsid w:val="00C67DD2"/>
    <w:rsid w:val="00C725CB"/>
    <w:rsid w:val="00C76F5C"/>
    <w:rsid w:val="00C96BAD"/>
    <w:rsid w:val="00CA6944"/>
    <w:rsid w:val="00CB0F8E"/>
    <w:rsid w:val="00CB43C1"/>
    <w:rsid w:val="00CB6A61"/>
    <w:rsid w:val="00CB7E7D"/>
    <w:rsid w:val="00CC0E50"/>
    <w:rsid w:val="00CC2911"/>
    <w:rsid w:val="00CD7F53"/>
    <w:rsid w:val="00CF0C6D"/>
    <w:rsid w:val="00CF7307"/>
    <w:rsid w:val="00CF7C68"/>
    <w:rsid w:val="00D124FA"/>
    <w:rsid w:val="00D208B7"/>
    <w:rsid w:val="00D22C09"/>
    <w:rsid w:val="00D24F58"/>
    <w:rsid w:val="00D340DE"/>
    <w:rsid w:val="00D55723"/>
    <w:rsid w:val="00D62FAD"/>
    <w:rsid w:val="00D64355"/>
    <w:rsid w:val="00D70417"/>
    <w:rsid w:val="00D70450"/>
    <w:rsid w:val="00D83BFD"/>
    <w:rsid w:val="00D858A1"/>
    <w:rsid w:val="00D90A38"/>
    <w:rsid w:val="00DA0515"/>
    <w:rsid w:val="00DA077C"/>
    <w:rsid w:val="00DA171E"/>
    <w:rsid w:val="00DA56AA"/>
    <w:rsid w:val="00DB5833"/>
    <w:rsid w:val="00DD2858"/>
    <w:rsid w:val="00E03E33"/>
    <w:rsid w:val="00E059E0"/>
    <w:rsid w:val="00E226EE"/>
    <w:rsid w:val="00E3642A"/>
    <w:rsid w:val="00E415C4"/>
    <w:rsid w:val="00E50016"/>
    <w:rsid w:val="00E50EAA"/>
    <w:rsid w:val="00E656D6"/>
    <w:rsid w:val="00E65C84"/>
    <w:rsid w:val="00E977EE"/>
    <w:rsid w:val="00EA2F24"/>
    <w:rsid w:val="00EA67A2"/>
    <w:rsid w:val="00EB630F"/>
    <w:rsid w:val="00EB6B6F"/>
    <w:rsid w:val="00EC2300"/>
    <w:rsid w:val="00EC4F98"/>
    <w:rsid w:val="00F010A9"/>
    <w:rsid w:val="00F05450"/>
    <w:rsid w:val="00F12F02"/>
    <w:rsid w:val="00F15D20"/>
    <w:rsid w:val="00F31437"/>
    <w:rsid w:val="00F32E0D"/>
    <w:rsid w:val="00F35134"/>
    <w:rsid w:val="00F37B9C"/>
    <w:rsid w:val="00F41812"/>
    <w:rsid w:val="00F715D1"/>
    <w:rsid w:val="00F72715"/>
    <w:rsid w:val="00F73333"/>
    <w:rsid w:val="00F80F49"/>
    <w:rsid w:val="00F90880"/>
    <w:rsid w:val="00F95D8F"/>
    <w:rsid w:val="00FB350A"/>
    <w:rsid w:val="00FB4C5D"/>
    <w:rsid w:val="00FD20B7"/>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975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rsid w:val="00A028D0"/>
    <w:pPr>
      <w:spacing w:after="120" w:line="288" w:lineRule="auto"/>
    </w:pPr>
    <w:rPr>
      <w:rFonts w:ascii="Calibri" w:eastAsia="SimSun" w:hAnsi="Calibri" w:cs="Tahoma"/>
      <w:sz w:val="22"/>
      <w:szCs w:val="22"/>
    </w:rPr>
  </w:style>
  <w:style w:type="character" w:customStyle="1" w:styleId="BodyTextChar">
    <w:name w:val="Body Text Char"/>
    <w:basedOn w:val="DefaultParagraphFont"/>
    <w:link w:val="BodyText"/>
    <w:rsid w:val="00A028D0"/>
    <w:rPr>
      <w:rFonts w:ascii="Calibri" w:eastAsia="SimSun" w:hAnsi="Calibri" w:cs="Tahoma"/>
    </w:rPr>
  </w:style>
  <w:style w:type="paragraph" w:customStyle="1" w:styleId="01squarebullet">
    <w:name w:val="01 square bullet"/>
    <w:basedOn w:val="Normal"/>
    <w:uiPriority w:val="3"/>
    <w:qFormat/>
    <w:rsid w:val="00CB43C1"/>
    <w:pPr>
      <w:numPr>
        <w:numId w:val="30"/>
      </w:numPr>
      <w:spacing w:before="120" w:after="60"/>
      <w:ind w:right="142"/>
    </w:pPr>
    <w:rPr>
      <w:rFonts w:asciiTheme="minorHAnsi" w:hAnsiTheme="minorHAnsi"/>
      <w:sz w:val="22"/>
      <w:lang w:val="en-US"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8B2A76"/>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8B2A76"/>
    <w:rPr>
      <w:rFonts w:ascii="Arial Narrow" w:eastAsia="Times New Roman" w:hAnsi="Arial Narrow" w:cs="Arial"/>
      <w:b/>
      <w:bCs/>
      <w:iCs/>
      <w:sz w:val="20"/>
      <w:szCs w:val="20"/>
      <w:lang w:eastAsia="en-US"/>
    </w:rPr>
  </w:style>
  <w:style w:type="paragraph" w:customStyle="1" w:styleId="Tablenotes">
    <w:name w:val="Tablenotes"/>
    <w:basedOn w:val="Normal"/>
    <w:link w:val="TablenotesChar"/>
    <w:qFormat/>
    <w:rsid w:val="008B2A76"/>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8B2A76"/>
    <w:rPr>
      <w:rFonts w:ascii="Arial Narrow" w:eastAsia="Times New Roman" w:hAnsi="Arial Narrow" w:cs="Arial"/>
      <w:snapToGrid w:val="0"/>
      <w:sz w:val="18"/>
      <w:szCs w:val="20"/>
      <w:lang w:eastAsia="en-US"/>
    </w:rPr>
  </w:style>
  <w:style w:type="table" w:customStyle="1" w:styleId="TableGrid22">
    <w:name w:val="Table Grid22"/>
    <w:basedOn w:val="TableNormal"/>
    <w:next w:val="TableGrid"/>
    <w:rsid w:val="008B2A76"/>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521BT-Roman" w:hAnsi="Humanist521BT-Roman"/>
        <w:b w:val="0"/>
        <w:sz w:val="20"/>
      </w:rPr>
    </w:tblStylePr>
  </w:style>
  <w:style w:type="table" w:styleId="TableGrid">
    <w:name w:val="Table Grid"/>
    <w:basedOn w:val="TableNormal"/>
    <w:locked/>
    <w:rsid w:val="008B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B2A76"/>
    <w:rPr>
      <w:rFonts w:ascii="Candara" w:eastAsia="Times New Roman" w:hAnsi="Candara" w:cstheme="majorBidi"/>
      <w:sz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styleId="NormalWeb">
    <w:name w:val="Normal (Web)"/>
    <w:basedOn w:val="Normal"/>
    <w:uiPriority w:val="99"/>
    <w:semiHidden/>
    <w:unhideWhenUsed/>
    <w:rsid w:val="00D24F58"/>
    <w:pPr>
      <w:spacing w:before="100" w:beforeAutospacing="1" w:after="100" w:afterAutospacing="1"/>
    </w:pPr>
    <w:rPr>
      <w:szCs w:val="24"/>
    </w:rPr>
  </w:style>
  <w:style w:type="character" w:customStyle="1" w:styleId="UnresolvedMention1">
    <w:name w:val="Unresolved Mention1"/>
    <w:basedOn w:val="DefaultParagraphFont"/>
    <w:uiPriority w:val="99"/>
    <w:semiHidden/>
    <w:unhideWhenUsed/>
    <w:rsid w:val="00D24F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rsid w:val="00A028D0"/>
    <w:pPr>
      <w:spacing w:after="120" w:line="288" w:lineRule="auto"/>
    </w:pPr>
    <w:rPr>
      <w:rFonts w:ascii="Calibri" w:eastAsia="SimSun" w:hAnsi="Calibri" w:cs="Tahoma"/>
      <w:sz w:val="22"/>
      <w:szCs w:val="22"/>
    </w:rPr>
  </w:style>
  <w:style w:type="character" w:customStyle="1" w:styleId="BodyTextChar">
    <w:name w:val="Body Text Char"/>
    <w:basedOn w:val="DefaultParagraphFont"/>
    <w:link w:val="BodyText"/>
    <w:rsid w:val="00A028D0"/>
    <w:rPr>
      <w:rFonts w:ascii="Calibri" w:eastAsia="SimSun" w:hAnsi="Calibri" w:cs="Tahoma"/>
    </w:rPr>
  </w:style>
  <w:style w:type="paragraph" w:customStyle="1" w:styleId="01squarebullet">
    <w:name w:val="01 square bullet"/>
    <w:basedOn w:val="Normal"/>
    <w:uiPriority w:val="3"/>
    <w:qFormat/>
    <w:rsid w:val="00CB43C1"/>
    <w:pPr>
      <w:numPr>
        <w:numId w:val="30"/>
      </w:numPr>
      <w:spacing w:before="120" w:after="60"/>
      <w:ind w:right="142"/>
    </w:pPr>
    <w:rPr>
      <w:rFonts w:asciiTheme="minorHAnsi" w:hAnsiTheme="minorHAnsi"/>
      <w:sz w:val="22"/>
      <w:lang w:val="en-US"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8B2A76"/>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8B2A76"/>
    <w:rPr>
      <w:rFonts w:ascii="Arial Narrow" w:eastAsia="Times New Roman" w:hAnsi="Arial Narrow" w:cs="Arial"/>
      <w:b/>
      <w:bCs/>
      <w:iCs/>
      <w:sz w:val="20"/>
      <w:szCs w:val="20"/>
      <w:lang w:eastAsia="en-US"/>
    </w:rPr>
  </w:style>
  <w:style w:type="paragraph" w:customStyle="1" w:styleId="Tablenotes">
    <w:name w:val="Tablenotes"/>
    <w:basedOn w:val="Normal"/>
    <w:link w:val="TablenotesChar"/>
    <w:qFormat/>
    <w:rsid w:val="008B2A76"/>
    <w:pPr>
      <w:widowControl w:val="0"/>
      <w:spacing w:after="120"/>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8B2A76"/>
    <w:rPr>
      <w:rFonts w:ascii="Arial Narrow" w:eastAsia="Times New Roman" w:hAnsi="Arial Narrow" w:cs="Arial"/>
      <w:snapToGrid w:val="0"/>
      <w:sz w:val="18"/>
      <w:szCs w:val="20"/>
      <w:lang w:eastAsia="en-US"/>
    </w:rPr>
  </w:style>
  <w:style w:type="table" w:customStyle="1" w:styleId="TableGrid22">
    <w:name w:val="Table Grid22"/>
    <w:basedOn w:val="TableNormal"/>
    <w:next w:val="TableGrid"/>
    <w:rsid w:val="008B2A76"/>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521BT-Roman" w:hAnsi="Humanist521BT-Roman"/>
        <w:b w:val="0"/>
        <w:sz w:val="20"/>
      </w:rPr>
    </w:tblStylePr>
  </w:style>
  <w:style w:type="table" w:styleId="TableGrid">
    <w:name w:val="Table Grid"/>
    <w:basedOn w:val="TableNormal"/>
    <w:locked/>
    <w:rsid w:val="008B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B2A76"/>
    <w:rPr>
      <w:rFonts w:ascii="Candara" w:eastAsia="Times New Roman" w:hAnsi="Candara" w:cstheme="majorBidi"/>
      <w:sz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styleId="NormalWeb">
    <w:name w:val="Normal (Web)"/>
    <w:basedOn w:val="Normal"/>
    <w:uiPriority w:val="99"/>
    <w:semiHidden/>
    <w:unhideWhenUsed/>
    <w:rsid w:val="00D24F58"/>
    <w:pPr>
      <w:spacing w:before="100" w:beforeAutospacing="1" w:after="100" w:afterAutospacing="1"/>
    </w:pPr>
    <w:rPr>
      <w:szCs w:val="24"/>
    </w:rPr>
  </w:style>
  <w:style w:type="character" w:customStyle="1" w:styleId="UnresolvedMention1">
    <w:name w:val="Unresolved Mention1"/>
    <w:basedOn w:val="DefaultParagraphFont"/>
    <w:uiPriority w:val="99"/>
    <w:semiHidden/>
    <w:unhideWhenUsed/>
    <w:rsid w:val="00D24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757425">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95647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ccn.org/patients/resources/diagnosis/staging.aspx"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ancerstaging.org/references-tools/deskreferences/Pages/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iki.cancer.org.au/australia/Clinical_question:What_type_of_biopsy_should_be_performed_for_a_suspicious_pigmented_skin_lesion%3F"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5358</Words>
  <Characters>30759</Characters>
  <Application>Microsoft Office Word</Application>
  <DocSecurity>0</DocSecurity>
  <Lines>256</Lines>
  <Paragraphs>72</Paragraphs>
  <ScaleCrop>false</ScaleCrop>
  <Company/>
  <LinksUpToDate>false</LinksUpToDate>
  <CharactersWithSpaces>36045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1485-Final PSD</dc:title>
  <dc:creator/>
  <cp:lastModifiedBy/>
  <cp:revision>1</cp:revision>
  <dcterms:created xsi:type="dcterms:W3CDTF">2018-11-27T04:15:00Z</dcterms:created>
  <dcterms:modified xsi:type="dcterms:W3CDTF">2018-11-27T04:15:00Z</dcterms:modified>
</cp:coreProperties>
</file>